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1F3A5F"/>
          <w:sz w:val="48"/>
          <w:szCs w:val="48"/>
        </w:rPr>
        <w:t xml:space="preserve">Comparable Projects Valuation Engine</w:t>
      </w:r>
    </w:p>
    <w:p>
      <w:pPr>
        <w:spacing w:after="80"/>
      </w:pPr>
      <w:r>
        <w:rPr>
          <w:rFonts w:ascii="Calibri" w:cs="Calibri" w:eastAsia="Calibri" w:hAnsi="Calibri"/>
          <w:color w:val="4A5B70"/>
          <w:sz w:val="28"/>
          <w:szCs w:val="28"/>
        </w:rPr>
        <w:t xml:space="preserve">Plain-English Guide to How It Works and What Every Column Means</w:t>
      </w:r>
    </w:p>
    <w:p>
      <w:pPr>
        <w:pBdr>
          <w:bottom w:val="single" w:color="1F3A5F" w:sz="12" w:space="4"/>
        </w:pBdr>
        <w:spacing w:after="240"/>
      </w:pPr>
      <w:r>
        <w:rPr>
          <w:rFonts w:ascii="Calibri" w:cs="Calibri" w:eastAsia="Calibri" w:hAnsi="Calibri"/>
          <w:color w:val="6B7A8D"/>
          <w:sz w:val="20"/>
          <w:szCs w:val="20"/>
        </w:rPr>
        <w:t xml:space="preserve">Real Estate Valuation POC  |  Documentation (updated version, formulas unchanged from the technical specification)</w:t>
      </w:r>
    </w:p>
    <w:p>
      <w:pPr>
        <w:pStyle w:val="Heading1"/>
        <w:spacing w:after="140" w:before="320"/>
      </w:pPr>
      <w:r>
        <w:rPr>
          <w:rFonts w:ascii="Calibri" w:cs="Calibri" w:eastAsia="Calibri" w:hAnsi="Calibri"/>
          <w:b/>
          <w:bCs/>
          <w:color w:val="1F3A5F"/>
          <w:sz w:val="32"/>
          <w:szCs w:val="32"/>
        </w:rPr>
        <w:t xml:space="preserve">1. What This Tool Does</w:t>
      </w:r>
    </w:p>
    <w:p>
      <w:pPr>
        <w:spacing w:after="120" w:line="276"/>
      </w:pPr>
      <w:r>
        <w:rPr>
          <w:rFonts w:ascii="Calibri" w:cs="Calibri" w:eastAsia="Calibri" w:hAnsi="Calibri"/>
        </w:rPr>
        <w:t xml:space="preserve">When you want to value a property, one of the best clues is what similar projects nearby are selling for. This tool finds those similar projects automatically, collects their key facts from the public web, and gives each one a match score showing how closely it resembles the property you are valuing (called the subject property in this guide).</w:t>
      </w:r>
    </w:p>
    <w:p>
      <w:pPr>
        <w:spacing w:after="120" w:line="276"/>
      </w:pPr>
      <w:r>
        <w:rPr>
          <w:rFonts w:ascii="Calibri" w:cs="Calibri" w:eastAsia="Calibri" w:hAnsi="Calibri"/>
        </w:rPr>
        <w:t xml:space="preserve">The results appear in a table called the All Comparable Projects Directory, which can also be downloaded as a CSV file (comparable_projects_valuation.csv). This guide explains how that table is built, what every one of its 22 columns means, and how the scores are calculated. Every formula from the technical specification is reproduced exactly; only the explanations around them are in plain language.</w:t>
      </w:r>
    </w:p>
    <w:p>
      <w:pPr>
        <w:pStyle w:val="Heading1"/>
        <w:spacing w:after="140" w:before="320"/>
      </w:pPr>
      <w:r>
        <w:rPr>
          <w:rFonts w:ascii="Calibri" w:cs="Calibri" w:eastAsia="Calibri" w:hAnsi="Calibri"/>
          <w:b/>
          <w:bCs/>
          <w:color w:val="1F3A5F"/>
          <w:sz w:val="32"/>
          <w:szCs w:val="32"/>
        </w:rPr>
        <w:t xml:space="preserve">2. Key Points at a Glance</w:t>
      </w:r>
    </w:p>
    <w:p>
      <w:pPr>
        <w:pStyle w:val="ListParagraph"/>
        <w:numPr>
          <w:ilvl w:val="0"/>
          <w:numId w:val="2"/>
        </w:numPr>
        <w:spacing w:after="70" w:line="270"/>
      </w:pPr>
      <w:r>
        <w:rPr>
          <w:rFonts w:ascii="Calibri" w:cs="Calibri" w:eastAsia="Calibri" w:hAnsi="Calibri"/>
          <w:b/>
          <w:bCs/>
        </w:rPr>
        <w:t xml:space="preserve">Zero imputation. </w:t>
      </w:r>
      <w:r>
        <w:rPr>
          <w:rFonts w:ascii="Calibri" w:cs="Calibri" w:eastAsia="Calibri" w:hAnsi="Calibri"/>
        </w:rPr>
        <w:t xml:space="preserve">A price (or any other fact) is never made up, guessed or filled in from neighbourhood averages. If it is not in genuine public evidence, it is shown as unlisted.</w:t>
      </w:r>
    </w:p>
    <w:p>
      <w:pPr>
        <w:pStyle w:val="ListParagraph"/>
        <w:numPr>
          <w:ilvl w:val="0"/>
          <w:numId w:val="2"/>
        </w:numPr>
        <w:spacing w:after="70" w:line="270"/>
      </w:pPr>
      <w:r>
        <w:rPr>
          <w:rFonts w:ascii="Calibri" w:cs="Calibri" w:eastAsia="Calibri" w:hAnsi="Calibri"/>
          <w:b/>
          <w:bCs/>
        </w:rPr>
        <w:t xml:space="preserve">Every fact has proof. </w:t>
      </w:r>
      <w:r>
        <w:rPr>
          <w:rFonts w:ascii="Calibri" w:cs="Calibri" w:eastAsia="Calibri" w:hAnsi="Calibri"/>
        </w:rPr>
        <w:t xml:space="preserve">Each key column has a matching Evidence column showing the original web text, plus a link to the source page.</w:t>
      </w:r>
    </w:p>
    <w:p>
      <w:pPr>
        <w:pStyle w:val="ListParagraph"/>
        <w:numPr>
          <w:ilvl w:val="0"/>
          <w:numId w:val="2"/>
        </w:numPr>
        <w:spacing w:after="70" w:line="270"/>
      </w:pPr>
      <w:r>
        <w:rPr>
          <w:rFonts w:ascii="Calibri" w:cs="Calibri" w:eastAsia="Calibri" w:hAnsi="Calibri"/>
          <w:b/>
          <w:bCs/>
        </w:rPr>
        <w:t xml:space="preserve">Missing data earns zero, not a free pass. </w:t>
      </w:r>
      <w:r>
        <w:rPr>
          <w:rFonts w:ascii="Calibri" w:cs="Calibri" w:eastAsia="Calibri" w:hAnsi="Calibri"/>
        </w:rPr>
        <w:t xml:space="preserve">If a project's detail is unverified, that factor scores 0. A project with no captured data scores only on distance (15% to 20% of the total), so it can never look better than it really is.</w:t>
      </w:r>
    </w:p>
    <w:p>
      <w:pPr>
        <w:pStyle w:val="ListParagraph"/>
        <w:numPr>
          <w:ilvl w:val="0"/>
          <w:numId w:val="2"/>
        </w:numPr>
        <w:spacing w:after="70" w:line="270"/>
      </w:pPr>
      <w:r>
        <w:rPr>
          <w:rFonts w:ascii="Calibri" w:cs="Calibri" w:eastAsia="Calibri" w:hAnsi="Calibri"/>
          <w:b/>
          <w:bCs/>
        </w:rPr>
        <w:t xml:space="preserve">Smooth scoring, not hard cut-offs. </w:t>
      </w:r>
      <w:r>
        <w:rPr>
          <w:rFonts w:ascii="Calibri" w:cs="Calibri" w:eastAsia="Calibri" w:hAnsi="Calibri"/>
        </w:rPr>
        <w:t xml:space="preserve">Scores fade gradually as a project becomes less similar, instead of flipping from pass to fail.</w:t>
      </w:r>
    </w:p>
    <w:p>
      <w:pPr>
        <w:pStyle w:val="ListParagraph"/>
        <w:numPr>
          <w:ilvl w:val="0"/>
          <w:numId w:val="2"/>
        </w:numPr>
        <w:spacing w:after="70" w:line="270"/>
      </w:pPr>
      <w:r>
        <w:rPr>
          <w:rFonts w:ascii="Calibri" w:cs="Calibri" w:eastAsia="Calibri" w:hAnsi="Calibri"/>
          <w:b/>
          <w:bCs/>
        </w:rPr>
        <w:t xml:space="preserve">Two scoring modes. </w:t>
      </w:r>
      <w:r>
        <w:rPr>
          <w:rFonts w:ascii="Calibri" w:cs="Calibri" w:eastAsia="Calibri" w:hAnsi="Calibri"/>
        </w:rPr>
        <w:t xml:space="preserve">If the rate is known, price carries 25% of the score (Full mode). If it is unlisted, price is switched off and its weight is shared among the physical factors (Physical mode).</w:t>
      </w:r>
    </w:p>
    <w:p>
      <w:pPr>
        <w:pStyle w:val="ListParagraph"/>
        <w:numPr>
          <w:ilvl w:val="0"/>
          <w:numId w:val="2"/>
        </w:numPr>
        <w:spacing w:after="70" w:line="270"/>
      </w:pPr>
      <w:r>
        <w:rPr>
          <w:rFonts w:ascii="Calibri" w:cs="Calibri" w:eastAsia="Calibri" w:hAnsi="Calibri"/>
          <w:b/>
          <w:bCs/>
        </w:rPr>
        <w:t xml:space="preserve">Strict qualification. </w:t>
      </w:r>
      <w:r>
        <w:rPr>
          <w:rFonts w:ascii="Calibri" w:cs="Calibri" w:eastAsia="Calibri" w:hAnsi="Calibri"/>
        </w:rPr>
        <w:t xml:space="preserve">A project is Qualified only if it passes its range test (price or area) and reaches a minimum score: 45% when the rate is known, 40% when only area is known.</w:t>
      </w:r>
    </w:p>
    <w:p>
      <w:pPr>
        <w:pStyle w:val="ListParagraph"/>
        <w:numPr>
          <w:ilvl w:val="0"/>
          <w:numId w:val="2"/>
        </w:numPr>
        <w:spacing w:after="70" w:line="270"/>
      </w:pPr>
      <w:r>
        <w:rPr>
          <w:rFonts w:ascii="Calibri" w:cs="Calibri" w:eastAsia="Calibri" w:hAnsi="Calibri"/>
          <w:b/>
          <w:bCs/>
        </w:rPr>
        <w:t xml:space="preserve">Five status labels. </w:t>
      </w:r>
      <w:r>
        <w:rPr>
          <w:rFonts w:ascii="Calibri" w:cs="Calibri" w:eastAsia="Calibri" w:hAnsi="Calibri"/>
        </w:rPr>
        <w:t xml:space="preserve">Qualified Match, Price Out of Range, Area Out of Range, Incomplete Specs, Insufficient Data (see Section 7).</w:t>
      </w:r>
    </w:p>
    <w:p>
      <w:pPr>
        <w:pStyle w:val="ListParagraph"/>
        <w:numPr>
          <w:ilvl w:val="0"/>
          <w:numId w:val="2"/>
        </w:numPr>
        <w:spacing w:after="70" w:line="270"/>
      </w:pPr>
      <w:r>
        <w:rPr>
          <w:rFonts w:ascii="Calibri" w:cs="Calibri" w:eastAsia="Calibri" w:hAnsi="Calibri"/>
          <w:b/>
          <w:bCs/>
        </w:rPr>
        <w:t xml:space="preserve">Sanity limits. </w:t>
      </w:r>
      <w:r>
        <w:rPr>
          <w:rFonts w:ascii="Calibri" w:cs="Calibri" w:eastAsia="Calibri" w:hAnsi="Calibri"/>
        </w:rPr>
        <w:t xml:space="preserve">Rates outside ₹2,500 to ₹1,50,000 per sq ft and areas outside 350 to 3,500 sq ft are discarded as outliers.</w:t>
      </w:r>
    </w:p>
    <w:p>
      <w:pPr>
        <w:spacing w:after="80"/>
      </w:pPr>
    </w:p>
    <w:p>
      <w:pPr>
        <w:pStyle w:val="Heading1"/>
        <w:spacing w:after="140" w:before="320"/>
      </w:pPr>
      <w:r>
        <w:rPr>
          <w:rFonts w:ascii="Calibri" w:cs="Calibri" w:eastAsia="Calibri" w:hAnsi="Calibri"/>
          <w:b/>
          <w:bCs/>
          <w:color w:val="1F3A5F"/>
          <w:sz w:val="32"/>
          <w:szCs w:val="32"/>
        </w:rPr>
        <w:t xml:space="preserve">3. How the Tool Works, Step by Step</w:t>
      </w:r>
    </w:p>
    <w:p>
      <w:pPr>
        <w:pStyle w:val="ListParagraph"/>
        <w:numPr>
          <w:ilvl w:val="0"/>
          <w:numId w:val="3"/>
        </w:numPr>
        <w:spacing w:after="70" w:line="270"/>
      </w:pPr>
      <w:r>
        <w:rPr>
          <w:rFonts w:ascii="Calibri" w:cs="Calibri" w:eastAsia="Calibri" w:hAnsi="Calibri"/>
          <w:b/>
          <w:bCs/>
        </w:rPr>
        <w:t xml:space="preserve">Locate the subject property. </w:t>
      </w:r>
      <w:r>
        <w:rPr>
          <w:rFonts w:ascii="Calibri" w:cs="Calibri" w:eastAsia="Calibri" w:hAnsi="Calibri"/>
        </w:rPr>
        <w:t xml:space="preserve">You enter a project name or map coordinates. The tool finds its exact location (Google Places / Nominatim) and the city it belongs to.</w:t>
      </w:r>
    </w:p>
    <w:p>
      <w:pPr>
        <w:pStyle w:val="ListParagraph"/>
        <w:numPr>
          <w:ilvl w:val="0"/>
          <w:numId w:val="3"/>
        </w:numPr>
        <w:spacing w:after="70" w:line="270"/>
      </w:pPr>
      <w:r>
        <w:rPr>
          <w:rFonts w:ascii="Calibri" w:cs="Calibri" w:eastAsia="Calibri" w:hAnsi="Calibri"/>
          <w:b/>
          <w:bCs/>
        </w:rPr>
        <w:t xml:space="preserve">Learn about the subject property. </w:t>
      </w:r>
      <w:r>
        <w:rPr>
          <w:rFonts w:ascii="Calibri" w:cs="Calibri" w:eastAsia="Calibri" w:hAnsi="Calibri"/>
        </w:rPr>
        <w:t xml:space="preserve">It searches the web for the project's price per square foot, apartment size, unit types, developer and construction status. This becomes the yardstick for everything else.</w:t>
      </w:r>
    </w:p>
    <w:p>
      <w:pPr>
        <w:pStyle w:val="ListParagraph"/>
        <w:numPr>
          <w:ilvl w:val="0"/>
          <w:numId w:val="3"/>
        </w:numPr>
        <w:spacing w:after="70" w:line="270"/>
      </w:pPr>
      <w:r>
        <w:rPr>
          <w:rFonts w:ascii="Calibri" w:cs="Calibri" w:eastAsia="Calibri" w:hAnsi="Calibri"/>
          <w:b/>
          <w:bCs/>
        </w:rPr>
        <w:t xml:space="preserve">Find nearby candidates. </w:t>
      </w:r>
      <w:r>
        <w:rPr>
          <w:rFonts w:ascii="Calibri" w:cs="Calibri" w:eastAsia="Calibri" w:hAnsi="Calibri"/>
        </w:rPr>
        <w:t xml:space="preserve">Using Google Places nearby search and several text searches, it collects residential projects around the subject property.</w:t>
      </w:r>
    </w:p>
    <w:p>
      <w:pPr>
        <w:pStyle w:val="ListParagraph"/>
        <w:numPr>
          <w:ilvl w:val="0"/>
          <w:numId w:val="3"/>
        </w:numPr>
        <w:spacing w:after="70" w:line="270"/>
      </w:pPr>
      <w:r>
        <w:rPr>
          <w:rFonts w:ascii="Calibri" w:cs="Calibri" w:eastAsia="Calibri" w:hAnsi="Calibri"/>
          <w:b/>
          <w:bCs/>
        </w:rPr>
        <w:t xml:space="preserve">Remove the noise. </w:t>
      </w:r>
      <w:r>
        <w:rPr>
          <w:rFonts w:ascii="Calibri" w:cs="Calibri" w:eastAsia="Calibri" w:hAnsi="Calibri"/>
        </w:rPr>
        <w:t xml:space="preserve">Industrial sites, commercial buildings, hotels and offices are dropped. Duplicates (for example, separate towers of one society) are merged into one entry.</w:t>
      </w:r>
    </w:p>
    <w:p>
      <w:pPr>
        <w:pStyle w:val="ListParagraph"/>
        <w:numPr>
          <w:ilvl w:val="0"/>
          <w:numId w:val="3"/>
        </w:numPr>
        <w:spacing w:after="70" w:line="270"/>
      </w:pPr>
      <w:r>
        <w:rPr>
          <w:rFonts w:ascii="Calibri" w:cs="Calibri" w:eastAsia="Calibri" w:hAnsi="Calibri"/>
          <w:b/>
          <w:bCs/>
        </w:rPr>
        <w:t xml:space="preserve">Research each candidate. </w:t>
      </w:r>
      <w:r>
        <w:rPr>
          <w:rFonts w:ascii="Calibri" w:cs="Calibri" w:eastAsia="Calibri" w:hAnsi="Calibri"/>
        </w:rPr>
        <w:t xml:space="preserve">For every remaining project, it searches the web in order of preference: first DuckDuckGo, then Tavily, then OpenAI web search.</w:t>
      </w:r>
    </w:p>
    <w:p>
      <w:pPr>
        <w:pStyle w:val="ListParagraph"/>
        <w:numPr>
          <w:ilvl w:val="0"/>
          <w:numId w:val="3"/>
        </w:numPr>
        <w:spacing w:after="70" w:line="270"/>
      </w:pPr>
      <w:r>
        <w:rPr>
          <w:rFonts w:ascii="Calibri" w:cs="Calibri" w:eastAsia="Calibri" w:hAnsi="Calibri"/>
          <w:b/>
          <w:bCs/>
        </w:rPr>
        <w:t xml:space="preserve">Pull out the facts. </w:t>
      </w:r>
      <w:r>
        <w:rPr>
          <w:rFonts w:ascii="Calibri" w:cs="Calibri" w:eastAsia="Calibri" w:hAnsi="Calibri"/>
        </w:rPr>
        <w:t xml:space="preserve">A text reader extracts rate, ticket price, apartment size, unit types, developer tier and status.</w:t>
      </w:r>
    </w:p>
    <w:p>
      <w:pPr>
        <w:pStyle w:val="ListParagraph"/>
        <w:numPr>
          <w:ilvl w:val="0"/>
          <w:numId w:val="3"/>
        </w:numPr>
        <w:spacing w:after="70" w:line="270"/>
      </w:pPr>
      <w:r>
        <w:rPr>
          <w:rFonts w:ascii="Calibri" w:cs="Calibri" w:eastAsia="Calibri" w:hAnsi="Calibri"/>
          <w:b/>
          <w:bCs/>
        </w:rPr>
        <w:t xml:space="preserve">Score each project. </w:t>
      </w:r>
      <w:r>
        <w:rPr>
          <w:rFonts w:ascii="Calibri" w:cs="Calibri" w:eastAsia="Calibri" w:hAnsi="Calibri"/>
        </w:rPr>
        <w:t xml:space="preserve">Each candidate is compared with the subject property on seven factors and given an overall match percentage.</w:t>
      </w:r>
    </w:p>
    <w:p>
      <w:pPr>
        <w:pStyle w:val="ListParagraph"/>
        <w:numPr>
          <w:ilvl w:val="0"/>
          <w:numId w:val="3"/>
        </w:numPr>
        <w:spacing w:after="70" w:line="270"/>
      </w:pPr>
      <w:r>
        <w:rPr>
          <w:rFonts w:ascii="Calibri" w:cs="Calibri" w:eastAsia="Calibri" w:hAnsi="Calibri"/>
          <w:b/>
          <w:bCs/>
        </w:rPr>
        <w:t xml:space="preserve">Summarise the market. </w:t>
      </w:r>
      <w:r>
        <w:rPr>
          <w:rFonts w:ascii="Calibri" w:cs="Calibri" w:eastAsia="Calibri" w:hAnsi="Calibri"/>
        </w:rPr>
        <w:t xml:space="preserve">The tool shows the median rate and the spread of rates across all verified comparables.</w:t>
      </w:r>
    </w:p>
    <w:p>
      <w:pPr>
        <w:pStyle w:val="Heading1"/>
        <w:spacing w:after="140" w:before="320"/>
      </w:pPr>
      <w:r>
        <w:rPr>
          <w:rFonts w:ascii="Calibri" w:cs="Calibri" w:eastAsia="Calibri" w:hAnsi="Calibri"/>
          <w:b/>
          <w:bCs/>
          <w:color w:val="1F3A5F"/>
          <w:sz w:val="32"/>
          <w:szCs w:val="32"/>
        </w:rPr>
        <w:t xml:space="preserve">4. Setting Up the Subject Property Baseline</w:t>
      </w:r>
    </w:p>
    <w:p>
      <w:pPr>
        <w:spacing w:after="120" w:line="276"/>
      </w:pPr>
      <w:r>
        <w:rPr>
          <w:rFonts w:ascii="Calibri" w:cs="Calibri" w:eastAsia="Calibri" w:hAnsi="Calibri"/>
        </w:rPr>
        <w:t xml:space="preserve">Before any comparison can happen, the tool builds a reference point for the subject property:</w:t>
      </w:r>
    </w:p>
    <w:p>
      <w:pPr>
        <w:pStyle w:val="ListParagraph"/>
        <w:numPr>
          <w:ilvl w:val="0"/>
          <w:numId w:val="2"/>
        </w:numPr>
        <w:spacing w:after="70" w:line="270"/>
      </w:pPr>
      <w:r>
        <w:rPr>
          <w:rFonts w:ascii="Calibri" w:cs="Calibri" w:eastAsia="Calibri" w:hAnsi="Calibri"/>
          <w:b/>
          <w:bCs/>
        </w:rPr>
        <w:t xml:space="preserve">Location: </w:t>
      </w:r>
      <w:r>
        <w:rPr>
          <w:rFonts w:ascii="Calibri" w:cs="Calibri" w:eastAsia="Calibri" w:hAnsi="Calibri"/>
        </w:rPr>
        <w:t xml:space="preserve">the project is geocoded (turned into map coordinates and a verified address) and the city is standardised against a verified list of metropolitan markets.</w:t>
      </w:r>
    </w:p>
    <w:p>
      <w:pPr>
        <w:pStyle w:val="ListParagraph"/>
        <w:numPr>
          <w:ilvl w:val="0"/>
          <w:numId w:val="2"/>
        </w:numPr>
        <w:spacing w:after="70" w:line="270"/>
      </w:pPr>
      <w:r>
        <w:rPr>
          <w:rFonts w:ascii="Calibri" w:cs="Calibri" w:eastAsia="Calibri" w:hAnsi="Calibri"/>
          <w:b/>
          <w:bCs/>
        </w:rPr>
        <w:t xml:space="preserve">Web research: </w:t>
      </w:r>
      <w:r>
        <w:rPr>
          <w:rFonts w:ascii="Calibri" w:cs="Calibri" w:eastAsia="Calibri" w:hAnsi="Calibri"/>
        </w:rPr>
        <w:t xml:space="preserve">a search is sent in the form: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2" w:sz="4"/>
              <w:left w:val="single" w:color="1F3A5F" w:sz="18"/>
              <w:bottom w:val="single" w:color="B8C4D2" w:sz="4"/>
              <w:right w:val="single" w:color="B8C4D2" w:sz="4"/>
            </w:tcBorders>
            <w:shd w:fill="EEF2F7" w:color="auto" w:val="clear"/>
            <w:tcMar>
              <w:top w:type="dxa" w:w="90"/>
              <w:left w:type="dxa" w:w="160"/>
              <w:bottom w:type="dxa" w:w="90"/>
              <w:right w:type="dxa" w:w="160"/>
            </w:tcMar>
          </w:tcPr>
          <w:p>
            <w:pPr>
              <w:spacing w:after="30"/>
            </w:pPr>
            <w:r>
              <w:rPr>
                <w:rFonts w:ascii="Consolas" w:cs="Consolas" w:eastAsia="Consolas" w:hAnsi="Consolas"/>
                <w:color w:val="1B2A41"/>
                <w:sz w:val="19"/>
                <w:szCs w:val="19"/>
              </w:rPr>
              <w:t xml:space="preserve">"{project_name} {city} apartments flat price per sq ft carpet area builder possession"</w:t>
            </w:r>
          </w:p>
        </w:tc>
      </w:tr>
    </w:tbl>
    <w:p>
      <w:pPr>
        <w:spacing w:after="120" w:line="276"/>
      </w:pPr>
      <w:r>
        <w:rPr>
          <w:rFonts w:ascii="Calibri" w:cs="Calibri" w:eastAsia="Calibri" w:hAnsi="Calibri"/>
        </w:rPr>
        <w:t xml:space="preserve">From genuine web sources, the tool extracts the benchmark rate (R_src), carpet area (A_src), main unit type, developer tier and construction status.</w:t>
      </w:r>
    </w:p>
    <w:p>
      <w:pPr>
        <w:spacing w:after="120" w:line="276"/>
      </w:pPr>
      <w:r>
        <w:rPr>
          <w:rFonts w:ascii="Calibri" w:cs="Calibri" w:eastAsia="Calibri" w:hAnsi="Calibri"/>
        </w:rPr>
        <w:t xml:space="preserve">Two comfort zones are then set around these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2" w:sz="4"/>
              <w:left w:val="single" w:color="1F3A5F" w:sz="18"/>
              <w:bottom w:val="single" w:color="B8C4D2" w:sz="4"/>
              <w:right w:val="single" w:color="B8C4D2" w:sz="4"/>
            </w:tcBorders>
            <w:shd w:fill="EEF2F7" w:color="auto" w:val="clear"/>
            <w:tcMar>
              <w:top w:type="dxa" w:w="90"/>
              <w:left w:type="dxa" w:w="160"/>
              <w:bottom w:type="dxa" w:w="90"/>
              <w:right w:type="dxa" w:w="160"/>
            </w:tcMar>
          </w:tcPr>
          <w:p>
            <w:pPr>
              <w:spacing w:after="30"/>
            </w:pPr>
            <w:r>
              <w:rPr>
                <w:rFonts w:ascii="Consolas" w:cs="Consolas" w:eastAsia="Consolas" w:hAnsi="Consolas"/>
                <w:color w:val="1B2A41"/>
                <w:sz w:val="19"/>
                <w:szCs w:val="19"/>
              </w:rPr>
              <w:t xml:space="preserve">Allowable price range (80% – 120%)</w:t>
            </w:r>
          </w:p>
          <w:p>
            <w:pPr>
              <w:spacing w:after="30"/>
            </w:pPr>
            <w:r>
              <w:rPr>
                <w:rFonts w:ascii="Consolas" w:cs="Consolas" w:eastAsia="Consolas" w:hAnsi="Consolas"/>
                <w:color w:val="1B2A41"/>
                <w:sz w:val="19"/>
                <w:szCs w:val="19"/>
              </w:rPr>
              <w:t xml:space="preserve">  Min Rate = R_src × 0.80</w:t>
            </w:r>
          </w:p>
          <w:p>
            <w:pPr>
              <w:spacing w:after="30"/>
            </w:pPr>
            <w:r>
              <w:rPr>
                <w:rFonts w:ascii="Consolas" w:cs="Consolas" w:eastAsia="Consolas" w:hAnsi="Consolas"/>
                <w:color w:val="1B2A41"/>
                <w:sz w:val="19"/>
                <w:szCs w:val="19"/>
              </w:rPr>
              <w:t xml:space="preserve">  Max Rate = R_src × 1.20</w:t>
            </w:r>
          </w:p>
          <w:p>
            <w:pPr>
              <w:spacing w:after="30"/>
            </w:pPr>
            <w:r>
              <w:rPr>
                <w:rFonts w:ascii="Consolas" w:cs="Consolas" w:eastAsia="Consolas" w:hAnsi="Consolas"/>
                <w:color w:val="1B2A41"/>
                <w:sz w:val="19"/>
                <w:szCs w:val="19"/>
              </w:rPr>
              <w:t xml:space="preserve"/>
            </w:r>
          </w:p>
          <w:p>
            <w:pPr>
              <w:spacing w:after="30"/>
            </w:pPr>
            <w:r>
              <w:rPr>
                <w:rFonts w:ascii="Consolas" w:cs="Consolas" w:eastAsia="Consolas" w:hAnsi="Consolas"/>
                <w:color w:val="1B2A41"/>
                <w:sz w:val="19"/>
                <w:szCs w:val="19"/>
              </w:rPr>
              <w:t xml:space="preserve">Allowable carpet area range (±15%)</w:t>
            </w:r>
          </w:p>
          <w:p>
            <w:pPr>
              <w:spacing w:after="30"/>
            </w:pPr>
            <w:r>
              <w:rPr>
                <w:rFonts w:ascii="Consolas" w:cs="Consolas" w:eastAsia="Consolas" w:hAnsi="Consolas"/>
                <w:color w:val="1B2A41"/>
                <w:sz w:val="19"/>
                <w:szCs w:val="19"/>
              </w:rPr>
              <w:t xml:space="preserve">  Min Area = A_src × (1 − tolerance) = A_src × 0.85</w:t>
            </w:r>
          </w:p>
          <w:p>
            <w:pPr>
              <w:spacing w:after="30"/>
            </w:pPr>
            <w:r>
              <w:rPr>
                <w:rFonts w:ascii="Consolas" w:cs="Consolas" w:eastAsia="Consolas" w:hAnsi="Consolas"/>
                <w:color w:val="1B2A41"/>
                <w:sz w:val="19"/>
                <w:szCs w:val="19"/>
              </w:rPr>
              <w:t xml:space="preserve">  Max Area = A_src × (1 + tolerance) = A_src × 1.15</w:t>
            </w:r>
          </w:p>
        </w:tc>
      </w:tr>
    </w:tbl>
    <w:p>
      <w:pPr>
        <w:spacing w:after="80"/>
      </w:pPr>
    </w:p>
    <w:p>
      <w:pPr>
        <w:spacing w:after="120" w:line="276"/>
      </w:pPr>
      <w:r>
        <w:rPr>
          <w:rFonts w:ascii="Calibri" w:cs="Calibri" w:eastAsia="Calibri" w:hAnsi="Calibri"/>
          <w:b/>
          <w:bCs/>
        </w:rPr>
        <w:t xml:space="preserve">Example: </w:t>
      </w:r>
      <w:r>
        <w:rPr>
          <w:rFonts w:ascii="Calibri" w:cs="Calibri" w:eastAsia="Calibri" w:hAnsi="Calibri"/>
        </w:rPr>
        <w:t xml:space="preserve">if the subject is at ₹10,000 per sq ft, the price range is ₹8,000 to ₹12,000. If its carpet area is 1,000 sq ft, the area range is 850 to 1,150 sq ft. Carpet area means the usable floor space inside the apartment walls, excluding walls, balconies and common areas.</w:t>
      </w:r>
    </w:p>
    <w:p>
      <w:pPr>
        <w:pStyle w:val="Heading1"/>
        <w:spacing w:after="140" w:before="320"/>
      </w:pPr>
      <w:r>
        <w:rPr>
          <w:rFonts w:ascii="Calibri" w:cs="Calibri" w:eastAsia="Calibri" w:hAnsi="Calibri"/>
          <w:b/>
          <w:bCs/>
          <w:color w:val="1F3A5F"/>
          <w:sz w:val="32"/>
          <w:szCs w:val="32"/>
        </w:rPr>
        <w:t xml:space="preserve">5. Column-by-Column Guide</w:t>
      </w:r>
    </w:p>
    <w:p>
      <w:pPr>
        <w:spacing w:after="120" w:line="276"/>
      </w:pPr>
      <w:r>
        <w:rPr>
          <w:rFonts w:ascii="Calibri" w:cs="Calibri" w:eastAsia="Calibri" w:hAnsi="Calibri"/>
        </w:rPr>
        <w:t xml:space="preserve">The directory has 22 columns, grouped below by theme. Many come in pairs: a value and an Evidence column showing the original text from the web page so you can verify the number. Grey boxes inside the tables show the exact formulas or patterns used.</w:t>
      </w:r>
    </w:p>
    <w:p>
      <w:pPr>
        <w:pStyle w:val="Heading2"/>
        <w:spacing w:after="100" w:before="220"/>
      </w:pPr>
      <w:r>
        <w:rPr>
          <w:rFonts w:ascii="Calibri" w:cs="Calibri" w:eastAsia="Calibri" w:hAnsi="Calibri"/>
          <w:b/>
          <w:bCs/>
          <w:color w:val="1F3A5F"/>
          <w:sz w:val="26"/>
          <w:szCs w:val="26"/>
        </w:rPr>
        <w:t xml:space="preserve">5.1 Basic Identification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4538"/>
      </w:tblGrid>
      <w:tr>
        <w:trPr>
          <w:tblHeader/>
        </w:trPr>
        <w:tc>
          <w:tcPr>
            <w:tcW w:type="dxa" w:w="20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Column</w:t>
            </w:r>
          </w:p>
        </w:tc>
        <w:tc>
          <w:tcPr>
            <w:tcW w:type="dxa" w:w="31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What it tells you</w:t>
            </w:r>
          </w:p>
        </w:tc>
        <w:tc>
          <w:tcPr>
            <w:tcW w:type="dxa" w:w="4538"/>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How it is worked out</w:t>
            </w:r>
          </w:p>
        </w:tc>
      </w:tr>
      <w:tr>
        <w:trPr>
          <w:cantSplit/>
        </w:trPr>
        <w:tc>
          <w:tcPr>
            <w:tcW w:type="dxa" w:w="2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1. Name</w:t>
            </w:r>
          </w:p>
        </w:tc>
        <w:tc>
          <w:tcPr>
            <w:tcW w:type="dxa" w:w="31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project's name, e.g. Gokulam by Sarvome or Vasant Valley.</w:t>
            </w:r>
          </w:p>
        </w:tc>
        <w:tc>
          <w:tcPr>
            <w:tcW w:type="dxa" w:w="45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Taken from the Google Places name and tidied by clean_project_name(): marketing taglines, city suffixes (such as ", Pune" or "- Mumbai") and branch labels are removed, and towers are merged under the parent society.</w:t>
            </w:r>
          </w:p>
        </w:tc>
      </w:tr>
      <w:tr>
        <w:trPr>
          <w:cantSplit/>
        </w:trPr>
        <w:tc>
          <w:tcPr>
            <w:tcW w:type="dxa" w:w="20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2. Distance (km)</w:t>
            </w:r>
          </w:p>
        </w:tc>
        <w:tc>
          <w:tcPr>
            <w:tcW w:type="dxa" w:w="31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Straight-line distance from the subject property, e.g. 0.79 km.</w:t>
            </w:r>
          </w:p>
        </w:tc>
        <w:tc>
          <w:tcPr>
            <w:tcW w:type="dxa" w:w="45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Haversine formula, which accounts for the curve of the Earth:</w:t>
            </w:r>
          </w:p>
          <w:p>
            <w:pPr>
              <w:shd w:fill="EEF2F7" w:color="auto" w:val="clear"/>
              <w:spacing w:after="40"/>
            </w:pPr>
            <w:r>
              <w:rPr>
                <w:rFonts w:ascii="Consolas" w:cs="Consolas" w:eastAsia="Consolas" w:hAnsi="Consolas"/>
                <w:color w:val="1B2A41"/>
                <w:sz w:val="19"/>
                <w:szCs w:val="19"/>
              </w:rPr>
              <w:t xml:space="preserve">d = 2R · arcsin( √( sin²(Δφ/2) + cos φ₁ · cos φ₂ · sin²(Δλ/2) ) )</w:t>
            </w:r>
          </w:p>
          <w:p>
            <w:pPr>
              <w:spacing w:after="40"/>
            </w:pPr>
            <w:r>
              <w:rPr>
                <w:rFonts w:ascii="Calibri" w:cs="Calibri" w:eastAsia="Calibri" w:hAnsi="Calibri"/>
                <w:b w:val="false"/>
                <w:bCs w:val="false"/>
                <w:sz w:val="20"/>
                <w:szCs w:val="20"/>
              </w:rPr>
              <w:t xml:space="preserve">R = 6,371.0 km (mean radius of Earth), Δφ = φ₂ − φ₁, Δλ = λ₂ − λ₁. Shown to two decimals.</w:t>
            </w:r>
          </w:p>
        </w:tc>
      </w:tr>
    </w:tbl>
    <w:p>
      <w:pPr>
        <w:pStyle w:val="Heading2"/>
        <w:spacing w:after="100" w:before="220"/>
      </w:pPr>
      <w:r>
        <w:rPr>
          <w:rFonts w:ascii="Calibri" w:cs="Calibri" w:eastAsia="Calibri" w:hAnsi="Calibri"/>
          <w:b/>
          <w:bCs/>
          <w:color w:val="1F3A5F"/>
          <w:sz w:val="26"/>
          <w:szCs w:val="26"/>
        </w:rPr>
        <w:t xml:space="preserve">5.2 Price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4538"/>
      </w:tblGrid>
      <w:tr>
        <w:trPr>
          <w:tblHeader/>
        </w:trPr>
        <w:tc>
          <w:tcPr>
            <w:tcW w:type="dxa" w:w="20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Column</w:t>
            </w:r>
          </w:p>
        </w:tc>
        <w:tc>
          <w:tcPr>
            <w:tcW w:type="dxa" w:w="31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What it tells you</w:t>
            </w:r>
          </w:p>
        </w:tc>
        <w:tc>
          <w:tcPr>
            <w:tcW w:type="dxa" w:w="4538"/>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How it is worked out</w:t>
            </w:r>
          </w:p>
        </w:tc>
      </w:tr>
      <w:tr>
        <w:trPr>
          <w:cantSplit/>
        </w:trPr>
        <w:tc>
          <w:tcPr>
            <w:tcW w:type="dxa" w:w="2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3. Verified Rate (₹/sqft)</w:t>
            </w:r>
          </w:p>
        </w:tc>
        <w:tc>
          <w:tcPr>
            <w:tcW w:type="dxa" w:w="31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Price per square foot, e.g. ₹ 4,039, or "Rate Unlisted" if no public source states it.</w:t>
            </w:r>
          </w:p>
        </w:tc>
        <w:tc>
          <w:tcPr>
            <w:tcW w:type="dxa" w:w="45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Strict zero-imputation: never fabricated, guessed or cluster-imputed. Found by three methods, in priority order:</w:t>
            </w:r>
          </w:p>
          <w:p>
            <w:pPr>
              <w:spacing w:after="40"/>
            </w:pPr>
            <w:r>
              <w:rPr>
                <w:rFonts w:ascii="Calibri" w:cs="Calibri" w:eastAsia="Calibri" w:hAnsi="Calibri"/>
                <w:b w:val="false"/>
                <w:bCs w:val="false"/>
                <w:sz w:val="20"/>
                <w:szCs w:val="20"/>
              </w:rPr>
              <w:t xml:space="preserve">A) Prefix rate, where the label comes first:</w:t>
            </w:r>
          </w:p>
          <w:p>
            <w:pPr>
              <w:shd w:fill="EEF2F7" w:color="auto" w:val="clear"/>
              <w:spacing w:after="40"/>
            </w:pPr>
            <w:r>
              <w:rPr>
                <w:rFonts w:ascii="Consolas" w:cs="Consolas" w:eastAsia="Consolas" w:hAnsi="Consolas"/>
                <w:color w:val="1B2A41"/>
                <w:sz w:val="19"/>
                <w:szCs w:val="19"/>
              </w:rPr>
              <w:t xml:space="preserve">/(?:price|rate)\s*(?:per|/)?\s*(?:sq\.?ft|sqft)[^:]*?:\s*(?:₹|Rs\.?)?\s*([0-9,]+)(?:\s*to\s*([0-9,]+))?/i</w:t>
            </w:r>
          </w:p>
          <w:p>
            <w:pPr>
              <w:spacing w:after="40"/>
            </w:pPr>
            <w:r>
              <w:rPr>
                <w:rFonts w:ascii="Calibri" w:cs="Calibri" w:eastAsia="Calibri" w:hAnsi="Calibri"/>
                <w:b w:val="false"/>
                <w:bCs w:val="false"/>
                <w:sz w:val="20"/>
                <w:szCs w:val="20"/>
              </w:rPr>
              <w:t xml:space="preserve">If a range (V1, V2) is given: Rate = (V1 + V2) / 2.</w:t>
            </w:r>
          </w:p>
          <w:p>
            <w:pPr>
              <w:spacing w:after="40"/>
            </w:pPr>
            <w:r>
              <w:rPr>
                <w:rFonts w:ascii="Calibri" w:cs="Calibri" w:eastAsia="Calibri" w:hAnsi="Calibri"/>
                <w:b w:val="false"/>
                <w:bCs w:val="false"/>
                <w:sz w:val="20"/>
                <w:szCs w:val="20"/>
              </w:rPr>
              <w:t xml:space="preserve">B) Standard per-sqft figure: INR X / sq.ft.</w:t>
            </w:r>
          </w:p>
          <w:p>
            <w:pPr>
              <w:spacing w:after="40"/>
            </w:pPr>
            <w:r>
              <w:rPr>
                <w:rFonts w:ascii="Calibri" w:cs="Calibri" w:eastAsia="Calibri" w:hAnsi="Calibri"/>
                <w:b w:val="false"/>
                <w:bCs w:val="false"/>
                <w:sz w:val="20"/>
                <w:szCs w:val="20"/>
              </w:rPr>
              <w:t xml:space="preserve">C) Ticket-size conversion, when only a total price (e.g. ₹75.61 L, ₹1.25 Cr) and carpet area A are known:</w:t>
            </w:r>
          </w:p>
          <w:p>
            <w:pPr>
              <w:shd w:fill="EEF2F7" w:color="auto" w:val="clear"/>
              <w:spacing w:after="40"/>
            </w:pPr>
            <w:r>
              <w:rPr>
                <w:rFonts w:ascii="Consolas" w:cs="Consolas" w:eastAsia="Consolas" w:hAnsi="Consolas"/>
                <w:color w:val="1B2A41"/>
                <w:sz w:val="19"/>
                <w:szCs w:val="19"/>
              </w:rPr>
              <w:t xml:space="preserve">Rate = round( Total INR Ticket / A , 0 )</w:t>
            </w:r>
          </w:p>
          <w:p>
            <w:pPr>
              <w:spacing w:after="40"/>
            </w:pPr>
            <w:r>
              <w:rPr>
                <w:rFonts w:ascii="Calibri" w:cs="Calibri" w:eastAsia="Calibri" w:hAnsi="Calibri"/>
                <w:b w:val="false"/>
                <w:bCs w:val="false"/>
                <w:sz w:val="20"/>
                <w:szCs w:val="20"/>
              </w:rPr>
              <w:t xml:space="preserve">Valid range: 2,500 ≤ Rate ≤ 150,000 ₹/sqft. Anything outside is discarded as a rental or commercial outlier.</w:t>
            </w:r>
          </w:p>
        </w:tc>
      </w:tr>
      <w:tr>
        <w:trPr>
          <w:cantSplit/>
        </w:trPr>
        <w:tc>
          <w:tcPr>
            <w:tcW w:type="dxa" w:w="20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4. In 80%–120% Range?</w:t>
            </w:r>
          </w:p>
        </w:tc>
        <w:tc>
          <w:tcPr>
            <w:tcW w:type="dxa" w:w="31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Whether the comparable's rate is close to the subject's rate.</w:t>
            </w:r>
          </w:p>
        </w:tc>
        <w:tc>
          <w:tcPr>
            <w:tcW w:type="dxa" w:w="45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hd w:fill="EEF2F7" w:color="auto" w:val="clear"/>
              <w:spacing w:after="40"/>
            </w:pPr>
            <w:r>
              <w:rPr>
                <w:rFonts w:ascii="Consolas" w:cs="Consolas" w:eastAsia="Consolas" w:hAnsi="Consolas"/>
                <w:color w:val="1B2A41"/>
                <w:sz w:val="19"/>
                <w:szCs w:val="19"/>
              </w:rPr>
              <w:t xml:space="preserve">ΔP = (R_comp − R_src) / R_src × 100%</w:t>
            </w:r>
          </w:p>
          <w:p>
            <w:pPr>
              <w:spacing w:after="40"/>
            </w:pPr>
            <w:r>
              <w:rPr>
                <w:rFonts w:ascii="Calibri" w:cs="Calibri" w:eastAsia="Calibri" w:hAnsi="Calibri"/>
                <w:b w:val="false"/>
                <w:bCs w:val="false"/>
                <w:sz w:val="20"/>
                <w:szCs w:val="20"/>
              </w:rPr>
              <w:t xml:space="preserve">🏢 Physical Match (Rate Unlisted): R_comp is missing.</w:t>
            </w:r>
          </w:p>
          <w:p>
            <w:pPr>
              <w:spacing w:after="40"/>
            </w:pPr>
            <w:r>
              <w:rPr>
                <w:rFonts w:ascii="Calibri" w:cs="Calibri" w:eastAsia="Calibri" w:hAnsi="Calibri"/>
                <w:b w:val="false"/>
                <w:bCs w:val="false"/>
                <w:sz w:val="20"/>
                <w:szCs w:val="20"/>
              </w:rPr>
              <w:t xml:space="preserve">✅ In 80%–120% Range: 0.80 × R_src ≤ R_comp ≤ 1.20 × R_src.</w:t>
            </w:r>
          </w:p>
          <w:p>
            <w:pPr>
              <w:spacing w:after="40"/>
            </w:pPr>
            <w:r>
              <w:rPr>
                <w:rFonts w:ascii="Calibri" w:cs="Calibri" w:eastAsia="Calibri" w:hAnsi="Calibri"/>
                <w:b w:val="false"/>
                <w:bCs w:val="false"/>
                <w:sz w:val="20"/>
                <w:szCs w:val="20"/>
              </w:rPr>
              <w:t xml:space="preserve">💎 Premium (+ΔP%): R_comp &gt; 1.20 × R_src.</w:t>
            </w:r>
          </w:p>
          <w:p>
            <w:pPr>
              <w:spacing w:after="40"/>
            </w:pPr>
            <w:r>
              <w:rPr>
                <w:rFonts w:ascii="Calibri" w:cs="Calibri" w:eastAsia="Calibri" w:hAnsi="Calibri"/>
                <w:b w:val="false"/>
                <w:bCs w:val="false"/>
                <w:sz w:val="20"/>
                <w:szCs w:val="20"/>
              </w:rPr>
              <w:t xml:space="preserve">🏷️ Value (−ΔP%): R_comp &lt; 0.80 × R_src.</w:t>
            </w:r>
          </w:p>
        </w:tc>
      </w:tr>
      <w:tr>
        <w:trPr>
          <w:cantSplit/>
        </w:trPr>
        <w:tc>
          <w:tcPr>
            <w:tcW w:type="dxa" w:w="2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5. Price Evidence</w:t>
            </w:r>
          </w:p>
        </w:tc>
        <w:tc>
          <w:tcPr>
            <w:tcW w:type="dxa" w:w="31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Proof for the rate: the original wording from the web page.</w:t>
            </w:r>
          </w:p>
        </w:tc>
        <w:tc>
          <w:tcPr>
            <w:tcW w:type="dxa" w:w="45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 120-character window around the matched price, copied unchanged, e.g. Portal snippet: "...Price starts from ₹75.61 L... (Total ₹75.61 L / 1872 sq.ft)". Shows — (em-dash) if unlisted.</w:t>
            </w:r>
          </w:p>
        </w:tc>
      </w:tr>
    </w:tbl>
    <w:p>
      <w:pPr>
        <w:pStyle w:val="Heading2"/>
        <w:spacing w:after="100" w:before="220"/>
      </w:pPr>
      <w:r>
        <w:rPr>
          <w:rFonts w:ascii="Calibri" w:cs="Calibri" w:eastAsia="Calibri" w:hAnsi="Calibri"/>
          <w:b/>
          <w:bCs/>
          <w:color w:val="1F3A5F"/>
          <w:sz w:val="26"/>
          <w:szCs w:val="26"/>
        </w:rPr>
        <w:t xml:space="preserve">5.3 Apartment Size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4538"/>
      </w:tblGrid>
      <w:tr>
        <w:trPr>
          <w:tblHeader/>
        </w:trPr>
        <w:tc>
          <w:tcPr>
            <w:tcW w:type="dxa" w:w="20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Column</w:t>
            </w:r>
          </w:p>
        </w:tc>
        <w:tc>
          <w:tcPr>
            <w:tcW w:type="dxa" w:w="31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What it tells you</w:t>
            </w:r>
          </w:p>
        </w:tc>
        <w:tc>
          <w:tcPr>
            <w:tcW w:type="dxa" w:w="4538"/>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How it is worked out</w:t>
            </w:r>
          </w:p>
        </w:tc>
      </w:tr>
      <w:tr>
        <w:trPr>
          <w:cantSplit/>
        </w:trPr>
        <w:tc>
          <w:tcPr>
            <w:tcW w:type="dxa" w:w="2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6. Carpet Area (sqft)</w:t>
            </w:r>
          </w:p>
        </w:tc>
        <w:tc>
          <w:tcPr>
            <w:tcW w:type="dxa" w:w="31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Typical usable apartment size, e.g. 1,872 sq.ft.</w:t>
            </w:r>
          </w:p>
        </w:tc>
        <w:tc>
          <w:tcPr>
            <w:tcW w:type="dxa" w:w="45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Read from portal floor plans, brochures and RERA filing text, in this order:</w:t>
            </w:r>
          </w:p>
          <w:p>
            <w:pPr>
              <w:spacing w:after="40"/>
            </w:pPr>
            <w:r>
              <w:rPr>
                <w:rFonts w:ascii="Calibri" w:cs="Calibri" w:eastAsia="Calibri" w:hAnsi="Calibri"/>
                <w:b w:val="false"/>
                <w:bCs w:val="false"/>
                <w:sz w:val="20"/>
                <w:szCs w:val="20"/>
              </w:rPr>
              <w:t xml:space="preserve">1) The subject's target unit type first (e.g. 2 BHK ... 534 to 544 sq.ft).</w:t>
            </w:r>
          </w:p>
          <w:p>
            <w:pPr>
              <w:spacing w:after="40"/>
            </w:pPr>
            <w:r>
              <w:rPr>
                <w:rFonts w:ascii="Calibri" w:cs="Calibri" w:eastAsia="Calibri" w:hAnsi="Calibri"/>
                <w:b w:val="false"/>
                <w:bCs w:val="false"/>
                <w:sz w:val="20"/>
                <w:szCs w:val="20"/>
              </w:rPr>
              <w:t xml:space="preserve">2) If a range is found: Carpet Area = round( (A1 + A2) / 2 , 0 ).</w:t>
            </w:r>
          </w:p>
          <w:p>
            <w:pPr>
              <w:spacing w:after="40"/>
            </w:pPr>
            <w:r>
              <w:rPr>
                <w:rFonts w:ascii="Calibri" w:cs="Calibri" w:eastAsia="Calibri" w:hAnsi="Calibri"/>
                <w:b w:val="false"/>
                <w:bCs w:val="false"/>
                <w:sz w:val="20"/>
                <w:szCs w:val="20"/>
              </w:rPr>
              <w:t xml:space="preserve">3) The phrase "carpet area [0-9]{3,4} sq.ft".</w:t>
            </w:r>
          </w:p>
          <w:p>
            <w:pPr>
              <w:spacing w:after="40"/>
            </w:pPr>
            <w:r>
              <w:rPr>
                <w:rFonts w:ascii="Calibri" w:cs="Calibri" w:eastAsia="Calibri" w:hAnsi="Calibri"/>
                <w:b w:val="false"/>
                <w:bCs w:val="false"/>
                <w:sz w:val="20"/>
                <w:szCs w:val="20"/>
              </w:rPr>
              <w:t xml:space="preserve">4) Any floor-plan tag "[0-9]{3,4} sq.ft".</w:t>
            </w:r>
          </w:p>
          <w:p>
            <w:pPr>
              <w:spacing w:after="40"/>
            </w:pPr>
            <w:r>
              <w:rPr>
                <w:rFonts w:ascii="Calibri" w:cs="Calibri" w:eastAsia="Calibri" w:hAnsi="Calibri"/>
                <w:b w:val="false"/>
                <w:bCs w:val="false"/>
                <w:sz w:val="20"/>
                <w:szCs w:val="20"/>
              </w:rPr>
              <w:t xml:space="preserve">Valid range: 350 ≤ Carpet Area ≤ 3,500 sq.ft. Shows — if undisclosed.</w:t>
            </w:r>
          </w:p>
        </w:tc>
      </w:tr>
      <w:tr>
        <w:trPr>
          <w:cantSplit/>
        </w:trPr>
        <w:tc>
          <w:tcPr>
            <w:tcW w:type="dxa" w:w="20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7. Area Match</w:t>
            </w:r>
          </w:p>
        </w:tc>
        <w:tc>
          <w:tcPr>
            <w:tcW w:type="dxa" w:w="31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Whether the comparable's size is close to the subject's.</w:t>
            </w:r>
          </w:p>
        </w:tc>
        <w:tc>
          <w:tcPr>
            <w:tcW w:type="dxa" w:w="45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hd w:fill="EEF2F7" w:color="auto" w:val="clear"/>
              <w:spacing w:after="40"/>
            </w:pPr>
            <w:r>
              <w:rPr>
                <w:rFonts w:ascii="Consolas" w:cs="Consolas" w:eastAsia="Consolas" w:hAnsi="Consolas"/>
                <w:color w:val="1B2A41"/>
                <w:sz w:val="19"/>
                <w:szCs w:val="19"/>
              </w:rPr>
              <w:t xml:space="preserve">δ_A = |A_comp − A_src| / A_src      (tolerance = 15% = 0.15)</w:t>
            </w:r>
          </w:p>
          <w:p>
            <w:pPr>
              <w:spacing w:after="40"/>
            </w:pPr>
            <w:r>
              <w:rPr>
                <w:rFonts w:ascii="Calibri" w:cs="Calibri" w:eastAsia="Calibri" w:hAnsi="Calibri"/>
                <w:b w:val="false"/>
                <w:bCs w:val="false"/>
                <w:sz w:val="20"/>
                <w:szCs w:val="20"/>
              </w:rPr>
              <w:t xml:space="preserve">Area Unlisted: A_comp is missing.</w:t>
            </w:r>
          </w:p>
          <w:p>
            <w:pPr>
              <w:spacing w:after="40"/>
            </w:pPr>
            <w:r>
              <w:rPr>
                <w:rFonts w:ascii="Calibri" w:cs="Calibri" w:eastAsia="Calibri" w:hAnsi="Calibri"/>
                <w:b w:val="false"/>
                <w:bCs w:val="false"/>
                <w:sz w:val="20"/>
                <w:szCs w:val="20"/>
              </w:rPr>
              <w:t xml:space="preserve">✅ In Range (x sq.ft): A_src known and δ_A ≤ 0.15.</w:t>
            </w:r>
          </w:p>
          <w:p>
            <w:pPr>
              <w:spacing w:after="40"/>
            </w:pPr>
            <w:r>
              <w:rPr>
                <w:rFonts w:ascii="Calibri" w:cs="Calibri" w:eastAsia="Calibri" w:hAnsi="Calibri"/>
                <w:b w:val="false"/>
                <w:bCs w:val="false"/>
                <w:sz w:val="20"/>
                <w:szCs w:val="20"/>
              </w:rPr>
              <w:t xml:space="preserve">Area (x sq.ft): A_src known and δ_A &gt; 0.15.</w:t>
            </w:r>
          </w:p>
          <w:p>
            <w:pPr>
              <w:spacing w:after="40"/>
            </w:pPr>
            <w:r>
              <w:rPr>
                <w:rFonts w:ascii="Calibri" w:cs="Calibri" w:eastAsia="Calibri" w:hAnsi="Calibri"/>
                <w:b w:val="false"/>
                <w:bCs w:val="false"/>
                <w:sz w:val="20"/>
                <w:szCs w:val="20"/>
              </w:rPr>
              <w:t xml:space="preserve">Area: x sq.ft: A_src is unlisted.</w:t>
            </w:r>
          </w:p>
        </w:tc>
      </w:tr>
      <w:tr>
        <w:trPr>
          <w:cantSplit/>
        </w:trPr>
        <w:tc>
          <w:tcPr>
            <w:tcW w:type="dxa" w:w="2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8. Carpet Area Evidence</w:t>
            </w:r>
          </w:p>
        </w:tc>
        <w:tc>
          <w:tcPr>
            <w:tcW w:type="dxa" w:w="31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Proof for the area figure.</w:t>
            </w:r>
          </w:p>
        </w:tc>
        <w:tc>
          <w:tcPr>
            <w:tcW w:type="dxa" w:w="45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Original snippet containing the area, e.g. "Carpet Area: 534 to 544 sq. ft". Shows — if undisclosed.</w:t>
            </w:r>
          </w:p>
        </w:tc>
      </w:tr>
    </w:tbl>
    <w:p>
      <w:pPr>
        <w:pStyle w:val="Heading2"/>
        <w:spacing w:after="100" w:before="220"/>
      </w:pPr>
      <w:r>
        <w:rPr>
          <w:rFonts w:ascii="Calibri" w:cs="Calibri" w:eastAsia="Calibri" w:hAnsi="Calibri"/>
          <w:b/>
          <w:bCs/>
          <w:color w:val="1F3A5F"/>
          <w:sz w:val="26"/>
          <w:szCs w:val="26"/>
        </w:rPr>
        <w:t xml:space="preserve">5.4 Unit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4538"/>
      </w:tblGrid>
      <w:tr>
        <w:trPr>
          <w:tblHeader/>
        </w:trPr>
        <w:tc>
          <w:tcPr>
            <w:tcW w:type="dxa" w:w="20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Column</w:t>
            </w:r>
          </w:p>
        </w:tc>
        <w:tc>
          <w:tcPr>
            <w:tcW w:type="dxa" w:w="31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What it tells you</w:t>
            </w:r>
          </w:p>
        </w:tc>
        <w:tc>
          <w:tcPr>
            <w:tcW w:type="dxa" w:w="4538"/>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How it is worked out</w:t>
            </w:r>
          </w:p>
        </w:tc>
      </w:tr>
      <w:tr>
        <w:trPr>
          <w:cantSplit/>
        </w:trPr>
        <w:tc>
          <w:tcPr>
            <w:tcW w:type="dxa" w:w="2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9. Unit Typology</w:t>
            </w:r>
          </w:p>
        </w:tc>
        <w:tc>
          <w:tcPr>
            <w:tcW w:type="dxa" w:w="31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Apartment layouts on offer, e.g. 2 BHK, 3 BHK.</w:t>
            </w:r>
          </w:p>
        </w:tc>
        <w:tc>
          <w:tcPr>
            <w:tcW w:type="dxa" w:w="45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full web text is scanned for: 1 BHK, 2 BHK, 3 BHK, 4 BHK, 5 BHK, Studio, Penthouse. Those found are listed, comma-separated. Shows — if none. (BHK = bedroom, hall, kitchen.)</w:t>
            </w:r>
          </w:p>
        </w:tc>
      </w:tr>
      <w:tr>
        <w:trPr>
          <w:cantSplit/>
        </w:trPr>
        <w:tc>
          <w:tcPr>
            <w:tcW w:type="dxa" w:w="20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10. Unit Evidence</w:t>
            </w:r>
          </w:p>
        </w:tc>
        <w:tc>
          <w:tcPr>
            <w:tcW w:type="dxa" w:w="31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Proof for the unit types.</w:t>
            </w:r>
          </w:p>
        </w:tc>
        <w:tc>
          <w:tcPr>
            <w:tcW w:type="dxa" w:w="45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Text around the detected layouts, e.g. "Unit Configurations: 2 BHK, 3 BHK Apartments".</w:t>
            </w:r>
          </w:p>
        </w:tc>
      </w:tr>
    </w:tbl>
    <w:p>
      <w:pPr>
        <w:pStyle w:val="Heading2"/>
        <w:spacing w:after="100" w:before="220"/>
      </w:pPr>
      <w:r>
        <w:rPr>
          <w:rFonts w:ascii="Calibri" w:cs="Calibri" w:eastAsia="Calibri" w:hAnsi="Calibri"/>
          <w:b/>
          <w:bCs/>
          <w:color w:val="1F3A5F"/>
          <w:sz w:val="26"/>
          <w:szCs w:val="26"/>
        </w:rPr>
        <w:t xml:space="preserve">5.5 Developer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4538"/>
      </w:tblGrid>
      <w:tr>
        <w:trPr>
          <w:tblHeader/>
        </w:trPr>
        <w:tc>
          <w:tcPr>
            <w:tcW w:type="dxa" w:w="20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Column</w:t>
            </w:r>
          </w:p>
        </w:tc>
        <w:tc>
          <w:tcPr>
            <w:tcW w:type="dxa" w:w="31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What it tells you</w:t>
            </w:r>
          </w:p>
        </w:tc>
        <w:tc>
          <w:tcPr>
            <w:tcW w:type="dxa" w:w="4538"/>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How it is worked out</w:t>
            </w:r>
          </w:p>
        </w:tc>
      </w:tr>
      <w:tr>
        <w:trPr>
          <w:cantSplit/>
        </w:trPr>
        <w:tc>
          <w:tcPr>
            <w:tcW w:type="dxa" w:w="2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11. Developer</w:t>
            </w:r>
          </w:p>
        </w:tc>
        <w:tc>
          <w:tcPr>
            <w:tcW w:type="dxa" w:w="31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builder behind the project, e.g. Godrej Properties.</w:t>
            </w:r>
          </w:p>
        </w:tc>
        <w:tc>
          <w:tcPr>
            <w:tcW w:type="dxa" w:w="45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Identified in this order:</w:t>
            </w:r>
          </w:p>
          <w:p>
            <w:pPr>
              <w:spacing w:after="40"/>
            </w:pPr>
            <w:r>
              <w:rPr>
                <w:rFonts w:ascii="Calibri" w:cs="Calibri" w:eastAsia="Calibri" w:hAnsi="Calibri"/>
                <w:b w:val="false"/>
                <w:bCs w:val="false"/>
                <w:sz w:val="20"/>
                <w:szCs w:val="20"/>
              </w:rPr>
              <w:t xml:space="preserve">1) Project name pattern "&lt;Project&gt; by &lt;Developer&gt;" or "&lt;Project&gt; (&lt;Developer&gt;)".</w:t>
            </w:r>
          </w:p>
          <w:p>
            <w:pPr>
              <w:spacing w:after="40"/>
            </w:pPr>
            <w:r>
              <w:rPr>
                <w:rFonts w:ascii="Calibri" w:cs="Calibri" w:eastAsia="Calibri" w:hAnsi="Calibri"/>
                <w:b w:val="false"/>
                <w:bCs w:val="false"/>
                <w:sz w:val="20"/>
                <w:szCs w:val="20"/>
              </w:rPr>
              <w:t xml:space="preserve">2) Match against the built-in registry of national and regional developers (KNOWN_BRAND_MAP).</w:t>
            </w:r>
          </w:p>
          <w:p>
            <w:pPr>
              <w:spacing w:after="40"/>
            </w:pPr>
            <w:r>
              <w:rPr>
                <w:rFonts w:ascii="Calibri" w:cs="Calibri" w:eastAsia="Calibri" w:hAnsi="Calibri"/>
                <w:b w:val="false"/>
                <w:bCs w:val="false"/>
                <w:sz w:val="20"/>
                <w:szCs w:val="20"/>
              </w:rPr>
              <w:t xml:space="preserve">3) Labels in the web text:</w:t>
            </w:r>
          </w:p>
          <w:p>
            <w:pPr>
              <w:shd w:fill="EEF2F7" w:color="auto" w:val="clear"/>
              <w:spacing w:after="40"/>
            </w:pPr>
            <w:r>
              <w:rPr>
                <w:rFonts w:ascii="Consolas" w:cs="Consolas" w:eastAsia="Consolas" w:hAnsi="Consolas"/>
                <w:color w:val="1B2A41"/>
                <w:sz w:val="19"/>
                <w:szCs w:val="19"/>
              </w:rPr>
              <w:t xml:space="preserve">\b(?:developer|builder|promoter)\s*[:\*]*\s*\n*\s*[-*]?\s*([A-Za-z0-9\s&amp;,\.]{3,50}?)</w:t>
            </w:r>
          </w:p>
          <w:p>
            <w:pPr>
              <w:spacing w:after="40"/>
            </w:pPr>
            <w:r>
              <w:rPr>
                <w:rFonts w:ascii="Calibri" w:cs="Calibri" w:eastAsia="Calibri" w:hAnsi="Calibri"/>
                <w:b w:val="false"/>
                <w:bCs w:val="false"/>
                <w:sz w:val="20"/>
                <w:szCs w:val="20"/>
              </w:rPr>
              <w:t xml:space="preserve">4) Trailing punctuation and corporate filler words are cleaned off.</w:t>
            </w:r>
          </w:p>
        </w:tc>
      </w:tr>
      <w:tr>
        <w:trPr>
          <w:cantSplit/>
        </w:trPr>
        <w:tc>
          <w:tcPr>
            <w:tcW w:type="dxa" w:w="20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12. Developer Tier</w:t>
            </w:r>
          </w:p>
        </w:tc>
        <w:tc>
          <w:tcPr>
            <w:tcW w:type="dxa" w:w="31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How established the builder is (a rule-of-thumb based on size, capitalisation and national presence).</w:t>
            </w:r>
          </w:p>
        </w:tc>
        <w:tc>
          <w:tcPr>
            <w:tcW w:type="dxa" w:w="45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Tier 1 (National Listed): nationally recognised public or institutional developers, e.g. Godrej, Prestige, DLF, Sobha, Lodha, Tata, Oberoi.</w:t>
            </w:r>
          </w:p>
          <w:p>
            <w:pPr>
              <w:spacing w:after="40"/>
            </w:pPr>
            <w:r>
              <w:rPr>
                <w:rFonts w:ascii="Calibri" w:cs="Calibri" w:eastAsia="Calibri" w:hAnsi="Calibri"/>
                <w:b w:val="false"/>
                <w:bCs w:val="false"/>
                <w:sz w:val="20"/>
                <w:szCs w:val="20"/>
              </w:rPr>
              <w:t xml:space="preserve">Tier 2 (Reputed Regional): established city or state builders with many projects, e.g. Mantra, Kolte-Patil, Nyati, VTP, Kumar, Amanora.</w:t>
            </w:r>
          </w:p>
          <w:p>
            <w:pPr>
              <w:spacing w:after="40"/>
            </w:pPr>
            <w:r>
              <w:rPr>
                <w:rFonts w:ascii="Calibri" w:cs="Calibri" w:eastAsia="Calibri" w:hAnsi="Calibri"/>
                <w:b w:val="false"/>
                <w:bCs w:val="false"/>
                <w:sz w:val="20"/>
                <w:szCs w:val="20"/>
              </w:rPr>
              <w:t xml:space="preserve">Tier 3 (Local / Standalone): local builders, standalone or unbranded housing societies.</w:t>
            </w:r>
          </w:p>
          <w:p>
            <w:pPr>
              <w:spacing w:after="40"/>
            </w:pPr>
            <w:r>
              <w:rPr>
                <w:rFonts w:ascii="Calibri" w:cs="Calibri" w:eastAsia="Calibri" w:hAnsi="Calibri"/>
                <w:b w:val="false"/>
                <w:bCs w:val="false"/>
                <w:sz w:val="20"/>
                <w:szCs w:val="20"/>
              </w:rPr>
              <w:t xml:space="preserve">Shows — if unknown.</w:t>
            </w:r>
          </w:p>
        </w:tc>
      </w:tr>
      <w:tr>
        <w:trPr>
          <w:cantSplit/>
        </w:trPr>
        <w:tc>
          <w:tcPr>
            <w:tcW w:type="dxa" w:w="2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13. Developer Evidence</w:t>
            </w:r>
          </w:p>
        </w:tc>
        <w:tc>
          <w:tcPr>
            <w:tcW w:type="dxa" w:w="31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Where the builder's name was confirmed.</w:t>
            </w:r>
          </w:p>
        </w:tc>
        <w:tc>
          <w:tcPr>
            <w:tcW w:type="dxa" w:w="45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Either Extracted from project name: 'by Sarvome', or a snippet such as Portal snippet: "...Developer: HRH City Projects Private Limited...".</w:t>
            </w:r>
          </w:p>
        </w:tc>
      </w:tr>
    </w:tbl>
    <w:p>
      <w:pPr>
        <w:pStyle w:val="Heading2"/>
        <w:spacing w:after="100" w:before="220"/>
      </w:pPr>
      <w:r>
        <w:rPr>
          <w:rFonts w:ascii="Calibri" w:cs="Calibri" w:eastAsia="Calibri" w:hAnsi="Calibri"/>
          <w:b/>
          <w:bCs/>
          <w:color w:val="1F3A5F"/>
          <w:sz w:val="26"/>
          <w:szCs w:val="26"/>
        </w:rPr>
        <w:t xml:space="preserve">5.6 Construction Status and Project Size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4538"/>
      </w:tblGrid>
      <w:tr>
        <w:trPr>
          <w:tblHeader/>
        </w:trPr>
        <w:tc>
          <w:tcPr>
            <w:tcW w:type="dxa" w:w="20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Column</w:t>
            </w:r>
          </w:p>
        </w:tc>
        <w:tc>
          <w:tcPr>
            <w:tcW w:type="dxa" w:w="31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What it tells you</w:t>
            </w:r>
          </w:p>
        </w:tc>
        <w:tc>
          <w:tcPr>
            <w:tcW w:type="dxa" w:w="4538"/>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How it is worked out</w:t>
            </w:r>
          </w:p>
        </w:tc>
      </w:tr>
      <w:tr>
        <w:trPr>
          <w:cantSplit/>
        </w:trPr>
        <w:tc>
          <w:tcPr>
            <w:tcW w:type="dxa" w:w="2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14. Status &amp; Age</w:t>
            </w:r>
          </w:p>
        </w:tc>
        <w:tc>
          <w:tcPr>
            <w:tcW w:type="dxa" w:w="31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Whether the project is finished or being built, and its age.</w:t>
            </w:r>
          </w:p>
        </w:tc>
        <w:tc>
          <w:tcPr>
            <w:tcW w:type="dxa" w:w="45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Text with "under construction", "ongoing" or "possession 202X": Status = Under Construction (possession year), e.g. UC (Possession: 2026).</w:t>
            </w:r>
          </w:p>
          <w:p>
            <w:pPr>
              <w:spacing w:after="40"/>
            </w:pPr>
            <w:r>
              <w:rPr>
                <w:rFonts w:ascii="Calibri" w:cs="Calibri" w:eastAsia="Calibri" w:hAnsi="Calibri"/>
                <w:b w:val="false"/>
                <w:bCs w:val="false"/>
                <w:sz w:val="20"/>
                <w:szCs w:val="20"/>
              </w:rPr>
              <w:t xml:space="preserve">Text with "ready to move" or "possession since 20XX":</w:t>
            </w:r>
          </w:p>
          <w:p>
            <w:pPr>
              <w:shd w:fill="EEF2F7" w:color="auto" w:val="clear"/>
              <w:spacing w:after="40"/>
            </w:pPr>
            <w:r>
              <w:rPr>
                <w:rFonts w:ascii="Consolas" w:cs="Consolas" w:eastAsia="Consolas" w:hAnsi="Consolas"/>
                <w:color w:val="1B2A41"/>
                <w:sz w:val="19"/>
                <w:szCs w:val="19"/>
              </w:rPr>
              <w:t xml:space="preserve">Age = Current Year − Completion Year</w:t>
            </w:r>
          </w:p>
          <w:p>
            <w:pPr>
              <w:spacing w:after="40"/>
            </w:pPr>
            <w:r>
              <w:rPr>
                <w:rFonts w:ascii="Calibri" w:cs="Calibri" w:eastAsia="Calibri" w:hAnsi="Calibri"/>
                <w:b w:val="false"/>
                <w:bCs w:val="false"/>
                <w:sz w:val="20"/>
                <w:szCs w:val="20"/>
              </w:rPr>
              <w:t xml:space="preserve">Status = Ready to Move (age in years), e.g. RTM (2 yrs). Other display: Ready to Move, or —.</w:t>
            </w:r>
          </w:p>
        </w:tc>
      </w:tr>
      <w:tr>
        <w:trPr>
          <w:cantSplit/>
        </w:trPr>
        <w:tc>
          <w:tcPr>
            <w:tcW w:type="dxa" w:w="20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15. Status Evidence</w:t>
            </w:r>
          </w:p>
        </w:tc>
        <w:tc>
          <w:tcPr>
            <w:tcW w:type="dxa" w:w="31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Proof for the status.</w:t>
            </w:r>
          </w:p>
        </w:tc>
        <w:tc>
          <w:tcPr>
            <w:tcW w:type="dxa" w:w="45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Snippet declaring completion or possession, e.g. "Ready to move in; possession commenced in August 2024".</w:t>
            </w:r>
          </w:p>
        </w:tc>
      </w:tr>
      <w:tr>
        <w:trPr>
          <w:cantSplit/>
        </w:trPr>
        <w:tc>
          <w:tcPr>
            <w:tcW w:type="dxa" w:w="2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16. Scale &amp; Typology</w:t>
            </w:r>
          </w:p>
        </w:tc>
        <w:tc>
          <w:tcPr>
            <w:tcW w:type="dxa" w:w="31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size and type of the housing complex.</w:t>
            </w:r>
          </w:p>
        </w:tc>
        <w:tc>
          <w:tcPr>
            <w:tcW w:type="dxa" w:w="45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Township: area ≥ 20 acres OR units ≥ 1,000.</w:t>
            </w:r>
          </w:p>
          <w:p>
            <w:pPr>
              <w:spacing w:after="40"/>
            </w:pPr>
            <w:r>
              <w:rPr>
                <w:rFonts w:ascii="Calibri" w:cs="Calibri" w:eastAsia="Calibri" w:hAnsi="Calibri"/>
                <w:b w:val="false"/>
                <w:bCs w:val="false"/>
                <w:sz w:val="20"/>
                <w:szCs w:val="20"/>
              </w:rPr>
              <w:t xml:space="preserve">Gated Community: area 3.0 to 20.0 acres OR towers ≥ 4 OR units 200 to 1,000.</w:t>
            </w:r>
          </w:p>
          <w:p>
            <w:pPr>
              <w:spacing w:after="40"/>
            </w:pPr>
            <w:r>
              <w:rPr>
                <w:rFonts w:ascii="Calibri" w:cs="Calibri" w:eastAsia="Calibri" w:hAnsi="Calibri"/>
                <w:b w:val="false"/>
                <w:bCs w:val="false"/>
                <w:sz w:val="20"/>
                <w:szCs w:val="20"/>
              </w:rPr>
              <w:t xml:space="preserve">Co-op CHS / Enclave: units 40 to 200 OR explicitly a Co-operative Housing Society / CHS.</w:t>
            </w:r>
          </w:p>
          <w:p>
            <w:pPr>
              <w:spacing w:after="40"/>
            </w:pPr>
            <w:r>
              <w:rPr>
                <w:rFonts w:ascii="Calibri" w:cs="Calibri" w:eastAsia="Calibri" w:hAnsi="Calibri"/>
                <w:b w:val="false"/>
                <w:bCs w:val="false"/>
                <w:sz w:val="20"/>
                <w:szCs w:val="20"/>
              </w:rPr>
              <w:t xml:space="preserve">Standalone Building: single tower, individual building, or units &lt; 40.</w:t>
            </w:r>
          </w:p>
          <w:p>
            <w:pPr>
              <w:spacing w:after="40"/>
            </w:pPr>
            <w:r>
              <w:rPr>
                <w:rFonts w:ascii="Calibri" w:cs="Calibri" w:eastAsia="Calibri" w:hAnsi="Calibri"/>
                <w:b w:val="false"/>
                <w:bCs w:val="false"/>
                <w:sz w:val="20"/>
                <w:szCs w:val="20"/>
              </w:rPr>
              <w:t xml:space="preserve">Displayed e.g. Gated Community (6.2 Acres), Township (150 Acres), Standalone Building.</w:t>
            </w:r>
          </w:p>
        </w:tc>
      </w:tr>
      <w:tr>
        <w:trPr>
          <w:cantSplit/>
        </w:trPr>
        <w:tc>
          <w:tcPr>
            <w:tcW w:type="dxa" w:w="20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17. Scale Evidence</w:t>
            </w:r>
          </w:p>
        </w:tc>
        <w:tc>
          <w:tcPr>
            <w:tcW w:type="dxa" w:w="31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Proof for the scale classification.</w:t>
            </w:r>
          </w:p>
        </w:tc>
        <w:tc>
          <w:tcPr>
            <w:tcW w:type="dxa" w:w="45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Snippet with acreage, towers or unit totals, e.g. "spans 6.25 acres and comprises 912 apartments across 8 towers".</w:t>
            </w:r>
          </w:p>
        </w:tc>
      </w:tr>
    </w:tbl>
    <w:p>
      <w:pPr>
        <w:pStyle w:val="Heading2"/>
        <w:spacing w:after="100" w:before="220"/>
      </w:pPr>
      <w:r>
        <w:rPr>
          <w:rFonts w:ascii="Calibri" w:cs="Calibri" w:eastAsia="Calibri" w:hAnsi="Calibri"/>
          <w:b/>
          <w:bCs/>
          <w:color w:val="1F3A5F"/>
          <w:sz w:val="26"/>
          <w:szCs w:val="26"/>
        </w:rPr>
        <w:t xml:space="preserve">5.7 Scoring, Status and Links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4538"/>
      </w:tblGrid>
      <w:tr>
        <w:trPr>
          <w:tblHeader/>
        </w:trPr>
        <w:tc>
          <w:tcPr>
            <w:tcW w:type="dxa" w:w="20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Column</w:t>
            </w:r>
          </w:p>
        </w:tc>
        <w:tc>
          <w:tcPr>
            <w:tcW w:type="dxa" w:w="31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What it tells you</w:t>
            </w:r>
          </w:p>
        </w:tc>
        <w:tc>
          <w:tcPr>
            <w:tcW w:type="dxa" w:w="4538"/>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How it is worked out</w:t>
            </w:r>
          </w:p>
        </w:tc>
      </w:tr>
      <w:tr>
        <w:trPr>
          <w:cantSplit/>
        </w:trPr>
        <w:tc>
          <w:tcPr>
            <w:tcW w:type="dxa" w:w="2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18. Evaluation Basis</w:t>
            </w:r>
          </w:p>
        </w:tc>
        <w:tc>
          <w:tcPr>
            <w:tcW w:type="dxa" w:w="31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Which scoring mode applied to this row.</w:t>
            </w:r>
          </w:p>
        </w:tc>
        <w:tc>
          <w:tcPr>
            <w:tcW w:type="dxa" w:w="45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Full Valuation Match (Price + Physical): the rate is verified.</w:t>
            </w:r>
          </w:p>
          <w:p>
            <w:pPr>
              <w:spacing w:after="40"/>
            </w:pPr>
            <w:r>
              <w:rPr>
                <w:rFonts w:ascii="Calibri" w:cs="Calibri" w:eastAsia="Calibri" w:hAnsi="Calibri"/>
                <w:b w:val="false"/>
                <w:bCs w:val="false"/>
                <w:sz w:val="20"/>
                <w:szCs w:val="20"/>
              </w:rPr>
              <w:t xml:space="preserve">Physical / Structural Equivalence: rate unlisted, but physical specs are verified.</w:t>
            </w:r>
          </w:p>
          <w:p>
            <w:pPr>
              <w:spacing w:after="40"/>
            </w:pPr>
            <w:r>
              <w:rPr>
                <w:rFonts w:ascii="Calibri" w:cs="Calibri" w:eastAsia="Calibri" w:hAnsi="Calibri"/>
                <w:b w:val="false"/>
                <w:bCs w:val="false"/>
                <w:sz w:val="20"/>
                <w:szCs w:val="20"/>
              </w:rPr>
              <w:t xml:space="preserve">Unverified (No Web Evidence): no attributes captured at all.</w:t>
            </w:r>
          </w:p>
        </w:tc>
      </w:tr>
      <w:tr>
        <w:trPr>
          <w:cantSplit/>
        </w:trPr>
        <w:tc>
          <w:tcPr>
            <w:tcW w:type="dxa" w:w="20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19. Valuation Match</w:t>
            </w:r>
          </w:p>
        </w:tc>
        <w:tc>
          <w:tcPr>
            <w:tcW w:type="dxa" w:w="31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overall similarity score, e.g. 80.3%, 51.5% or 18.7%.</w:t>
            </w:r>
          </w:p>
        </w:tc>
        <w:tc>
          <w:tcPr>
            <w:tcW w:type="dxa" w:w="45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Blend of the seven factor scores using the weights in Section 6.2, rounded to one decimal. Unverified factors score 0.0, so a project with no data reflects only its distance score (15% to 20% weight) and is never artificially inflated.</w:t>
            </w:r>
          </w:p>
        </w:tc>
      </w:tr>
      <w:tr>
        <w:trPr>
          <w:cantSplit/>
        </w:trPr>
        <w:tc>
          <w:tcPr>
            <w:tcW w:type="dxa" w:w="2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20. Status</w:t>
            </w:r>
          </w:p>
        </w:tc>
        <w:tc>
          <w:tcPr>
            <w:tcW w:type="dxa" w:w="31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Whether the project is accepted as a comparable.</w:t>
            </w:r>
          </w:p>
        </w:tc>
        <w:tc>
          <w:tcPr>
            <w:tcW w:type="dxa" w:w="45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Decided by the strict qualification rules in Section 7. Five possible displays: ✅ Qualified Match, ⚠️ Price Out of Range, ⚠️ Area Out of Range, ⚠️ Incomplete Specs (No Rate/Area), ❌ Insufficient Data.</w:t>
            </w:r>
          </w:p>
        </w:tc>
      </w:tr>
      <w:tr>
        <w:trPr>
          <w:cantSplit/>
        </w:trPr>
        <w:tc>
          <w:tcPr>
            <w:tcW w:type="dxa" w:w="20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21. Evidence Citation</w:t>
            </w:r>
          </w:p>
        </w:tc>
        <w:tc>
          <w:tcPr>
            <w:tcW w:type="dxa" w:w="31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 link to the page the facts came from.</w:t>
            </w:r>
          </w:p>
        </w:tc>
        <w:tc>
          <w:tcPr>
            <w:tcW w:type="dxa" w:w="45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Direct URL of the verified portal listing or developer page, shown as View Evidence ↗.</w:t>
            </w:r>
          </w:p>
        </w:tc>
      </w:tr>
      <w:tr>
        <w:trPr>
          <w:cantSplit/>
        </w:trPr>
        <w:tc>
          <w:tcPr>
            <w:tcW w:type="dxa" w:w="2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22. Google Maps</w:t>
            </w:r>
          </w:p>
        </w:tc>
        <w:tc>
          <w:tcPr>
            <w:tcW w:type="dxa" w:w="31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 link to the project on Google Maps.</w:t>
            </w:r>
          </w:p>
        </w:tc>
        <w:tc>
          <w:tcPr>
            <w:tcW w:type="dxa" w:w="45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Built from the Google Place ID, shown as Open Map ↗:</w:t>
            </w:r>
          </w:p>
          <w:p>
            <w:pPr>
              <w:shd w:fill="EEF2F7" w:color="auto" w:val="clear"/>
              <w:spacing w:after="40"/>
            </w:pPr>
            <w:r>
              <w:rPr>
                <w:rFonts w:ascii="Consolas" w:cs="Consolas" w:eastAsia="Consolas" w:hAnsi="Consolas"/>
                <w:color w:val="1B2A41"/>
                <w:sz w:val="19"/>
                <w:szCs w:val="19"/>
              </w:rPr>
              <w:t xml:space="preserve">https://www.google.com/maps/place/?q=place_id:{place_id}</w:t>
            </w:r>
          </w:p>
        </w:tc>
      </w:tr>
    </w:tbl>
    <w:p>
      <w:pPr>
        <w:pStyle w:val="Heading1"/>
        <w:spacing w:after="140" w:before="320"/>
      </w:pPr>
      <w:r>
        <w:rPr>
          <w:rFonts w:ascii="Calibri" w:cs="Calibri" w:eastAsia="Calibri" w:hAnsi="Calibri"/>
          <w:b/>
          <w:bCs/>
          <w:color w:val="1F3A5F"/>
          <w:sz w:val="32"/>
          <w:szCs w:val="32"/>
        </w:rPr>
        <w:t xml:space="preserve">6. How the Match Score Is Calculated</w:t>
      </w:r>
    </w:p>
    <w:p>
      <w:pPr>
        <w:spacing w:after="120" w:line="276"/>
      </w:pPr>
      <w:r>
        <w:rPr>
          <w:rFonts w:ascii="Calibri" w:cs="Calibri" w:eastAsia="Calibri" w:hAnsi="Calibri"/>
        </w:rPr>
        <w:t xml:space="preserve">The tool uses smooth scoring rather than a harsh pass-or-fail test. Each of seven factors earns 0 to 100 points, and the seven are blended into one overall percentage. A project that is only slightly different still earns most of the points; one that is far off fades toward zero without causing errors.</w:t>
      </w:r>
    </w:p>
    <w:p>
      <w:pPr>
        <w:pStyle w:val="Heading2"/>
        <w:spacing w:after="100" w:before="220"/>
      </w:pPr>
      <w:r>
        <w:rPr>
          <w:rFonts w:ascii="Calibri" w:cs="Calibri" w:eastAsia="Calibri" w:hAnsi="Calibri"/>
          <w:b/>
          <w:bCs/>
          <w:color w:val="1F3A5F"/>
          <w:sz w:val="26"/>
          <w:szCs w:val="26"/>
        </w:rPr>
        <w:t xml:space="preserve">6.1 The Seven Factor Scores</w:t>
      </w:r>
    </w:p>
    <w:p>
      <w:pPr>
        <w:pStyle w:val="Heading2"/>
        <w:spacing w:after="100" w:before="220"/>
      </w:pPr>
      <w:r>
        <w:rPr>
          <w:rFonts w:ascii="Calibri" w:cs="Calibri" w:eastAsia="Calibri" w:hAnsi="Calibri"/>
          <w:b/>
          <w:bCs/>
          <w:color w:val="1F3A5F"/>
          <w:sz w:val="26"/>
          <w:szCs w:val="26"/>
        </w:rPr>
        <w:t xml:space="preserve">Factor 1: Price Closeness (S_price)</w:t>
      </w:r>
    </w:p>
    <w:p>
      <w:pPr>
        <w:spacing w:after="120" w:line="276"/>
      </w:pPr>
      <w:r>
        <w:rPr>
          <w:rFonts w:ascii="Calibri" w:cs="Calibri" w:eastAsia="Calibri" w:hAnsi="Calibri"/>
        </w:rPr>
        <w:t xml:space="preserve">Compares the comparable's rate with the subject's using a bell-shaped (Gaussian) fade centred on the subject's benchmark rate.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2" w:sz="4"/>
              <w:left w:val="single" w:color="1F3A5F" w:sz="18"/>
              <w:bottom w:val="single" w:color="B8C4D2" w:sz="4"/>
              <w:right w:val="single" w:color="B8C4D2" w:sz="4"/>
            </w:tcBorders>
            <w:shd w:fill="EEF2F7" w:color="auto" w:val="clear"/>
            <w:tcMar>
              <w:top w:type="dxa" w:w="90"/>
              <w:left w:type="dxa" w:w="160"/>
              <w:bottom w:type="dxa" w:w="90"/>
              <w:right w:type="dxa" w:w="160"/>
            </w:tcMar>
          </w:tcPr>
          <w:p>
            <w:pPr>
              <w:spacing w:after="30"/>
            </w:pPr>
            <w:r>
              <w:rPr>
                <w:rFonts w:ascii="Consolas" w:cs="Consolas" w:eastAsia="Consolas" w:hAnsi="Consolas"/>
                <w:color w:val="1B2A41"/>
                <w:sz w:val="19"/>
                <w:szCs w:val="19"/>
              </w:rPr>
              <w:t xml:space="preserve">p_diff = |R_comp − R_src| / R_src</w:t>
            </w:r>
          </w:p>
          <w:p>
            <w:pPr>
              <w:spacing w:after="30"/>
            </w:pPr>
            <w:r>
              <w:rPr>
                <w:rFonts w:ascii="Consolas" w:cs="Consolas" w:eastAsia="Consolas" w:hAnsi="Consolas"/>
                <w:color w:val="1B2A41"/>
                <w:sz w:val="19"/>
                <w:szCs w:val="19"/>
              </w:rPr>
              <w:t xml:space="preserve">S_price = 100.0 × exp( −0.5 × ( p_diff / 0.20 )² )</w:t>
            </w:r>
          </w:p>
        </w:tc>
      </w:tr>
    </w:tbl>
    <w:p>
      <w:pPr>
        <w:pStyle w:val="ListParagraph"/>
        <w:numPr>
          <w:ilvl w:val="0"/>
          <w:numId w:val="2"/>
        </w:numPr>
        <w:spacing w:after="70" w:line="270"/>
      </w:pPr>
      <w:r>
        <w:rPr>
          <w:rFonts w:ascii="Calibri" w:cs="Calibri" w:eastAsia="Calibri" w:hAnsi="Calibri"/>
        </w:rPr>
        <w:t xml:space="preserve">Identical rate (0% difference) scores 100.0.</w:t>
      </w:r>
    </w:p>
    <w:p>
      <w:pPr>
        <w:pStyle w:val="ListParagraph"/>
        <w:numPr>
          <w:ilvl w:val="0"/>
          <w:numId w:val="2"/>
        </w:numPr>
        <w:spacing w:after="70" w:line="270"/>
      </w:pPr>
      <w:r>
        <w:rPr>
          <w:rFonts w:ascii="Calibri" w:cs="Calibri" w:eastAsia="Calibri" w:hAnsi="Calibri"/>
        </w:rPr>
        <w:t xml:space="preserve">Exactly ±20% difference scores 100 × e^(−0.5) ≈ 60.65.</w:t>
      </w:r>
    </w:p>
    <w:p>
      <w:pPr>
        <w:pStyle w:val="ListParagraph"/>
        <w:numPr>
          <w:ilvl w:val="0"/>
          <w:numId w:val="2"/>
        </w:numPr>
        <w:spacing w:after="70" w:line="270"/>
      </w:pPr>
      <w:r>
        <w:rPr>
          <w:rFonts w:ascii="Calibri" w:cs="Calibri" w:eastAsia="Calibri" w:hAnsi="Calibri"/>
        </w:rPr>
        <w:t xml:space="preserve">Extreme differences fade smoothly toward zero.</w:t>
      </w:r>
    </w:p>
    <w:p>
      <w:pPr>
        <w:pStyle w:val="Heading2"/>
        <w:spacing w:after="100" w:before="220"/>
      </w:pPr>
      <w:r>
        <w:rPr>
          <w:rFonts w:ascii="Calibri" w:cs="Calibri" w:eastAsia="Calibri" w:hAnsi="Calibri"/>
          <w:b/>
          <w:bCs/>
          <w:color w:val="1F3A5F"/>
          <w:sz w:val="26"/>
          <w:szCs w:val="26"/>
        </w:rPr>
        <w:t xml:space="preserve">Factor 2: Distance (S_dist)</w:t>
      </w:r>
    </w:p>
    <w:p>
      <w:pPr>
        <w:spacing w:after="120" w:line="276"/>
      </w:pPr>
      <w:r>
        <w:rPr>
          <w:rFonts w:ascii="Calibri" w:cs="Calibri" w:eastAsia="Calibri" w:hAnsi="Calibri"/>
        </w:rPr>
        <w:t xml:space="preserve">Nearer is better. The score falls off exponentially with a characteristic length of 2.5 km.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2" w:sz="4"/>
              <w:left w:val="single" w:color="1F3A5F" w:sz="18"/>
              <w:bottom w:val="single" w:color="B8C4D2" w:sz="4"/>
              <w:right w:val="single" w:color="B8C4D2" w:sz="4"/>
            </w:tcBorders>
            <w:shd w:fill="EEF2F7" w:color="auto" w:val="clear"/>
            <w:tcMar>
              <w:top w:type="dxa" w:w="90"/>
              <w:left w:type="dxa" w:w="160"/>
              <w:bottom w:type="dxa" w:w="90"/>
              <w:right w:type="dxa" w:w="160"/>
            </w:tcMar>
          </w:tcPr>
          <w:p>
            <w:pPr>
              <w:spacing w:after="30"/>
            </w:pPr>
            <w:r>
              <w:rPr>
                <w:rFonts w:ascii="Consolas" w:cs="Consolas" w:eastAsia="Consolas" w:hAnsi="Consolas"/>
                <w:color w:val="1B2A41"/>
                <w:sz w:val="19"/>
                <w:szCs w:val="19"/>
              </w:rPr>
              <w:t xml:space="preserve">S_dist = 100.0 × exp( −d / 2.5 )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Distance</w:t>
            </w:r>
          </w:p>
        </w:tc>
        <w:tc>
          <w:tcPr>
            <w:tcW w:type="dxa" w:w="4819"/>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Score</w:t>
            </w:r>
          </w:p>
        </w:tc>
      </w:tr>
      <w:tr>
        <w:trPr>
          <w:cantSplit/>
        </w:trPr>
        <w:tc>
          <w:tcPr>
            <w:tcW w:type="dxa" w:w="4819"/>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0.0 km</w:t>
            </w:r>
          </w:p>
        </w:tc>
        <w:tc>
          <w:tcPr>
            <w:tcW w:type="dxa" w:w="4819"/>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100.0</w:t>
            </w:r>
          </w:p>
        </w:tc>
      </w:tr>
      <w:tr>
        <w:trPr>
          <w:cantSplit/>
        </w:trPr>
        <w:tc>
          <w:tcPr>
            <w:tcW w:type="dxa" w:w="4819"/>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1.0 km</w:t>
            </w:r>
          </w:p>
        </w:tc>
        <w:tc>
          <w:tcPr>
            <w:tcW w:type="dxa" w:w="4819"/>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67.0</w:t>
            </w:r>
          </w:p>
        </w:tc>
      </w:tr>
      <w:tr>
        <w:trPr>
          <w:cantSplit/>
        </w:trPr>
        <w:tc>
          <w:tcPr>
            <w:tcW w:type="dxa" w:w="4819"/>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2.5 km</w:t>
            </w:r>
          </w:p>
        </w:tc>
        <w:tc>
          <w:tcPr>
            <w:tcW w:type="dxa" w:w="4819"/>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36.8</w:t>
            </w:r>
          </w:p>
        </w:tc>
      </w:tr>
      <w:tr>
        <w:trPr>
          <w:cantSplit/>
        </w:trPr>
        <w:tc>
          <w:tcPr>
            <w:tcW w:type="dxa" w:w="4819"/>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5.0 km</w:t>
            </w:r>
          </w:p>
        </w:tc>
        <w:tc>
          <w:tcPr>
            <w:tcW w:type="dxa" w:w="4819"/>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13.5</w:t>
            </w:r>
          </w:p>
        </w:tc>
      </w:tr>
    </w:tbl>
    <w:p>
      <w:pPr>
        <w:pStyle w:val="Heading2"/>
        <w:spacing w:after="100" w:before="220"/>
      </w:pPr>
      <w:r>
        <w:rPr>
          <w:rFonts w:ascii="Calibri" w:cs="Calibri" w:eastAsia="Calibri" w:hAnsi="Calibri"/>
          <w:b/>
          <w:bCs/>
          <w:color w:val="1F3A5F"/>
          <w:sz w:val="26"/>
          <w:szCs w:val="26"/>
        </w:rPr>
        <w:t xml:space="preserve">Factor 3: Carpet Area Closeness (S_area)</w:t>
      </w:r>
    </w:p>
    <w:p>
      <w:pPr>
        <w:spacing w:after="120" w:line="276"/>
      </w:pPr>
      <w:r>
        <w:rPr>
          <w:rFonts w:ascii="Calibri" w:cs="Calibri" w:eastAsia="Calibri" w:hAnsi="Calibri"/>
        </w:rPr>
        <w:t xml:space="preserve">A straight-line penalty that reaches zero when the area differs by 30% or more.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2" w:sz="4"/>
              <w:left w:val="single" w:color="1F3A5F" w:sz="18"/>
              <w:bottom w:val="single" w:color="B8C4D2" w:sz="4"/>
              <w:right w:val="single" w:color="B8C4D2" w:sz="4"/>
            </w:tcBorders>
            <w:shd w:fill="EEF2F7" w:color="auto" w:val="clear"/>
            <w:tcMar>
              <w:top w:type="dxa" w:w="90"/>
              <w:left w:type="dxa" w:w="160"/>
              <w:bottom w:type="dxa" w:w="90"/>
              <w:right w:type="dxa" w:w="160"/>
            </w:tcMar>
          </w:tcPr>
          <w:p>
            <w:pPr>
              <w:spacing w:after="30"/>
            </w:pPr>
            <w:r>
              <w:rPr>
                <w:rFonts w:ascii="Consolas" w:cs="Consolas" w:eastAsia="Consolas" w:hAnsi="Consolas"/>
                <w:color w:val="1B2A41"/>
                <w:sz w:val="19"/>
                <w:szCs w:val="19"/>
              </w:rPr>
              <w:t xml:space="preserve">a_diff = |A_comp − A_src| / max(A_src, 1.0)</w:t>
            </w:r>
          </w:p>
          <w:p>
            <w:pPr>
              <w:spacing w:after="30"/>
            </w:pPr>
            <w:r>
              <w:rPr>
                <w:rFonts w:ascii="Consolas" w:cs="Consolas" w:eastAsia="Consolas" w:hAnsi="Consolas"/>
                <w:color w:val="1B2A41"/>
                <w:sz w:val="19"/>
                <w:szCs w:val="19"/>
              </w:rPr>
              <w:t xml:space="preserve"/>
            </w:r>
          </w:p>
          <w:p>
            <w:pPr>
              <w:spacing w:after="30"/>
            </w:pPr>
            <w:r>
              <w:rPr>
                <w:rFonts w:ascii="Consolas" w:cs="Consolas" w:eastAsia="Consolas" w:hAnsi="Consolas"/>
                <w:color w:val="1B2A41"/>
                <w:sz w:val="19"/>
                <w:szCs w:val="19"/>
              </w:rPr>
              <w:t xml:space="preserve">S_area = max( 0.0, 100.0 × (1.0 − a_diff / 0.30) )</w:t>
            </w:r>
          </w:p>
          <w:p>
            <w:pPr>
              <w:spacing w:after="30"/>
            </w:pPr>
            <w:r>
              <w:rPr>
                <w:rFonts w:ascii="Consolas" w:cs="Consolas" w:eastAsia="Consolas" w:hAnsi="Consolas"/>
                <w:color w:val="1B2A41"/>
                <w:sz w:val="19"/>
                <w:szCs w:val="19"/>
              </w:rPr>
              <w:t xml:space="preserve">         if both areas are known</w:t>
            </w:r>
          </w:p>
          <w:p>
            <w:pPr>
              <w:spacing w:after="30"/>
            </w:pPr>
            <w:r>
              <w:rPr>
                <w:rFonts w:ascii="Consolas" w:cs="Consolas" w:eastAsia="Consolas" w:hAnsi="Consolas"/>
                <w:color w:val="1B2A41"/>
                <w:sz w:val="19"/>
                <w:szCs w:val="19"/>
              </w:rPr>
              <w:t xml:space="preserve">S_area = 50.0</w:t>
            </w:r>
          </w:p>
          <w:p>
            <w:pPr>
              <w:spacing w:after="30"/>
            </w:pPr>
            <w:r>
              <w:rPr>
                <w:rFonts w:ascii="Consolas" w:cs="Consolas" w:eastAsia="Consolas" w:hAnsi="Consolas"/>
                <w:color w:val="1B2A41"/>
                <w:sz w:val="19"/>
                <w:szCs w:val="19"/>
              </w:rPr>
              <w:t xml:space="preserve">         if candidate area known, subject unlisted</w:t>
            </w:r>
          </w:p>
          <w:p>
            <w:pPr>
              <w:spacing w:after="30"/>
            </w:pPr>
            <w:r>
              <w:rPr>
                <w:rFonts w:ascii="Consolas" w:cs="Consolas" w:eastAsia="Consolas" w:hAnsi="Consolas"/>
                <w:color w:val="1B2A41"/>
                <w:sz w:val="19"/>
                <w:szCs w:val="19"/>
              </w:rPr>
              <w:t xml:space="preserve">S_area = 0.0</w:t>
            </w:r>
          </w:p>
          <w:p>
            <w:pPr>
              <w:spacing w:after="30"/>
            </w:pPr>
            <w:r>
              <w:rPr>
                <w:rFonts w:ascii="Consolas" w:cs="Consolas" w:eastAsia="Consolas" w:hAnsi="Consolas"/>
                <w:color w:val="1B2A41"/>
                <w:sz w:val="19"/>
                <w:szCs w:val="19"/>
              </w:rPr>
              <w:t xml:space="preserve">         if candidate area is unlisted</w:t>
            </w:r>
          </w:p>
        </w:tc>
      </w:tr>
    </w:tbl>
    <w:p>
      <w:pPr>
        <w:pStyle w:val="Heading2"/>
        <w:spacing w:after="100" w:before="220"/>
      </w:pPr>
      <w:r>
        <w:rPr>
          <w:rFonts w:ascii="Calibri" w:cs="Calibri" w:eastAsia="Calibri" w:hAnsi="Calibri"/>
          <w:b/>
          <w:bCs/>
          <w:color w:val="1F3A5F"/>
          <w:sz w:val="26"/>
          <w:szCs w:val="26"/>
        </w:rPr>
        <w:t xml:space="preserve">Factor 4: Unit Type Match (S_unit)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0"/>
        <w:gridCol w:w="2038"/>
      </w:tblGrid>
      <w:tr>
        <w:trPr>
          <w:tblHeader/>
        </w:trPr>
        <w:tc>
          <w:tcPr>
            <w:tcW w:type="dxa" w:w="76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Situation</w:t>
            </w:r>
          </w:p>
        </w:tc>
        <w:tc>
          <w:tcPr>
            <w:tcW w:type="dxa" w:w="2038"/>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Score</w:t>
            </w:r>
          </w:p>
        </w:tc>
      </w:tr>
      <w:tr>
        <w:trPr>
          <w:cantSplit/>
        </w:trPr>
        <w:tc>
          <w:tcPr>
            <w:tcW w:type="dxa" w:w="76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Exact match: the subject's target unit (e.g. 2 BHK) is offered by the comparable</w:t>
            </w:r>
          </w:p>
        </w:tc>
        <w:tc>
          <w:tcPr>
            <w:tcW w:type="dxa" w:w="20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100.0</w:t>
            </w:r>
          </w:p>
        </w:tc>
      </w:tr>
      <w:tr>
        <w:trPr>
          <w:cantSplit/>
        </w:trPr>
        <w:tc>
          <w:tcPr>
            <w:tcW w:type="dxa" w:w="76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Mismatched layout: target unit missing, but other units present</w:t>
            </w:r>
          </w:p>
        </w:tc>
        <w:tc>
          <w:tcPr>
            <w:tcW w:type="dxa" w:w="20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30.0</w:t>
            </w:r>
          </w:p>
        </w:tc>
      </w:tr>
      <w:tr>
        <w:trPr>
          <w:cantSplit/>
        </w:trPr>
        <w:tc>
          <w:tcPr>
            <w:tcW w:type="dxa" w:w="76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Undisclosed: the comparable's unit types are unlisted</w:t>
            </w:r>
          </w:p>
        </w:tc>
        <w:tc>
          <w:tcPr>
            <w:tcW w:type="dxa" w:w="20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0.0</w:t>
            </w:r>
          </w:p>
        </w:tc>
      </w:tr>
    </w:tbl>
    <w:p>
      <w:pPr>
        <w:pStyle w:val="Heading2"/>
        <w:spacing w:after="100" w:before="220"/>
      </w:pPr>
      <w:r>
        <w:rPr>
          <w:rFonts w:ascii="Calibri" w:cs="Calibri" w:eastAsia="Calibri" w:hAnsi="Calibri"/>
          <w:b/>
          <w:bCs/>
          <w:color w:val="1F3A5F"/>
          <w:sz w:val="26"/>
          <w:szCs w:val="26"/>
        </w:rPr>
        <w:t xml:space="preserve">Factor 5: Developer Reputation (S_dev)</w:t>
      </w:r>
    </w:p>
    <w:p>
      <w:pPr>
        <w:spacing w:after="120" w:line="276"/>
      </w:pPr>
      <w:r>
        <w:rPr>
          <w:rFonts w:ascii="Calibri" w:cs="Calibri" w:eastAsia="Calibri" w:hAnsi="Calibri"/>
        </w:rPr>
        <w:t xml:space="preserve">Based on the tier gap, where Tier 1 = 1, Tier 2 = 2, Tier 3 =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2" w:sz="4"/>
              <w:left w:val="single" w:color="1F3A5F" w:sz="18"/>
              <w:bottom w:val="single" w:color="B8C4D2" w:sz="4"/>
              <w:right w:val="single" w:color="B8C4D2" w:sz="4"/>
            </w:tcBorders>
            <w:shd w:fill="EEF2F7" w:color="auto" w:val="clear"/>
            <w:tcMar>
              <w:top w:type="dxa" w:w="90"/>
              <w:left w:type="dxa" w:w="160"/>
              <w:bottom w:type="dxa" w:w="90"/>
              <w:right w:type="dxa" w:w="160"/>
            </w:tcMar>
          </w:tcPr>
          <w:p>
            <w:pPr>
              <w:spacing w:after="30"/>
            </w:pPr>
            <w:r>
              <w:rPr>
                <w:rFonts w:ascii="Consolas" w:cs="Consolas" w:eastAsia="Consolas" w:hAnsi="Consolas"/>
                <w:color w:val="1B2A41"/>
                <w:sz w:val="19"/>
                <w:szCs w:val="19"/>
              </w:rPr>
              <w:t xml:space="preserve">ΔT = |T_comp − T_src|</w:t>
            </w:r>
          </w:p>
          <w:p>
            <w:pPr>
              <w:spacing w:after="30"/>
            </w:pPr>
            <w:r>
              <w:rPr>
                <w:rFonts w:ascii="Consolas" w:cs="Consolas" w:eastAsia="Consolas" w:hAnsi="Consolas"/>
                <w:color w:val="1B2A41"/>
                <w:sz w:val="19"/>
                <w:szCs w:val="19"/>
              </w:rPr>
              <w:t xml:space="preserve"/>
            </w:r>
          </w:p>
          <w:p>
            <w:pPr>
              <w:spacing w:after="30"/>
            </w:pPr>
            <w:r>
              <w:rPr>
                <w:rFonts w:ascii="Consolas" w:cs="Consolas" w:eastAsia="Consolas" w:hAnsi="Consolas"/>
                <w:color w:val="1B2A41"/>
                <w:sz w:val="19"/>
                <w:szCs w:val="19"/>
              </w:rPr>
              <w:t xml:space="preserve">S_dev = 100.0   if ΔT = 0</w:t>
            </w:r>
          </w:p>
          <w:p>
            <w:pPr>
              <w:spacing w:after="30"/>
            </w:pPr>
            <w:r>
              <w:rPr>
                <w:rFonts w:ascii="Consolas" w:cs="Consolas" w:eastAsia="Consolas" w:hAnsi="Consolas"/>
                <w:color w:val="1B2A41"/>
                <w:sz w:val="19"/>
                <w:szCs w:val="19"/>
              </w:rPr>
              <w:t xml:space="preserve">S_dev =  65.0   if ΔT = 1</w:t>
            </w:r>
          </w:p>
          <w:p>
            <w:pPr>
              <w:spacing w:after="30"/>
            </w:pPr>
            <w:r>
              <w:rPr>
                <w:rFonts w:ascii="Consolas" w:cs="Consolas" w:eastAsia="Consolas" w:hAnsi="Consolas"/>
                <w:color w:val="1B2A41"/>
                <w:sz w:val="19"/>
                <w:szCs w:val="19"/>
              </w:rPr>
              <w:t xml:space="preserve">S_dev =  30.0   if ΔT = 2</w:t>
            </w:r>
          </w:p>
          <w:p>
            <w:pPr>
              <w:spacing w:after="30"/>
            </w:pPr>
            <w:r>
              <w:rPr>
                <w:rFonts w:ascii="Consolas" w:cs="Consolas" w:eastAsia="Consolas" w:hAnsi="Consolas"/>
                <w:color w:val="1B2A41"/>
                <w:sz w:val="19"/>
                <w:szCs w:val="19"/>
              </w:rPr>
              <w:t xml:space="preserve">S_dev =  50.0   if candidate tier known, subject tier unlisted</w:t>
            </w:r>
          </w:p>
          <w:p>
            <w:pPr>
              <w:spacing w:after="30"/>
            </w:pPr>
            <w:r>
              <w:rPr>
                <w:rFonts w:ascii="Consolas" w:cs="Consolas" w:eastAsia="Consolas" w:hAnsi="Consolas"/>
                <w:color w:val="1B2A41"/>
                <w:sz w:val="19"/>
                <w:szCs w:val="19"/>
              </w:rPr>
              <w:t xml:space="preserve">S_dev =   0.0   if candidate developer is unlisted</w:t>
            </w:r>
          </w:p>
        </w:tc>
      </w:tr>
    </w:tbl>
    <w:p>
      <w:pPr>
        <w:pStyle w:val="Heading2"/>
        <w:spacing w:after="100" w:before="220"/>
      </w:pPr>
      <w:r>
        <w:rPr>
          <w:rFonts w:ascii="Calibri" w:cs="Calibri" w:eastAsia="Calibri" w:hAnsi="Calibri"/>
          <w:b/>
          <w:bCs/>
          <w:color w:val="1F3A5F"/>
          <w:sz w:val="26"/>
          <w:szCs w:val="26"/>
        </w:rPr>
        <w:t xml:space="preserve">Factor 6: Construction Status and Age (S_age)</w:t>
      </w:r>
    </w:p>
    <w:p>
      <w:pPr>
        <w:spacing w:after="120" w:line="276"/>
      </w:pPr>
      <w:r>
        <w:rPr>
          <w:rFonts w:ascii="Calibri" w:cs="Calibri" w:eastAsia="Calibri" w:hAnsi="Calibri"/>
        </w:rPr>
        <w:t xml:space="preserve">First the status is compared to give a base score: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2" w:sz="4"/>
              <w:left w:val="single" w:color="1F3A5F" w:sz="18"/>
              <w:bottom w:val="single" w:color="B8C4D2" w:sz="4"/>
              <w:right w:val="single" w:color="B8C4D2" w:sz="4"/>
            </w:tcBorders>
            <w:shd w:fill="EEF2F7" w:color="auto" w:val="clear"/>
            <w:tcMar>
              <w:top w:type="dxa" w:w="90"/>
              <w:left w:type="dxa" w:w="160"/>
              <w:bottom w:type="dxa" w:w="90"/>
              <w:right w:type="dxa" w:w="160"/>
            </w:tcMar>
          </w:tcPr>
          <w:p>
            <w:pPr>
              <w:spacing w:after="30"/>
            </w:pPr>
            <w:r>
              <w:rPr>
                <w:rFonts w:ascii="Consolas" w:cs="Consolas" w:eastAsia="Consolas" w:hAnsi="Consolas"/>
                <w:color w:val="1B2A41"/>
                <w:sz w:val="19"/>
                <w:szCs w:val="19"/>
              </w:rPr>
              <w:t xml:space="preserve">S_status_base = 100.0   if Status_comp == Status_src</w:t>
            </w:r>
          </w:p>
          <w:p>
            <w:pPr>
              <w:spacing w:after="30"/>
            </w:pPr>
            <w:r>
              <w:rPr>
                <w:rFonts w:ascii="Consolas" w:cs="Consolas" w:eastAsia="Consolas" w:hAnsi="Consolas"/>
                <w:color w:val="1B2A41"/>
                <w:sz w:val="19"/>
                <w:szCs w:val="19"/>
              </w:rPr>
              <w:t xml:space="preserve">S_status_base =  60.0   if status differs (RTM vs UC)</w:t>
            </w:r>
          </w:p>
          <w:p>
            <w:pPr>
              <w:spacing w:after="30"/>
            </w:pPr>
            <w:r>
              <w:rPr>
                <w:rFonts w:ascii="Consolas" w:cs="Consolas" w:eastAsia="Consolas" w:hAnsi="Consolas"/>
                <w:color w:val="1B2A41"/>
                <w:sz w:val="19"/>
                <w:szCs w:val="19"/>
              </w:rPr>
              <w:t xml:space="preserve">S_status_base =  50.0   if candidate status known, subject status unlisted</w:t>
            </w:r>
          </w:p>
          <w:p>
            <w:pPr>
              <w:spacing w:after="30"/>
            </w:pPr>
            <w:r>
              <w:rPr>
                <w:rFonts w:ascii="Consolas" w:cs="Consolas" w:eastAsia="Consolas" w:hAnsi="Consolas"/>
                <w:color w:val="1B2A41"/>
                <w:sz w:val="19"/>
                <w:szCs w:val="19"/>
              </w:rPr>
              <w:t xml:space="preserve">S_status_base =   0.0   if candidate status is unlisted</w:t>
            </w:r>
          </w:p>
        </w:tc>
      </w:tr>
    </w:tbl>
    <w:p>
      <w:pPr>
        <w:spacing w:after="120" w:line="276"/>
      </w:pPr>
      <w:r>
        <w:rPr>
          <w:rFonts w:ascii="Calibri" w:cs="Calibri" w:eastAsia="Calibri" w:hAnsi="Calibri"/>
        </w:rPr>
        <w:t xml:space="preserve">If both project ages are known, the age gap is then deducted (4 points per year, with a floor of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2" w:sz="4"/>
              <w:left w:val="single" w:color="1F3A5F" w:sz="18"/>
              <w:bottom w:val="single" w:color="B8C4D2" w:sz="4"/>
              <w:right w:val="single" w:color="B8C4D2" w:sz="4"/>
            </w:tcBorders>
            <w:shd w:fill="EEF2F7" w:color="auto" w:val="clear"/>
            <w:tcMar>
              <w:top w:type="dxa" w:w="90"/>
              <w:left w:type="dxa" w:w="160"/>
              <w:bottom w:type="dxa" w:w="90"/>
              <w:right w:type="dxa" w:w="160"/>
            </w:tcMar>
          </w:tcPr>
          <w:p>
            <w:pPr>
              <w:spacing w:after="30"/>
            </w:pPr>
            <w:r>
              <w:rPr>
                <w:rFonts w:ascii="Consolas" w:cs="Consolas" w:eastAsia="Consolas" w:hAnsi="Consolas"/>
                <w:color w:val="1B2A41"/>
                <w:sz w:val="19"/>
                <w:szCs w:val="19"/>
              </w:rPr>
              <w:t xml:space="preserve">ΔAge = |Age_comp − Age_src|</w:t>
            </w:r>
          </w:p>
          <w:p>
            <w:pPr>
              <w:spacing w:after="30"/>
            </w:pPr>
            <w:r>
              <w:rPr>
                <w:rFonts w:ascii="Consolas" w:cs="Consolas" w:eastAsia="Consolas" w:hAnsi="Consolas"/>
                <w:color w:val="1B2A41"/>
                <w:sz w:val="19"/>
                <w:szCs w:val="19"/>
              </w:rPr>
              <w:t xml:space="preserve">S_age = max( 20.0, S_status_base − (ΔAge × 4.0) )</w:t>
            </w:r>
          </w:p>
        </w:tc>
      </w:tr>
    </w:tbl>
    <w:p>
      <w:pPr>
        <w:spacing w:after="120" w:line="276"/>
      </w:pPr>
      <w:r>
        <w:rPr>
          <w:rFonts w:ascii="Calibri" w:cs="Calibri" w:eastAsia="Calibri" w:hAnsi="Calibri"/>
          <w:b/>
          <w:bCs/>
        </w:rPr>
        <w:t xml:space="preserve">Example: </w:t>
      </w:r>
      <w:r>
        <w:rPr>
          <w:rFonts w:ascii="Calibri" w:cs="Calibri" w:eastAsia="Calibri" w:hAnsi="Calibri"/>
        </w:rPr>
        <w:t xml:space="preserve">both ready to move but 3 years apart in age: 100 − (3 × 4) = 88.</w:t>
      </w:r>
    </w:p>
    <w:p>
      <w:pPr>
        <w:pStyle w:val="Heading2"/>
        <w:spacing w:after="100" w:before="220"/>
      </w:pPr>
      <w:r>
        <w:rPr>
          <w:rFonts w:ascii="Calibri" w:cs="Calibri" w:eastAsia="Calibri" w:hAnsi="Calibri"/>
          <w:b/>
          <w:bCs/>
          <w:color w:val="1F3A5F"/>
          <w:sz w:val="26"/>
          <w:szCs w:val="26"/>
        </w:rPr>
        <w:t xml:space="preserve">Factor 7: Project Scale (S_scale)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0"/>
        <w:gridCol w:w="2038"/>
      </w:tblGrid>
      <w:tr>
        <w:trPr>
          <w:tblHeader/>
        </w:trPr>
        <w:tc>
          <w:tcPr>
            <w:tcW w:type="dxa" w:w="76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Situation</w:t>
            </w:r>
          </w:p>
        </w:tc>
        <w:tc>
          <w:tcPr>
            <w:tcW w:type="dxa" w:w="2038"/>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Score</w:t>
            </w:r>
          </w:p>
        </w:tc>
      </w:tr>
      <w:tr>
        <w:trPr>
          <w:cantSplit/>
        </w:trPr>
        <w:tc>
          <w:tcPr>
            <w:tcW w:type="dxa" w:w="76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Scale classifications match identically</w:t>
            </w:r>
          </w:p>
        </w:tc>
        <w:tc>
          <w:tcPr>
            <w:tcW w:type="dxa" w:w="20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100.0</w:t>
            </w:r>
          </w:p>
        </w:tc>
      </w:tr>
      <w:tr>
        <w:trPr>
          <w:cantSplit/>
        </w:trPr>
        <w:tc>
          <w:tcPr>
            <w:tcW w:type="dxa" w:w="76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Both are multi-acre (Gated Community ↔ Township)</w:t>
            </w:r>
          </w:p>
        </w:tc>
        <w:tc>
          <w:tcPr>
            <w:tcW w:type="dxa" w:w="20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80.0</w:t>
            </w:r>
          </w:p>
        </w:tc>
      </w:tr>
      <w:tr>
        <w:trPr>
          <w:cantSplit/>
        </w:trPr>
        <w:tc>
          <w:tcPr>
            <w:tcW w:type="dxa" w:w="76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Standalone Building ↔ Large Gated Complex</w:t>
            </w:r>
          </w:p>
        </w:tc>
        <w:tc>
          <w:tcPr>
            <w:tcW w:type="dxa" w:w="20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45.0</w:t>
            </w:r>
          </w:p>
        </w:tc>
      </w:tr>
      <w:tr>
        <w:trPr>
          <w:cantSplit/>
        </w:trPr>
        <w:tc>
          <w:tcPr>
            <w:tcW w:type="dxa" w:w="76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Candidate scale known, subject scale unlisted</w:t>
            </w:r>
          </w:p>
        </w:tc>
        <w:tc>
          <w:tcPr>
            <w:tcW w:type="dxa" w:w="20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50.0</w:t>
            </w:r>
          </w:p>
        </w:tc>
      </w:tr>
      <w:tr>
        <w:trPr>
          <w:cantSplit/>
        </w:trPr>
        <w:tc>
          <w:tcPr>
            <w:tcW w:type="dxa" w:w="76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Candidate scale is unlisted</w:t>
            </w:r>
          </w:p>
        </w:tc>
        <w:tc>
          <w:tcPr>
            <w:tcW w:type="dxa" w:w="20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0.0</w:t>
            </w:r>
          </w:p>
        </w:tc>
      </w:tr>
    </w:tbl>
    <w:p>
      <w:pPr>
        <w:spacing w:after="80"/>
      </w:pPr>
    </w:p>
    <w:p>
      <w:pPr>
        <w:pStyle w:val="Heading2"/>
        <w:spacing w:after="100" w:before="220"/>
      </w:pPr>
      <w:r>
        <w:rPr>
          <w:rFonts w:ascii="Calibri" w:cs="Calibri" w:eastAsia="Calibri" w:hAnsi="Calibri"/>
          <w:b/>
          <w:bCs/>
          <w:color w:val="1F3A5F"/>
          <w:sz w:val="26"/>
          <w:szCs w:val="26"/>
        </w:rPr>
        <w:t xml:space="preserve">6.2 What Happens When Data Is Missing</w:t>
      </w:r>
    </w:p>
    <w:p>
      <w:pPr>
        <w:spacing w:after="120" w:line="276"/>
      </w:pPr>
      <w:r>
        <w:rPr>
          <w:rFonts w:ascii="Calibri" w:cs="Calibri" w:eastAsia="Calibri" w:hAnsi="Calibri"/>
        </w:rPr>
        <w:t xml:space="preserve">This is the most important rule for reading scores: missing data on the candidate earns zero. Only when the subject's own detail is missing (so there is nothing to compare against) does the candidate receive a middle score of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638"/>
        <w:gridCol w:w="2000"/>
      </w:tblGrid>
      <w:tr>
        <w:trPr>
          <w:tblHeader/>
        </w:trPr>
        <w:tc>
          <w:tcPr>
            <w:tcW w:type="dxa" w:w="23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Factor</w:t>
            </w:r>
          </w:p>
        </w:tc>
        <w:tc>
          <w:tcPr>
            <w:tcW w:type="dxa" w:w="27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Both known</w:t>
            </w:r>
          </w:p>
        </w:tc>
        <w:tc>
          <w:tcPr>
            <w:tcW w:type="dxa" w:w="2638"/>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Candidate known, subject unlisted</w:t>
            </w:r>
          </w:p>
        </w:tc>
        <w:tc>
          <w:tcPr>
            <w:tcW w:type="dxa" w:w="20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Candidate unlisted</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Carpet area</w:t>
            </w:r>
          </w:p>
        </w:tc>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0 to 100 (formula)</w:t>
            </w:r>
          </w:p>
        </w:tc>
        <w:tc>
          <w:tcPr>
            <w:tcW w:type="dxa" w:w="26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50.0</w:t>
            </w:r>
          </w:p>
        </w:tc>
        <w:tc>
          <w:tcPr>
            <w:tcW w:type="dxa" w:w="2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0.0</w:t>
            </w:r>
          </w:p>
        </w:tc>
      </w:tr>
      <w:tr>
        <w:trPr>
          <w:cantSplit/>
        </w:trPr>
        <w:tc>
          <w:tcPr>
            <w:tcW w:type="dxa" w:w="23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Unit type</w:t>
            </w:r>
          </w:p>
        </w:tc>
        <w:tc>
          <w:tcPr>
            <w:tcW w:type="dxa" w:w="27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100 match / 30 mismatch</w:t>
            </w:r>
          </w:p>
        </w:tc>
        <w:tc>
          <w:tcPr>
            <w:tcW w:type="dxa" w:w="26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not defined in spec</w:t>
            </w:r>
          </w:p>
        </w:tc>
        <w:tc>
          <w:tcPr>
            <w:tcW w:type="dxa" w:w="20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0.0</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Developer tier</w:t>
            </w:r>
          </w:p>
        </w:tc>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100 / 65 / 30</w:t>
            </w:r>
          </w:p>
        </w:tc>
        <w:tc>
          <w:tcPr>
            <w:tcW w:type="dxa" w:w="26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50.0</w:t>
            </w:r>
          </w:p>
        </w:tc>
        <w:tc>
          <w:tcPr>
            <w:tcW w:type="dxa" w:w="2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0.0</w:t>
            </w:r>
          </w:p>
        </w:tc>
      </w:tr>
      <w:tr>
        <w:trPr>
          <w:cantSplit/>
        </w:trPr>
        <w:tc>
          <w:tcPr>
            <w:tcW w:type="dxa" w:w="23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Status &amp; age</w:t>
            </w:r>
          </w:p>
        </w:tc>
        <w:tc>
          <w:tcPr>
            <w:tcW w:type="dxa" w:w="27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100 / 60, then age deduction</w:t>
            </w:r>
          </w:p>
        </w:tc>
        <w:tc>
          <w:tcPr>
            <w:tcW w:type="dxa" w:w="26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50.0</w:t>
            </w:r>
          </w:p>
        </w:tc>
        <w:tc>
          <w:tcPr>
            <w:tcW w:type="dxa" w:w="20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0.0</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Project scale</w:t>
            </w:r>
          </w:p>
        </w:tc>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100 / 80 / 45</w:t>
            </w:r>
          </w:p>
        </w:tc>
        <w:tc>
          <w:tcPr>
            <w:tcW w:type="dxa" w:w="26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50.0</w:t>
            </w:r>
          </w:p>
        </w:tc>
        <w:tc>
          <w:tcPr>
            <w:tcW w:type="dxa" w:w="2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0.0</w:t>
            </w:r>
          </w:p>
        </w:tc>
      </w:tr>
    </w:tbl>
    <w:p>
      <w:pPr>
        <w:spacing w:after="80"/>
      </w:pPr>
    </w:p>
    <w:p>
      <w:pPr>
        <w:pStyle w:val="Heading2"/>
        <w:spacing w:after="100" w:before="220"/>
      </w:pPr>
      <w:r>
        <w:rPr>
          <w:rFonts w:ascii="Calibri" w:cs="Calibri" w:eastAsia="Calibri" w:hAnsi="Calibri"/>
          <w:b/>
          <w:bCs/>
          <w:color w:val="1F3A5F"/>
          <w:sz w:val="26"/>
          <w:szCs w:val="26"/>
        </w:rPr>
        <w:t xml:space="preserve">6.3 How the Factors Are Weighted</w:t>
      </w:r>
    </w:p>
    <w:p>
      <w:pPr>
        <w:spacing w:after="120" w:line="276"/>
      </w:pPr>
      <w:r>
        <w:rPr>
          <w:rFonts w:ascii="Calibri" w:cs="Calibri" w:eastAsia="Calibri" w:hAnsi="Calibri"/>
        </w:rPr>
        <w:t xml:space="preserve">Price carries the most weight when it is known. When a project's rate is unlisted, the price factor is switched off and its 25% is spread across the other factors, so physically similar buildings stay in the running.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3000"/>
        <w:gridCol w:w="3000"/>
      </w:tblGrid>
      <w:tr>
        <w:trPr>
          <w:tblHeader/>
        </w:trPr>
        <w:tc>
          <w:tcPr>
            <w:tcW w:type="dxa" w:w="3638"/>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Factor</w:t>
            </w:r>
          </w:p>
        </w:tc>
        <w:tc>
          <w:tcPr>
            <w:tcW w:type="dxa" w:w="30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Full mode (rate known)</w:t>
            </w:r>
          </w:p>
        </w:tc>
        <w:tc>
          <w:tcPr>
            <w:tcW w:type="dxa" w:w="30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Physical mode (rate unlisted)</w:t>
            </w:r>
          </w:p>
        </w:tc>
      </w:tr>
      <w:tr>
        <w:trPr>
          <w:cantSplit/>
        </w:trPr>
        <w:tc>
          <w:tcPr>
            <w:tcW w:type="dxa" w:w="36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Price closeness (S_price)</w:t>
            </w:r>
          </w:p>
        </w:tc>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25%</w:t>
            </w:r>
          </w:p>
        </w:tc>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0% (suppressed)</w:t>
            </w:r>
          </w:p>
        </w:tc>
      </w:tr>
      <w:tr>
        <w:trPr>
          <w:cantSplit/>
        </w:trPr>
        <w:tc>
          <w:tcPr>
            <w:tcW w:type="dxa" w:w="36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Distance (S_dist)</w:t>
            </w:r>
          </w:p>
        </w:tc>
        <w:tc>
          <w:tcPr>
            <w:tcW w:type="dxa" w:w="30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15%</w:t>
            </w:r>
          </w:p>
        </w:tc>
        <w:tc>
          <w:tcPr>
            <w:tcW w:type="dxa" w:w="30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20%</w:t>
            </w:r>
          </w:p>
        </w:tc>
      </w:tr>
      <w:tr>
        <w:trPr>
          <w:cantSplit/>
        </w:trPr>
        <w:tc>
          <w:tcPr>
            <w:tcW w:type="dxa" w:w="36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Carpet area (S_area)</w:t>
            </w:r>
          </w:p>
        </w:tc>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15%</w:t>
            </w:r>
          </w:p>
        </w:tc>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20%</w:t>
            </w:r>
          </w:p>
        </w:tc>
      </w:tr>
      <w:tr>
        <w:trPr>
          <w:cantSplit/>
        </w:trPr>
        <w:tc>
          <w:tcPr>
            <w:tcW w:type="dxa" w:w="36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Unit type (S_unit)</w:t>
            </w:r>
          </w:p>
        </w:tc>
        <w:tc>
          <w:tcPr>
            <w:tcW w:type="dxa" w:w="30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15%</w:t>
            </w:r>
          </w:p>
        </w:tc>
        <w:tc>
          <w:tcPr>
            <w:tcW w:type="dxa" w:w="30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20%</w:t>
            </w:r>
          </w:p>
        </w:tc>
      </w:tr>
      <w:tr>
        <w:trPr>
          <w:cantSplit/>
        </w:trPr>
        <w:tc>
          <w:tcPr>
            <w:tcW w:type="dxa" w:w="36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Developer tier (S_dev)</w:t>
            </w:r>
          </w:p>
        </w:tc>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10%</w:t>
            </w:r>
          </w:p>
        </w:tc>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15%</w:t>
            </w:r>
          </w:p>
        </w:tc>
      </w:tr>
      <w:tr>
        <w:trPr>
          <w:cantSplit/>
        </w:trPr>
        <w:tc>
          <w:tcPr>
            <w:tcW w:type="dxa" w:w="36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Status and age (S_age)</w:t>
            </w:r>
          </w:p>
        </w:tc>
        <w:tc>
          <w:tcPr>
            <w:tcW w:type="dxa" w:w="30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10%</w:t>
            </w:r>
          </w:p>
        </w:tc>
        <w:tc>
          <w:tcPr>
            <w:tcW w:type="dxa" w:w="30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15%</w:t>
            </w:r>
          </w:p>
        </w:tc>
      </w:tr>
      <w:tr>
        <w:trPr>
          <w:cantSplit/>
        </w:trPr>
        <w:tc>
          <w:tcPr>
            <w:tcW w:type="dxa" w:w="36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Project scale (S_scale)</w:t>
            </w:r>
          </w:p>
        </w:tc>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10%</w:t>
            </w:r>
          </w:p>
        </w:tc>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10%</w:t>
            </w:r>
          </w:p>
        </w:tc>
      </w:tr>
      <w:tr>
        <w:trPr>
          <w:cantSplit/>
        </w:trPr>
        <w:tc>
          <w:tcPr>
            <w:tcW w:type="dxa" w:w="36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Total</w:t>
            </w:r>
          </w:p>
        </w:tc>
        <w:tc>
          <w:tcPr>
            <w:tcW w:type="dxa" w:w="30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100%</w:t>
            </w:r>
          </w:p>
        </w:tc>
        <w:tc>
          <w:tcPr>
            <w:tcW w:type="dxa" w:w="30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100%</w:t>
            </w:r>
          </w:p>
        </w:tc>
      </w:tr>
    </w:tbl>
    <w:p>
      <w:pPr>
        <w:spacing w:after="80"/>
      </w:pPr>
    </w:p>
    <w:p>
      <w:pPr>
        <w:spacing w:after="120" w:line="276"/>
      </w:pPr>
      <w:r>
        <w:rPr>
          <w:rFonts w:ascii="Calibri" w:cs="Calibri" w:eastAsia="Calibri" w:hAnsi="Calibri"/>
        </w:rPr>
        <w:t xml:space="preserve">Composite formulas: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2" w:sz="4"/>
              <w:left w:val="single" w:color="1F3A5F" w:sz="18"/>
              <w:bottom w:val="single" w:color="B8C4D2" w:sz="4"/>
              <w:right w:val="single" w:color="B8C4D2" w:sz="4"/>
            </w:tcBorders>
            <w:shd w:fill="EEF2F7" w:color="auto" w:val="clear"/>
            <w:tcMar>
              <w:top w:type="dxa" w:w="90"/>
              <w:left w:type="dxa" w:w="160"/>
              <w:bottom w:type="dxa" w:w="90"/>
              <w:right w:type="dxa" w:w="160"/>
            </w:tcMar>
          </w:tcPr>
          <w:p>
            <w:pPr>
              <w:spacing w:after="30"/>
            </w:pPr>
            <w:r>
              <w:rPr>
                <w:rFonts w:ascii="Consolas" w:cs="Consolas" w:eastAsia="Consolas" w:hAnsi="Consolas"/>
                <w:color w:val="1B2A41"/>
                <w:sz w:val="19"/>
                <w:szCs w:val="19"/>
              </w:rPr>
              <w:t xml:space="preserve">Score_Full     = 0.25·S_price + 0.15·S_dist + 0.15·S_area + 0.15·S_unit + 0.10·S_dev + 0.10·S_age + 0.10·S_scale</w:t>
            </w:r>
          </w:p>
          <w:p>
            <w:pPr>
              <w:spacing w:after="30"/>
            </w:pPr>
            <w:r>
              <w:rPr>
                <w:rFonts w:ascii="Consolas" w:cs="Consolas" w:eastAsia="Consolas" w:hAnsi="Consolas"/>
                <w:color w:val="1B2A41"/>
                <w:sz w:val="19"/>
                <w:szCs w:val="19"/>
              </w:rPr>
              <w:t xml:space="preserve"/>
            </w:r>
          </w:p>
          <w:p>
            <w:pPr>
              <w:spacing w:after="30"/>
            </w:pPr>
            <w:r>
              <w:rPr>
                <w:rFonts w:ascii="Consolas" w:cs="Consolas" w:eastAsia="Consolas" w:hAnsi="Consolas"/>
                <w:color w:val="1B2A41"/>
                <w:sz w:val="19"/>
                <w:szCs w:val="19"/>
              </w:rPr>
              <w:t xml:space="preserve">Score_Physical = 0.20·S_dist + 0.20·S_area + 0.20·S_unit + 0.15·S_dev + 0.15·S_age + 0.10·S_scale</w:t>
            </w:r>
          </w:p>
          <w:p>
            <w:pPr>
              <w:spacing w:after="30"/>
            </w:pPr>
            <w:r>
              <w:rPr>
                <w:rFonts w:ascii="Consolas" w:cs="Consolas" w:eastAsia="Consolas" w:hAnsi="Consolas"/>
                <w:color w:val="1B2A41"/>
                <w:sz w:val="19"/>
                <w:szCs w:val="19"/>
              </w:rPr>
              <w:t xml:space="preserve"/>
            </w:r>
          </w:p>
          <w:p>
            <w:pPr>
              <w:spacing w:after="30"/>
            </w:pPr>
            <w:r>
              <w:rPr>
                <w:rFonts w:ascii="Consolas" w:cs="Consolas" w:eastAsia="Consolas" w:hAnsi="Consolas"/>
                <w:color w:val="1B2A41"/>
                <w:sz w:val="19"/>
                <w:szCs w:val="19"/>
              </w:rPr>
              <w:t xml:space="preserve">Final Valuation Match Score = round( S_composite , 1 )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4D2" w:sz="4"/>
              <w:left w:val="single" w:color="E0A100" w:sz="24"/>
              <w:bottom w:val="single" w:color="B8C4D2" w:sz="4"/>
              <w:right w:val="single" w:color="B8C4D2" w:sz="4"/>
            </w:tcBorders>
            <w:shd w:fill="FFF6E0" w:color="auto" w:val="clear"/>
            <w:tcMar>
              <w:top w:type="dxa" w:w="100"/>
              <w:left w:type="dxa" w:w="160"/>
              <w:bottom w:type="dxa" w:w="100"/>
              <w:right w:type="dxa" w:w="160"/>
            </w:tcMar>
          </w:tcPr>
          <w:p>
            <w:pPr>
              <w:spacing w:after="40"/>
            </w:pPr>
            <w:r>
              <w:rPr>
                <w:rFonts w:ascii="Calibri" w:cs="Calibri" w:eastAsia="Calibri" w:hAnsi="Calibri"/>
                <w:b/>
                <w:bCs/>
              </w:rPr>
              <w:t xml:space="preserve">Worked example 1 (Full mode):</w:t>
            </w:r>
            <w:r>
              <w:rPr>
                <w:rFonts w:ascii="Calibri" w:cs="Calibri" w:eastAsia="Calibri" w:hAnsi="Calibri"/>
              </w:rPr>
              <w:t xml:space="preserve">  a project 1 km away (67) with an identical rate (100), area score 80, matching unit (100), same developer tier (100), same status (100) and same scale (100): 0.25×100 + 0.15×67 + 0.15×80 + 0.15×100 + 0.10×100 + 0.10×100 + 0.10×100 ≈ 92.1%.</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4D2" w:sz="4"/>
              <w:left w:val="single" w:color="C0392B" w:sz="24"/>
              <w:bottom w:val="single" w:color="B8C4D2" w:sz="4"/>
              <w:right w:val="single" w:color="B8C4D2" w:sz="4"/>
            </w:tcBorders>
            <w:shd w:fill="FDECEA" w:color="auto" w:val="clear"/>
            <w:tcMar>
              <w:top w:type="dxa" w:w="100"/>
              <w:left w:type="dxa" w:w="160"/>
              <w:bottom w:type="dxa" w:w="100"/>
              <w:right w:type="dxa" w:w="160"/>
            </w:tcMar>
          </w:tcPr>
          <w:p>
            <w:pPr>
              <w:spacing w:after="40"/>
            </w:pPr>
            <w:r>
              <w:rPr>
                <w:rFonts w:ascii="Calibri" w:cs="Calibri" w:eastAsia="Calibri" w:hAnsi="Calibri"/>
                <w:b/>
                <w:bCs/>
              </w:rPr>
              <w:t xml:space="preserve">Worked example 2 (no data found):</w:t>
            </w:r>
            <w:r>
              <w:rPr>
                <w:rFonts w:ascii="Calibri" w:cs="Calibri" w:eastAsia="Calibri" w:hAnsi="Calibri"/>
              </w:rPr>
              <w:t xml:space="preserve">  a project 1 km away with nothing captured from the web. Every factor except distance is 0, so in Physical mode the score is 0.20 × 67 = 13.4%, and the status is ❌ Insufficient Data. This shows how the tool avoids inflating unverified projects.</w:t>
            </w:r>
          </w:p>
        </w:tc>
      </w:tr>
    </w:tbl>
    <w:p>
      <w:pPr>
        <w:pStyle w:val="Heading1"/>
        <w:spacing w:after="140" w:before="320"/>
      </w:pPr>
      <w:r>
        <w:rPr>
          <w:rFonts w:ascii="Calibri" w:cs="Calibri" w:eastAsia="Calibri" w:hAnsi="Calibri"/>
          <w:b/>
          <w:bCs/>
          <w:color w:val="1F3A5F"/>
          <w:sz w:val="32"/>
          <w:szCs w:val="32"/>
        </w:rPr>
        <w:t xml:space="preserve">7. Qualification Rules (Column 20: Status)</w:t>
      </w:r>
    </w:p>
    <w:p>
      <w:pPr>
        <w:spacing w:after="120" w:line="276"/>
      </w:pPr>
      <w:r>
        <w:rPr>
          <w:rFonts w:ascii="Calibri" w:cs="Calibri" w:eastAsia="Calibri" w:hAnsi="Calibri"/>
        </w:rPr>
        <w:t xml:space="preserve">Whether a project counts as a real comparable is decided by strict institutional rules that combine a range check with a minimum score: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Status shown</w:t>
            </w:r>
          </w:p>
        </w:tc>
        <w:tc>
          <w:tcPr>
            <w:tcW w:type="dxa" w:w="5838"/>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Condition</w:t>
            </w:r>
          </w:p>
        </w:tc>
      </w:tr>
      <w:tr>
        <w:trPr>
          <w:cantSplit/>
        </w:trPr>
        <w:tc>
          <w:tcPr>
            <w:tcW w:type="dxa" w:w="38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 Qualified Match (Verified Price Match)</w:t>
            </w:r>
          </w:p>
        </w:tc>
        <w:tc>
          <w:tcPr>
            <w:tcW w:type="dxa" w:w="58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Verified rate is inside the 80%–120% range AND overall score S_total ≥ 45.0%.</w:t>
            </w:r>
          </w:p>
        </w:tc>
      </w:tr>
      <w:tr>
        <w:trPr>
          <w:cantSplit/>
        </w:trPr>
        <w:tc>
          <w:tcPr>
            <w:tcW w:type="dxa" w:w="38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 Qualified Match (Verified Physical Match)</w:t>
            </w:r>
          </w:p>
        </w:tc>
        <w:tc>
          <w:tcPr>
            <w:tcW w:type="dxa" w:w="58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Rate is unlisted, but verified carpet area is inside the ±15% range AND overall score S_total ≥ 40.0%.</w:t>
            </w:r>
          </w:p>
        </w:tc>
      </w:tr>
      <w:tr>
        <w:trPr>
          <w:cantSplit/>
        </w:trPr>
        <w:tc>
          <w:tcPr>
            <w:tcW w:type="dxa" w:w="38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 Price Out of Range</w:t>
            </w:r>
          </w:p>
        </w:tc>
        <w:tc>
          <w:tcPr>
            <w:tcW w:type="dxa" w:w="58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Verified rate is outside the 80%–120% corridor.</w:t>
            </w:r>
          </w:p>
        </w:tc>
      </w:tr>
      <w:tr>
        <w:trPr>
          <w:cantSplit/>
        </w:trPr>
        <w:tc>
          <w:tcPr>
            <w:tcW w:type="dxa" w:w="38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 Area Out of Range</w:t>
            </w:r>
          </w:p>
        </w:tc>
        <w:tc>
          <w:tcPr>
            <w:tcW w:type="dxa" w:w="58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Carpet area is outside the ±15% corridor.</w:t>
            </w:r>
          </w:p>
        </w:tc>
      </w:tr>
      <w:tr>
        <w:trPr>
          <w:cantSplit/>
        </w:trPr>
        <w:tc>
          <w:tcPr>
            <w:tcW w:type="dxa" w:w="38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 Incomplete Specs (No Rate/Area)</w:t>
            </w:r>
          </w:p>
        </w:tc>
        <w:tc>
          <w:tcPr>
            <w:tcW w:type="dxa" w:w="58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Rate and area are both unlisted, but some minor attribute (e.g. developer or unit type) was found.</w:t>
            </w:r>
          </w:p>
        </w:tc>
      </w:tr>
      <w:tr>
        <w:trPr>
          <w:cantSplit/>
        </w:trPr>
        <w:tc>
          <w:tcPr>
            <w:tcW w:type="dxa" w:w="38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 Insufficient Data</w:t>
            </w:r>
          </w:p>
        </w:tc>
        <w:tc>
          <w:tcPr>
            <w:tcW w:type="dxa" w:w="58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No attributes at all were captured from public evidence.</w:t>
            </w:r>
          </w:p>
        </w:tc>
      </w:tr>
    </w:tbl>
    <w:p>
      <w:pPr>
        <w:pStyle w:val="Heading1"/>
        <w:spacing w:after="140" w:before="320"/>
      </w:pPr>
      <w:r>
        <w:rPr>
          <w:rFonts w:ascii="Calibri" w:cs="Calibri" w:eastAsia="Calibri" w:hAnsi="Calibri"/>
          <w:b/>
          <w:bCs/>
          <w:color w:val="1F3A5F"/>
          <w:sz w:val="32"/>
          <w:szCs w:val="32"/>
        </w:rPr>
        <w:t xml:space="preserve">8. Summary Numbers at the Top of the Screen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Number</w:t>
            </w:r>
          </w:p>
        </w:tc>
        <w:tc>
          <w:tcPr>
            <w:tcW w:type="dxa" w:w="6638"/>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What it means and how it is computed</w:t>
            </w:r>
          </w:p>
        </w:tc>
      </w:tr>
      <w:tr>
        <w:trPr>
          <w:cantSplit/>
        </w:trPr>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Total Comparables Found</w:t>
            </w:r>
          </w:p>
        </w:tc>
        <w:tc>
          <w:tcPr>
            <w:tcW w:type="dxa" w:w="66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Residential projects found nearby after non-residential places are removed.</w:t>
            </w:r>
          </w:p>
          <w:p>
            <w:pPr>
              <w:shd w:fill="EEF2F7" w:color="auto" w:val="clear"/>
              <w:spacing w:after="40"/>
            </w:pPr>
            <w:r>
              <w:rPr>
                <w:rFonts w:ascii="Consolas" w:cs="Consolas" w:eastAsia="Consolas" w:hAnsi="Consolas"/>
                <w:color w:val="1B2A41"/>
                <w:sz w:val="19"/>
                <w:szCs w:val="19"/>
              </w:rPr>
              <w:t xml:space="preserve">N_total = | { valid comparables } |</w:t>
            </w:r>
          </w:p>
        </w:tc>
      </w:tr>
      <w:tr>
        <w:trPr>
          <w:cantSplit/>
        </w:trPr>
        <w:tc>
          <w:tcPr>
            <w:tcW w:type="dxa" w:w="30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Qualified Projects</w:t>
            </w:r>
          </w:p>
        </w:tc>
        <w:tc>
          <w:tcPr>
            <w:tcW w:type="dxa" w:w="66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Projects with a composite similarity of 60% or more.</w:t>
            </w:r>
          </w:p>
          <w:p>
            <w:pPr>
              <w:shd w:fill="EEF2F7" w:color="auto" w:val="clear"/>
              <w:spacing w:after="40"/>
            </w:pPr>
            <w:r>
              <w:rPr>
                <w:rFonts w:ascii="Consolas" w:cs="Consolas" w:eastAsia="Consolas" w:hAnsi="Consolas"/>
                <w:color w:val="1B2A41"/>
                <w:sz w:val="19"/>
                <w:szCs w:val="19"/>
              </w:rPr>
              <w:t xml:space="preserve">N_qual = | { c ∈ valid comparables | S_total(c) ≥ 60.0 } |</w:t>
            </w:r>
          </w:p>
        </w:tc>
      </w:tr>
      <w:tr>
        <w:trPr>
          <w:cantSplit/>
        </w:trPr>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Allowable Price Range (80%–120%)</w:t>
            </w:r>
          </w:p>
        </w:tc>
        <w:tc>
          <w:tcPr>
            <w:tcW w:type="dxa" w:w="66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price band around the subject's benchmark rate.</w:t>
            </w:r>
          </w:p>
          <w:p>
            <w:pPr>
              <w:shd w:fill="EEF2F7" w:color="auto" w:val="clear"/>
              <w:spacing w:after="40"/>
            </w:pPr>
            <w:r>
              <w:rPr>
                <w:rFonts w:ascii="Consolas" w:cs="Consolas" w:eastAsia="Consolas" w:hAnsi="Consolas"/>
                <w:color w:val="1B2A41"/>
                <w:sz w:val="19"/>
                <w:szCs w:val="19"/>
              </w:rPr>
              <w:t xml:space="preserve">Range = [ 0.80 × R_src , 1.20 × R_src ]</w:t>
            </w:r>
          </w:p>
        </w:tc>
      </w:tr>
      <w:tr>
        <w:trPr>
          <w:cantSplit/>
        </w:trPr>
        <w:tc>
          <w:tcPr>
            <w:tcW w:type="dxa" w:w="30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Cluster Median Rate</w:t>
            </w:r>
          </w:p>
        </w:tc>
        <w:tc>
          <w:tcPr>
            <w:tcW w:type="dxa" w:w="66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middle value of all verified comparable rates; unlisted rates are left out.</w:t>
            </w:r>
          </w:p>
          <w:p>
            <w:pPr>
              <w:shd w:fill="EEF2F7" w:color="auto" w:val="clear"/>
              <w:spacing w:after="40"/>
            </w:pPr>
            <w:r>
              <w:rPr>
                <w:rFonts w:ascii="Consolas" w:cs="Consolas" w:eastAsia="Consolas" w:hAnsi="Consolas"/>
                <w:color w:val="1B2A41"/>
                <w:sz w:val="19"/>
                <w:szCs w:val="19"/>
              </w:rPr>
              <w:t xml:space="preserve">Median = med( { R_i | R_i &gt; 0 } )</w:t>
            </w:r>
          </w:p>
        </w:tc>
      </w:tr>
      <w:tr>
        <w:trPr>
          <w:cantSplit/>
        </w:trPr>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Interquartile Range (IQR)</w:t>
            </w:r>
          </w:p>
        </w:tc>
        <w:tc>
          <w:tcPr>
            <w:tcW w:type="dxa" w:w="66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How widely prices are spread across the middle half of projects. A small IQR means a tightly priced market.</w:t>
            </w:r>
          </w:p>
          <w:p>
            <w:pPr>
              <w:shd w:fill="EEF2F7" w:color="auto" w:val="clear"/>
              <w:spacing w:after="40"/>
            </w:pPr>
            <w:r>
              <w:rPr>
                <w:rFonts w:ascii="Consolas" w:cs="Consolas" w:eastAsia="Consolas" w:hAnsi="Consolas"/>
                <w:color w:val="1B2A41"/>
                <w:sz w:val="19"/>
                <w:szCs w:val="19"/>
              </w:rPr>
              <w:t xml:space="preserve">IQR = Q3 − Q1</w:t>
            </w:r>
          </w:p>
          <w:p>
            <w:pPr>
              <w:spacing w:after="40"/>
            </w:pPr>
            <w:r>
              <w:rPr>
                <w:rFonts w:ascii="Calibri" w:cs="Calibri" w:eastAsia="Calibri" w:hAnsi="Calibri"/>
                <w:b w:val="false"/>
                <w:bCs w:val="false"/>
                <w:sz w:val="20"/>
                <w:szCs w:val="20"/>
              </w:rPr>
              <w:t xml:space="preserve">Q1 is the 25th percentile and Q3 the 75th percentile of verified rates.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4D2" w:sz="4"/>
              <w:left w:val="single" w:color="E0A100" w:sz="24"/>
              <w:bottom w:val="single" w:color="B8C4D2" w:sz="4"/>
              <w:right w:val="single" w:color="B8C4D2" w:sz="4"/>
            </w:tcBorders>
            <w:shd w:fill="FFF6E0" w:color="auto" w:val="clear"/>
            <w:tcMar>
              <w:top w:type="dxa" w:w="100"/>
              <w:left w:type="dxa" w:w="160"/>
              <w:bottom w:type="dxa" w:w="100"/>
              <w:right w:type="dxa" w:w="160"/>
            </w:tcMar>
          </w:tcPr>
          <w:p>
            <w:pPr>
              <w:spacing w:after="40"/>
            </w:pPr>
            <w:r>
              <w:rPr>
                <w:rFonts w:ascii="Calibri" w:cs="Calibri" w:eastAsia="Calibri" w:hAnsi="Calibri"/>
                <w:b/>
                <w:bCs/>
              </w:rPr>
              <w:t xml:space="preserve">Note on thresholds:</w:t>
            </w:r>
            <w:r>
              <w:rPr>
                <w:rFonts w:ascii="Calibri" w:cs="Calibri" w:eastAsia="Calibri" w:hAnsi="Calibri"/>
              </w:rPr>
              <w:t xml:space="preserve">  the Qualified Projects count in the summary banner uses a 60% score cut-off, while the Status column (Section 7) uses 45% or 40% together with a range check. Both are reproduced here exactly as specified, so the banner count and the number of ✅ rows in the table may differ. Confirm with the engineering team which rule is intended.</w:t>
            </w:r>
          </w:p>
        </w:tc>
      </w:tr>
    </w:tbl>
    <w:p>
      <w:pPr>
        <w:pStyle w:val="Heading1"/>
        <w:spacing w:after="140" w:before="320"/>
      </w:pPr>
      <w:r>
        <w:rPr>
          <w:rFonts w:ascii="Calibri" w:cs="Calibri" w:eastAsia="Calibri" w:hAnsi="Calibri"/>
          <w:b/>
          <w:bCs/>
          <w:color w:val="1F3A5F"/>
          <w:sz w:val="32"/>
          <w:szCs w:val="32"/>
        </w:rPr>
        <w:t xml:space="preserve">9. Quick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Term</w:t>
            </w:r>
          </w:p>
        </w:tc>
        <w:tc>
          <w:tcPr>
            <w:tcW w:type="dxa" w:w="6638"/>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Meaning</w:t>
            </w:r>
          </w:p>
        </w:tc>
      </w:tr>
      <w:tr>
        <w:trPr>
          <w:cantSplit/>
        </w:trPr>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Subject property</w:t>
            </w:r>
          </w:p>
        </w:tc>
        <w:tc>
          <w:tcPr>
            <w:tcW w:type="dxa" w:w="66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project you are trying to value.</w:t>
            </w:r>
          </w:p>
        </w:tc>
      </w:tr>
      <w:tr>
        <w:trPr>
          <w:cantSplit/>
        </w:trPr>
        <w:tc>
          <w:tcPr>
            <w:tcW w:type="dxa" w:w="30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Comparable</w:t>
            </w:r>
          </w:p>
        </w:tc>
        <w:tc>
          <w:tcPr>
            <w:tcW w:type="dxa" w:w="66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 nearby project similar enough to use as a reference.</w:t>
            </w:r>
          </w:p>
        </w:tc>
      </w:tr>
      <w:tr>
        <w:trPr>
          <w:cantSplit/>
        </w:trPr>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Carpet area</w:t>
            </w:r>
          </w:p>
        </w:tc>
        <w:tc>
          <w:tcPr>
            <w:tcW w:type="dxa" w:w="66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Usable floor space inside the apartment walls.</w:t>
            </w:r>
          </w:p>
        </w:tc>
      </w:tr>
      <w:tr>
        <w:trPr>
          <w:cantSplit/>
        </w:trPr>
        <w:tc>
          <w:tcPr>
            <w:tcW w:type="dxa" w:w="30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BHK</w:t>
            </w:r>
          </w:p>
        </w:tc>
        <w:tc>
          <w:tcPr>
            <w:tcW w:type="dxa" w:w="66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Bedroom, Hall, Kitchen. A 2 BHK has two bedrooms.</w:t>
            </w:r>
          </w:p>
        </w:tc>
      </w:tr>
      <w:tr>
        <w:trPr>
          <w:cantSplit/>
        </w:trPr>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Ticket size</w:t>
            </w:r>
          </w:p>
        </w:tc>
        <w:tc>
          <w:tcPr>
            <w:tcW w:type="dxa" w:w="66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total price of an apartment, e.g. ₹75.61 L (lakh) or ₹1.25 Cr (crore).</w:t>
            </w:r>
          </w:p>
        </w:tc>
      </w:tr>
      <w:tr>
        <w:trPr>
          <w:cantSplit/>
        </w:trPr>
        <w:tc>
          <w:tcPr>
            <w:tcW w:type="dxa" w:w="30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RERA</w:t>
            </w:r>
          </w:p>
        </w:tc>
        <w:tc>
          <w:tcPr>
            <w:tcW w:type="dxa" w:w="66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real estate regulator; its filings list project details.</w:t>
            </w:r>
          </w:p>
        </w:tc>
      </w:tr>
      <w:tr>
        <w:trPr>
          <w:cantSplit/>
        </w:trPr>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RTM / UC</w:t>
            </w:r>
          </w:p>
        </w:tc>
        <w:tc>
          <w:tcPr>
            <w:tcW w:type="dxa" w:w="66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Ready to Move / Under Construction.</w:t>
            </w:r>
          </w:p>
        </w:tc>
      </w:tr>
      <w:tr>
        <w:trPr>
          <w:cantSplit/>
        </w:trPr>
        <w:tc>
          <w:tcPr>
            <w:tcW w:type="dxa" w:w="30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CHS</w:t>
            </w:r>
          </w:p>
        </w:tc>
        <w:tc>
          <w:tcPr>
            <w:tcW w:type="dxa" w:w="66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Co-operative Housing Society.</w:t>
            </w:r>
          </w:p>
        </w:tc>
      </w:tr>
      <w:tr>
        <w:trPr>
          <w:cantSplit/>
        </w:trPr>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Geocoding</w:t>
            </w:r>
          </w:p>
        </w:tc>
        <w:tc>
          <w:tcPr>
            <w:tcW w:type="dxa" w:w="66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Converting a name or address into map coordinates.</w:t>
            </w:r>
          </w:p>
        </w:tc>
      </w:tr>
      <w:tr>
        <w:trPr>
          <w:cantSplit/>
        </w:trPr>
        <w:tc>
          <w:tcPr>
            <w:tcW w:type="dxa" w:w="30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Haversine</w:t>
            </w:r>
          </w:p>
        </w:tc>
        <w:tc>
          <w:tcPr>
            <w:tcW w:type="dxa" w:w="66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 formula for straight-line distance between two map points.</w:t>
            </w:r>
          </w:p>
        </w:tc>
      </w:tr>
      <w:tr>
        <w:trPr>
          <w:cantSplit/>
        </w:trPr>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Median</w:t>
            </w:r>
          </w:p>
        </w:tc>
        <w:tc>
          <w:tcPr>
            <w:tcW w:type="dxa" w:w="6638"/>
            <w:tcBorders>
              <w:top w:val="single" w:color="B8C4D2" w:sz="4"/>
              <w:left w:val="single" w:color="B8C4D2" w:sz="4"/>
              <w:bottom w:val="single" w:color="B8C4D2" w:sz="4"/>
              <w:right w:val="single" w:color="B8C4D2"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middle value when numbers are lined up from lowest to highest.</w:t>
            </w:r>
          </w:p>
        </w:tc>
      </w:tr>
      <w:tr>
        <w:trPr>
          <w:cantSplit/>
        </w:trPr>
        <w:tc>
          <w:tcPr>
            <w:tcW w:type="dxa" w:w="30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Imputation</w:t>
            </w:r>
          </w:p>
        </w:tc>
        <w:tc>
          <w:tcPr>
            <w:tcW w:type="dxa" w:w="6638"/>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Filling a missing value with an estimate. This tool never does it.</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A8D"/>
        <w:sz w:val="18"/>
        <w:szCs w:val="18"/>
      </w:rPr>
      <w:t xml:space="preserve">Comparable Projects Valuation Engine  |  Page </w:t>
    </w:r>
    <w:r>
      <w:rPr>
        <w:rFonts w:ascii="Calibri" w:cs="Calibri" w:eastAsia="Calibri" w:hAnsi="Calibri"/>
        <w:color w:val="6B7A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2026-10-27T15:36:48.484Z</dcterms:created>
  <dcterms:modified xsi:type="dcterms:W3CDTF">2026-10-27T15:36:48.484Z</dcterms:modified>
</cp:coreProperties>
</file>

<file path=docProps/custom.xml><?xml version="1.0" encoding="utf-8"?>
<Properties xmlns="http://schemas.openxmlformats.org/officeDocument/2006/custom-properties" xmlns:vt="http://schemas.openxmlformats.org/officeDocument/2006/docPropsVTypes"/>
</file>