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California Unemployment</w:t>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Rate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on California’s Unemployment Rate</w:t>
      </w:r>
    </w:p>
    <w:p w:rsidR="00000000" w:rsidDel="00000000" w:rsidP="00000000" w:rsidRDefault="00000000" w:rsidRPr="00000000" w14:paraId="00000008">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https://data.ca.gov/dataset/local-area-unemployment-statistics-laus/resource/b4bc4656-7866-420f-8d87-4eda4c9996ed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might imagine that California is a top destination for fresh UIUC graduates, it being the tech powerhouse that it is. Many, drawn by the allure of the Golden State, decide to abandon everything for their new job in Silicon Valley.  It’s one thing, however, to have a job secured before making such a move, and another to have a set of backup jobs in mind should any issues arise with the current job.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population of nearly </w:t>
      </w:r>
      <w:hyperlink r:id="rId8">
        <w:r w:rsidDel="00000000" w:rsidR="00000000" w:rsidRPr="00000000">
          <w:rPr>
            <w:rFonts w:ascii="Times New Roman" w:cs="Times New Roman" w:eastAsia="Times New Roman" w:hAnsi="Times New Roman"/>
            <w:color w:val="1155cc"/>
            <w:sz w:val="24"/>
            <w:szCs w:val="24"/>
            <w:u w:val="single"/>
            <w:rtl w:val="0"/>
          </w:rPr>
          <w:t xml:space="preserve">40 million</w:t>
        </w:r>
      </w:hyperlink>
      <w:r w:rsidDel="00000000" w:rsidR="00000000" w:rsidRPr="00000000">
        <w:rPr>
          <w:rFonts w:ascii="Times New Roman" w:cs="Times New Roman" w:eastAsia="Times New Roman" w:hAnsi="Times New Roman"/>
          <w:sz w:val="24"/>
          <w:szCs w:val="24"/>
          <w:rtl w:val="0"/>
        </w:rPr>
        <w:t xml:space="preserve">, California lawmakers are constantly wrestling with their state economy, facing high i</w:t>
      </w:r>
      <w:hyperlink r:id="rId9">
        <w:r w:rsidDel="00000000" w:rsidR="00000000" w:rsidRPr="00000000">
          <w:rPr>
            <w:rFonts w:ascii="Times New Roman" w:cs="Times New Roman" w:eastAsia="Times New Roman" w:hAnsi="Times New Roman"/>
            <w:color w:val="1155cc"/>
            <w:sz w:val="24"/>
            <w:szCs w:val="24"/>
            <w:u w:val="single"/>
            <w:rtl w:val="0"/>
          </w:rPr>
          <w:t xml:space="preserve">nflation</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poverty rates</w:t>
        </w:r>
      </w:hyperlink>
      <w:r w:rsidDel="00000000" w:rsidR="00000000" w:rsidRPr="00000000">
        <w:rPr>
          <w:rFonts w:ascii="Times New Roman" w:cs="Times New Roman" w:eastAsia="Times New Roman" w:hAnsi="Times New Roman"/>
          <w:sz w:val="24"/>
          <w:szCs w:val="24"/>
          <w:rtl w:val="0"/>
        </w:rPr>
        <w:t xml:space="preserve">, which are in many ways related to employment–or the lack thereof.</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Is it possible to predict the employment rate in California throughout the rest of the decade? Such a prediction may prove useful to the prospective Californian, California State lawmaker, or current California citizen looking to leave–or stay– within their state.</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rate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Labor Force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Employment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Unemployment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Type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unemployment self-exciting? Consider using a RNN </w:t>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rtl w:val="0"/>
        </w:rPr>
        <w:t xml:space="preserve">Project Curated by Jared Canty (Summer 2022 Blackwell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pic.org/publication/poverty-in-california/" TargetMode="External"/><Relationship Id="rId9" Type="http://schemas.openxmlformats.org/officeDocument/2006/relationships/hyperlink" Target="https://calmatters.org/newsletters/whatmatters/2022/05/unemployment-ca-inflation-gas-pric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ca.gov/dataset/local-area-unemployment-statistics-laus/resource/b4bc4656-7866-420f-8d87-4eda4c9996ed" TargetMode="External"/><Relationship Id="rId8" Type="http://schemas.openxmlformats.org/officeDocument/2006/relationships/hyperlink" Target="https://www.census.gov/quickfact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