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64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3240" w:hRule="atLeast"/>
        </w:trPr>
        <w:tc>
          <w:tcPr>
            <w:tcW w:type="dxa" w:w="11640"/>
            <w:shd w:fill="1F3864" w:val="clear"/>
            <w:tcMar>
              <w:top w:type="dxa" w:w="1200"/>
              <w:left w:type="dxa" w:w="700"/>
              <w:bottom w:type="dxa" w:w="1200"/>
              <w:right w:type="dxa" w:w="700"/>
            </w:tcMar>
            <w:vAlign w:val="center"/>
          </w:tcPr>
          <w:p>
            <w:pPr>
              <w:spacing w:after="260"/>
              <w:jc w:val="center"/>
            </w:pPr>
            <w:r>
              <w:rPr>
                <w:rFonts w:ascii="Calibri" w:cs="Calibri" w:eastAsia="Calibri" w:hAnsi="Calibri"/>
                <w:b/>
                <w:bCs/>
                <w:color w:val="C9A24B"/>
                <w:spacing w:val="20"/>
                <w:sz w:val="20"/>
                <w:szCs w:val="20"/>
              </w:rPr>
              <w:t xml:space="preserve">CORPORATE PROFILE  —  2026</w:t>
            </w:r>
          </w:p>
          <w:p>
            <w:pPr>
              <w:spacing w:after="40"/>
              <w:jc w:val="center"/>
            </w:pPr>
            <w:r>
              <w:rPr>
                <w:rFonts w:ascii="Calibri" w:cs="Calibri" w:eastAsia="Calibri" w:hAnsi="Calibri"/>
                <w:b/>
                <w:bCs/>
                <w:color w:val="FFFFFF"/>
                <w:spacing w:val="30"/>
                <w:sz w:val="60"/>
                <w:szCs w:val="60"/>
              </w:rPr>
              <w:t xml:space="preserve">MINDCRAFT</w:t>
            </w:r>
          </w:p>
          <w:p>
            <w:pPr>
              <w:spacing w:after="320"/>
              <w:jc w:val="center"/>
            </w:pPr>
            <w:r>
              <w:rPr>
                <w:rFonts w:ascii="Calibri" w:cs="Calibri" w:eastAsia="Calibri" w:hAnsi="Calibri"/>
                <w:b/>
                <w:bCs/>
                <w:color w:val="C9A24B"/>
                <w:sz w:val="30"/>
                <w:szCs w:val="30"/>
              </w:rPr>
              <w:t xml:space="preserve">Consultancy Services</w:t>
            </w:r>
          </w:p>
          <w:p>
            <w:pPr>
              <w:spacing w:after="60"/>
              <w:jc w:val="center"/>
            </w:pPr>
            <w:r>
              <w:rPr>
                <w:rFonts w:ascii="Calibri" w:cs="Calibri" w:eastAsia="Calibri" w:hAnsi="Calibri"/>
                <w:color w:val="FFFFFF"/>
                <w:sz w:val="21"/>
                <w:szCs w:val="21"/>
              </w:rPr>
              <w:t xml:space="preserve">Business Consulting  |  Market Research  |  AI Training  |  AI Enterprise Solutions</w:t>
            </w:r>
          </w:p>
          <w:p>
            <w:pPr>
              <w:spacing w:after="40" w:before="500"/>
              <w:jc w:val="center"/>
            </w:pPr>
            <w:r>
              <w:rPr>
                <w:rFonts w:ascii="Calibri" w:cs="Calibri" w:eastAsia="Calibri" w:hAnsi="Calibri"/>
                <w:i/>
                <w:iCs/>
                <w:color w:val="FFFFFF"/>
                <w:sz w:val="22"/>
                <w:szCs w:val="22"/>
              </w:rPr>
              <w:t xml:space="preserve">Core Expertise in Life Sciences</w:t>
            </w:r>
          </w:p>
          <w:p>
            <w:pPr>
              <w:spacing w:after="40" w:before="60"/>
              <w:jc w:val="center"/>
            </w:pPr>
            <w:r>
              <w:rPr>
                <w:rFonts w:ascii="Calibri" w:cs="Calibri" w:eastAsia="Calibri" w:hAnsi="Calibri"/>
                <w:color w:val="C9D3E8"/>
                <w:sz w:val="17"/>
                <w:szCs w:val="17"/>
              </w:rPr>
              <w:t xml:space="preserve">Pharmaceuticals · Medical Devices · Diagnostics · Hospitals · Chemicals · Agrochemicals · Automotive · Banking &amp; Finance</w:t>
            </w:r>
          </w:p>
          <w:p>
            <w:pPr>
              <w:spacing w:after="40" w:before="500"/>
              <w:jc w:val="center"/>
            </w:pPr>
            <w:r>
              <w:rPr>
                <w:rFonts w:ascii="Calibri" w:cs="Calibri" w:eastAsia="Calibri" w:hAnsi="Calibri"/>
                <w:b/>
                <w:bCs/>
                <w:color w:val="FFFFFF"/>
                <w:sz w:val="22"/>
                <w:szCs w:val="22"/>
              </w:rPr>
              <w:t xml:space="preserve">Headquartered in Nairobi, Kenya</w:t>
            </w:r>
          </w:p>
          <w:p>
            <w:pPr>
              <w:jc w:val="center"/>
            </w:pPr>
            <w:r>
              <w:rPr>
                <w:rFonts w:ascii="Calibri" w:cs="Calibri" w:eastAsia="Calibri" w:hAnsi="Calibri"/>
                <w:color w:val="FFFFFF"/>
                <w:sz w:val="19"/>
                <w:szCs w:val="19"/>
              </w:rPr>
              <w:t xml:space="preserve">Serving Africa, Europe &amp; the United States — with deep focus across the African continent</w:t>
            </w:r>
          </w:p>
        </w:tc>
      </w:tr>
    </w:tbl>
    <w:p>
      <w:pPr>
        <w:sectPr>
          <w:footerReference w:type="default" r:id="rId7"/>
          <w:pgSz w:w="12240" w:h="15840" w:orient="portrait"/>
          <w:pgMar w:top="300" w:right="300" w:bottom="300" w:left="300" w:header="708" w:footer="708" w:gutter="0"/>
          <w:pgNumType/>
          <w:docGrid w:linePitch="360"/>
        </w:sectPr>
      </w:pPr>
    </w:p>
    <w:p>
      <w:pPr>
        <w:pStyle w:val="Heading1"/>
        <w:pBdr>
          <w:bottom w:val="single" w:color="1F3864" w:sz="8" w:space="4"/>
        </w:pBdr>
        <w:spacing w:after="160" w:before="320"/>
      </w:pPr>
      <w:r>
        <w:rPr>
          <w:rFonts w:ascii="Calibri" w:cs="Calibri" w:eastAsia="Calibri" w:hAnsi="Calibri"/>
          <w:b/>
          <w:bCs/>
          <w:color w:val="1F3864"/>
          <w:sz w:val="30"/>
          <w:szCs w:val="30"/>
        </w:rPr>
        <w:t xml:space="preserve">Table of Contents</w:t>
      </w:r>
    </w:p>
    <w:p>
      <w:pPr>
        <w:spacing w:after="120" w:line="276"/>
      </w:pPr>
      <w:r>
        <w:rPr>
          <w:rFonts w:ascii="Calibri" w:cs="Calibri" w:eastAsia="Calibri" w:hAnsi="Calibri"/>
          <w:color w:val="333333"/>
          <w:sz w:val="21"/>
          <w:szCs w:val="21"/>
        </w:rPr>
        <w:t xml:space="preserve">Right-click the table of contents and choose “Update Field” if page numbers need refreshing.</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160" w:before="320"/>
      </w:pPr>
      <w:r>
        <w:rPr>
          <w:rFonts w:ascii="Calibri" w:cs="Calibri" w:eastAsia="Calibri" w:hAnsi="Calibri"/>
          <w:b/>
          <w:bCs/>
          <w:color w:val="1F3864"/>
          <w:sz w:val="30"/>
          <w:szCs w:val="30"/>
        </w:rPr>
        <w:t xml:space="preserve">1. Company Overview</w:t>
      </w:r>
    </w:p>
    <w:p>
      <w:pPr>
        <w:spacing w:after="120" w:line="276"/>
      </w:pPr>
      <w:r>
        <w:rPr>
          <w:rFonts w:ascii="Calibri" w:cs="Calibri" w:eastAsia="Calibri" w:hAnsi="Calibri"/>
          <w:color w:val="333333"/>
          <w:sz w:val="21"/>
          <w:szCs w:val="21"/>
        </w:rPr>
        <w:t xml:space="preserve">MindCraft Consultancy Services (“MindCraft”) is a Nairobi, Kenya-headquartered consultancy providing integrated Business Consulting, Market Research, AI Training and AI Enterprise Solutions to organizations across diversified industry verticals. Established in 2026, MindCraft was founded to close a critical gap in the market — the absence of a single, trusted partner that combines deep sector expertise with practical, applied artificial intelligence capability.</w:t>
      </w:r>
    </w:p>
    <w:p>
      <w:pPr>
        <w:spacing w:after="120" w:line="276"/>
      </w:pPr>
      <w:r>
        <w:rPr>
          <w:rFonts w:ascii="Calibri" w:cs="Calibri" w:eastAsia="Calibri" w:hAnsi="Calibri"/>
          <w:color w:val="333333"/>
          <w:sz w:val="21"/>
          <w:szCs w:val="21"/>
        </w:rPr>
        <w:t xml:space="preserve">While MindCraft serves clients across Pharmaceuticals, Medical Devices, Medical Diagnostics, Medical Equipment, Surgical Consumables, Hospitals, Chemicals, Agrochemicals, Automotive, and Banking &amp; Finance, the firm's core expertise and heritage lie in the Life Sciences segment. This specialization allows MindCraft to bring regulatory fluency, clinical and commercial context, and industry-specific benchmarks into every engagement — whether the client is a global pharmaceutical major, a regional hospital group, or a fast-growing agrochemical distributor.</w:t>
      </w:r>
    </w:p>
    <w:p>
      <w:pPr>
        <w:spacing w:after="120" w:line="276"/>
      </w:pPr>
      <w:r>
        <w:rPr>
          <w:rFonts w:ascii="Calibri" w:cs="Calibri" w:eastAsia="Calibri" w:hAnsi="Calibri"/>
          <w:color w:val="333333"/>
          <w:sz w:val="21"/>
          <w:szCs w:val="21"/>
        </w:rPr>
        <w:t xml:space="preserve">MindCraft operates from its Nairobi headquarters with service delivery across Africa, Europe and the United States. The firm maintains a significant and deliberate focus on the African continent, where it combines on-the-ground market knowledge with international consulting standards to help clients navigate complex, fast-evolving and often under-researched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EEF1F8" w:val="clear"/>
            <w:tcMar>
              <w:top w:type="dxa" w:w="160"/>
              <w:left w:type="dxa" w:w="200"/>
              <w:bottom w:type="dxa" w:w="160"/>
              <w:right w:type="dxa" w:w="200"/>
            </w:tcMar>
          </w:tcPr>
          <w:p>
            <w:r>
              <w:rPr>
                <w:rFonts w:ascii="Calibri" w:cs="Calibri" w:eastAsia="Calibri" w:hAnsi="Calibri"/>
                <w:b/>
                <w:bCs/>
                <w:color w:val="1F3864"/>
                <w:sz w:val="21"/>
                <w:szCs w:val="21"/>
              </w:rPr>
              <w:t xml:space="preserve">MindCraft at a glance: Founded 2026  ·  Headquartered in Nairobi, Kenya  ·  Core expertise in Life Sciences  ·  Active across Africa, Europe &amp; the USA  ·  Four integrated service pillars: Business Consulting, Market Research, AI Training, AI Enterprise Solutions.</w:t>
            </w:r>
          </w:p>
        </w:tc>
      </w:tr>
    </w:tbl>
    <w:p>
      <w:pPr>
        <w:spacing w:after="160"/>
      </w:pPr>
    </w:p>
    <w:p>
      <w:pPr>
        <w:pStyle w:val="Heading2"/>
        <w:spacing w:after="120" w:before="240"/>
      </w:pPr>
      <w:r>
        <w:rPr>
          <w:rFonts w:ascii="Calibri" w:cs="Calibri" w:eastAsia="Calibri" w:hAnsi="Calibri"/>
          <w:b/>
          <w:bCs/>
          <w:color w:val="2E4E8C"/>
          <w:sz w:val="25"/>
          <w:szCs w:val="25"/>
        </w:rPr>
        <w:t xml:space="preserve">Vision</w:t>
      </w:r>
    </w:p>
    <w:p>
      <w:pPr>
        <w:spacing w:after="200"/>
      </w:pPr>
      <w:r>
        <w:rPr>
          <w:rFonts w:ascii="Calibri" w:cs="Calibri" w:eastAsia="Calibri" w:hAnsi="Calibri"/>
          <w:i/>
          <w:iCs/>
          <w:color w:val="1F3864"/>
          <w:sz w:val="22"/>
          <w:szCs w:val="22"/>
        </w:rPr>
        <w:t xml:space="preserve">To be Africa's most trusted partner for AI-powered business growth — recognized globally for combining deep Life Sciences expertise with practical, ethical and impactful artificial intelligence adoption.</w:t>
      </w:r>
    </w:p>
    <w:p>
      <w:pPr>
        <w:pStyle w:val="Heading2"/>
        <w:spacing w:after="120" w:before="240"/>
      </w:pPr>
      <w:r>
        <w:rPr>
          <w:rFonts w:ascii="Calibri" w:cs="Calibri" w:eastAsia="Calibri" w:hAnsi="Calibri"/>
          <w:b/>
          <w:bCs/>
          <w:color w:val="2E4E8C"/>
          <w:sz w:val="25"/>
          <w:szCs w:val="25"/>
        </w:rPr>
        <w:t xml:space="preserve">Mission</w:t>
      </w:r>
    </w:p>
    <w:p>
      <w:pPr>
        <w:spacing w:after="200"/>
      </w:pPr>
      <w:r>
        <w:rPr>
          <w:rFonts w:ascii="Calibri" w:cs="Calibri" w:eastAsia="Calibri" w:hAnsi="Calibri"/>
          <w:i/>
          <w:iCs/>
          <w:color w:val="1F3864"/>
          <w:sz w:val="22"/>
          <w:szCs w:val="22"/>
        </w:rPr>
        <w:t xml:space="preserve">To equip organizations across Africa, Europe and the United States with the market intelligence, strategic advisory and AI capability they need to compete, grow and lead in their industries — with a special commitment to advancing Life Sciences enterprises operating in and around the African continent.</w:t>
      </w:r>
    </w:p>
    <w:p>
      <w:pPr>
        <w:pStyle w:val="Heading2"/>
        <w:spacing w:after="120" w:before="240"/>
      </w:pPr>
      <w:r>
        <w:rPr>
          <w:rFonts w:ascii="Calibri" w:cs="Calibri" w:eastAsia="Calibri" w:hAnsi="Calibri"/>
          <w:b/>
          <w:bCs/>
          <w:color w:val="2E4E8C"/>
          <w:sz w:val="25"/>
          <w:szCs w:val="25"/>
        </w:rPr>
        <w:t xml:space="preserve">Core Values</w:t>
      </w:r>
    </w:p>
    <w:p>
      <w:pPr>
        <w:pStyle w:val="ListParagraph"/>
        <w:numPr>
          <w:ilvl w:val="0"/>
          <w:numId w:val="1"/>
        </w:numPr>
        <w:spacing w:after="80" w:line="270"/>
      </w:pPr>
      <w:r>
        <w:rPr>
          <w:rFonts w:ascii="Calibri" w:cs="Calibri" w:eastAsia="Calibri" w:hAnsi="Calibri"/>
          <w:color w:val="333333"/>
          <w:sz w:val="21"/>
          <w:szCs w:val="21"/>
        </w:rPr>
        <w:t xml:space="preserve">Sector depth — advice and solutions grounded in real industry knowledge, not generic frameworks.</w:t>
      </w:r>
    </w:p>
    <w:p>
      <w:pPr>
        <w:pStyle w:val="ListParagraph"/>
        <w:numPr>
          <w:ilvl w:val="0"/>
          <w:numId w:val="1"/>
        </w:numPr>
        <w:spacing w:after="80" w:line="270"/>
      </w:pPr>
      <w:r>
        <w:rPr>
          <w:rFonts w:ascii="Calibri" w:cs="Calibri" w:eastAsia="Calibri" w:hAnsi="Calibri"/>
          <w:color w:val="333333"/>
          <w:sz w:val="21"/>
          <w:szCs w:val="21"/>
        </w:rPr>
        <w:t xml:space="preserve">Applied rigor — research and AI outputs that are decision-ready, not academic exercises.</w:t>
      </w:r>
    </w:p>
    <w:p>
      <w:pPr>
        <w:pStyle w:val="ListParagraph"/>
        <w:numPr>
          <w:ilvl w:val="0"/>
          <w:numId w:val="1"/>
        </w:numPr>
        <w:spacing w:after="80" w:line="270"/>
      </w:pPr>
      <w:r>
        <w:rPr>
          <w:rFonts w:ascii="Calibri" w:cs="Calibri" w:eastAsia="Calibri" w:hAnsi="Calibri"/>
          <w:color w:val="333333"/>
          <w:sz w:val="21"/>
          <w:szCs w:val="21"/>
        </w:rPr>
        <w:t xml:space="preserve">African context, global standard — world-class consulting delivered with authentic local understanding.</w:t>
      </w:r>
    </w:p>
    <w:p>
      <w:pPr>
        <w:pStyle w:val="ListParagraph"/>
        <w:numPr>
          <w:ilvl w:val="0"/>
          <w:numId w:val="1"/>
        </w:numPr>
        <w:spacing w:after="80" w:line="270"/>
      </w:pPr>
      <w:r>
        <w:rPr>
          <w:rFonts w:ascii="Calibri" w:cs="Calibri" w:eastAsia="Calibri" w:hAnsi="Calibri"/>
          <w:color w:val="333333"/>
          <w:sz w:val="21"/>
          <w:szCs w:val="21"/>
        </w:rPr>
        <w:t xml:space="preserve">Responsible AI — every AI training and enterprise solution is built on data privacy, ethics and governance.</w:t>
      </w:r>
    </w:p>
    <w:p>
      <w:pPr>
        <w:pStyle w:val="ListParagraph"/>
        <w:numPr>
          <w:ilvl w:val="0"/>
          <w:numId w:val="1"/>
        </w:numPr>
        <w:spacing w:after="80" w:line="270"/>
      </w:pPr>
      <w:r>
        <w:rPr>
          <w:rFonts w:ascii="Calibri" w:cs="Calibri" w:eastAsia="Calibri" w:hAnsi="Calibri"/>
          <w:color w:val="333333"/>
          <w:sz w:val="21"/>
          <w:szCs w:val="21"/>
        </w:rPr>
        <w:t xml:space="preserve">Client partnership — long-term relationships built on measurable, repeatable value.</w:t>
      </w:r>
    </w:p>
    <w:p>
      <w:r>
        <w:br w:type="page"/>
      </w:r>
    </w:p>
    <w:p>
      <w:pPr>
        <w:pStyle w:val="Heading1"/>
        <w:pBdr>
          <w:bottom w:val="single" w:color="1F3864" w:sz="8" w:space="4"/>
        </w:pBdr>
        <w:spacing w:after="160" w:before="320"/>
      </w:pPr>
      <w:r>
        <w:rPr>
          <w:rFonts w:ascii="Calibri" w:cs="Calibri" w:eastAsia="Calibri" w:hAnsi="Calibri"/>
          <w:b/>
          <w:bCs/>
          <w:color w:val="1F3864"/>
          <w:sz w:val="30"/>
          <w:szCs w:val="30"/>
        </w:rPr>
        <w:t xml:space="preserve">2. Industry Verticals We Serve</w:t>
      </w:r>
    </w:p>
    <w:p>
      <w:pPr>
        <w:spacing w:after="120" w:line="276"/>
      </w:pPr>
      <w:r>
        <w:rPr>
          <w:rFonts w:ascii="Calibri" w:cs="Calibri" w:eastAsia="Calibri" w:hAnsi="Calibri"/>
          <w:color w:val="333333"/>
          <w:sz w:val="21"/>
          <w:szCs w:val="21"/>
        </w:rPr>
        <w:t xml:space="preserve">MindCraft works across a diversified set of industry verticals, giving clients access to cross-sector benchmarks and best practices while ensuring every engagement is grounded in the specific regulatory, commercial and operational realities of the client's industry.</w:t>
      </w:r>
    </w:p>
    <w:p>
      <w:pPr>
        <w:pStyle w:val="Heading2"/>
        <w:spacing w:after="120" w:before="240"/>
      </w:pPr>
      <w:r>
        <w:rPr>
          <w:rFonts w:ascii="Calibri" w:cs="Calibri" w:eastAsia="Calibri" w:hAnsi="Calibri"/>
          <w:b/>
          <w:bCs/>
          <w:color w:val="2E4E8C"/>
          <w:sz w:val="25"/>
          <w:szCs w:val="25"/>
        </w:rPr>
        <w:t xml:space="preserve">Core Expertise: Life Sciences</w:t>
      </w:r>
    </w:p>
    <w:p>
      <w:pPr>
        <w:spacing w:after="120" w:line="276"/>
      </w:pPr>
      <w:r>
        <w:rPr>
          <w:rFonts w:ascii="Calibri" w:cs="Calibri" w:eastAsia="Calibri" w:hAnsi="Calibri"/>
          <w:color w:val="333333"/>
          <w:sz w:val="21"/>
          <w:szCs w:val="21"/>
        </w:rPr>
        <w:t xml:space="preserve">Life Sciences is the founding heritage and core specialization of MindCraft. The firm's consultants, researchers and AI solution architects bring direct working knowledge of clinical, regulatory, market access and commercial dynamics across the following Life Sciences sub-sectors: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Life Sciences Sub-Sector</w:t>
            </w:r>
          </w:p>
        </w:tc>
        <w:tc>
          <w:tcPr>
            <w:tcW w:type="dxa" w:w="636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Illustrative Focus Areas</w:t>
            </w:r>
          </w:p>
        </w:tc>
      </w:tr>
      <w:tr>
        <w:tc>
          <w:tcPr>
            <w:tcW w:type="dxa" w:w="300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Pharmaceuticals</w:t>
            </w:r>
          </w:p>
        </w:tc>
        <w:tc>
          <w:tcPr>
            <w:tcW w:type="dxa" w:w="636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Market access, competitive intelligence, brand strategy, KOL mapping, pharmacovigilance support, regulatory intelligence, sales force effectiveness.</w:t>
            </w:r>
          </w:p>
        </w:tc>
      </w:tr>
      <w:tr>
        <w:tc>
          <w:tcPr>
            <w:tcW w:type="dxa" w:w="300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Medical Devices</w:t>
            </w:r>
          </w:p>
        </w:tc>
        <w:tc>
          <w:tcPr>
            <w:tcW w:type="dxa" w:w="636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Product launch strategy, health economics &amp; reimbursement landscape, distributor mapping, post-market surveillance support.</w:t>
            </w:r>
          </w:p>
        </w:tc>
      </w:tr>
      <w:tr>
        <w:tc>
          <w:tcPr>
            <w:tcW w:type="dxa" w:w="300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Medical Diagnostics</w:t>
            </w:r>
          </w:p>
        </w:tc>
        <w:tc>
          <w:tcPr>
            <w:tcW w:type="dxa" w:w="636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Market sizing, testing-adoption studies, laboratory network mapping, regulatory pathway advisory.</w:t>
            </w:r>
          </w:p>
        </w:tc>
      </w:tr>
      <w:tr>
        <w:tc>
          <w:tcPr>
            <w:tcW w:type="dxa" w:w="300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Medical Equipment</w:t>
            </w:r>
          </w:p>
        </w:tc>
        <w:tc>
          <w:tcPr>
            <w:tcW w:type="dxa" w:w="636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Capital equipment market studies, tender/procurement intelligence, hospital purchasing-committee mapping.</w:t>
            </w:r>
          </w:p>
        </w:tc>
      </w:tr>
      <w:tr>
        <w:tc>
          <w:tcPr>
            <w:tcW w:type="dxa" w:w="300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Surgical Consumables</w:t>
            </w:r>
          </w:p>
        </w:tc>
        <w:tc>
          <w:tcPr>
            <w:tcW w:type="dxa" w:w="636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Distribution channel studies, hospital formulary tracking, competitive benchmarking.</w:t>
            </w:r>
          </w:p>
        </w:tc>
      </w:tr>
      <w:tr>
        <w:tc>
          <w:tcPr>
            <w:tcW w:type="dxa" w:w="300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Hospitals &amp; Healthcare Providers</w:t>
            </w:r>
          </w:p>
        </w:tc>
        <w:tc>
          <w:tcPr>
            <w:tcW w:type="dxa" w:w="636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Operational strategy, digital transformation, patient experience research, workforce capacity building.</w:t>
            </w:r>
          </w:p>
        </w:tc>
      </w:tr>
    </w:tbl>
    <w:p>
      <w:pPr>
        <w:spacing w:after="160"/>
      </w:pPr>
    </w:p>
    <w:p>
      <w:pPr>
        <w:pStyle w:val="Heading2"/>
        <w:spacing w:after="120" w:before="240"/>
      </w:pPr>
      <w:r>
        <w:rPr>
          <w:rFonts w:ascii="Calibri" w:cs="Calibri" w:eastAsia="Calibri" w:hAnsi="Calibri"/>
          <w:b/>
          <w:bCs/>
          <w:color w:val="2E4E8C"/>
          <w:sz w:val="25"/>
          <w:szCs w:val="25"/>
        </w:rPr>
        <w:t xml:space="preserve">Additional Industry Verticals</w:t>
      </w:r>
    </w:p>
    <w:p>
      <w:pPr>
        <w:spacing w:after="120" w:line="276"/>
      </w:pPr>
      <w:r>
        <w:rPr>
          <w:rFonts w:ascii="Calibri" w:cs="Calibri" w:eastAsia="Calibri" w:hAnsi="Calibri"/>
          <w:color w:val="333333"/>
          <w:sz w:val="21"/>
          <w:szCs w:val="21"/>
        </w:rPr>
        <w:t xml:space="preserve">Beyond Life Sciences, MindCraft extends its consulting, research and AI capabilities to the following diversified verticals, applying the same rigor and methodology that underpins its healthcare and pharmaceutical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Vertical</w:t>
            </w:r>
          </w:p>
        </w:tc>
        <w:tc>
          <w:tcPr>
            <w:tcW w:type="dxa" w:w="636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Illustrative Focus Areas</w:t>
            </w:r>
          </w:p>
        </w:tc>
      </w:tr>
      <w:tr>
        <w:tc>
          <w:tcPr>
            <w:tcW w:type="dxa" w:w="300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Chemicals</w:t>
            </w:r>
          </w:p>
        </w:tc>
        <w:tc>
          <w:tcPr>
            <w:tcW w:type="dxa" w:w="636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Market studies, regulatory compliance tracking, supply chain and distributor intelligence.</w:t>
            </w:r>
          </w:p>
        </w:tc>
      </w:tr>
      <w:tr>
        <w:tc>
          <w:tcPr>
            <w:tcW w:type="dxa" w:w="300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Agrochemicals</w:t>
            </w:r>
          </w:p>
        </w:tc>
        <w:tc>
          <w:tcPr>
            <w:tcW w:type="dxa" w:w="636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Crop-protection market sizing, farmer/agronomist insight studies, distribution and channel strategy.</w:t>
            </w:r>
          </w:p>
        </w:tc>
      </w:tr>
      <w:tr>
        <w:tc>
          <w:tcPr>
            <w:tcW w:type="dxa" w:w="300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Automotive</w:t>
            </w:r>
          </w:p>
        </w:tc>
        <w:tc>
          <w:tcPr>
            <w:tcW w:type="dxa" w:w="636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Dealer network studies, aftermarket and parts distribution research, customer experience analytics.</w:t>
            </w:r>
          </w:p>
        </w:tc>
      </w:tr>
      <w:tr>
        <w:tc>
          <w:tcPr>
            <w:tcW w:type="dxa" w:w="300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Banking &amp; Finance</w:t>
            </w:r>
          </w:p>
        </w:tc>
        <w:tc>
          <w:tcPr>
            <w:tcW w:type="dxa" w:w="636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Digital transformation advisory, customer analytics, AI-driven risk and fraud analytics, process automation.</w:t>
            </w:r>
          </w:p>
        </w:tc>
      </w:tr>
    </w:tbl>
    <w:p>
      <w:r>
        <w:br w:type="page"/>
      </w:r>
    </w:p>
    <w:p>
      <w:pPr>
        <w:pStyle w:val="Heading1"/>
        <w:pBdr>
          <w:bottom w:val="single" w:color="1F3864" w:sz="8" w:space="4"/>
        </w:pBdr>
        <w:spacing w:after="160" w:before="320"/>
      </w:pPr>
      <w:r>
        <w:rPr>
          <w:rFonts w:ascii="Calibri" w:cs="Calibri" w:eastAsia="Calibri" w:hAnsi="Calibri"/>
          <w:b/>
          <w:bCs/>
          <w:color w:val="1F3864"/>
          <w:sz w:val="30"/>
          <w:szCs w:val="30"/>
        </w:rPr>
        <w:t xml:space="preserve">3. Geographic Footprint</w:t>
      </w:r>
    </w:p>
    <w:p>
      <w:pPr>
        <w:spacing w:after="120" w:line="276"/>
      </w:pPr>
      <w:r>
        <w:rPr>
          <w:rFonts w:ascii="Calibri" w:cs="Calibri" w:eastAsia="Calibri" w:hAnsi="Calibri"/>
          <w:color w:val="333333"/>
          <w:sz w:val="21"/>
          <w:szCs w:val="21"/>
        </w:rPr>
        <w:t xml:space="preserve">MindCraft is headquartered in Nairobi, Kenya, and delivers services across three geographies: Africa, Europe and the United States. While the firm serves multinational and regional clients across all three regions, its most significant and focused expertise is built around the African continent — where MindCraft combines on-ground presence, cultural and regulatory fluency, and a growing network of local associates and partners.</w:t>
      </w:r>
    </w:p>
    <w:p>
      <w:pPr>
        <w:pStyle w:val="Heading2"/>
        <w:spacing w:after="120" w:before="240"/>
      </w:pPr>
      <w:r>
        <w:rPr>
          <w:rFonts w:ascii="Calibri" w:cs="Calibri" w:eastAsia="Calibri" w:hAnsi="Calibri"/>
          <w:b/>
          <w:bCs/>
          <w:color w:val="2E4E8C"/>
          <w:sz w:val="25"/>
          <w:szCs w:val="25"/>
        </w:rPr>
        <w:t xml:space="preserve">Africa — Primary Focus Market</w:t>
      </w:r>
    </w:p>
    <w:p>
      <w:pPr>
        <w:spacing w:after="120" w:line="276"/>
      </w:pPr>
      <w:r>
        <w:rPr>
          <w:rFonts w:ascii="Calibri" w:cs="Calibri" w:eastAsia="Calibri" w:hAnsi="Calibri"/>
          <w:color w:val="333333"/>
          <w:sz w:val="21"/>
          <w:szCs w:val="21"/>
        </w:rPr>
        <w:t xml:space="preserve">MindCraft maintains active engagement capability across all African countries, with particular depth in the region's key pharmaceutical, healthcare and consumer markets, including but not limited to Kenya, Nigeria, South Africa, Egypt, Ghana, Ethiopia, Tanzania, Uganda, Rwanda, Morocco, Cote d'Ivoire and Zambia. This pan-African reach allows MindCraft to support clients with multi-country market entry, regulatory mapping, and harmonized research and training programs across diverse regulatory and language environments.</w:t>
      </w:r>
    </w:p>
    <w:p>
      <w:pPr>
        <w:pStyle w:val="Heading2"/>
        <w:spacing w:after="120" w:before="240"/>
      </w:pPr>
      <w:r>
        <w:rPr>
          <w:rFonts w:ascii="Calibri" w:cs="Calibri" w:eastAsia="Calibri" w:hAnsi="Calibri"/>
          <w:b/>
          <w:bCs/>
          <w:color w:val="2E4E8C"/>
          <w:sz w:val="25"/>
          <w:szCs w:val="25"/>
        </w:rPr>
        <w:t xml:space="preserve">Europe</w:t>
      </w:r>
    </w:p>
    <w:p>
      <w:pPr>
        <w:spacing w:after="120" w:line="276"/>
      </w:pPr>
      <w:r>
        <w:rPr>
          <w:rFonts w:ascii="Calibri" w:cs="Calibri" w:eastAsia="Calibri" w:hAnsi="Calibri"/>
          <w:color w:val="333333"/>
          <w:sz w:val="21"/>
          <w:szCs w:val="21"/>
        </w:rPr>
        <w:t xml:space="preserve">MindCraft supports European clients — including pharmaceutical, medical device and life sciences companies — seeking market intelligence, expansion strategy and partnership opportunities across African and emerging markets, as well as European organizations seeking AI training and digital transformation advisory.</w:t>
      </w:r>
    </w:p>
    <w:p>
      <w:pPr>
        <w:pStyle w:val="Heading2"/>
        <w:spacing w:after="120" w:before="240"/>
      </w:pPr>
      <w:r>
        <w:rPr>
          <w:rFonts w:ascii="Calibri" w:cs="Calibri" w:eastAsia="Calibri" w:hAnsi="Calibri"/>
          <w:b/>
          <w:bCs/>
          <w:color w:val="2E4E8C"/>
          <w:sz w:val="25"/>
          <w:szCs w:val="25"/>
        </w:rPr>
        <w:t xml:space="preserve">United States</w:t>
      </w:r>
    </w:p>
    <w:p>
      <w:pPr>
        <w:spacing w:after="120" w:line="276"/>
      </w:pPr>
      <w:r>
        <w:rPr>
          <w:rFonts w:ascii="Calibri" w:cs="Calibri" w:eastAsia="Calibri" w:hAnsi="Calibri"/>
          <w:color w:val="333333"/>
          <w:sz w:val="21"/>
          <w:szCs w:val="21"/>
        </w:rPr>
        <w:t xml:space="preserve">MindCraft supports US-based multinational and mid-sized organizations, particularly in Life Sciences and healthcare, that require African and global market entry research, competitive intelligence and AI-enabled enterprise solutions to inform strategic decision-making.</w:t>
      </w:r>
    </w:p>
    <w:p>
      <w:r>
        <w:br w:type="page"/>
      </w:r>
    </w:p>
    <w:p>
      <w:pPr>
        <w:pStyle w:val="Heading1"/>
        <w:pBdr>
          <w:bottom w:val="single" w:color="1F3864" w:sz="8" w:space="4"/>
        </w:pBdr>
        <w:spacing w:after="160" w:before="320"/>
      </w:pPr>
      <w:r>
        <w:rPr>
          <w:rFonts w:ascii="Calibri" w:cs="Calibri" w:eastAsia="Calibri" w:hAnsi="Calibri"/>
          <w:b/>
          <w:bCs/>
          <w:color w:val="1F3864"/>
          <w:sz w:val="30"/>
          <w:szCs w:val="30"/>
        </w:rPr>
        <w:t xml:space="preserve">4. Core Service Pillars</w:t>
      </w:r>
    </w:p>
    <w:p>
      <w:pPr>
        <w:spacing w:after="120" w:line="276"/>
      </w:pPr>
      <w:r>
        <w:rPr>
          <w:rFonts w:ascii="Calibri" w:cs="Calibri" w:eastAsia="Calibri" w:hAnsi="Calibri"/>
          <w:color w:val="333333"/>
          <w:sz w:val="21"/>
          <w:szCs w:val="21"/>
        </w:rPr>
        <w:t xml:space="preserve">MindCraft's offering is organized around four integrated service pillars — Business Consulting, Market Research, AI Training, and AI Enterprise Solutions. Clients frequently engage MindCraft across two or more pillars simultaneously; for example, a market research assignment that informs a business strategy, which is then operationalized through an AI enterprise solution and embedded through an AI training program for the client's teams.</w:t>
      </w:r>
    </w:p>
    <w:p>
      <w:pPr>
        <w:pStyle w:val="Heading2"/>
        <w:spacing w:after="120" w:before="240"/>
      </w:pPr>
      <w:r>
        <w:rPr>
          <w:rFonts w:ascii="Calibri" w:cs="Calibri" w:eastAsia="Calibri" w:hAnsi="Calibri"/>
          <w:b/>
          <w:bCs/>
          <w:color w:val="2E4E8C"/>
          <w:sz w:val="25"/>
          <w:szCs w:val="25"/>
        </w:rPr>
        <w:t xml:space="preserve">Pillar 1: Business Consulting</w:t>
      </w:r>
    </w:p>
    <w:p>
      <w:pPr>
        <w:spacing w:after="160" w:line="276"/>
      </w:pPr>
      <w:r>
        <w:rPr>
          <w:rFonts w:ascii="Calibri" w:cs="Calibri" w:eastAsia="Calibri" w:hAnsi="Calibri"/>
          <w:i/>
          <w:iCs/>
          <w:color w:val="1F3864"/>
          <w:sz w:val="21"/>
          <w:szCs w:val="21"/>
        </w:rPr>
        <w:t xml:space="preserve">Strategic and management advisory that helps organizations make better decisions, restructure for growth, and execute change with confidence — grounded in Life Sciences and cross-industry best practice.</w:t>
      </w:r>
    </w:p>
    <w:p>
      <w:pPr>
        <w:pStyle w:val="Heading3"/>
        <w:spacing w:after="100" w:before="200"/>
      </w:pPr>
      <w:r>
        <w:rPr>
          <w:rFonts w:ascii="Calibri" w:cs="Calibri" w:eastAsia="Calibri" w:hAnsi="Calibri"/>
          <w:b/>
          <w:bCs/>
          <w:color w:val="1F3864"/>
          <w:sz w:val="23"/>
          <w:szCs w:val="23"/>
        </w:rPr>
        <w:t xml:space="preserve">Corporate &amp; Business Strategy</w:t>
      </w:r>
    </w:p>
    <w:p>
      <w:pPr>
        <w:pStyle w:val="ListParagraph"/>
        <w:numPr>
          <w:ilvl w:val="0"/>
          <w:numId w:val="1"/>
        </w:numPr>
        <w:spacing w:after="80" w:line="270"/>
      </w:pPr>
      <w:r>
        <w:rPr>
          <w:rFonts w:ascii="Calibri" w:cs="Calibri" w:eastAsia="Calibri" w:hAnsi="Calibri"/>
          <w:color w:val="333333"/>
          <w:sz w:val="21"/>
          <w:szCs w:val="21"/>
        </w:rPr>
        <w:t xml:space="preserve">Corporate strategy formulation, business planning and growth strategy development.</w:t>
      </w:r>
    </w:p>
    <w:p>
      <w:pPr>
        <w:pStyle w:val="ListParagraph"/>
        <w:numPr>
          <w:ilvl w:val="0"/>
          <w:numId w:val="1"/>
        </w:numPr>
        <w:spacing w:after="80" w:line="270"/>
      </w:pPr>
      <w:r>
        <w:rPr>
          <w:rFonts w:ascii="Calibri" w:cs="Calibri" w:eastAsia="Calibri" w:hAnsi="Calibri"/>
          <w:color w:val="333333"/>
          <w:sz w:val="21"/>
          <w:szCs w:val="21"/>
        </w:rPr>
        <w:t xml:space="preserve">Market entry and expansion strategy for organizations entering new African, European or US markets.</w:t>
      </w:r>
    </w:p>
    <w:p>
      <w:pPr>
        <w:pStyle w:val="ListParagraph"/>
        <w:numPr>
          <w:ilvl w:val="0"/>
          <w:numId w:val="1"/>
        </w:numPr>
        <w:spacing w:after="80" w:line="270"/>
      </w:pPr>
      <w:r>
        <w:rPr>
          <w:rFonts w:ascii="Calibri" w:cs="Calibri" w:eastAsia="Calibri" w:hAnsi="Calibri"/>
          <w:color w:val="333333"/>
          <w:sz w:val="21"/>
          <w:szCs w:val="21"/>
        </w:rPr>
        <w:t xml:space="preserve">Portfolio strategy, product prioritization and go-to-market planning for pharmaceutical, medical device and diagnostics companies.</w:t>
      </w:r>
    </w:p>
    <w:p>
      <w:pPr>
        <w:pStyle w:val="ListParagraph"/>
        <w:numPr>
          <w:ilvl w:val="0"/>
          <w:numId w:val="1"/>
        </w:numPr>
        <w:spacing w:after="80" w:line="270"/>
      </w:pPr>
      <w:r>
        <w:rPr>
          <w:rFonts w:ascii="Calibri" w:cs="Calibri" w:eastAsia="Calibri" w:hAnsi="Calibri"/>
          <w:color w:val="333333"/>
          <w:sz w:val="21"/>
          <w:szCs w:val="21"/>
        </w:rPr>
        <w:t xml:space="preserve">Competitive positioning and brand strategy support.</w:t>
      </w:r>
    </w:p>
    <w:p>
      <w:pPr>
        <w:pStyle w:val="Heading3"/>
        <w:spacing w:after="100" w:before="200"/>
      </w:pPr>
      <w:r>
        <w:rPr>
          <w:rFonts w:ascii="Calibri" w:cs="Calibri" w:eastAsia="Calibri" w:hAnsi="Calibri"/>
          <w:b/>
          <w:bCs/>
          <w:color w:val="1F3864"/>
          <w:sz w:val="23"/>
          <w:szCs w:val="23"/>
        </w:rPr>
        <w:t xml:space="preserve">Digital &amp; AI Transformation Strategy</w:t>
      </w:r>
    </w:p>
    <w:p>
      <w:pPr>
        <w:pStyle w:val="ListParagraph"/>
        <w:numPr>
          <w:ilvl w:val="0"/>
          <w:numId w:val="1"/>
        </w:numPr>
        <w:spacing w:after="80" w:line="270"/>
      </w:pPr>
      <w:r>
        <w:rPr>
          <w:rFonts w:ascii="Calibri" w:cs="Calibri" w:eastAsia="Calibri" w:hAnsi="Calibri"/>
          <w:color w:val="333333"/>
          <w:sz w:val="21"/>
          <w:szCs w:val="21"/>
        </w:rPr>
        <w:t xml:space="preserve">Digital maturity assessments and AI-readiness diagnostics for organizations and functions.</w:t>
      </w:r>
    </w:p>
    <w:p>
      <w:pPr>
        <w:pStyle w:val="ListParagraph"/>
        <w:numPr>
          <w:ilvl w:val="0"/>
          <w:numId w:val="1"/>
        </w:numPr>
        <w:spacing w:after="80" w:line="270"/>
      </w:pPr>
      <w:r>
        <w:rPr>
          <w:rFonts w:ascii="Calibri" w:cs="Calibri" w:eastAsia="Calibri" w:hAnsi="Calibri"/>
          <w:color w:val="333333"/>
          <w:sz w:val="21"/>
          <w:szCs w:val="21"/>
        </w:rPr>
        <w:t xml:space="preserve">Digital transformation roadmaps aligned to business strategy and budget realities.</w:t>
      </w:r>
    </w:p>
    <w:p>
      <w:pPr>
        <w:pStyle w:val="ListParagraph"/>
        <w:numPr>
          <w:ilvl w:val="0"/>
          <w:numId w:val="1"/>
        </w:numPr>
        <w:spacing w:after="80" w:line="270"/>
      </w:pPr>
      <w:r>
        <w:rPr>
          <w:rFonts w:ascii="Calibri" w:cs="Calibri" w:eastAsia="Calibri" w:hAnsi="Calibri"/>
          <w:color w:val="333333"/>
          <w:sz w:val="21"/>
          <w:szCs w:val="21"/>
        </w:rPr>
        <w:t xml:space="preserve">Technology and vendor selection advisory for AI, CRM, ERP and data platforms.</w:t>
      </w:r>
    </w:p>
    <w:p>
      <w:pPr>
        <w:pStyle w:val="Heading3"/>
        <w:spacing w:after="100" w:before="200"/>
      </w:pPr>
      <w:r>
        <w:rPr>
          <w:rFonts w:ascii="Calibri" w:cs="Calibri" w:eastAsia="Calibri" w:hAnsi="Calibri"/>
          <w:b/>
          <w:bCs/>
          <w:color w:val="1F3864"/>
          <w:sz w:val="23"/>
          <w:szCs w:val="23"/>
        </w:rPr>
        <w:t xml:space="preserve">Organizational Design &amp; Change Management</w:t>
      </w:r>
    </w:p>
    <w:p>
      <w:pPr>
        <w:pStyle w:val="ListParagraph"/>
        <w:numPr>
          <w:ilvl w:val="0"/>
          <w:numId w:val="1"/>
        </w:numPr>
        <w:spacing w:after="80" w:line="270"/>
      </w:pPr>
      <w:r>
        <w:rPr>
          <w:rFonts w:ascii="Calibri" w:cs="Calibri" w:eastAsia="Calibri" w:hAnsi="Calibri"/>
          <w:color w:val="333333"/>
          <w:sz w:val="21"/>
          <w:szCs w:val="21"/>
        </w:rPr>
        <w:t xml:space="preserve">Organizational structure design, role clarity and operating model redesign.</w:t>
      </w:r>
    </w:p>
    <w:p>
      <w:pPr>
        <w:pStyle w:val="ListParagraph"/>
        <w:numPr>
          <w:ilvl w:val="0"/>
          <w:numId w:val="1"/>
        </w:numPr>
        <w:spacing w:after="80" w:line="270"/>
      </w:pPr>
      <w:r>
        <w:rPr>
          <w:rFonts w:ascii="Calibri" w:cs="Calibri" w:eastAsia="Calibri" w:hAnsi="Calibri"/>
          <w:color w:val="333333"/>
          <w:sz w:val="21"/>
          <w:szCs w:val="21"/>
        </w:rPr>
        <w:t xml:space="preserve">Change management planning and execution support for mergers, restructuring and technology rollouts.</w:t>
      </w:r>
    </w:p>
    <w:p>
      <w:pPr>
        <w:pStyle w:val="ListParagraph"/>
        <w:numPr>
          <w:ilvl w:val="0"/>
          <w:numId w:val="1"/>
        </w:numPr>
        <w:spacing w:after="80" w:line="270"/>
      </w:pPr>
      <w:r>
        <w:rPr>
          <w:rFonts w:ascii="Calibri" w:cs="Calibri" w:eastAsia="Calibri" w:hAnsi="Calibri"/>
          <w:color w:val="333333"/>
          <w:sz w:val="21"/>
          <w:szCs w:val="21"/>
        </w:rPr>
        <w:t xml:space="preserve">Culture and change-readiness diagnostics, communication planning and stakeholder engagement.</w:t>
      </w:r>
    </w:p>
    <w:p>
      <w:pPr>
        <w:pStyle w:val="Heading3"/>
        <w:spacing w:after="100" w:before="200"/>
      </w:pPr>
      <w:r>
        <w:rPr>
          <w:rFonts w:ascii="Calibri" w:cs="Calibri" w:eastAsia="Calibri" w:hAnsi="Calibri"/>
          <w:b/>
          <w:bCs/>
          <w:color w:val="1F3864"/>
          <w:sz w:val="23"/>
          <w:szCs w:val="23"/>
        </w:rPr>
        <w:t xml:space="preserve">Process Improvement &amp; Systems Design</w:t>
      </w:r>
    </w:p>
    <w:p>
      <w:pPr>
        <w:pStyle w:val="ListParagraph"/>
        <w:numPr>
          <w:ilvl w:val="0"/>
          <w:numId w:val="1"/>
        </w:numPr>
        <w:spacing w:after="80" w:line="270"/>
      </w:pPr>
      <w:r>
        <w:rPr>
          <w:rFonts w:ascii="Calibri" w:cs="Calibri" w:eastAsia="Calibri" w:hAnsi="Calibri"/>
          <w:color w:val="333333"/>
          <w:sz w:val="21"/>
          <w:szCs w:val="21"/>
        </w:rPr>
        <w:t xml:space="preserve">End-to-end business process mapping, redesign and optimization (commercial, operations, supply chain, quality).</w:t>
      </w:r>
    </w:p>
    <w:p>
      <w:pPr>
        <w:pStyle w:val="ListParagraph"/>
        <w:numPr>
          <w:ilvl w:val="0"/>
          <w:numId w:val="1"/>
        </w:numPr>
        <w:spacing w:after="80" w:line="270"/>
      </w:pPr>
      <w:r>
        <w:rPr>
          <w:rFonts w:ascii="Calibri" w:cs="Calibri" w:eastAsia="Calibri" w:hAnsi="Calibri"/>
          <w:color w:val="333333"/>
          <w:sz w:val="21"/>
          <w:szCs w:val="21"/>
        </w:rPr>
        <w:t xml:space="preserve">Standard Operating Procedure (SOP) design and documentation.</w:t>
      </w:r>
    </w:p>
    <w:p>
      <w:pPr>
        <w:pStyle w:val="ListParagraph"/>
        <w:numPr>
          <w:ilvl w:val="0"/>
          <w:numId w:val="1"/>
        </w:numPr>
        <w:spacing w:after="80" w:line="270"/>
      </w:pPr>
      <w:r>
        <w:rPr>
          <w:rFonts w:ascii="Calibri" w:cs="Calibri" w:eastAsia="Calibri" w:hAnsi="Calibri"/>
          <w:color w:val="333333"/>
          <w:sz w:val="21"/>
          <w:szCs w:val="21"/>
        </w:rPr>
        <w:t xml:space="preserve">Systems and workflow design to support scale, compliance and efficiency.</w:t>
      </w:r>
    </w:p>
    <w:p>
      <w:pPr>
        <w:pStyle w:val="Heading3"/>
        <w:spacing w:after="100" w:before="200"/>
      </w:pPr>
      <w:r>
        <w:rPr>
          <w:rFonts w:ascii="Calibri" w:cs="Calibri" w:eastAsia="Calibri" w:hAnsi="Calibri"/>
          <w:b/>
          <w:bCs/>
          <w:color w:val="1F3864"/>
          <w:sz w:val="23"/>
          <w:szCs w:val="23"/>
        </w:rPr>
        <w:t xml:space="preserve">Policy, Regulatory &amp; Project Advisory</w:t>
      </w:r>
    </w:p>
    <w:p>
      <w:pPr>
        <w:pStyle w:val="ListParagraph"/>
        <w:numPr>
          <w:ilvl w:val="0"/>
          <w:numId w:val="1"/>
        </w:numPr>
        <w:spacing w:after="80" w:line="270"/>
      </w:pPr>
      <w:r>
        <w:rPr>
          <w:rFonts w:ascii="Calibri" w:cs="Calibri" w:eastAsia="Calibri" w:hAnsi="Calibri"/>
          <w:color w:val="333333"/>
          <w:sz w:val="21"/>
          <w:szCs w:val="21"/>
        </w:rPr>
        <w:t xml:space="preserve">Policy analysis and advisory on technology adoption, healthcare and industry regulation across African markets.</w:t>
      </w:r>
    </w:p>
    <w:p>
      <w:pPr>
        <w:pStyle w:val="ListParagraph"/>
        <w:numPr>
          <w:ilvl w:val="0"/>
          <w:numId w:val="1"/>
        </w:numPr>
        <w:spacing w:after="80" w:line="270"/>
      </w:pPr>
      <w:r>
        <w:rPr>
          <w:rFonts w:ascii="Calibri" w:cs="Calibri" w:eastAsia="Calibri" w:hAnsi="Calibri"/>
          <w:color w:val="333333"/>
          <w:sz w:val="21"/>
          <w:szCs w:val="21"/>
        </w:rPr>
        <w:t xml:space="preserve">Regulatory landscape mapping and compliance strategy for pharmaceutical, medical device and chemical clients.</w:t>
      </w:r>
    </w:p>
    <w:p>
      <w:pPr>
        <w:pStyle w:val="ListParagraph"/>
        <w:numPr>
          <w:ilvl w:val="0"/>
          <w:numId w:val="1"/>
        </w:numPr>
        <w:spacing w:after="80" w:line="270"/>
      </w:pPr>
      <w:r>
        <w:rPr>
          <w:rFonts w:ascii="Calibri" w:cs="Calibri" w:eastAsia="Calibri" w:hAnsi="Calibri"/>
          <w:color w:val="333333"/>
          <w:sz w:val="21"/>
          <w:szCs w:val="21"/>
        </w:rPr>
        <w:t xml:space="preserve">Project design, feasibility studies and proposal/grant development support for corporate and development-sector clients.</w:t>
      </w:r>
    </w:p>
    <w:p>
      <w:pPr>
        <w:pStyle w:val="Heading3"/>
        <w:spacing w:after="100" w:before="200"/>
      </w:pPr>
      <w:r>
        <w:rPr>
          <w:rFonts w:ascii="Calibri" w:cs="Calibri" w:eastAsia="Calibri" w:hAnsi="Calibri"/>
          <w:b/>
          <w:bCs/>
          <w:color w:val="1F3864"/>
          <w:sz w:val="23"/>
          <w:szCs w:val="23"/>
        </w:rPr>
        <w:t xml:space="preserve">Deliverables Clients Can Expect</w:t>
      </w:r>
    </w:p>
    <w:p>
      <w:pPr>
        <w:pStyle w:val="ListParagraph"/>
        <w:numPr>
          <w:ilvl w:val="0"/>
          <w:numId w:val="1"/>
        </w:numPr>
        <w:spacing w:after="80" w:line="270"/>
      </w:pPr>
      <w:r>
        <w:rPr>
          <w:rFonts w:ascii="Calibri" w:cs="Calibri" w:eastAsia="Calibri" w:hAnsi="Calibri"/>
          <w:color w:val="333333"/>
          <w:sz w:val="21"/>
          <w:szCs w:val="21"/>
        </w:rPr>
        <w:t xml:space="preserve">Strategy documents, business plans and board-ready presentations.</w:t>
      </w:r>
    </w:p>
    <w:p>
      <w:pPr>
        <w:pStyle w:val="ListParagraph"/>
        <w:numPr>
          <w:ilvl w:val="0"/>
          <w:numId w:val="1"/>
        </w:numPr>
        <w:spacing w:after="80" w:line="270"/>
      </w:pPr>
      <w:r>
        <w:rPr>
          <w:rFonts w:ascii="Calibri" w:cs="Calibri" w:eastAsia="Calibri" w:hAnsi="Calibri"/>
          <w:color w:val="333333"/>
          <w:sz w:val="21"/>
          <w:szCs w:val="21"/>
        </w:rPr>
        <w:t xml:space="preserve">Prioritized transformation roadmaps with timelines, owners and investment estimates.</w:t>
      </w:r>
    </w:p>
    <w:p>
      <w:pPr>
        <w:pStyle w:val="ListParagraph"/>
        <w:numPr>
          <w:ilvl w:val="0"/>
          <w:numId w:val="1"/>
        </w:numPr>
        <w:spacing w:after="80" w:line="270"/>
      </w:pPr>
      <w:r>
        <w:rPr>
          <w:rFonts w:ascii="Calibri" w:cs="Calibri" w:eastAsia="Calibri" w:hAnsi="Calibri"/>
          <w:color w:val="333333"/>
          <w:sz w:val="21"/>
          <w:szCs w:val="21"/>
        </w:rPr>
        <w:t xml:space="preserve">Process maps, SOPs and organizational design blueprints ready for implementation.</w:t>
      </w:r>
    </w:p>
    <w:p>
      <w:r>
        <w:br w:type="page"/>
      </w:r>
    </w:p>
    <w:p>
      <w:pPr>
        <w:pStyle w:val="Heading2"/>
        <w:spacing w:after="120" w:before="240"/>
      </w:pPr>
      <w:r>
        <w:rPr>
          <w:rFonts w:ascii="Calibri" w:cs="Calibri" w:eastAsia="Calibri" w:hAnsi="Calibri"/>
          <w:b/>
          <w:bCs/>
          <w:color w:val="2E4E8C"/>
          <w:sz w:val="25"/>
          <w:szCs w:val="25"/>
        </w:rPr>
        <w:t xml:space="preserve">Pillar 2: Market Research</w:t>
      </w:r>
    </w:p>
    <w:p>
      <w:pPr>
        <w:spacing w:after="160" w:line="276"/>
      </w:pPr>
      <w:r>
        <w:rPr>
          <w:rFonts w:ascii="Calibri" w:cs="Calibri" w:eastAsia="Calibri" w:hAnsi="Calibri"/>
          <w:i/>
          <w:iCs/>
          <w:color w:val="1F3864"/>
          <w:sz w:val="21"/>
          <w:szCs w:val="21"/>
        </w:rPr>
        <w:t xml:space="preserve">Rigorous primary and secondary research that turns market complexity into decision-ready intelligence — purpose-built for Life Sciences and diversified industry clients operating in African and international markets.</w:t>
      </w:r>
    </w:p>
    <w:p>
      <w:pPr>
        <w:pStyle w:val="Heading3"/>
        <w:spacing w:after="100" w:before="200"/>
      </w:pPr>
      <w:r>
        <w:rPr>
          <w:rFonts w:ascii="Calibri" w:cs="Calibri" w:eastAsia="Calibri" w:hAnsi="Calibri"/>
          <w:b/>
          <w:bCs/>
          <w:color w:val="1F3864"/>
          <w:sz w:val="23"/>
          <w:szCs w:val="23"/>
        </w:rPr>
        <w:t xml:space="preserve">Primary Market Research</w:t>
      </w:r>
    </w:p>
    <w:p>
      <w:pPr>
        <w:pStyle w:val="ListParagraph"/>
        <w:numPr>
          <w:ilvl w:val="0"/>
          <w:numId w:val="1"/>
        </w:numPr>
        <w:spacing w:after="80" w:line="270"/>
      </w:pPr>
      <w:r>
        <w:rPr>
          <w:rFonts w:ascii="Calibri" w:cs="Calibri" w:eastAsia="Calibri" w:hAnsi="Calibri"/>
          <w:color w:val="333333"/>
          <w:sz w:val="21"/>
          <w:szCs w:val="21"/>
        </w:rPr>
        <w:t xml:space="preserve">Quantitative and qualitative surveys with physicians, pharmacists, patients, distributors, retailers and institutional buyers.</w:t>
      </w:r>
    </w:p>
    <w:p>
      <w:pPr>
        <w:pStyle w:val="ListParagraph"/>
        <w:numPr>
          <w:ilvl w:val="0"/>
          <w:numId w:val="1"/>
        </w:numPr>
        <w:spacing w:after="80" w:line="270"/>
      </w:pPr>
      <w:r>
        <w:rPr>
          <w:rFonts w:ascii="Calibri" w:cs="Calibri" w:eastAsia="Calibri" w:hAnsi="Calibri"/>
          <w:color w:val="333333"/>
          <w:sz w:val="21"/>
          <w:szCs w:val="21"/>
        </w:rPr>
        <w:t xml:space="preserve">Key Opinion Leader (KOL) identification, mapping and advisory board research for pharmaceutical and medical device clients.</w:t>
      </w:r>
    </w:p>
    <w:p>
      <w:pPr>
        <w:pStyle w:val="ListParagraph"/>
        <w:numPr>
          <w:ilvl w:val="0"/>
          <w:numId w:val="1"/>
        </w:numPr>
        <w:spacing w:after="80" w:line="270"/>
      </w:pPr>
      <w:r>
        <w:rPr>
          <w:rFonts w:ascii="Calibri" w:cs="Calibri" w:eastAsia="Calibri" w:hAnsi="Calibri"/>
          <w:color w:val="333333"/>
          <w:sz w:val="21"/>
          <w:szCs w:val="21"/>
        </w:rPr>
        <w:t xml:space="preserve">Customer, patient and consumer insight studies, including satisfaction, journey and unmet-needs research.</w:t>
      </w:r>
    </w:p>
    <w:p>
      <w:pPr>
        <w:pStyle w:val="ListParagraph"/>
        <w:numPr>
          <w:ilvl w:val="0"/>
          <w:numId w:val="1"/>
        </w:numPr>
        <w:spacing w:after="80" w:line="270"/>
      </w:pPr>
      <w:r>
        <w:rPr>
          <w:rFonts w:ascii="Calibri" w:cs="Calibri" w:eastAsia="Calibri" w:hAnsi="Calibri"/>
          <w:color w:val="333333"/>
          <w:sz w:val="21"/>
          <w:szCs w:val="21"/>
        </w:rPr>
        <w:t xml:space="preserve">Distributor, channel partner and tender/procurement intelligence gathering.</w:t>
      </w:r>
    </w:p>
    <w:p>
      <w:pPr>
        <w:pStyle w:val="Heading3"/>
        <w:spacing w:after="100" w:before="200"/>
      </w:pPr>
      <w:r>
        <w:rPr>
          <w:rFonts w:ascii="Calibri" w:cs="Calibri" w:eastAsia="Calibri" w:hAnsi="Calibri"/>
          <w:b/>
          <w:bCs/>
          <w:color w:val="1F3864"/>
          <w:sz w:val="23"/>
          <w:szCs w:val="23"/>
        </w:rPr>
        <w:t xml:space="preserve">Secondary &amp; Desk Research</w:t>
      </w:r>
    </w:p>
    <w:p>
      <w:pPr>
        <w:pStyle w:val="ListParagraph"/>
        <w:numPr>
          <w:ilvl w:val="0"/>
          <w:numId w:val="1"/>
        </w:numPr>
        <w:spacing w:after="80" w:line="270"/>
      </w:pPr>
      <w:r>
        <w:rPr>
          <w:rFonts w:ascii="Calibri" w:cs="Calibri" w:eastAsia="Calibri" w:hAnsi="Calibri"/>
          <w:color w:val="333333"/>
          <w:sz w:val="21"/>
          <w:szCs w:val="21"/>
        </w:rPr>
        <w:t xml:space="preserve">Market sizing, forecasting and opportunity assessment across therapeutic areas, product categories and countries.</w:t>
      </w:r>
    </w:p>
    <w:p>
      <w:pPr>
        <w:pStyle w:val="ListParagraph"/>
        <w:numPr>
          <w:ilvl w:val="0"/>
          <w:numId w:val="1"/>
        </w:numPr>
        <w:spacing w:after="80" w:line="270"/>
      </w:pPr>
      <w:r>
        <w:rPr>
          <w:rFonts w:ascii="Calibri" w:cs="Calibri" w:eastAsia="Calibri" w:hAnsi="Calibri"/>
          <w:color w:val="333333"/>
          <w:sz w:val="21"/>
          <w:szCs w:val="21"/>
        </w:rPr>
        <w:t xml:space="preserve">Competitive intelligence — pipeline tracking, pricing analysis, market share estimation and SWOT benchmarking.</w:t>
      </w:r>
    </w:p>
    <w:p>
      <w:pPr>
        <w:pStyle w:val="ListParagraph"/>
        <w:numPr>
          <w:ilvl w:val="0"/>
          <w:numId w:val="1"/>
        </w:numPr>
        <w:spacing w:after="80" w:line="270"/>
      </w:pPr>
      <w:r>
        <w:rPr>
          <w:rFonts w:ascii="Calibri" w:cs="Calibri" w:eastAsia="Calibri" w:hAnsi="Calibri"/>
          <w:color w:val="333333"/>
          <w:sz w:val="21"/>
          <w:szCs w:val="21"/>
        </w:rPr>
        <w:t xml:space="preserve">Regulatory, policy and reimbursement landscape scans across African and international markets.</w:t>
      </w:r>
    </w:p>
    <w:p>
      <w:pPr>
        <w:pStyle w:val="ListParagraph"/>
        <w:numPr>
          <w:ilvl w:val="0"/>
          <w:numId w:val="1"/>
        </w:numPr>
        <w:spacing w:after="80" w:line="270"/>
      </w:pPr>
      <w:r>
        <w:rPr>
          <w:rFonts w:ascii="Calibri" w:cs="Calibri" w:eastAsia="Calibri" w:hAnsi="Calibri"/>
          <w:color w:val="333333"/>
          <w:sz w:val="21"/>
          <w:szCs w:val="21"/>
        </w:rPr>
        <w:t xml:space="preserve">Landscape and sector scans, including AI-adoption studies and emerging-technology assessments.</w:t>
      </w:r>
    </w:p>
    <w:p>
      <w:pPr>
        <w:pStyle w:val="Heading3"/>
        <w:spacing w:after="100" w:before="200"/>
      </w:pPr>
      <w:r>
        <w:rPr>
          <w:rFonts w:ascii="Calibri" w:cs="Calibri" w:eastAsia="Calibri" w:hAnsi="Calibri"/>
          <w:b/>
          <w:bCs/>
          <w:color w:val="1F3864"/>
          <w:sz w:val="23"/>
          <w:szCs w:val="23"/>
        </w:rPr>
        <w:t xml:space="preserve">Program &amp; Impact Research</w:t>
      </w:r>
    </w:p>
    <w:p>
      <w:pPr>
        <w:pStyle w:val="ListParagraph"/>
        <w:numPr>
          <w:ilvl w:val="0"/>
          <w:numId w:val="1"/>
        </w:numPr>
        <w:spacing w:after="80" w:line="270"/>
      </w:pPr>
      <w:r>
        <w:rPr>
          <w:rFonts w:ascii="Calibri" w:cs="Calibri" w:eastAsia="Calibri" w:hAnsi="Calibri"/>
          <w:color w:val="333333"/>
          <w:sz w:val="21"/>
          <w:szCs w:val="21"/>
        </w:rPr>
        <w:t xml:space="preserve">Baseline, midline and endline surveys for corporate, development-sector and donor-funded programs.</w:t>
      </w:r>
    </w:p>
    <w:p>
      <w:pPr>
        <w:pStyle w:val="ListParagraph"/>
        <w:numPr>
          <w:ilvl w:val="0"/>
          <w:numId w:val="1"/>
        </w:numPr>
        <w:spacing w:after="80" w:line="270"/>
      </w:pPr>
      <w:r>
        <w:rPr>
          <w:rFonts w:ascii="Calibri" w:cs="Calibri" w:eastAsia="Calibri" w:hAnsi="Calibri"/>
          <w:color w:val="333333"/>
          <w:sz w:val="21"/>
          <w:szCs w:val="21"/>
        </w:rPr>
        <w:t xml:space="preserve">Monitoring, Evaluation and Learning (MEL) frameworks and impact assessment studies.</w:t>
      </w:r>
    </w:p>
    <w:p>
      <w:pPr>
        <w:pStyle w:val="ListParagraph"/>
        <w:numPr>
          <w:ilvl w:val="0"/>
          <w:numId w:val="1"/>
        </w:numPr>
        <w:spacing w:after="80" w:line="270"/>
      </w:pPr>
      <w:r>
        <w:rPr>
          <w:rFonts w:ascii="Calibri" w:cs="Calibri" w:eastAsia="Calibri" w:hAnsi="Calibri"/>
          <w:color w:val="333333"/>
          <w:sz w:val="21"/>
          <w:szCs w:val="21"/>
        </w:rPr>
        <w:t xml:space="preserve">Needs assessments and skills-gap analyses to inform capacity-building and training investments.</w:t>
      </w:r>
    </w:p>
    <w:p>
      <w:pPr>
        <w:pStyle w:val="Heading3"/>
        <w:spacing w:after="100" w:before="200"/>
      </w:pPr>
      <w:r>
        <w:rPr>
          <w:rFonts w:ascii="Calibri" w:cs="Calibri" w:eastAsia="Calibri" w:hAnsi="Calibri"/>
          <w:b/>
          <w:bCs/>
          <w:color w:val="1F3864"/>
          <w:sz w:val="23"/>
          <w:szCs w:val="23"/>
        </w:rPr>
        <w:t xml:space="preserve">Data, Analytics &amp; Knowledge Products</w:t>
      </w:r>
    </w:p>
    <w:p>
      <w:pPr>
        <w:pStyle w:val="ListParagraph"/>
        <w:numPr>
          <w:ilvl w:val="0"/>
          <w:numId w:val="1"/>
        </w:numPr>
        <w:spacing w:after="80" w:line="270"/>
      </w:pPr>
      <w:r>
        <w:rPr>
          <w:rFonts w:ascii="Calibri" w:cs="Calibri" w:eastAsia="Calibri" w:hAnsi="Calibri"/>
          <w:color w:val="333333"/>
          <w:sz w:val="21"/>
          <w:szCs w:val="21"/>
        </w:rPr>
        <w:t xml:space="preserve">Data cleaning, statistical analysis and dashboard-ready reporting.</w:t>
      </w:r>
    </w:p>
    <w:p>
      <w:pPr>
        <w:pStyle w:val="ListParagraph"/>
        <w:numPr>
          <w:ilvl w:val="0"/>
          <w:numId w:val="1"/>
        </w:numPr>
        <w:spacing w:after="80" w:line="270"/>
      </w:pPr>
      <w:r>
        <w:rPr>
          <w:rFonts w:ascii="Calibri" w:cs="Calibri" w:eastAsia="Calibri" w:hAnsi="Calibri"/>
          <w:color w:val="333333"/>
          <w:sz w:val="21"/>
          <w:szCs w:val="21"/>
        </w:rPr>
        <w:t xml:space="preserve">Custom research reports, whitepapers, toolkits and case studies for internal or public use.</w:t>
      </w:r>
    </w:p>
    <w:p>
      <w:pPr>
        <w:pStyle w:val="ListParagraph"/>
        <w:numPr>
          <w:ilvl w:val="0"/>
          <w:numId w:val="1"/>
        </w:numPr>
        <w:spacing w:after="80" w:line="270"/>
      </w:pPr>
      <w:r>
        <w:rPr>
          <w:rFonts w:ascii="Calibri" w:cs="Calibri" w:eastAsia="Calibri" w:hAnsi="Calibri"/>
          <w:color w:val="333333"/>
          <w:sz w:val="21"/>
          <w:szCs w:val="21"/>
        </w:rPr>
        <w:t xml:space="preserve">AI-assisted literature and data synthesis to accelerate research turnaround without compromising rigor.</w:t>
      </w:r>
    </w:p>
    <w:p>
      <w:pPr>
        <w:pStyle w:val="Heading3"/>
        <w:spacing w:after="100" w:before="200"/>
      </w:pPr>
      <w:r>
        <w:rPr>
          <w:rFonts w:ascii="Calibri" w:cs="Calibri" w:eastAsia="Calibri" w:hAnsi="Calibri"/>
          <w:b/>
          <w:bCs/>
          <w:color w:val="1F3864"/>
          <w:sz w:val="23"/>
          <w:szCs w:val="23"/>
        </w:rPr>
        <w:t xml:space="preserve">Deliverables Clients Can Expect</w:t>
      </w:r>
    </w:p>
    <w:p>
      <w:pPr>
        <w:pStyle w:val="ListParagraph"/>
        <w:numPr>
          <w:ilvl w:val="0"/>
          <w:numId w:val="1"/>
        </w:numPr>
        <w:spacing w:after="80" w:line="270"/>
      </w:pPr>
      <w:r>
        <w:rPr>
          <w:rFonts w:ascii="Calibri" w:cs="Calibri" w:eastAsia="Calibri" w:hAnsi="Calibri"/>
          <w:color w:val="333333"/>
          <w:sz w:val="21"/>
          <w:szCs w:val="21"/>
        </w:rPr>
        <w:t xml:space="preserve">Executive summary reports, detailed findings decks and raw datasets.</w:t>
      </w:r>
    </w:p>
    <w:p>
      <w:pPr>
        <w:pStyle w:val="ListParagraph"/>
        <w:numPr>
          <w:ilvl w:val="0"/>
          <w:numId w:val="1"/>
        </w:numPr>
        <w:spacing w:after="80" w:line="270"/>
      </w:pPr>
      <w:r>
        <w:rPr>
          <w:rFonts w:ascii="Calibri" w:cs="Calibri" w:eastAsia="Calibri" w:hAnsi="Calibri"/>
          <w:color w:val="333333"/>
          <w:sz w:val="21"/>
          <w:szCs w:val="21"/>
        </w:rPr>
        <w:t xml:space="preserve">Market sizing models and competitive intelligence trackers, updated on a defined cadence.</w:t>
      </w:r>
    </w:p>
    <w:p>
      <w:pPr>
        <w:pStyle w:val="ListParagraph"/>
        <w:numPr>
          <w:ilvl w:val="0"/>
          <w:numId w:val="1"/>
        </w:numPr>
        <w:spacing w:after="80" w:line="270"/>
      </w:pPr>
      <w:r>
        <w:rPr>
          <w:rFonts w:ascii="Calibri" w:cs="Calibri" w:eastAsia="Calibri" w:hAnsi="Calibri"/>
          <w:color w:val="333333"/>
          <w:sz w:val="21"/>
          <w:szCs w:val="21"/>
        </w:rPr>
        <w:t xml:space="preserve">Actionable recommendations linked directly to business or program decisions.</w:t>
      </w:r>
    </w:p>
    <w:p>
      <w:r>
        <w:br w:type="page"/>
      </w:r>
    </w:p>
    <w:p>
      <w:pPr>
        <w:pStyle w:val="Heading2"/>
        <w:spacing w:after="120" w:before="240"/>
      </w:pPr>
      <w:r>
        <w:rPr>
          <w:rFonts w:ascii="Calibri" w:cs="Calibri" w:eastAsia="Calibri" w:hAnsi="Calibri"/>
          <w:b/>
          <w:bCs/>
          <w:color w:val="2E4E8C"/>
          <w:sz w:val="25"/>
          <w:szCs w:val="25"/>
        </w:rPr>
        <w:t xml:space="preserve">Pillar 3: AI Training &amp; Digital Literacy</w:t>
      </w:r>
    </w:p>
    <w:p>
      <w:pPr>
        <w:spacing w:after="160" w:line="276"/>
      </w:pPr>
      <w:r>
        <w:rPr>
          <w:rFonts w:ascii="Calibri" w:cs="Calibri" w:eastAsia="Calibri" w:hAnsi="Calibri"/>
          <w:i/>
          <w:iCs/>
          <w:color w:val="1F3864"/>
          <w:sz w:val="21"/>
          <w:szCs w:val="21"/>
        </w:rPr>
        <w:t xml:space="preserve">Practical, hands-on AI capability-building for individuals, teams and organizations — designed to build real AI literacy and internal champions, not just awareness.</w:t>
      </w:r>
    </w:p>
    <w:p>
      <w:pPr>
        <w:pStyle w:val="Heading3"/>
        <w:spacing w:after="100" w:before="200"/>
      </w:pPr>
      <w:r>
        <w:rPr>
          <w:rFonts w:ascii="Calibri" w:cs="Calibri" w:eastAsia="Calibri" w:hAnsi="Calibri"/>
          <w:b/>
          <w:bCs/>
          <w:color w:val="1F3864"/>
          <w:sz w:val="23"/>
          <w:szCs w:val="23"/>
        </w:rPr>
        <w:t xml:space="preserve">AI Foundations &amp; Executive Briefings</w:t>
      </w:r>
    </w:p>
    <w:p>
      <w:pPr>
        <w:pStyle w:val="ListParagraph"/>
        <w:numPr>
          <w:ilvl w:val="0"/>
          <w:numId w:val="1"/>
        </w:numPr>
        <w:spacing w:after="80" w:line="270"/>
      </w:pPr>
      <w:r>
        <w:rPr>
          <w:rFonts w:ascii="Calibri" w:cs="Calibri" w:eastAsia="Calibri" w:hAnsi="Calibri"/>
          <w:color w:val="333333"/>
          <w:sz w:val="21"/>
          <w:szCs w:val="21"/>
        </w:rPr>
        <w:t xml:space="preserve">AI fundamentals and awareness training for executives, boards and staff onboarding.</w:t>
      </w:r>
    </w:p>
    <w:p>
      <w:pPr>
        <w:pStyle w:val="ListParagraph"/>
        <w:numPr>
          <w:ilvl w:val="0"/>
          <w:numId w:val="1"/>
        </w:numPr>
        <w:spacing w:after="80" w:line="270"/>
      </w:pPr>
      <w:r>
        <w:rPr>
          <w:rFonts w:ascii="Calibri" w:cs="Calibri" w:eastAsia="Calibri" w:hAnsi="Calibri"/>
          <w:color w:val="333333"/>
          <w:sz w:val="21"/>
          <w:szCs w:val="21"/>
        </w:rPr>
        <w:t xml:space="preserve">AI-readiness assessments to diagnose organizational capability and identify priority use cases.</w:t>
      </w:r>
    </w:p>
    <w:p>
      <w:pPr>
        <w:pStyle w:val="ListParagraph"/>
        <w:numPr>
          <w:ilvl w:val="0"/>
          <w:numId w:val="1"/>
        </w:numPr>
        <w:spacing w:after="80" w:line="270"/>
      </w:pPr>
      <w:r>
        <w:rPr>
          <w:rFonts w:ascii="Calibri" w:cs="Calibri" w:eastAsia="Calibri" w:hAnsi="Calibri"/>
          <w:color w:val="333333"/>
          <w:sz w:val="21"/>
          <w:szCs w:val="21"/>
        </w:rPr>
        <w:t xml:space="preserve">Sector-specific AI briefings for Life Sciences, healthcare, chemicals, automotive and financial services leadership teams.</w:t>
      </w:r>
    </w:p>
    <w:p>
      <w:pPr>
        <w:pStyle w:val="Heading3"/>
        <w:spacing w:after="100" w:before="200"/>
      </w:pPr>
      <w:r>
        <w:rPr>
          <w:rFonts w:ascii="Calibri" w:cs="Calibri" w:eastAsia="Calibri" w:hAnsi="Calibri"/>
          <w:b/>
          <w:bCs/>
          <w:color w:val="1F3864"/>
          <w:sz w:val="23"/>
          <w:szCs w:val="23"/>
        </w:rPr>
        <w:t xml:space="preserve">Applied, Function-Specific AI Training</w:t>
      </w:r>
    </w:p>
    <w:p>
      <w:pPr>
        <w:pStyle w:val="ListParagraph"/>
        <w:numPr>
          <w:ilvl w:val="0"/>
          <w:numId w:val="1"/>
        </w:numPr>
        <w:spacing w:after="80" w:line="270"/>
      </w:pPr>
      <w:r>
        <w:rPr>
          <w:rFonts w:ascii="Calibri" w:cs="Calibri" w:eastAsia="Calibri" w:hAnsi="Calibri"/>
          <w:color w:val="333333"/>
          <w:sz w:val="21"/>
          <w:szCs w:val="21"/>
        </w:rPr>
        <w:t xml:space="preserve">AI for commercial and sales teams — territory planning, lead scoring, CRM-integrated insights.</w:t>
      </w:r>
    </w:p>
    <w:p>
      <w:pPr>
        <w:pStyle w:val="ListParagraph"/>
        <w:numPr>
          <w:ilvl w:val="0"/>
          <w:numId w:val="1"/>
        </w:numPr>
        <w:spacing w:after="80" w:line="270"/>
      </w:pPr>
      <w:r>
        <w:rPr>
          <w:rFonts w:ascii="Calibri" w:cs="Calibri" w:eastAsia="Calibri" w:hAnsi="Calibri"/>
          <w:color w:val="333333"/>
          <w:sz w:val="21"/>
          <w:szCs w:val="21"/>
        </w:rPr>
        <w:t xml:space="preserve">AI for market access, regulatory affairs and pharmacovigilance functions in pharmaceutical and medical device organizations.</w:t>
      </w:r>
    </w:p>
    <w:p>
      <w:pPr>
        <w:pStyle w:val="ListParagraph"/>
        <w:numPr>
          <w:ilvl w:val="0"/>
          <w:numId w:val="1"/>
        </w:numPr>
        <w:spacing w:after="80" w:line="270"/>
      </w:pPr>
      <w:r>
        <w:rPr>
          <w:rFonts w:ascii="Calibri" w:cs="Calibri" w:eastAsia="Calibri" w:hAnsi="Calibri"/>
          <w:color w:val="333333"/>
          <w:sz w:val="21"/>
          <w:szCs w:val="21"/>
        </w:rPr>
        <w:t xml:space="preserve">AI for HR, finance, communications, and monitoring &amp; evaluation (M&amp;E) functions.</w:t>
      </w:r>
    </w:p>
    <w:p>
      <w:pPr>
        <w:pStyle w:val="ListParagraph"/>
        <w:numPr>
          <w:ilvl w:val="0"/>
          <w:numId w:val="1"/>
        </w:numPr>
        <w:spacing w:after="80" w:line="270"/>
      </w:pPr>
      <w:r>
        <w:rPr>
          <w:rFonts w:ascii="Calibri" w:cs="Calibri" w:eastAsia="Calibri" w:hAnsi="Calibri"/>
          <w:color w:val="333333"/>
          <w:sz w:val="21"/>
          <w:szCs w:val="21"/>
        </w:rPr>
        <w:t xml:space="preserve">Prompt engineering and generative AI tools training (ChatGPT, Claude, Gemini, Perplexity and other leading platforms).</w:t>
      </w:r>
    </w:p>
    <w:p>
      <w:pPr>
        <w:pStyle w:val="Heading3"/>
        <w:spacing w:after="100" w:before="200"/>
      </w:pPr>
      <w:r>
        <w:rPr>
          <w:rFonts w:ascii="Calibri" w:cs="Calibri" w:eastAsia="Calibri" w:hAnsi="Calibri"/>
          <w:b/>
          <w:bCs/>
          <w:color w:val="1F3864"/>
          <w:sz w:val="23"/>
          <w:szCs w:val="23"/>
        </w:rPr>
        <w:t xml:space="preserve">Responsible &amp; Governed AI Adoption</w:t>
      </w:r>
    </w:p>
    <w:p>
      <w:pPr>
        <w:pStyle w:val="ListParagraph"/>
        <w:numPr>
          <w:ilvl w:val="0"/>
          <w:numId w:val="1"/>
        </w:numPr>
        <w:spacing w:after="80" w:line="270"/>
      </w:pPr>
      <w:r>
        <w:rPr>
          <w:rFonts w:ascii="Calibri" w:cs="Calibri" w:eastAsia="Calibri" w:hAnsi="Calibri"/>
          <w:color w:val="333333"/>
          <w:sz w:val="21"/>
          <w:szCs w:val="21"/>
        </w:rPr>
        <w:t xml:space="preserve">AI ethics, governance and responsible-use workshops, including data privacy and confidentiality safeguards.</w:t>
      </w:r>
    </w:p>
    <w:p>
      <w:pPr>
        <w:pStyle w:val="ListParagraph"/>
        <w:numPr>
          <w:ilvl w:val="0"/>
          <w:numId w:val="1"/>
        </w:numPr>
        <w:spacing w:after="80" w:line="270"/>
      </w:pPr>
      <w:r>
        <w:rPr>
          <w:rFonts w:ascii="Calibri" w:cs="Calibri" w:eastAsia="Calibri" w:hAnsi="Calibri"/>
          <w:color w:val="333333"/>
          <w:sz w:val="21"/>
          <w:szCs w:val="21"/>
        </w:rPr>
        <w:t xml:space="preserve">Policy and guideline development for safe AI use within regulated industries such as pharmaceuticals and banking.</w:t>
      </w:r>
    </w:p>
    <w:p>
      <w:pPr>
        <w:pStyle w:val="Heading3"/>
        <w:spacing w:after="100" w:before="200"/>
      </w:pPr>
      <w:r>
        <w:rPr>
          <w:rFonts w:ascii="Calibri" w:cs="Calibri" w:eastAsia="Calibri" w:hAnsi="Calibri"/>
          <w:b/>
          <w:bCs/>
          <w:color w:val="1F3864"/>
          <w:sz w:val="23"/>
          <w:szCs w:val="23"/>
        </w:rPr>
        <w:t xml:space="preserve">Capability Multiplication</w:t>
      </w:r>
    </w:p>
    <w:p>
      <w:pPr>
        <w:pStyle w:val="ListParagraph"/>
        <w:numPr>
          <w:ilvl w:val="0"/>
          <w:numId w:val="1"/>
        </w:numPr>
        <w:spacing w:after="80" w:line="270"/>
      </w:pPr>
      <w:r>
        <w:rPr>
          <w:rFonts w:ascii="Calibri" w:cs="Calibri" w:eastAsia="Calibri" w:hAnsi="Calibri"/>
          <w:color w:val="333333"/>
          <w:sz w:val="21"/>
          <w:szCs w:val="21"/>
        </w:rPr>
        <w:t xml:space="preserve">Train-the-trainer programs to build internal AI champions and sustain capability beyond the engagement.</w:t>
      </w:r>
    </w:p>
    <w:p>
      <w:pPr>
        <w:pStyle w:val="ListParagraph"/>
        <w:numPr>
          <w:ilvl w:val="0"/>
          <w:numId w:val="1"/>
        </w:numPr>
        <w:spacing w:after="80" w:line="270"/>
      </w:pPr>
      <w:r>
        <w:rPr>
          <w:rFonts w:ascii="Calibri" w:cs="Calibri" w:eastAsia="Calibri" w:hAnsi="Calibri"/>
          <w:color w:val="333333"/>
          <w:sz w:val="21"/>
          <w:szCs w:val="21"/>
        </w:rPr>
        <w:t xml:space="preserve">Custom curriculum design for organization-specific AI and digital-skills programs.</w:t>
      </w:r>
    </w:p>
    <w:p>
      <w:pPr>
        <w:pStyle w:val="ListParagraph"/>
        <w:numPr>
          <w:ilvl w:val="0"/>
          <w:numId w:val="1"/>
        </w:numPr>
        <w:spacing w:after="80" w:line="270"/>
      </w:pPr>
      <w:r>
        <w:rPr>
          <w:rFonts w:ascii="Calibri" w:cs="Calibri" w:eastAsia="Calibri" w:hAnsi="Calibri"/>
          <w:color w:val="333333"/>
          <w:sz w:val="21"/>
          <w:szCs w:val="21"/>
        </w:rPr>
        <w:t xml:space="preserve">Mentorship and coaching program design to reinforce classroom learning with on-the-job application.</w:t>
      </w:r>
    </w:p>
    <w:p>
      <w:pPr>
        <w:pStyle w:val="Heading3"/>
        <w:spacing w:after="100" w:before="200"/>
      </w:pPr>
      <w:r>
        <w:rPr>
          <w:rFonts w:ascii="Calibri" w:cs="Calibri" w:eastAsia="Calibri" w:hAnsi="Calibri"/>
          <w:b/>
          <w:bCs/>
          <w:color w:val="1F3864"/>
          <w:sz w:val="23"/>
          <w:szCs w:val="23"/>
        </w:rPr>
        <w:t xml:space="preserve">Delivery Formats</w:t>
      </w:r>
    </w:p>
    <w:p>
      <w:pPr>
        <w:pStyle w:val="ListParagraph"/>
        <w:numPr>
          <w:ilvl w:val="0"/>
          <w:numId w:val="1"/>
        </w:numPr>
        <w:spacing w:after="80" w:line="270"/>
      </w:pPr>
      <w:r>
        <w:rPr>
          <w:rFonts w:ascii="Calibri" w:cs="Calibri" w:eastAsia="Calibri" w:hAnsi="Calibri"/>
          <w:color w:val="333333"/>
          <w:sz w:val="21"/>
          <w:szCs w:val="21"/>
        </w:rPr>
        <w:t xml:space="preserve">In-person workshops, virtual/online training and hybrid programs delivered across African, European and US time zones.</w:t>
      </w:r>
    </w:p>
    <w:p>
      <w:pPr>
        <w:pStyle w:val="ListParagraph"/>
        <w:numPr>
          <w:ilvl w:val="0"/>
          <w:numId w:val="1"/>
        </w:numPr>
        <w:spacing w:after="80" w:line="270"/>
      </w:pPr>
      <w:r>
        <w:rPr>
          <w:rFonts w:ascii="Calibri" w:cs="Calibri" w:eastAsia="Calibri" w:hAnsi="Calibri"/>
          <w:color w:val="333333"/>
          <w:sz w:val="21"/>
          <w:szCs w:val="21"/>
        </w:rPr>
        <w:t xml:space="preserve">Short courses (1–5 days) and longer structured programs (weeks to months), plus retainer-based ongoing advisory.</w:t>
      </w:r>
    </w:p>
    <w:p>
      <w:pPr>
        <w:pStyle w:val="Heading3"/>
        <w:spacing w:after="100" w:before="200"/>
      </w:pPr>
      <w:r>
        <w:rPr>
          <w:rFonts w:ascii="Calibri" w:cs="Calibri" w:eastAsia="Calibri" w:hAnsi="Calibri"/>
          <w:b/>
          <w:bCs/>
          <w:color w:val="1F3864"/>
          <w:sz w:val="23"/>
          <w:szCs w:val="23"/>
        </w:rPr>
        <w:t xml:space="preserve">Deliverables Clients Can Expect</w:t>
      </w:r>
    </w:p>
    <w:p>
      <w:pPr>
        <w:pStyle w:val="ListParagraph"/>
        <w:numPr>
          <w:ilvl w:val="0"/>
          <w:numId w:val="1"/>
        </w:numPr>
        <w:spacing w:after="80" w:line="270"/>
      </w:pPr>
      <w:r>
        <w:rPr>
          <w:rFonts w:ascii="Calibri" w:cs="Calibri" w:eastAsia="Calibri" w:hAnsi="Calibri"/>
          <w:color w:val="333333"/>
          <w:sz w:val="21"/>
          <w:szCs w:val="21"/>
        </w:rPr>
        <w:t xml:space="preserve">Customized training curricula, facilitator guides and participant workbooks.</w:t>
      </w:r>
    </w:p>
    <w:p>
      <w:pPr>
        <w:pStyle w:val="ListParagraph"/>
        <w:numPr>
          <w:ilvl w:val="0"/>
          <w:numId w:val="1"/>
        </w:numPr>
        <w:spacing w:after="80" w:line="270"/>
      </w:pPr>
      <w:r>
        <w:rPr>
          <w:rFonts w:ascii="Calibri" w:cs="Calibri" w:eastAsia="Calibri" w:hAnsi="Calibri"/>
          <w:color w:val="333333"/>
          <w:sz w:val="21"/>
          <w:szCs w:val="21"/>
        </w:rPr>
        <w:t xml:space="preserve">AI-readiness scorecards and prioritized adoption roadmaps.</w:t>
      </w:r>
    </w:p>
    <w:p>
      <w:pPr>
        <w:pStyle w:val="ListParagraph"/>
        <w:numPr>
          <w:ilvl w:val="0"/>
          <w:numId w:val="1"/>
        </w:numPr>
        <w:spacing w:after="80" w:line="270"/>
      </w:pPr>
      <w:r>
        <w:rPr>
          <w:rFonts w:ascii="Calibri" w:cs="Calibri" w:eastAsia="Calibri" w:hAnsi="Calibri"/>
          <w:color w:val="333333"/>
          <w:sz w:val="21"/>
          <w:szCs w:val="21"/>
        </w:rPr>
        <w:t xml:space="preserve">A trained internal cohort of AI champions able to sustain and scale adoption.</w:t>
      </w:r>
    </w:p>
    <w:p>
      <w:r>
        <w:br w:type="page"/>
      </w:r>
    </w:p>
    <w:p>
      <w:pPr>
        <w:pStyle w:val="Heading2"/>
        <w:spacing w:after="120" w:before="240"/>
      </w:pPr>
      <w:r>
        <w:rPr>
          <w:rFonts w:ascii="Calibri" w:cs="Calibri" w:eastAsia="Calibri" w:hAnsi="Calibri"/>
          <w:b/>
          <w:bCs/>
          <w:color w:val="2E4E8C"/>
          <w:sz w:val="25"/>
          <w:szCs w:val="25"/>
        </w:rPr>
        <w:t xml:space="preserve">Pillar 4: AI Enterprise Solutions</w:t>
      </w:r>
    </w:p>
    <w:p>
      <w:pPr>
        <w:spacing w:after="160" w:line="276"/>
      </w:pPr>
      <w:r>
        <w:rPr>
          <w:rFonts w:ascii="Calibri" w:cs="Calibri" w:eastAsia="Calibri" w:hAnsi="Calibri"/>
          <w:i/>
          <w:iCs/>
          <w:color w:val="1F3864"/>
          <w:sz w:val="21"/>
          <w:szCs w:val="21"/>
        </w:rPr>
        <w:t xml:space="preserve">End-to-end design, build and integration of AI-powered systems that operationalize insight into everyday business workflows — from market intelligence platforms to patient- and customer-facing AI tools.</w:t>
      </w:r>
    </w:p>
    <w:p>
      <w:pPr>
        <w:pStyle w:val="Heading3"/>
        <w:spacing w:after="100" w:before="200"/>
      </w:pPr>
      <w:r>
        <w:rPr>
          <w:rFonts w:ascii="Calibri" w:cs="Calibri" w:eastAsia="Calibri" w:hAnsi="Calibri"/>
          <w:b/>
          <w:bCs/>
          <w:color w:val="1F3864"/>
          <w:sz w:val="23"/>
          <w:szCs w:val="23"/>
        </w:rPr>
        <w:t xml:space="preserve">AI Strategy &amp; Solution Architecture</w:t>
      </w:r>
    </w:p>
    <w:p>
      <w:pPr>
        <w:pStyle w:val="ListParagraph"/>
        <w:numPr>
          <w:ilvl w:val="0"/>
          <w:numId w:val="1"/>
        </w:numPr>
        <w:spacing w:after="80" w:line="270"/>
      </w:pPr>
      <w:r>
        <w:rPr>
          <w:rFonts w:ascii="Calibri" w:cs="Calibri" w:eastAsia="Calibri" w:hAnsi="Calibri"/>
          <w:color w:val="333333"/>
          <w:sz w:val="21"/>
          <w:szCs w:val="21"/>
        </w:rPr>
        <w:t xml:space="preserve">Enterprise AI strategy and use-case prioritization aligned to business value and data readiness.</w:t>
      </w:r>
    </w:p>
    <w:p>
      <w:pPr>
        <w:pStyle w:val="ListParagraph"/>
        <w:numPr>
          <w:ilvl w:val="0"/>
          <w:numId w:val="1"/>
        </w:numPr>
        <w:spacing w:after="80" w:line="270"/>
      </w:pPr>
      <w:r>
        <w:rPr>
          <w:rFonts w:ascii="Calibri" w:cs="Calibri" w:eastAsia="Calibri" w:hAnsi="Calibri"/>
          <w:color w:val="333333"/>
          <w:sz w:val="21"/>
          <w:szCs w:val="21"/>
        </w:rPr>
        <w:t xml:space="preserve">AI solution architecture, vendor and technology stack selection.</w:t>
      </w:r>
    </w:p>
    <w:p>
      <w:pPr>
        <w:pStyle w:val="ListParagraph"/>
        <w:numPr>
          <w:ilvl w:val="0"/>
          <w:numId w:val="1"/>
        </w:numPr>
        <w:spacing w:after="80" w:line="270"/>
      </w:pPr>
      <w:r>
        <w:rPr>
          <w:rFonts w:ascii="Calibri" w:cs="Calibri" w:eastAsia="Calibri" w:hAnsi="Calibri"/>
          <w:color w:val="333333"/>
          <w:sz w:val="21"/>
          <w:szCs w:val="21"/>
        </w:rPr>
        <w:t xml:space="preserve">Data strategy, governance and infrastructure advisory to prepare organizations for AI deployment.</w:t>
      </w:r>
    </w:p>
    <w:p>
      <w:pPr>
        <w:pStyle w:val="Heading3"/>
        <w:spacing w:after="100" w:before="200"/>
      </w:pPr>
      <w:r>
        <w:rPr>
          <w:rFonts w:ascii="Calibri" w:cs="Calibri" w:eastAsia="Calibri" w:hAnsi="Calibri"/>
          <w:b/>
          <w:bCs/>
          <w:color w:val="1F3864"/>
          <w:sz w:val="23"/>
          <w:szCs w:val="23"/>
        </w:rPr>
        <w:t xml:space="preserve">Custom AI &amp; Analytics Solutions</w:t>
      </w:r>
    </w:p>
    <w:p>
      <w:pPr>
        <w:pStyle w:val="ListParagraph"/>
        <w:numPr>
          <w:ilvl w:val="0"/>
          <w:numId w:val="1"/>
        </w:numPr>
        <w:spacing w:after="80" w:line="270"/>
      </w:pPr>
      <w:r>
        <w:rPr>
          <w:rFonts w:ascii="Calibri" w:cs="Calibri" w:eastAsia="Calibri" w:hAnsi="Calibri"/>
          <w:color w:val="333333"/>
          <w:sz w:val="21"/>
          <w:szCs w:val="21"/>
        </w:rPr>
        <w:t xml:space="preserve">Custom AI/ML solution design and development for commercial, operational and clinical use cases.</w:t>
      </w:r>
    </w:p>
    <w:p>
      <w:pPr>
        <w:pStyle w:val="ListParagraph"/>
        <w:numPr>
          <w:ilvl w:val="0"/>
          <w:numId w:val="1"/>
        </w:numPr>
        <w:spacing w:after="80" w:line="270"/>
      </w:pPr>
      <w:r>
        <w:rPr>
          <w:rFonts w:ascii="Calibri" w:cs="Calibri" w:eastAsia="Calibri" w:hAnsi="Calibri"/>
          <w:color w:val="333333"/>
          <w:sz w:val="21"/>
          <w:szCs w:val="21"/>
        </w:rPr>
        <w:t xml:space="preserve">AI-powered market intelligence and competitive-monitoring platforms for Life Sciences clients.</w:t>
      </w:r>
    </w:p>
    <w:p>
      <w:pPr>
        <w:pStyle w:val="ListParagraph"/>
        <w:numPr>
          <w:ilvl w:val="0"/>
          <w:numId w:val="1"/>
        </w:numPr>
        <w:spacing w:after="80" w:line="270"/>
      </w:pPr>
      <w:r>
        <w:rPr>
          <w:rFonts w:ascii="Calibri" w:cs="Calibri" w:eastAsia="Calibri" w:hAnsi="Calibri"/>
          <w:color w:val="333333"/>
          <w:sz w:val="21"/>
          <w:szCs w:val="21"/>
        </w:rPr>
        <w:t xml:space="preserve">Business intelligence dashboards and predictive analytics for sales, finance and operations teams.</w:t>
      </w:r>
    </w:p>
    <w:p>
      <w:pPr>
        <w:pStyle w:val="Heading3"/>
        <w:spacing w:after="100" w:before="200"/>
      </w:pPr>
      <w:r>
        <w:rPr>
          <w:rFonts w:ascii="Calibri" w:cs="Calibri" w:eastAsia="Calibri" w:hAnsi="Calibri"/>
          <w:b/>
          <w:bCs/>
          <w:color w:val="1F3864"/>
          <w:sz w:val="23"/>
          <w:szCs w:val="23"/>
        </w:rPr>
        <w:t xml:space="preserve">Conversational AI &amp; Engagement Tools</w:t>
      </w:r>
    </w:p>
    <w:p>
      <w:pPr>
        <w:pStyle w:val="ListParagraph"/>
        <w:numPr>
          <w:ilvl w:val="0"/>
          <w:numId w:val="1"/>
        </w:numPr>
        <w:spacing w:after="80" w:line="270"/>
      </w:pPr>
      <w:r>
        <w:rPr>
          <w:rFonts w:ascii="Calibri" w:cs="Calibri" w:eastAsia="Calibri" w:hAnsi="Calibri"/>
          <w:color w:val="333333"/>
          <w:sz w:val="21"/>
          <w:szCs w:val="21"/>
        </w:rPr>
        <w:t xml:space="preserve">AI chatbots and virtual assistants for patient engagement, customer service and field-force support.</w:t>
      </w:r>
    </w:p>
    <w:p>
      <w:pPr>
        <w:pStyle w:val="ListParagraph"/>
        <w:numPr>
          <w:ilvl w:val="0"/>
          <w:numId w:val="1"/>
        </w:numPr>
        <w:spacing w:after="80" w:line="270"/>
      </w:pPr>
      <w:r>
        <w:rPr>
          <w:rFonts w:ascii="Calibri" w:cs="Calibri" w:eastAsia="Calibri" w:hAnsi="Calibri"/>
          <w:color w:val="333333"/>
          <w:sz w:val="21"/>
          <w:szCs w:val="21"/>
        </w:rPr>
        <w:t xml:space="preserve">AI-powered call center and helpdesk augmentation for banking, healthcare and consumer-facing organizations.</w:t>
      </w:r>
    </w:p>
    <w:p>
      <w:pPr>
        <w:pStyle w:val="Heading3"/>
        <w:spacing w:after="100" w:before="200"/>
      </w:pPr>
      <w:r>
        <w:rPr>
          <w:rFonts w:ascii="Calibri" w:cs="Calibri" w:eastAsia="Calibri" w:hAnsi="Calibri"/>
          <w:b/>
          <w:bCs/>
          <w:color w:val="1F3864"/>
          <w:sz w:val="23"/>
          <w:szCs w:val="23"/>
        </w:rPr>
        <w:t xml:space="preserve">Process Automation</w:t>
      </w:r>
    </w:p>
    <w:p>
      <w:pPr>
        <w:pStyle w:val="ListParagraph"/>
        <w:numPr>
          <w:ilvl w:val="0"/>
          <w:numId w:val="1"/>
        </w:numPr>
        <w:spacing w:after="80" w:line="270"/>
      </w:pPr>
      <w:r>
        <w:rPr>
          <w:rFonts w:ascii="Calibri" w:cs="Calibri" w:eastAsia="Calibri" w:hAnsi="Calibri"/>
          <w:color w:val="333333"/>
          <w:sz w:val="21"/>
          <w:szCs w:val="21"/>
        </w:rPr>
        <w:t xml:space="preserve">Robotic Process Automation (RPA) combined with AI for document processing, claims, invoicing and compliance workflows.</w:t>
      </w:r>
    </w:p>
    <w:p>
      <w:pPr>
        <w:pStyle w:val="ListParagraph"/>
        <w:numPr>
          <w:ilvl w:val="0"/>
          <w:numId w:val="1"/>
        </w:numPr>
        <w:spacing w:after="80" w:line="270"/>
      </w:pPr>
      <w:r>
        <w:rPr>
          <w:rFonts w:ascii="Calibri" w:cs="Calibri" w:eastAsia="Calibri" w:hAnsi="Calibri"/>
          <w:color w:val="333333"/>
          <w:sz w:val="21"/>
          <w:szCs w:val="21"/>
        </w:rPr>
        <w:t xml:space="preserve">AI integration with existing CRM, ERP and enterprise systems to embed intelligence into daily operations.</w:t>
      </w:r>
    </w:p>
    <w:p>
      <w:pPr>
        <w:pStyle w:val="Heading3"/>
        <w:spacing w:after="100" w:before="200"/>
      </w:pPr>
      <w:r>
        <w:rPr>
          <w:rFonts w:ascii="Calibri" w:cs="Calibri" w:eastAsia="Calibri" w:hAnsi="Calibri"/>
          <w:b/>
          <w:bCs/>
          <w:color w:val="1F3864"/>
          <w:sz w:val="23"/>
          <w:szCs w:val="23"/>
        </w:rPr>
        <w:t xml:space="preserve">Life Sciences-Specific AI Solutions</w:t>
      </w:r>
    </w:p>
    <w:p>
      <w:pPr>
        <w:pStyle w:val="ListParagraph"/>
        <w:numPr>
          <w:ilvl w:val="0"/>
          <w:numId w:val="1"/>
        </w:numPr>
        <w:spacing w:after="80" w:line="270"/>
      </w:pPr>
      <w:r>
        <w:rPr>
          <w:rFonts w:ascii="Calibri" w:cs="Calibri" w:eastAsia="Calibri" w:hAnsi="Calibri"/>
          <w:color w:val="333333"/>
          <w:sz w:val="21"/>
          <w:szCs w:val="21"/>
        </w:rPr>
        <w:t xml:space="preserve">AI-assisted pharmacovigilance and adverse-event monitoring systems for pharmaceutical and medical device clients.</w:t>
      </w:r>
    </w:p>
    <w:p>
      <w:pPr>
        <w:pStyle w:val="ListParagraph"/>
        <w:numPr>
          <w:ilvl w:val="0"/>
          <w:numId w:val="1"/>
        </w:numPr>
        <w:spacing w:after="80" w:line="270"/>
      </w:pPr>
      <w:r>
        <w:rPr>
          <w:rFonts w:ascii="Calibri" w:cs="Calibri" w:eastAsia="Calibri" w:hAnsi="Calibri"/>
          <w:color w:val="333333"/>
          <w:sz w:val="21"/>
          <w:szCs w:val="21"/>
        </w:rPr>
        <w:t xml:space="preserve">Regulatory intelligence automation — tracking guideline changes, submissions and compliance deadlines across African and international regulators.</w:t>
      </w:r>
    </w:p>
    <w:p>
      <w:pPr>
        <w:pStyle w:val="ListParagraph"/>
        <w:numPr>
          <w:ilvl w:val="0"/>
          <w:numId w:val="1"/>
        </w:numPr>
        <w:spacing w:after="80" w:line="270"/>
      </w:pPr>
      <w:r>
        <w:rPr>
          <w:rFonts w:ascii="Calibri" w:cs="Calibri" w:eastAsia="Calibri" w:hAnsi="Calibri"/>
          <w:color w:val="333333"/>
          <w:sz w:val="21"/>
          <w:szCs w:val="21"/>
        </w:rPr>
        <w:t xml:space="preserve">AI-powered Key Opinion Leader (KOL) identification and market-access analytics platforms.</w:t>
      </w:r>
    </w:p>
    <w:p>
      <w:pPr>
        <w:pStyle w:val="Heading3"/>
        <w:spacing w:after="100" w:before="200"/>
      </w:pPr>
      <w:r>
        <w:rPr>
          <w:rFonts w:ascii="Calibri" w:cs="Calibri" w:eastAsia="Calibri" w:hAnsi="Calibri"/>
          <w:b/>
          <w:bCs/>
          <w:color w:val="1F3864"/>
          <w:sz w:val="23"/>
          <w:szCs w:val="23"/>
        </w:rPr>
        <w:t xml:space="preserve">Deliverables Clients Can Expect</w:t>
      </w:r>
    </w:p>
    <w:p>
      <w:pPr>
        <w:pStyle w:val="ListParagraph"/>
        <w:numPr>
          <w:ilvl w:val="0"/>
          <w:numId w:val="1"/>
        </w:numPr>
        <w:spacing w:after="80" w:line="270"/>
      </w:pPr>
      <w:r>
        <w:rPr>
          <w:rFonts w:ascii="Calibri" w:cs="Calibri" w:eastAsia="Calibri" w:hAnsi="Calibri"/>
          <w:color w:val="333333"/>
          <w:sz w:val="21"/>
          <w:szCs w:val="21"/>
        </w:rPr>
        <w:t xml:space="preserve">Functional AI solutions, dashboards or tools deployed into the client's environment.</w:t>
      </w:r>
    </w:p>
    <w:p>
      <w:pPr>
        <w:pStyle w:val="ListParagraph"/>
        <w:numPr>
          <w:ilvl w:val="0"/>
          <w:numId w:val="1"/>
        </w:numPr>
        <w:spacing w:after="80" w:line="270"/>
      </w:pPr>
      <w:r>
        <w:rPr>
          <w:rFonts w:ascii="Calibri" w:cs="Calibri" w:eastAsia="Calibri" w:hAnsi="Calibri"/>
          <w:color w:val="333333"/>
          <w:sz w:val="21"/>
          <w:szCs w:val="21"/>
        </w:rPr>
        <w:t xml:space="preserve">Technical documentation, user guides and post-deployment support plans.</w:t>
      </w:r>
    </w:p>
    <w:p>
      <w:pPr>
        <w:pStyle w:val="ListParagraph"/>
        <w:numPr>
          <w:ilvl w:val="0"/>
          <w:numId w:val="1"/>
        </w:numPr>
        <w:spacing w:after="80" w:line="270"/>
      </w:pPr>
      <w:r>
        <w:rPr>
          <w:rFonts w:ascii="Calibri" w:cs="Calibri" w:eastAsia="Calibri" w:hAnsi="Calibri"/>
          <w:color w:val="333333"/>
          <w:sz w:val="21"/>
          <w:szCs w:val="21"/>
        </w:rPr>
        <w:t xml:space="preserve">Measurable efficiency, accuracy or revenue impact tied to each deployed solution.</w:t>
      </w:r>
    </w:p>
    <w:p>
      <w:r>
        <w:br w:type="page"/>
      </w:r>
    </w:p>
    <w:p>
      <w:pPr>
        <w:pStyle w:val="Heading1"/>
        <w:pBdr>
          <w:bottom w:val="single" w:color="1F3864" w:sz="8" w:space="4"/>
        </w:pBdr>
        <w:spacing w:after="160" w:before="320"/>
      </w:pPr>
      <w:r>
        <w:rPr>
          <w:rFonts w:ascii="Calibri" w:cs="Calibri" w:eastAsia="Calibri" w:hAnsi="Calibri"/>
          <w:b/>
          <w:bCs/>
          <w:color w:val="1F3864"/>
          <w:sz w:val="30"/>
          <w:szCs w:val="30"/>
        </w:rPr>
        <w:t xml:space="preserve">5. Target Clients &amp; Sectors</w:t>
      </w:r>
    </w:p>
    <w:p>
      <w:pPr>
        <w:spacing w:after="120" w:line="276"/>
      </w:pPr>
      <w:r>
        <w:rPr>
          <w:rFonts w:ascii="Calibri" w:cs="Calibri" w:eastAsia="Calibri" w:hAnsi="Calibri"/>
          <w:color w:val="333333"/>
          <w:sz w:val="21"/>
          <w:szCs w:val="21"/>
        </w:rPr>
        <w:t xml:space="preserve">MindCraft serves a diverse client base spanning multinational corporations, regional enterprises, public institutions and development partners, unified by a shared need for credible market intelligence, sound strategic advisory and practical AI capability.</w:t>
      </w:r>
    </w:p>
    <w:p>
      <w:pPr>
        <w:pStyle w:val="ListParagraph"/>
        <w:numPr>
          <w:ilvl w:val="0"/>
          <w:numId w:val="1"/>
        </w:numPr>
        <w:spacing w:after="80" w:line="270"/>
      </w:pPr>
      <w:r>
        <w:rPr>
          <w:rFonts w:ascii="Calibri" w:cs="Calibri" w:eastAsia="Calibri" w:hAnsi="Calibri"/>
          <w:color w:val="333333"/>
          <w:sz w:val="21"/>
          <w:szCs w:val="21"/>
        </w:rPr>
        <w:t xml:space="preserve">Pharmaceutical, medical device, diagnostics and healthcare companies operating in or entering African markets.</w:t>
      </w:r>
    </w:p>
    <w:p>
      <w:pPr>
        <w:pStyle w:val="ListParagraph"/>
        <w:numPr>
          <w:ilvl w:val="0"/>
          <w:numId w:val="1"/>
        </w:numPr>
        <w:spacing w:after="80" w:line="270"/>
      </w:pPr>
      <w:r>
        <w:rPr>
          <w:rFonts w:ascii="Calibri" w:cs="Calibri" w:eastAsia="Calibri" w:hAnsi="Calibri"/>
          <w:color w:val="333333"/>
          <w:sz w:val="21"/>
          <w:szCs w:val="21"/>
        </w:rPr>
        <w:t xml:space="preserve">Hospitals, hospital groups and private healthcare providers.</w:t>
      </w:r>
    </w:p>
    <w:p>
      <w:pPr>
        <w:pStyle w:val="ListParagraph"/>
        <w:numPr>
          <w:ilvl w:val="0"/>
          <w:numId w:val="1"/>
        </w:numPr>
        <w:spacing w:after="80" w:line="270"/>
      </w:pPr>
      <w:r>
        <w:rPr>
          <w:rFonts w:ascii="Calibri" w:cs="Calibri" w:eastAsia="Calibri" w:hAnsi="Calibri"/>
          <w:color w:val="333333"/>
          <w:sz w:val="21"/>
          <w:szCs w:val="21"/>
        </w:rPr>
        <w:t xml:space="preserve">Chemical and agrochemical manufacturers and distributors.</w:t>
      </w:r>
    </w:p>
    <w:p>
      <w:pPr>
        <w:pStyle w:val="ListParagraph"/>
        <w:numPr>
          <w:ilvl w:val="0"/>
          <w:numId w:val="1"/>
        </w:numPr>
        <w:spacing w:after="80" w:line="270"/>
      </w:pPr>
      <w:r>
        <w:rPr>
          <w:rFonts w:ascii="Calibri" w:cs="Calibri" w:eastAsia="Calibri" w:hAnsi="Calibri"/>
          <w:color w:val="333333"/>
          <w:sz w:val="21"/>
          <w:szCs w:val="21"/>
        </w:rPr>
        <w:t xml:space="preserve">Automotive manufacturers, dealers and aftermarket distributors.</w:t>
      </w:r>
    </w:p>
    <w:p>
      <w:pPr>
        <w:pStyle w:val="ListParagraph"/>
        <w:numPr>
          <w:ilvl w:val="0"/>
          <w:numId w:val="1"/>
        </w:numPr>
        <w:spacing w:after="80" w:line="270"/>
      </w:pPr>
      <w:r>
        <w:rPr>
          <w:rFonts w:ascii="Calibri" w:cs="Calibri" w:eastAsia="Calibri" w:hAnsi="Calibri"/>
          <w:color w:val="333333"/>
          <w:sz w:val="21"/>
          <w:szCs w:val="21"/>
        </w:rPr>
        <w:t xml:space="preserve">Banks, insurers and financial services institutions.</w:t>
      </w:r>
    </w:p>
    <w:p>
      <w:pPr>
        <w:pStyle w:val="ListParagraph"/>
        <w:numPr>
          <w:ilvl w:val="0"/>
          <w:numId w:val="1"/>
        </w:numPr>
        <w:spacing w:after="80" w:line="270"/>
      </w:pPr>
      <w:r>
        <w:rPr>
          <w:rFonts w:ascii="Calibri" w:cs="Calibri" w:eastAsia="Calibri" w:hAnsi="Calibri"/>
          <w:color w:val="333333"/>
          <w:sz w:val="21"/>
          <w:szCs w:val="21"/>
        </w:rPr>
        <w:t xml:space="preserve">Government ministries, departments and regulatory agencies.</w:t>
      </w:r>
    </w:p>
    <w:p>
      <w:pPr>
        <w:pStyle w:val="ListParagraph"/>
        <w:numPr>
          <w:ilvl w:val="0"/>
          <w:numId w:val="1"/>
        </w:numPr>
        <w:spacing w:after="80" w:line="270"/>
      </w:pPr>
      <w:r>
        <w:rPr>
          <w:rFonts w:ascii="Calibri" w:cs="Calibri" w:eastAsia="Calibri" w:hAnsi="Calibri"/>
          <w:color w:val="333333"/>
          <w:sz w:val="21"/>
          <w:szCs w:val="21"/>
        </w:rPr>
        <w:t xml:space="preserve">NGOs, international development organizations, UN agencies and donor-funded programs.</w:t>
      </w:r>
    </w:p>
    <w:p>
      <w:pPr>
        <w:pStyle w:val="ListParagraph"/>
        <w:numPr>
          <w:ilvl w:val="0"/>
          <w:numId w:val="1"/>
        </w:numPr>
        <w:spacing w:after="80" w:line="270"/>
      </w:pPr>
      <w:r>
        <w:rPr>
          <w:rFonts w:ascii="Calibri" w:cs="Calibri" w:eastAsia="Calibri" w:hAnsi="Calibri"/>
          <w:color w:val="333333"/>
          <w:sz w:val="21"/>
          <w:szCs w:val="21"/>
        </w:rPr>
        <w:t xml:space="preserve">Academic and research institutions, startups and innovation hubs.</w:t>
      </w:r>
    </w:p>
    <w:p>
      <w:r>
        <w:br w:type="page"/>
      </w:r>
    </w:p>
    <w:p>
      <w:pPr>
        <w:pStyle w:val="Heading1"/>
        <w:pBdr>
          <w:bottom w:val="single" w:color="1F3864" w:sz="8" w:space="4"/>
        </w:pBdr>
        <w:spacing w:after="160" w:before="320"/>
      </w:pPr>
      <w:r>
        <w:rPr>
          <w:rFonts w:ascii="Calibri" w:cs="Calibri" w:eastAsia="Calibri" w:hAnsi="Calibri"/>
          <w:b/>
          <w:bCs/>
          <w:color w:val="1F3864"/>
          <w:sz w:val="30"/>
          <w:szCs w:val="30"/>
        </w:rPr>
        <w:t xml:space="preserve">6. Delivery Modalities</w:t>
      </w:r>
    </w:p>
    <w:p>
      <w:pPr>
        <w:spacing w:after="120" w:line="276"/>
      </w:pPr>
      <w:r>
        <w:rPr>
          <w:rFonts w:ascii="Calibri" w:cs="Calibri" w:eastAsia="Calibri" w:hAnsi="Calibri"/>
          <w:color w:val="333333"/>
          <w:sz w:val="21"/>
          <w:szCs w:val="21"/>
        </w:rPr>
        <w:t xml:space="preserve">MindCraft designs each engagement around the client's operating context, offering flexible delivery formats across all four service pillars:</w:t>
      </w:r>
    </w:p>
    <w:p>
      <w:pPr>
        <w:pStyle w:val="ListParagraph"/>
        <w:numPr>
          <w:ilvl w:val="0"/>
          <w:numId w:val="1"/>
        </w:numPr>
        <w:spacing w:after="80" w:line="270"/>
      </w:pPr>
      <w:r>
        <w:rPr>
          <w:rFonts w:ascii="Calibri" w:cs="Calibri" w:eastAsia="Calibri" w:hAnsi="Calibri"/>
          <w:color w:val="333333"/>
          <w:sz w:val="21"/>
          <w:szCs w:val="21"/>
        </w:rPr>
        <w:t xml:space="preserve">In-person workshops, training and advisory sessions across African, European and US locations.</w:t>
      </w:r>
    </w:p>
    <w:p>
      <w:pPr>
        <w:pStyle w:val="ListParagraph"/>
        <w:numPr>
          <w:ilvl w:val="0"/>
          <w:numId w:val="1"/>
        </w:numPr>
        <w:spacing w:after="80" w:line="270"/>
      </w:pPr>
      <w:r>
        <w:rPr>
          <w:rFonts w:ascii="Calibri" w:cs="Calibri" w:eastAsia="Calibri" w:hAnsi="Calibri"/>
          <w:color w:val="333333"/>
          <w:sz w:val="21"/>
          <w:szCs w:val="21"/>
        </w:rPr>
        <w:t xml:space="preserve">Virtual/online training, webinars and remote advisory support.</w:t>
      </w:r>
    </w:p>
    <w:p>
      <w:pPr>
        <w:pStyle w:val="ListParagraph"/>
        <w:numPr>
          <w:ilvl w:val="0"/>
          <w:numId w:val="1"/>
        </w:numPr>
        <w:spacing w:after="80" w:line="270"/>
      </w:pPr>
      <w:r>
        <w:rPr>
          <w:rFonts w:ascii="Calibri" w:cs="Calibri" w:eastAsia="Calibri" w:hAnsi="Calibri"/>
          <w:color w:val="333333"/>
          <w:sz w:val="21"/>
          <w:szCs w:val="21"/>
        </w:rPr>
        <w:t xml:space="preserve">Hybrid programs combining in-person and virtual delivery.</w:t>
      </w:r>
    </w:p>
    <w:p>
      <w:pPr>
        <w:pStyle w:val="ListParagraph"/>
        <w:numPr>
          <w:ilvl w:val="0"/>
          <w:numId w:val="1"/>
        </w:numPr>
        <w:spacing w:after="80" w:line="270"/>
      </w:pPr>
      <w:r>
        <w:rPr>
          <w:rFonts w:ascii="Calibri" w:cs="Calibri" w:eastAsia="Calibri" w:hAnsi="Calibri"/>
          <w:color w:val="333333"/>
          <w:sz w:val="21"/>
          <w:szCs w:val="21"/>
        </w:rPr>
        <w:t xml:space="preserve">Short courses (1–5 days) and longer structured programs spanning weeks to months.</w:t>
      </w:r>
    </w:p>
    <w:p>
      <w:pPr>
        <w:pStyle w:val="ListParagraph"/>
        <w:numPr>
          <w:ilvl w:val="0"/>
          <w:numId w:val="1"/>
        </w:numPr>
        <w:spacing w:after="80" w:line="270"/>
      </w:pPr>
      <w:r>
        <w:rPr>
          <w:rFonts w:ascii="Calibri" w:cs="Calibri" w:eastAsia="Calibri" w:hAnsi="Calibri"/>
          <w:color w:val="333333"/>
          <w:sz w:val="21"/>
          <w:szCs w:val="21"/>
        </w:rPr>
        <w:t xml:space="preserve">Retainer-based advisory support for ongoing strategic, research or AI needs.</w:t>
      </w:r>
    </w:p>
    <w:p>
      <w:pPr>
        <w:pStyle w:val="ListParagraph"/>
        <w:numPr>
          <w:ilvl w:val="0"/>
          <w:numId w:val="1"/>
        </w:numPr>
        <w:spacing w:after="80" w:line="270"/>
      </w:pPr>
      <w:r>
        <w:rPr>
          <w:rFonts w:ascii="Calibri" w:cs="Calibri" w:eastAsia="Calibri" w:hAnsi="Calibri"/>
          <w:color w:val="333333"/>
          <w:sz w:val="21"/>
          <w:szCs w:val="21"/>
        </w:rPr>
        <w:t xml:space="preserve">One-off consulting assignments and clearly scoped projects.</w:t>
      </w:r>
    </w:p>
    <w:p>
      <w:pPr>
        <w:pStyle w:val="ListParagraph"/>
        <w:numPr>
          <w:ilvl w:val="0"/>
          <w:numId w:val="1"/>
        </w:numPr>
        <w:spacing w:after="80" w:line="270"/>
      </w:pPr>
      <w:r>
        <w:rPr>
          <w:rFonts w:ascii="Calibri" w:cs="Calibri" w:eastAsia="Calibri" w:hAnsi="Calibri"/>
          <w:color w:val="333333"/>
          <w:sz w:val="21"/>
          <w:szCs w:val="21"/>
        </w:rPr>
        <w:t xml:space="preserve">Custom-designed engagements combining Business Consulting, Market Research, AI Training and AI Enterprise Solutions as needed.</w:t>
      </w:r>
    </w:p>
    <w:p>
      <w:r>
        <w:br w:type="page"/>
      </w:r>
    </w:p>
    <w:p>
      <w:pPr>
        <w:pStyle w:val="Heading1"/>
        <w:pBdr>
          <w:bottom w:val="single" w:color="1F3864" w:sz="8" w:space="4"/>
        </w:pBdr>
        <w:spacing w:after="160" w:before="320"/>
      </w:pPr>
      <w:r>
        <w:rPr>
          <w:rFonts w:ascii="Calibri" w:cs="Calibri" w:eastAsia="Calibri" w:hAnsi="Calibri"/>
          <w:b/>
          <w:bCs/>
          <w:color w:val="1F3864"/>
          <w:sz w:val="30"/>
          <w:szCs w:val="30"/>
        </w:rPr>
        <w:t xml:space="preserve">7. What Sets MindCraft Apart</w:t>
      </w:r>
    </w:p>
    <w:p>
      <w:pPr>
        <w:pStyle w:val="Heading3"/>
        <w:spacing w:after="100" w:before="200"/>
      </w:pPr>
      <w:r>
        <w:rPr>
          <w:rFonts w:ascii="Calibri" w:cs="Calibri" w:eastAsia="Calibri" w:hAnsi="Calibri"/>
          <w:b/>
          <w:bCs/>
          <w:color w:val="1F3864"/>
          <w:sz w:val="23"/>
          <w:szCs w:val="23"/>
        </w:rPr>
        <w:t xml:space="preserve">1. Deep Life Sciences Heritage</w:t>
      </w:r>
    </w:p>
    <w:p>
      <w:pPr>
        <w:spacing w:after="120" w:line="276"/>
      </w:pPr>
      <w:r>
        <w:rPr>
          <w:rFonts w:ascii="Calibri" w:cs="Calibri" w:eastAsia="Calibri" w:hAnsi="Calibri"/>
          <w:color w:val="333333"/>
          <w:sz w:val="21"/>
          <w:szCs w:val="21"/>
        </w:rPr>
        <w:t xml:space="preserve">Unlike generalist consultancies, MindCraft's core expertise is built on Life Sciences — pharmaceuticals, medical devices, diagnostics, equipment, surgical consumables and hospitals. This means faster onboarding, sharper questions, and recommendations grounded in real industry context from day one.</w:t>
      </w:r>
    </w:p>
    <w:p>
      <w:pPr>
        <w:pStyle w:val="Heading3"/>
        <w:spacing w:after="100" w:before="200"/>
      </w:pPr>
      <w:r>
        <w:rPr>
          <w:rFonts w:ascii="Calibri" w:cs="Calibri" w:eastAsia="Calibri" w:hAnsi="Calibri"/>
          <w:b/>
          <w:bCs/>
          <w:color w:val="1F3864"/>
          <w:sz w:val="23"/>
          <w:szCs w:val="23"/>
        </w:rPr>
        <w:t xml:space="preserve">2. Pan-African Footprint with Local Fluency</w:t>
      </w:r>
    </w:p>
    <w:p>
      <w:pPr>
        <w:spacing w:after="120" w:line="276"/>
      </w:pPr>
      <w:r>
        <w:rPr>
          <w:rFonts w:ascii="Calibri" w:cs="Calibri" w:eastAsia="Calibri" w:hAnsi="Calibri"/>
          <w:color w:val="333333"/>
          <w:sz w:val="21"/>
          <w:szCs w:val="21"/>
        </w:rPr>
        <w:t xml:space="preserve">Headquartered in Nairobi and structured for reach across all African countries, MindCraft combines on-ground market knowledge, regulatory awareness and cultural fluency with international consulting standards — a combination that is rare among both global consultancies and purely local firms.</w:t>
      </w:r>
    </w:p>
    <w:p>
      <w:pPr>
        <w:pStyle w:val="Heading3"/>
        <w:spacing w:after="100" w:before="200"/>
      </w:pPr>
      <w:r>
        <w:rPr>
          <w:rFonts w:ascii="Calibri" w:cs="Calibri" w:eastAsia="Calibri" w:hAnsi="Calibri"/>
          <w:b/>
          <w:bCs/>
          <w:color w:val="1F3864"/>
          <w:sz w:val="23"/>
          <w:szCs w:val="23"/>
        </w:rPr>
        <w:t xml:space="preserve">3. One Partner, Four Integrated Capabilities</w:t>
      </w:r>
    </w:p>
    <w:p>
      <w:pPr>
        <w:spacing w:after="120" w:line="276"/>
      </w:pPr>
      <w:r>
        <w:rPr>
          <w:rFonts w:ascii="Calibri" w:cs="Calibri" w:eastAsia="Calibri" w:hAnsi="Calibri"/>
          <w:color w:val="333333"/>
          <w:sz w:val="21"/>
          <w:szCs w:val="21"/>
        </w:rPr>
        <w:t xml:space="preserve">Most clients need research to inform strategy, strategy to guide AI investment, and training to make AI adoption stick. MindCraft is deliberately structured to deliver all four — Business Consulting, Market Research, AI Training and AI Enterprise Solutions — as one coherent, integrated engagement rather than four disconnected vendors.</w:t>
      </w:r>
    </w:p>
    <w:p>
      <w:pPr>
        <w:pStyle w:val="Heading3"/>
        <w:spacing w:after="100" w:before="200"/>
      </w:pPr>
      <w:r>
        <w:rPr>
          <w:rFonts w:ascii="Calibri" w:cs="Calibri" w:eastAsia="Calibri" w:hAnsi="Calibri"/>
          <w:b/>
          <w:bCs/>
          <w:color w:val="1F3864"/>
          <w:sz w:val="23"/>
          <w:szCs w:val="23"/>
        </w:rPr>
        <w:t xml:space="preserve">4. Applied, Decision-Ready Outputs</w:t>
      </w:r>
    </w:p>
    <w:p>
      <w:pPr>
        <w:spacing w:after="120" w:line="276"/>
      </w:pPr>
      <w:r>
        <w:rPr>
          <w:rFonts w:ascii="Calibri" w:cs="Calibri" w:eastAsia="Calibri" w:hAnsi="Calibri"/>
          <w:color w:val="333333"/>
          <w:sz w:val="21"/>
          <w:szCs w:val="21"/>
        </w:rPr>
        <w:t xml:space="preserve">Every MindCraft deliverable, from a market research report to an AI training curriculum to a deployed enterprise solution, is designed to be immediately usable — built for implementation, not left as a theoretical framework.</w:t>
      </w:r>
    </w:p>
    <w:p>
      <w:pPr>
        <w:pStyle w:val="Heading3"/>
        <w:spacing w:after="100" w:before="200"/>
      </w:pPr>
      <w:r>
        <w:rPr>
          <w:rFonts w:ascii="Calibri" w:cs="Calibri" w:eastAsia="Calibri" w:hAnsi="Calibri"/>
          <w:b/>
          <w:bCs/>
          <w:color w:val="1F3864"/>
          <w:sz w:val="23"/>
          <w:szCs w:val="23"/>
        </w:rPr>
        <w:t xml:space="preserve">5. Responsible, Governed AI by Design</w:t>
      </w:r>
    </w:p>
    <w:p>
      <w:pPr>
        <w:spacing w:after="120" w:line="276"/>
      </w:pPr>
      <w:r>
        <w:rPr>
          <w:rFonts w:ascii="Calibri" w:cs="Calibri" w:eastAsia="Calibri" w:hAnsi="Calibri"/>
          <w:color w:val="333333"/>
          <w:sz w:val="21"/>
          <w:szCs w:val="21"/>
        </w:rPr>
        <w:t xml:space="preserve">MindCraft embeds data privacy, ethics and governance into every AI training program and enterprise solution, ensuring adoption is safe, compliant and sustainable — particularly critical for regulated industries such as pharmaceuticals, healthcare and banking.</w:t>
      </w:r>
    </w:p>
    <w:p>
      <w:r>
        <w:br w:type="page"/>
      </w:r>
    </w:p>
    <w:p>
      <w:pPr>
        <w:pStyle w:val="Heading1"/>
        <w:pBdr>
          <w:bottom w:val="single" w:color="1F3864" w:sz="8" w:space="4"/>
        </w:pBdr>
        <w:spacing w:after="160" w:before="320"/>
      </w:pPr>
      <w:r>
        <w:rPr>
          <w:rFonts w:ascii="Calibri" w:cs="Calibri" w:eastAsia="Calibri" w:hAnsi="Calibri"/>
          <w:b/>
          <w:bCs/>
          <w:color w:val="1F3864"/>
          <w:sz w:val="30"/>
          <w:szCs w:val="30"/>
        </w:rPr>
        <w:t xml:space="preserve">8. Engagement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Stage</w:t>
            </w:r>
          </w:p>
        </w:tc>
        <w:tc>
          <w:tcPr>
            <w:tcW w:type="dxa" w:w="7160"/>
            <w:shd w:fill="1F3864" w:val="clear"/>
            <w:tcMar>
              <w:top w:type="dxa" w:w="80"/>
              <w:left w:type="dxa" w:w="100"/>
              <w:bottom w:type="dxa" w:w="80"/>
              <w:right w:type="dxa" w:w="100"/>
            </w:tcMar>
            <w:vAlign w:val="center"/>
          </w:tcPr>
          <w:p>
            <w:pPr>
              <w:spacing w:after="40"/>
            </w:pPr>
            <w:r>
              <w:rPr>
                <w:rFonts w:ascii="Calibri" w:cs="Calibri" w:eastAsia="Calibri" w:hAnsi="Calibri"/>
                <w:b/>
                <w:bCs/>
                <w:color w:val="FFFFFF"/>
                <w:sz w:val="20"/>
                <w:szCs w:val="20"/>
              </w:rPr>
              <w:t xml:space="preserve">What Happens</w:t>
            </w:r>
          </w:p>
        </w:tc>
      </w:tr>
      <w:tr>
        <w:tc>
          <w:tcPr>
            <w:tcW w:type="dxa" w:w="220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Discovery</w:t>
            </w:r>
          </w:p>
        </w:tc>
        <w:tc>
          <w:tcPr>
            <w:tcW w:type="dxa" w:w="716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Initial consultation to understand client needs, objectives, market context and success measures.</w:t>
            </w:r>
          </w:p>
        </w:tc>
      </w:tr>
      <w:tr>
        <w:tc>
          <w:tcPr>
            <w:tcW w:type="dxa" w:w="220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Proposal</w:t>
            </w:r>
          </w:p>
        </w:tc>
        <w:tc>
          <w:tcPr>
            <w:tcW w:type="dxa" w:w="716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Tailored scope of work, methodology, timeline and budget across the relevant service pillar(s).</w:t>
            </w:r>
          </w:p>
        </w:tc>
      </w:tr>
      <w:tr>
        <w:tc>
          <w:tcPr>
            <w:tcW w:type="dxa" w:w="220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Design</w:t>
            </w:r>
          </w:p>
        </w:tc>
        <w:tc>
          <w:tcPr>
            <w:tcW w:type="dxa" w:w="716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Co-development of content, research instruments or solution architecture with client input and validation.</w:t>
            </w:r>
          </w:p>
        </w:tc>
      </w:tr>
      <w:tr>
        <w:tc>
          <w:tcPr>
            <w:tcW w:type="dxa" w:w="220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Delivery</w:t>
            </w:r>
          </w:p>
        </w:tc>
        <w:tc>
          <w:tcPr>
            <w:tcW w:type="dxa" w:w="716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Execution of training, advisory, research or AI solution implementation, with regular progress check-ins.</w:t>
            </w:r>
          </w:p>
        </w:tc>
      </w:tr>
      <w:tr>
        <w:tc>
          <w:tcPr>
            <w:tcW w:type="dxa" w:w="220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Evaluation</w:t>
            </w:r>
          </w:p>
        </w:tc>
        <w:tc>
          <w:tcPr>
            <w:tcW w:type="dxa" w:w="7160"/>
            <w:shd w:fill="EEF1F8" w:val="clear"/>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Feedback collection, quality assurance, impact assessment and final reporting.</w:t>
            </w:r>
          </w:p>
        </w:tc>
      </w:tr>
      <w:tr>
        <w:tc>
          <w:tcPr>
            <w:tcW w:type="dxa" w:w="220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Follow-up</w:t>
            </w:r>
          </w:p>
        </w:tc>
        <w:tc>
          <w:tcPr>
            <w:tcW w:type="dxa" w:w="7160"/>
            <w:tcMar>
              <w:top w:type="dxa" w:w="80"/>
              <w:left w:type="dxa" w:w="100"/>
              <w:bottom w:type="dxa" w:w="80"/>
              <w:right w:type="dxa" w:w="100"/>
            </w:tcMar>
            <w:vAlign w:val="center"/>
          </w:tcPr>
          <w:p>
            <w:pPr>
              <w:spacing w:after="40"/>
            </w:pPr>
            <w:r>
              <w:rPr>
                <w:rFonts w:ascii="Calibri" w:cs="Calibri" w:eastAsia="Calibri" w:hAnsi="Calibri"/>
                <w:b w:val="false"/>
                <w:bCs w:val="false"/>
                <w:color w:val="333333"/>
                <w:sz w:val="20"/>
                <w:szCs w:val="20"/>
              </w:rPr>
              <w:t xml:space="preserve">Optional ongoing support, coaching, refresher training or solution enhancement engagements.</w:t>
            </w:r>
          </w:p>
        </w:tc>
      </w:tr>
    </w:tbl>
    <w:p>
      <w:r>
        <w:br w:type="page"/>
      </w:r>
    </w:p>
    <w:p>
      <w:pPr>
        <w:pStyle w:val="Heading1"/>
        <w:pBdr>
          <w:bottom w:val="single" w:color="1F3864" w:sz="8" w:space="4"/>
        </w:pBdr>
        <w:spacing w:after="160" w:before="320"/>
      </w:pPr>
      <w:r>
        <w:rPr>
          <w:rFonts w:ascii="Calibri" w:cs="Calibri" w:eastAsia="Calibri" w:hAnsi="Calibri"/>
          <w:b/>
          <w:bCs/>
          <w:color w:val="1F3864"/>
          <w:sz w:val="30"/>
          <w:szCs w:val="30"/>
        </w:rPr>
        <w:t xml:space="preserve">9. Team &amp; Partnerships</w:t>
      </w:r>
    </w:p>
    <w:p>
      <w:pPr>
        <w:spacing w:after="120" w:line="276"/>
      </w:pPr>
      <w:r>
        <w:rPr>
          <w:rFonts w:ascii="Calibri" w:cs="Calibri" w:eastAsia="Calibri" w:hAnsi="Calibri"/>
          <w:color w:val="333333"/>
          <w:sz w:val="21"/>
          <w:szCs w:val="21"/>
        </w:rPr>
        <w:t xml:space="preserve">MindCraft is built around a core team of consulting, market research and AI/technology professionals with direct experience across Life Sciences and diversified industries in African, European and US markets. This core team is supported by a growing network of associate consultants, subject-matter experts and in-country research partners across Africa — allowing MindCraft to scale multi-country and multi-sector engagements while maintaining consistent quality and methodology.</w:t>
      </w:r>
    </w:p>
    <w:p>
      <w:pPr>
        <w:spacing w:after="120" w:line="276"/>
      </w:pPr>
      <w:r>
        <w:rPr>
          <w:rFonts w:ascii="Calibri" w:cs="Calibri" w:eastAsia="Calibri" w:hAnsi="Calibri"/>
          <w:color w:val="333333"/>
          <w:sz w:val="21"/>
          <w:szCs w:val="21"/>
        </w:rPr>
        <w:t xml:space="preserve">As a newly established firm founded in 2026, MindCraft is actively building formal academic, technology and industry-association partnerships to strengthen its research infrastructure, AI solution capability and reach across priority African markets. Clients engaging MindCraft in its founding years benefit from senior-level attention, competitive engagement terms, and a partner genuinely invested in building a long-term track record of impact.</w:t>
      </w:r>
    </w:p>
    <w:p>
      <w:r>
        <w:br w:type="page"/>
      </w:r>
    </w:p>
    <w:p>
      <w:pPr>
        <w:pStyle w:val="Heading1"/>
        <w:pBdr>
          <w:bottom w:val="single" w:color="1F3864" w:sz="8" w:space="4"/>
        </w:pBdr>
        <w:spacing w:after="160" w:before="320"/>
      </w:pPr>
      <w:r>
        <w:rPr>
          <w:rFonts w:ascii="Calibri" w:cs="Calibri" w:eastAsia="Calibri" w:hAnsi="Calibri"/>
          <w:b/>
          <w:bCs/>
          <w:color w:val="1F3864"/>
          <w:sz w:val="30"/>
          <w:szCs w:val="30"/>
        </w:rPr>
        <w:t xml:space="preserve">10. Contact MindCraft</w:t>
      </w:r>
    </w:p>
    <w:p>
      <w:pPr>
        <w:spacing w:after="120" w:line="276"/>
      </w:pPr>
      <w:r>
        <w:rPr>
          <w:rFonts w:ascii="Calibri" w:cs="Calibri" w:eastAsia="Calibri" w:hAnsi="Calibri"/>
          <w:color w:val="333333"/>
          <w:sz w:val="21"/>
          <w:szCs w:val="21"/>
        </w:rPr>
        <w:t xml:space="preserve">MindCraft Consultancy Services is ready to discuss how Business Consulting, Market Research, AI Training and AI Enterprise Solutions can support your organization's growth — across Africa, Europe or the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EEF1F8" w:val="clear"/>
            <w:tcMar>
              <w:top w:type="dxa" w:w="200"/>
              <w:left w:type="dxa" w:w="240"/>
              <w:bottom w:type="dxa" w:w="200"/>
              <w:right w:type="dxa" w:w="240"/>
            </w:tcMar>
          </w:tcPr>
          <w:p>
            <w:pPr>
              <w:spacing w:after="80"/>
            </w:pPr>
            <w:r>
              <w:rPr>
                <w:rFonts w:ascii="Calibri" w:cs="Calibri" w:eastAsia="Calibri" w:hAnsi="Calibri"/>
                <w:b/>
                <w:bCs/>
                <w:color w:val="1F3864"/>
                <w:sz w:val="24"/>
                <w:szCs w:val="24"/>
              </w:rPr>
              <w:t xml:space="preserve">MindCraft Consultancy Services</w:t>
            </w:r>
          </w:p>
          <w:p>
            <w:pPr>
              <w:spacing w:after="60"/>
            </w:pPr>
            <w:r>
              <w:rPr>
                <w:rFonts w:ascii="Calibri" w:cs="Calibri" w:eastAsia="Calibri" w:hAnsi="Calibri"/>
                <w:color w:val="1F3864"/>
                <w:sz w:val="21"/>
                <w:szCs w:val="21"/>
              </w:rPr>
              <w:t xml:space="preserve">Headquarters: Nairobi, Kenya</w:t>
            </w:r>
          </w:p>
          <w:p>
            <w:pPr>
              <w:spacing w:after="60"/>
            </w:pPr>
            <w:r>
              <w:rPr>
                <w:rFonts w:ascii="Calibri" w:cs="Calibri" w:eastAsia="Calibri" w:hAnsi="Calibri"/>
                <w:color w:val="1F3864"/>
                <w:sz w:val="21"/>
                <w:szCs w:val="21"/>
              </w:rPr>
              <w:t xml:space="preserve">Email: info@mindcraftconsultancy.com</w:t>
            </w:r>
          </w:p>
          <w:p>
            <w:pPr>
              <w:spacing w:after="60"/>
            </w:pPr>
            <w:r>
              <w:rPr>
                <w:rFonts w:ascii="Calibri" w:cs="Calibri" w:eastAsia="Calibri" w:hAnsi="Calibri"/>
                <w:color w:val="1F3864"/>
                <w:sz w:val="21"/>
                <w:szCs w:val="21"/>
              </w:rPr>
              <w:t xml:space="preserve">Web: www.mindcraftconsultancy.com</w:t>
            </w:r>
          </w:p>
          <w:p>
            <w:r>
              <w:rPr>
                <w:rFonts w:ascii="Calibri" w:cs="Calibri" w:eastAsia="Calibri" w:hAnsi="Calibri"/>
                <w:color w:val="1F3864"/>
                <w:sz w:val="21"/>
                <w:szCs w:val="21"/>
              </w:rPr>
              <w:t xml:space="preserve">Regions served: Africa (primary focus) · Europe · United States</w:t>
            </w:r>
          </w:p>
        </w:tc>
      </w:tr>
    </w:tbl>
    <w:p>
      <w:pPr>
        <w:sectPr>
          <w:footerReference w:type="default" r:id="rId8"/>
          <w:pgSz w:w="12240" w:h="15840" w:orient="portrait"/>
          <w:pgMar w:top="1000" w:right="1080" w:bottom="1000" w:left="1080" w:header="708" w:footer="708" w:gutter="0"/>
          <w:pgNumType/>
          <w:docGrid w:linePitch="360"/>
        </w:sectPr>
      </w:pPr>
    </w:p>
    <w:tbl>
      <w:tblPr>
        <w:tblW w:type="dxa" w:w="1164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2640" w:hRule="atLeast"/>
        </w:trPr>
        <w:tc>
          <w:tcPr>
            <w:tcW w:type="dxa" w:w="11640"/>
            <w:shd w:fill="1F3864" w:val="clear"/>
            <w:tcMar>
              <w:top w:type="dxa" w:w="1400"/>
              <w:left w:type="dxa" w:w="800"/>
              <w:bottom w:type="dxa" w:w="1400"/>
              <w:right w:type="dxa" w:w="800"/>
            </w:tcMar>
            <w:vAlign w:val="center"/>
          </w:tcPr>
          <w:p>
            <w:pPr>
              <w:spacing w:after="200"/>
              <w:jc w:val="center"/>
            </w:pPr>
            <w:r>
              <w:rPr>
                <w:rFonts w:ascii="Calibri" w:cs="Calibri" w:eastAsia="Calibri" w:hAnsi="Calibri"/>
                <w:b/>
                <w:bCs/>
                <w:color w:val="FFFFFF"/>
                <w:sz w:val="30"/>
                <w:szCs w:val="30"/>
              </w:rPr>
              <w:t xml:space="preserve">MindCraft Consultancy Services</w:t>
            </w:r>
          </w:p>
          <w:p>
            <w:pPr>
              <w:spacing w:after="260"/>
              <w:jc w:val="center"/>
            </w:pPr>
            <w:r>
              <w:rPr>
                <w:rFonts w:ascii="Calibri" w:cs="Calibri" w:eastAsia="Calibri" w:hAnsi="Calibri"/>
                <w:color w:val="C9A24B"/>
                <w:sz w:val="21"/>
                <w:szCs w:val="21"/>
              </w:rPr>
              <w:t xml:space="preserve">Business Consulting · Market Research · AI Training · AI Enterprise Solutions</w:t>
            </w:r>
          </w:p>
          <w:p>
            <w:pPr>
              <w:spacing w:after="60"/>
              <w:jc w:val="center"/>
            </w:pPr>
            <w:r>
              <w:rPr>
                <w:rFonts w:ascii="Calibri" w:cs="Calibri" w:eastAsia="Calibri" w:hAnsi="Calibri"/>
                <w:color w:val="FFFFFF"/>
                <w:sz w:val="20"/>
                <w:szCs w:val="20"/>
              </w:rPr>
              <w:t xml:space="preserve">Nairobi, Kenya</w:t>
            </w:r>
          </w:p>
          <w:p>
            <w:pPr>
              <w:spacing w:after="60"/>
              <w:jc w:val="center"/>
            </w:pPr>
            <w:r>
              <w:rPr>
                <w:rFonts w:ascii="Calibri" w:cs="Calibri" w:eastAsia="Calibri" w:hAnsi="Calibri"/>
                <w:color w:val="FFFFFF"/>
                <w:sz w:val="20"/>
                <w:szCs w:val="20"/>
              </w:rPr>
              <w:t xml:space="preserve">info@mindcraftconsultancy.com  |  www.mindcraftconsultancy.com</w:t>
            </w:r>
          </w:p>
          <w:p>
            <w:pPr>
              <w:spacing w:before="300"/>
              <w:jc w:val="center"/>
            </w:pPr>
            <w:r>
              <w:rPr>
                <w:rFonts w:ascii="Calibri" w:cs="Calibri" w:eastAsia="Calibri" w:hAnsi="Calibri"/>
                <w:i/>
                <w:iCs/>
                <w:color w:val="C9D3E8"/>
                <w:sz w:val="18"/>
                <w:szCs w:val="18"/>
              </w:rPr>
              <w:t xml:space="preserve">Building AI-powered growth for Life Sciences and industry across Africa and beyond.</w:t>
            </w:r>
          </w:p>
        </w:tc>
      </w:tr>
    </w:tbl>
    <w:sectPr>
      <w:footerReference w:type="default" r:id="rId9"/>
      <w:pgSz w:w="12240" w:h="15840" w:orient="portrait"/>
      <w:pgMar w:top="300" w:right="300" w:bottom="300" w:left="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F3864"/>
        <w:sz w:val="16"/>
        <w:szCs w:val="16"/>
      </w:rPr>
      <w:t xml:space="preserve">Page </w:t>
    </w:r>
    <w:r>
      <w:rPr>
        <w:rFonts w:ascii="Calibri" w:cs="Calibri" w:eastAsia="Calibri" w:hAnsi="Calibri"/>
        <w:b/>
        <w:bCs/>
        <w:color w:val="1F3864"/>
        <w:sz w:val="16"/>
        <w:szCs w:val="16"/>
      </w:rPr>
      <w:fldChar w:fldCharType="begin"/>
      <w:instrText xml:space="preserve">PAGE</w:instrText>
      <w:fldChar w:fldCharType="separate"/>
      <w:fldChar w:fldCharType="end"/>
    </w:r>
    <w:r>
      <w:rPr>
        <w:rFonts w:ascii="Calibri" w:cs="Calibri" w:eastAsia="Calibri" w:hAnsi="Calibri"/>
        <w:color w:val="1F3864"/>
        <w:sz w:val="16"/>
        <w:szCs w:val="16"/>
      </w:rPr>
      <w:t xml:space="preserve"> of </w:t>
    </w:r>
    <w:r>
      <w:rPr>
        <w:rFonts w:ascii="Calibri" w:cs="Calibri" w:eastAsia="Calibri" w:hAnsi="Calibri"/>
        <w:b/>
        <w:bCs/>
        <w:color w:val="1F3864"/>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Calibri" w:cs="Calibri" w:eastAsia="Calibri" w:hAnsi="Calibri"/>
        <w:color w:val="888888"/>
        <w:sz w:val="15"/>
        <w:szCs w:val="15"/>
      </w:rPr>
      <w:t xml:space="preserve">MindCraft Consultancy Services  |  Corporate Profile  |  Nairobi, Kenya</w:t>
    </w:r>
  </w:p>
  <w:p>
    <w:pPr>
      <w:jc w:val="center"/>
    </w:pPr>
    <w:r>
      <w:rPr>
        <w:rFonts w:ascii="Calibri" w:cs="Calibri" w:eastAsia="Calibri" w:hAnsi="Calibri"/>
        <w:color w:val="1F3864"/>
        <w:sz w:val="16"/>
        <w:szCs w:val="16"/>
      </w:rPr>
      <w:t xml:space="preserve">Page </w:t>
    </w:r>
    <w:r>
      <w:rPr>
        <w:rFonts w:ascii="Calibri" w:cs="Calibri" w:eastAsia="Calibri" w:hAnsi="Calibri"/>
        <w:b/>
        <w:bCs/>
        <w:color w:val="1F3864"/>
        <w:sz w:val="16"/>
        <w:szCs w:val="16"/>
      </w:rPr>
      <w:fldChar w:fldCharType="begin"/>
      <w:instrText xml:space="preserve">PAGE</w:instrText>
      <w:fldChar w:fldCharType="separate"/>
      <w:fldChar w:fldCharType="end"/>
    </w:r>
    <w:r>
      <w:rPr>
        <w:rFonts w:ascii="Calibri" w:cs="Calibri" w:eastAsia="Calibri" w:hAnsi="Calibri"/>
        <w:color w:val="1F3864"/>
        <w:sz w:val="16"/>
        <w:szCs w:val="16"/>
      </w:rPr>
      <w:t xml:space="preserve"> of </w:t>
    </w:r>
    <w:r>
      <w:rPr>
        <w:rFonts w:ascii="Calibri" w:cs="Calibri" w:eastAsia="Calibri" w:hAnsi="Calibri"/>
        <w:b/>
        <w:bCs/>
        <w:color w:val="1F3864"/>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F3864"/>
        <w:sz w:val="16"/>
        <w:szCs w:val="16"/>
      </w:rPr>
      <w:t xml:space="preserve">Page </w:t>
    </w:r>
    <w:r>
      <w:rPr>
        <w:rFonts w:ascii="Calibri" w:cs="Calibri" w:eastAsia="Calibri" w:hAnsi="Calibri"/>
        <w:b/>
        <w:bCs/>
        <w:color w:val="1F3864"/>
        <w:sz w:val="16"/>
        <w:szCs w:val="16"/>
      </w:rPr>
      <w:fldChar w:fldCharType="begin"/>
      <w:instrText xml:space="preserve">PAGE</w:instrText>
      <w:fldChar w:fldCharType="separate"/>
      <w:fldChar w:fldCharType="end"/>
    </w:r>
    <w:r>
      <w:rPr>
        <w:rFonts w:ascii="Calibri" w:cs="Calibri" w:eastAsia="Calibri" w:hAnsi="Calibri"/>
        <w:color w:val="1F3864"/>
        <w:sz w:val="16"/>
        <w:szCs w:val="16"/>
      </w:rPr>
      <w:t xml:space="preserve"> of </w:t>
    </w:r>
    <w:r>
      <w:rPr>
        <w:rFonts w:ascii="Calibri" w:cs="Calibri" w:eastAsia="Calibri" w:hAnsi="Calibri"/>
        <w:b/>
        <w:bCs/>
        <w:color w:val="1F38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2026-08-18T10:26:37.159Z</dcterms:created>
  <dcterms:modified xsi:type="dcterms:W3CDTF">2026-08-18T10:26:37.174Z</dcterms:modified>
</cp:coreProperties>
</file>

<file path=docProps/custom.xml><?xml version="1.0" encoding="utf-8"?>
<Properties xmlns="http://schemas.openxmlformats.org/officeDocument/2006/custom-properties" xmlns:vt="http://schemas.openxmlformats.org/officeDocument/2006/docPropsVTypes"/>
</file>