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720"/>
        <w:jc w:val="center"/>
      </w:pPr>
      <w:r>
        <w:rPr>
          <w:rFonts w:ascii="Outfit" w:cs="Outfit" w:eastAsia="Outfit" w:hAnsi="Outfit"/>
          <w:b/>
          <w:bCs/>
          <w:color w:val="6366F1"/>
          <w:sz w:val="44"/>
          <w:szCs w:val="44"/>
        </w:rPr>
        <w:t xml:space="preserve">MINDCRAFT DIGITAL BRAND &amp; DESIGN SYSTEM</w:t>
      </w:r>
    </w:p>
    <w:p>
      <w:pPr>
        <w:spacing w:after="120"/>
        <w:jc w:val="center"/>
      </w:pPr>
      <w:r>
        <w:rPr>
          <w:rFonts w:ascii="Outfit" w:cs="Outfit" w:eastAsia="Outfit" w:hAnsi="Outfit"/>
          <w:b/>
          <w:bCs/>
          <w:color w:val="FFFFFF"/>
          <w:sz w:val="26"/>
          <w:szCs w:val="26"/>
        </w:rPr>
        <w:t xml:space="preserve">Version 1.0 — Comprehensive Design Specification</w:t>
      </w:r>
    </w:p>
    <w:p>
      <w:pPr>
        <w:spacing w:after="360"/>
        <w:jc w:val="center"/>
      </w:pPr>
      <w:r>
        <w:rPr>
          <w:rFonts w:ascii="JetBrains Mono" w:cs="JetBrains Mono" w:eastAsia="JetBrains Mono" w:hAnsi="JetBrains Mono"/>
          <w:color w:val="10B981"/>
          <w:sz w:val="18"/>
          <w:szCs w:val="18"/>
        </w:rPr>
        <w:t xml:space="preserve">Reverse-Engineered from the Management-Approved MindCraft Digital Platform (mindcraft-fawn-three.vercel.app)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366F1" w:sz="24"/>
              <w:bottom w:val="none"/>
              <w:right w:val="none"/>
            </w:tcBorders>
            <w:shd w:fill="0D0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366F1"/>
                <w:sz w:val="22"/>
                <w:szCs w:val="22"/>
              </w:rPr>
              <w:t xml:space="preserve">EXECUTIVE PURPOSE &amp; AUTHORITY</w:t>
            </w:r>
          </w:p>
          <w:p>
            <w:pPr>
              <w:spacing w:before="60"/>
            </w:pPr>
            <w:r>
              <w:rPr>
                <w:rFonts w:ascii="Plus Jakarta Sans" w:cs="Plus Jakarta Sans" w:eastAsia="Plus Jakarta Sans" w:hAnsi="Plus Jakarta Sans"/>
                <w:color w:val="D1D5DB"/>
                <w:sz w:val="20"/>
                <w:szCs w:val="20"/>
              </w:rPr>
              <w:t xml:space="preserve">This formal specification decodes and standardizes the exact visual language, mathematical spacing rhythms, typography hierarchy, token structures, and multi-dimensional UX patterns of MindCraft Consultancy Services. It serves as the single authoritative source of truth for frontend engineers, UI/UX designers, and executive brand stewards extending the MindCraft ecosystem across all future web, mobile, client portal, and intelligence products.</w:t>
            </w:r>
          </w:p>
        </w:tc>
      </w:tr>
    </w:tbl>
    <w:p>
      <w:pPr>
        <w:spacing w:before="24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1. Executive Summary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The MindCraft Digital Brand &amp; Design System establishes a rigorous, unified, and systematic design architecture reverse-engineered directly from the production web application reviewed and approved by company management. The system bridges the deep strategic Life Sciences heritage and Pan-African operating footprint established in the MindCraft Corporate Profile with the sophisticated, obsidian-dark, bento-gridded digital experience.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What this System Represents: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 single source of truth for all digital user interfaces across 24 industry verticals, 4 Pan-African regional clusters, and 4 integrated service pillars.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Why it was Created: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To codify the approved aesthetic direction, prevent visual drift or generic SaaS commoditization, and provide copy-pasteable CSS/Tailwind tokens for rapid scaling.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Primary Visual Source: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The live production web application (deployed at https://mindcraft-fawn-three.vercel.app/) and its complete underlying React/Tailwind/Vite implementation.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Directly Observed Evidence: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Exact hex codes, Google Font stacks (Outfit, Plus Jakarta Sans, JetBrains Mono), responsive breakpoints, border radii, backdrop blurs, and bento card structures.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Strongly Inferred Design Principles: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Mathematical step scaling, container padding rules, color distribution ratios (60% Obsidian, 30% Surface Slate, 10% Indigo/Emerald/Amber Signals), and component anatomy hierarchies.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2. MindCraft Digital Brand Essence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MindCraft occupies a unique global positioning: an elite, Nairobi-headquartered strategic consulting house pairing clinical Life Sciences depth with full-stack enterprise AI engineering and field-level Pan-African market intelligence. The digital brand identity rejects both the dry, static conservatism of legacy management consultancies and the garish, neon-saturated clichés of consumer AI startups.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Brand Dimension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Observed Position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Strategic Justification in UI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Atmosphere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Obsidian Premium Dark (#050505)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Creates an elite, high-focus workspace reminiscent of institutional intelligence terminals.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Editorial vs Tech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Balanced Harmonization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Serif-free geometric display headings (Outfit) paired with scannable monospace labels (JetBrains Mono).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Geographic Fluency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Pan-African &amp; Bi-Directional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Grounded African regional data (EAC, ECOWAS, SADC, Maghreb) connected to Western capital markets.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Information Density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Modular Bento Architecture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Complex multi-layered data (24 industries, 45 countries) organized into structured, digestible cards.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Trust &amp; Governance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Explicit Auditable Safeguards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Prominent Responsible AI badges, private LLM architecture callouts, and local data compliance (DPA/POPIA/GDPR).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3. Comprehensive Color System &amp; Tokens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The MindCraft color architecture is founded upon an ultra-deep Obsidian neutral base (#050505) layered with subtle carbon/slate surfaces (#0A0A0A, #0D0F17) and illuminated by deliberate, functional semantic accents.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RGB / CSS Value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Role &amp; Usage Context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--mc-bg-canvas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#050505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rgb(5, 5, 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Base page background across all primary views.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--mc-surface-card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#0A0A0A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rgb(10, 10, 10)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Standard bento card surface and container panels.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--mc-surface-active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#0D0F17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rgb(13, 15, 23)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Highlighted cards, active tab backgrounds, and callouts.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--mc-primary-indigo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#6366F1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rgb(99, 102, 241)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Primary brand accent, primary CTA buttons, active glows.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--mc-primary-dark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#4F46E5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rgb(79, 70, 229)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Button hover states, gradient terminal endpoints.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--mc-accent-emerald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#10B981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rgb(16, 185, 129)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AI Enterprise Solutions, Pan-African indicators, success badges.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--mc-accent-sky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#0EA5E9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rgb(14, 165, 233)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Market Research workspace, primary intelligence highlights.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--mc-accent-amber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#F59E0B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rgb(245, 158, 11)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AI Training &amp; Literacy, capability milestones, warnings.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--mc-accent-teal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#0D9488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rgb(13, 148, 136)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Strategic Consulting pillar and clinical advisory badges.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--mc-text-pure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rgb(255, 255, 255)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H1/H2 titles, primary button text, active badge text.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--mc-text-body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#E0E0E0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rgb(224, 224, 224)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Standard body copy and descriptive paragraphs.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--mc-text-muted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#9CA3AF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rgb(156, 163, 175)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Subtitles, secondary descriptions, inactive timestamps.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--mc-border-subtle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#262626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rgba(255, 255, 255, 0.08)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Default bento card borders and table dividers.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--mc-border-accent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#3730A3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rgba(99, 102, 241, 0.35)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Active card selection borders and modal focus rings.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0D0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6366F1"/>
                <w:sz w:val="22"/>
                <w:szCs w:val="22"/>
              </w:rPr>
              <w:t xml:space="preserve">COLOR USAGE 60-30-10 RULE</w:t>
            </w:r>
          </w:p>
          <w:p>
            <w:pPr>
              <w:spacing w:before="60"/>
            </w:pPr>
            <w:r>
              <w:rPr>
                <w:rFonts w:ascii="Plus Jakarta Sans" w:cs="Plus Jakarta Sans" w:eastAsia="Plus Jakarta Sans" w:hAnsi="Plus Jakarta Sans"/>
                <w:color w:val="D1D5DB"/>
                <w:sz w:val="20"/>
                <w:szCs w:val="20"/>
              </w:rPr>
              <w:t xml:space="preserve">• 60% Canvas Dominance: Deep Obsidian (#050505) provides restful, premium negative space.
• 30% Structural Neutral: Bento Card Slate (#0A0A0A) establishes clear modular boundaries.
• 10% Intentional Signal: Indigo/Emerald/Sky accents serve exclusively as navigational, interactive, or categorical beacons.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4. Typography System &amp; Mathematical Scale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MindCraft employs a strict tripartite typography hierarchy that reinforces mathematical precision and high-contrast readability: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Display &amp; Heading Stack: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Outfit (Google Fonts) — Clean, geometric sans-serif loaded in weights 400, 500, 600, 700, 800.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Body &amp; Narrative Stack: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Plus Jakarta Sans (Google Fonts) — Highly legible humanist grotesque loaded in weights 300, 400, 500, 600, 700.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Metadata, Code &amp; Eyebrow Stack: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JetBrains Mono (Google Fonts) — Developer-grade monospace loaded in weights 400, 500, 600.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Font Family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Size (Desktop / Mobile)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Tracking / Case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H1 (Hero)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48px-60px / 32px-40px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700 Bold / 300 Light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-0.03em Tight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Page master titles, primary hero statements.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H2 (Section)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32px-36px / 24px-28px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600 SemiBold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-0.02em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Major section headers, bento grid titles.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H3 (Card Title)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18px-22px / 16px-18px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600 SemiBold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-0.01em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Individual card headings, pillar titles.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H4 / Subhead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15px-16px / 14px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600 SemiBold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Normal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Sub-features, accordion triggers, metric titles.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Body Regular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Plus Jakarta Sans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14px-15px / 14px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400 Regular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Normal (1.6 line-height)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Core descriptive narrative, bullet text.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Body Small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Plus Jakarta Sans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12px-13px / 12px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400 Regular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Normal (1.5 line-height)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Secondary cards, tooltips, footnotes.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Eyebrow / Badge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JetBrains Mono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10px-11px / 10px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500 Medium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+0.08em Uppercase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Category tags, phase indicators, pill badges.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Data / Metrics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 + Mono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28px-36px / 24px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700 Bold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Tight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ROI figures, market sizing numbers, counts.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5. Layout Language &amp; Bento Grid Architecture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The core visual identity of MindCraft is built around the Modular Bento Grid System. Every view decomposes complex multi-dimensional information into self-contained, high-contrast rectangular cells.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Global Container Constraints: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Max-width 1280px (max-w-7xl) centered with px-4 sm:px-6 lg:px-8 gutter padding.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Grid Mathematics: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Standard 12-column CSS grid (grid-cols-1 md:grid-cols-12) with 16px (gap-4) to 32px (gap-8) rhythmic gutters.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Padding Math: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Outer container padding (24px to 32px) always strictly exceeds inner element gaps (12px to 16px).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Corner Radius Calculus: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Nested card corners follow the exact geometric equation: Inner Radius = Outer Radius - Container Padding.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6. Component Language &amp; Anatomy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All UI components share a unified aesthetic syntax characterized by 1px subtle borders, rounded-2xl geometry, translucent chip badges, and high-contrast typography.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Top Navigation Bar: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Fixed 64px height (h-16) with background rgba(5,5,5,0.85) and backdrop-blur-md. Contains brand logo, role lens selector, interactive mega-menu dropdowns, Cmd+K search trigger, and primary CTA.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Standard Bento Card: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Surface #0A0A0A, border 1px solid rgba(255,255,255,0.08), border-radius 16px (rounded-2xl), inner padding 20px-28px. Subtle hover border transition to rgba(255,255,255,0.2).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Featured / Active Bento Card: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Surface #0D0F17 with 1px border rgba(99,102,241,0.35) and soft radial box-shadow shadow-[0_0_20px_rgba(99,102,241,0.15)].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Semantic Eyebrow Badge: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JetBrains Mono font, 10px-11px, tracking uppercase, px-2.5 py-1, rounded-full, border border-color/20 and background color/10.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Engagement Builder &amp; Modal: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Step-by-step interactive workflow engine calculating feasibility, duration, and deliverables with instant client intake integration.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7. Button &amp; Interactive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Button Type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Background &amp; Border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Text Styling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Hover &amp; Active State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Primary CTA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bg-indigo-600 (border-transparent)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text-white text-xs/sm font-semibold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bg-indigo-500 shadow-[0_0_15px_rgba(99,102,241,0.35)]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Secondary Action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bg-white/5 border border-white/10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text-neutral-300 text-xs/sm font-medium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bg-white/10 border-white/20 text-white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Outline Action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bg-transparent border border-indigo-500/30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text-indigo-300 font-mono text-xs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bg-indigo-950/40 border-indigo-400 text-white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Destructive / Reset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bg-transparent border border-white/10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text-neutral-400 text-xs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bg-red-950/30 border-red-500/30 text-red-300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8. Motion &amp; Micro-Interactions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MindCraft treats animation as a tool for cognitive clarity rather than visual noise. All animations are subtle, physics-based, and sub-300ms.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Standard Easing Function: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cubic-bezier(0.16, 1, 0.3, 1) — swift entry with gentle damping.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Hover &amp; Click Micro-transitions: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150ms to 200ms ease-out for color shifts, border illumination, and scale(1.02) card lifts.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Atmospheric Background Glow: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Subtle 12% opacity radial indigo/emerald glow positioned at top-center of hero viewports.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Accessibility Motion Guard: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All animations automatically respect prefers-reduced-motion media queries.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9. Imagery &amp; Visual Assets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Imagery across the MindCraft ecosystem must reinforce empirical research, operational rigor, and executive gravitas.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Permitted Photographic Style: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High-resolution, natural-lighting photography depicting clinical research facilities, pan-African commercial trade corridors, and modern executive meeting rooms.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Image Color Grading: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Desaturated 10%-20% with subtle deep black shadow grading to integrate seamlessly with the obsidian canvas.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Banned Imagery: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STRICTLY FORBIDDEN: Glowing neon robotic brains, floating holographic interfaces, generic smiling stock handshakes, or cartoon illustration sets.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10. Iconography Standards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All icons are exclusively sourced from the Lucide React icon library to ensure mathematical stroke consistency.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Official Icon Source: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lucide-react (1.75px default stroke weight, 2.0px for micro-icons).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Standard Sizing Units: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16px (w-4 h-4) for inline labels, 20px (w-5 h-5) for card headers, 24px (w-6 h-6) for hero feature anchors.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Color Behavior: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Icons inherit semantic container color (e.g., text-indigo-400, text-emerald-400, text-sky-400).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11. Surfaces, Borders, Radius &amp; Elevation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The elevation model in MindCraft relies on luminous contrast and border tinting rather than heavy drop shadows.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Level 0 (Base Surface):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0px (no blur, 0 offset) with 1px border delineation (border-white/10).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Level 1 (Bento Card):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bg-[#0A0A0A] with 1px border-white/10 and subtle hover border-white/20.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Level 2 (Active/Selected Card):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bg-[#0D0F17] with 1px border-indigo-500/40 and shadow-[0_0_20px_rgba(99,102,241,0.15)].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Level 3 (Modal / Search Palette):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bg-[#0A0A0A]/95 with backdrop-blur-md, border-white/20, and shadow-2xl.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12. Responsive Design &amp;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Min-Width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Layout Behavior &amp; Typography Adaptations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Mobile (Base)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&lt; 640px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Single-column stacked bento grid, collapsed hamburger navigation, 32px H1 headlines.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Tablet (sm / md)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640px - 768px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2-column bento grids, sticky role lens bar, 40px H1 headlines.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Desktop (lg)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1024px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3-to-4 column bento grids, full mega-menu navigation, persistent stats sidebars.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Wide Desktop (xl)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1280px+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Full 12-column layout maxed at 1280px, expanded 3D Matrix and African regional hub views.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13. Accessibility &amp; WCAG AA Compliance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All primary text-on-surface combinations meet or exceed WCAG 2.1 AA standards for contrast.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White text (#FFFFFF) on #050505: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14.8:1 contrast ratio against #050505 canvas (exceeds 4.5:1 requirement).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Secondary text (#E0E0E0) on #0A0A0A: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6.8:1 contrast ratio on #0A0A0A surfaces (passes AA regular text).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Touch Targets: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All interactive buttons, tabs, and form controls have min 44px touch targets.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Keyboard Accessibility: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Full keyboard navigation (Cmd+K modal, Tab index, ESC key dismissal).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14. Consolidated Design Tokens (Code-Ready)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Frontend developers may directly reference these CSS Custom Properties and Tailwind utility aliases: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Design Token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CSS Variable Value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Tailwind Class Equivalent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Canvas Background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var(--mc-bg-canvas, #050505)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bg-[#050505]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Card Surface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var(--mc-surface-card, #0A0A0A)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bg-[#0a0a0a]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Active Card Surface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var(--mc-surface-active, #0D0F17)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bg-[#0d0f17]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Primary Indigo Accent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var(--mc-primary, #6366F1)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text-indigo-500 / bg-indigo-600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Emerald Accent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var(--mc-accent-emerald, #10B981)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text-emerald-400 / bg-emerald-500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Card Border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var(--mc-border-subtle, rgba(255,255,255,0.08))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border-white/10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Card Radius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var(--mc-radius-card, 16px)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rounded-2xl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Tag Radius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var(--mc-radius-pill, 9999px)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rounded-full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15. Core Visual Principles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1. Purposeful Restraint Over Decoration: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Every component, card, and button exists to communicate strategic insight, not decorate empty space.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2. Obsidian Terminal Discipline: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 dark obsidian terminal atmosphere conveys institutional intelligence and high computational rigor.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3. Modular Bento Grid System: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Complex multi-sector datasets must be broken into clear, digestible bento compartments.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4. Triple-Coded Metadata: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Never rely on color alone; always pair categorical colors with explicit icon anchors and monospace labels.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5. Tripartite Typographic Harmony: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Headings use Outfit for authority, narrative uses Plus Jakarta Sans for flow, metadata uses JetBrains Mono for precision.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6. Uncompromising African Fluency: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Ground technical AI capabilities in African regulatory bodies (PPB, NAFDAC, SAHPRA) and local economic reality.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16. Brand Consistency Across Extensions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When creating new pages, client dashboards, or analytical whitepapers for the Industry × Geography × Capability Matrix: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Rule A: Surface Consistency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Maintain the #050505 background and 1px border-white/10 bento card container.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Rule B: Data Completeness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Always display the sector name, relevant African regulatory body, and 5-pillar solution mapping.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Rule C: Clear Actionability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Every view must include a direct trigger to launch or configure a custom engagement blueprint.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17. What NOT To Do (Anti-Patterns)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DO NOT: Use Consumer AI Slop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Never introduce bright purple-to-cyan gradient text, glowing neon edges, or glassmorphic blur distortions.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DO NOT: Nest Deep Containers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Never create cards inside cards inside cards; flatten hierarchy using subtle borders and dividers.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DO NOT: Deviate from the Font Stack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Never introduce unapproved fonts like Inter, Comic Sans, or Times New Roman.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DO NOT: Use Mock Stubs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Never show fake placeholder charts or lorem-ipsum content; all copy must be empirically grounded.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18. Developer Implementation Guide</w:t>
      </w:r>
    </w:p>
    <w:p>
      <w:pPr>
        <w:spacing w:after="100" w:before="100" w:line="300"/>
      </w:pP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To replicate the MindCraft design system in React/Tailwind applications: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Step 1: Font Inclusion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Import Outfit, Plus Jakarta Sans, and JetBrains Mono from Google Fonts in index.html.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Step 2: CSS Token Binding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Set :root variables in index.css as defined in Section 14.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Step 3: Global Canvas Setup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Apply bg-[#050505] to the body tag and wrap all content in max-w-7xl mx-auto containers.</w:t>
      </w:r>
    </w:p>
    <w:p>
      <w:pPr>
        <w:pStyle w:val="ListParagraph"/>
        <w:numPr>
          <w:ilvl w:val="0"/>
          <w:numId w:val="1"/>
        </w:numPr>
        <w:spacing w:after="60" w:before="60" w:line="280"/>
      </w:pPr>
      <w:r>
        <w:rPr>
          <w:rFonts w:ascii="Plus Jakarta Sans" w:cs="Plus Jakarta Sans" w:eastAsia="Plus Jakarta Sans" w:hAnsi="Plus Jakarta Sans"/>
          <w:b/>
          <w:bCs/>
          <w:color w:val="FFFFFF"/>
          <w:sz w:val="21"/>
          <w:szCs w:val="21"/>
        </w:rPr>
        <w:t xml:space="preserve">Step 4: Component Classes — </w:t>
      </w:r>
      <w:r>
        <w:rPr>
          <w:rFonts w:ascii="Plus Jakarta Sans" w:cs="Plus Jakarta Sans" w:eastAsia="Plus Jakarta Sans" w:hAnsi="Plus Jakarta Sans"/>
          <w:color w:val="D1D5DB"/>
          <w:sz w:val="21"/>
          <w:szCs w:val="21"/>
        </w:rPr>
        <w:t xml:space="preserve">Utilize the .bento-card and .bento-badge utility classes for instant structural compliance.</w:t>
      </w:r>
    </w:p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19. Design System Quick Reference (Cheat Sheet)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Design Element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Quick Rule / Specification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Brand Tone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Strategic, intelligent, restrained, Africa-rooted, enterprise AI-credible.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Core Palette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Obsidian (#050505), Slate Surface (#0A0A0A), Indigo (#6366F1), Emerald (#10B981).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Fonts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Outfit (Headings), Plus Jakarta Sans (Body), JetBrains Mono (Metadata).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Containers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16px rounded corners (rounded-2xl), 1px border (border-white/10), 24px padding.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Buttons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Rounded-xl, 12px vertical / 24px horizontal padding, bold text, subtle shadow on hover.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Top Rule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Do not decorate. Structure information with mathematical discipline.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  <w:rPr>
          <w:rFonts w:ascii="Outfit" w:cs="Outfit" w:eastAsia="Outfit" w:hAnsi="Outfit"/>
          <w:b/>
          <w:bCs/>
          <w:color w:val="6366F1"/>
          <w:sz w:val="32"/>
          <w:szCs w:val="32"/>
        </w:rPr>
      </w:pPr>
      <w:r>
        <w:t xml:space="preserve">20. Evidence &amp; Confidence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System Element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Confidence Level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6366F1" w:sz="12"/>
              <w:right w:val="single" w:color="262626" w:sz="6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Evidence &amp; Method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Font Families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DIRECTLY OBSERVED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Extracted directly from index.html Google Fonts link and index.css :root.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Color Hex Codes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DIRECTLY OBSERVED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Extracted directly from Tailwind classes, index.css, and component styles.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Bento Grid System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DIRECTLY OBSERVED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Measured across 15+ interactive views and modal dialogs.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60-30-10 Color Ratio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INFERRED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Derived from aggregate surface area measurements of live UI.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WCAG AA Compliance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INFERRED / VERIFIED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Computed mathematical contrast ratios against WCAG 2.1 specs.</w:t>
            </w:r>
          </w:p>
        </w:tc>
      </w:tr>
      <w:tr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6366F1"/>
                <w:sz w:val="18"/>
                <w:szCs w:val="18"/>
              </w:rPr>
              <w:t xml:space="preserve">Normalized Tokens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RECOMMENDED</w:t>
            </w:r>
          </w:p>
        </w:tc>
        <w:tc>
          <w:tcPr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fill="12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D1D5DB"/>
                <w:sz w:val="18"/>
                <w:szCs w:val="18"/>
              </w:rPr>
              <w:t xml:space="preserve">Standardized into clean CSS custom properties for enterprise reusability.</w:t>
            </w:r>
          </w:p>
        </w:tc>
      </w:tr>
    </w:tbl>
    <w:p>
      <w:pPr>
        <w:spacing w:before="240"/>
      </w:pPr>
    </w:p>
    <w:p>
      <w:pPr>
        <w:jc w:val="center"/>
      </w:pPr>
      <w:r>
        <w:rPr>
          <w:rFonts w:ascii="JetBrains Mono" w:cs="JetBrains Mono" w:eastAsia="JetBrains Mono" w:hAnsi="JetBrains Mono"/>
          <w:color w:val="9CA3AF"/>
          <w:sz w:val="18"/>
          <w:szCs w:val="18"/>
        </w:rPr>
        <w:t xml:space="preserve">— END OF OFFICIAL SPECIFICATION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9CA3AF"/>
        <w:sz w:val="16"/>
        <w:szCs w:val="16"/>
      </w:rPr>
      <w:t xml:space="preserve">Page </w:t>
    </w:r>
    <w:r>
      <w:rPr>
        <w:rFonts w:ascii="JetBrains Mono" w:cs="JetBrains Mono" w:eastAsia="JetBrains Mono" w:hAnsi="JetBrains Mono"/>
        <w:color w:val="6366F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9CA3AF"/>
        <w:sz w:val="16"/>
        <w:szCs w:val="16"/>
      </w:rPr>
      <w:t xml:space="preserve"> | Confidential &amp; Proprietary · MindCraft Consultancy Services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JetBrains Mono" w:cs="JetBrains Mono" w:eastAsia="JetBrains Mono" w:hAnsi="JetBrains Mono"/>
        <w:color w:val="9CA3AF"/>
        <w:sz w:val="16"/>
        <w:szCs w:val="16"/>
      </w:rPr>
      <w:t xml:space="preserve">MINDCRAFT DIGITAL BRAND &amp; DESIGN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D1D5D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2026-09-02T06:20:48.593Z</dcterms:created>
  <dcterms:modified xsi:type="dcterms:W3CDTF">2026-09-02T06:20:48.594Z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