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Fine-Grained Image Difference Research</w:t>
      </w:r>
    </w:p>
    <w:p>
      <w:pPr>
        <w:spacing w:before="120"/>
      </w:pPr>
      <w:r>
        <w:rPr>
          <w:color w:val="000000"/>
          <w:sz w:val="26"/>
        </w:rPr>
        <w:t>Initial evidence review, experiment plan, and executable baseline</w:t>
      </w:r>
    </w:p>
    <w:p>
      <w:r>
        <w:t>Status date: 16 October 2026  |  Independent workspace</w:t>
      </w:r>
    </w:p>
    <w:p>
      <w:r>
        <w:t>Conclusion: An end-to-end research pipeline is implemented and has been run on constructed examples using cached local models. It includes localization, semantic descriptions, OCR cues, review decisions, and evaluation. No specialist image-difference model was reproduced and no public benchmark was evaluated.</w:t>
      </w:r>
    </w:p>
    <w:p>
      <w:pPr>
        <w:pStyle w:val="Heading1"/>
      </w:pPr>
      <w:r>
        <w:t>What this report establishes</w:t>
      </w:r>
    </w:p>
    <w:p>
      <w:r>
        <w:t>Reliable image comparison requires separate evidence for whether a meaningful change exists, where it is, which entity or property changed and in what direction, and whether an apparent difference is only a nuisance such as lighting. Caption plausibility alone cannot establish spatial grounding or factual support.</w:t>
      </w:r>
    </w:p>
    <w:p>
      <w:r>
        <w:t>This workspace starts from the research brief and a fresh review of primary papers and official releases. Its implementation and experiments are self-contained.</w:t>
      </w:r>
    </w:p>
    <w:p>
      <w:pPr>
        <w:pStyle w:val="Heading1"/>
      </w:pPr>
      <w:r>
        <w:t>Research question and outputs</w:t>
      </w:r>
    </w:p>
    <w:p>
      <w:r>
        <w:t>Given ordered images (before, after), infer a set of meaningful changes, spatial evidence for each, a directionally correct account of the before and after states, and uncertainty. The output is separated into four tasks: pair-level recognition, spatial localization, semantic change understanding, and nuisance discrimination.</w:t>
      </w:r>
    </w:p>
    <w:tbl>
      <w:tblPr>
        <w:tblStyle w:val="LightShading-Accent1"/>
        <w:tblW w:type="auto" w:w="0"/>
        <w:jc w:val="center"/>
        <w:tblLook w:firstColumn="1" w:firstRow="1" w:lastColumn="0" w:lastRow="0" w:noHBand="0" w:noVBand="1" w:val="04A0"/>
      </w:tblPr>
      <w:tblGrid>
        <w:gridCol w:w="4968"/>
        <w:gridCol w:w="4968"/>
      </w:tblGrid>
      <w:tr>
        <w:trPr>
          <w:tblHeader w:val="true"/>
        </w:trPr>
        <w:tc>
          <w:tcPr>
            <w:tcW w:type="dxa" w:w="2088"/>
            <w:shd w:fill="18324B"/>
          </w:tcPr>
          <w:p>
            <w:r>
              <w:rPr>
                <w:b/>
                <w:color w:val="FFFFFF"/>
                <w:sz w:val="18"/>
              </w:rPr>
              <w:t>Per-change field</w:t>
            </w:r>
          </w:p>
        </w:tc>
        <w:tc>
          <w:tcPr>
            <w:tcW w:type="dxa" w:w="7560"/>
            <w:shd w:fill="18324B"/>
          </w:tcPr>
          <w:p>
            <w:r>
              <w:rPr>
                <w:b/>
                <w:color w:val="FFFFFF"/>
                <w:sz w:val="18"/>
              </w:rPr>
              <w:t>Required evidence</w:t>
            </w:r>
          </w:p>
        </w:tc>
      </w:tr>
      <w:tr>
        <w:trPr>
          <w:cantSplit/>
        </w:trPr>
        <w:tc>
          <w:tcPr>
            <w:tcW w:type="dxa" w:w="2088"/>
            <w:vAlign w:val="center"/>
          </w:tcPr>
          <w:p>
            <w:pPr>
              <w:spacing w:after="40"/>
            </w:pPr>
            <w:r>
              <w:rPr>
                <w:sz w:val="17"/>
              </w:rPr>
              <w:t>Type and entity</w:t>
            </w:r>
          </w:p>
        </w:tc>
        <w:tc>
          <w:tcPr>
            <w:tcW w:type="dxa" w:w="7560"/>
            <w:vAlign w:val="center"/>
          </w:tcPr>
          <w:p>
            <w:pPr>
              <w:spacing w:after="40"/>
            </w:pPr>
            <w:r>
              <w:rPr>
                <w:sz w:val="17"/>
              </w:rPr>
              <w:t>Addition, removal, text edit, attribute, motion, state or structural change; identify the object/region.</w:t>
            </w:r>
          </w:p>
        </w:tc>
      </w:tr>
      <w:tr>
        <w:trPr>
          <w:cantSplit/>
        </w:trPr>
        <w:tc>
          <w:tcPr>
            <w:tcW w:type="dxa" w:w="2088"/>
            <w:vAlign w:val="center"/>
          </w:tcPr>
          <w:p>
            <w:pPr>
              <w:spacing w:after="40"/>
            </w:pPr>
            <w:r>
              <w:rPr>
                <w:sz w:val="17"/>
              </w:rPr>
              <w:t>Before → after</w:t>
            </w:r>
          </w:p>
        </w:tc>
        <w:tc>
          <w:tcPr>
            <w:tcW w:type="dxa" w:w="7560"/>
            <w:vAlign w:val="center"/>
          </w:tcPr>
          <w:p>
            <w:pPr>
              <w:spacing w:after="40"/>
            </w:pPr>
            <w:r>
              <w:rPr>
                <w:sz w:val="17"/>
              </w:rPr>
              <w:t>Record both states and the exact changed property; preserve image order.</w:t>
            </w:r>
          </w:p>
        </w:tc>
      </w:tr>
      <w:tr>
        <w:trPr>
          <w:cantSplit/>
        </w:trPr>
        <w:tc>
          <w:tcPr>
            <w:tcW w:type="dxa" w:w="2088"/>
            <w:vAlign w:val="center"/>
          </w:tcPr>
          <w:p>
            <w:pPr>
              <w:spacing w:after="40"/>
            </w:pPr>
            <w:r>
              <w:rPr>
                <w:sz w:val="17"/>
              </w:rPr>
              <w:t>Location and support</w:t>
            </w:r>
          </w:p>
        </w:tc>
        <w:tc>
          <w:tcPr>
            <w:tcW w:type="dxa" w:w="7560"/>
            <w:vAlign w:val="center"/>
          </w:tcPr>
          <w:p>
            <w:pPr>
              <w:spacing w:after="40"/>
            </w:pPr>
            <w:r>
              <w:rPr>
                <w:sz w:val="17"/>
              </w:rPr>
              <w:t>Mask, box, point or explicit unavailable value; cite visible evidence.</w:t>
            </w:r>
          </w:p>
        </w:tc>
      </w:tr>
      <w:tr>
        <w:trPr>
          <w:cantSplit/>
        </w:trPr>
        <w:tc>
          <w:tcPr>
            <w:tcW w:type="dxa" w:w="2088"/>
            <w:vAlign w:val="center"/>
          </w:tcPr>
          <w:p>
            <w:pPr>
              <w:spacing w:after="40"/>
            </w:pPr>
            <w:r>
              <w:rPr>
                <w:sz w:val="17"/>
              </w:rPr>
              <w:t>Reliability</w:t>
            </w:r>
          </w:p>
        </w:tc>
        <w:tc>
          <w:tcPr>
            <w:tcW w:type="dxa" w:w="7560"/>
            <w:vAlign w:val="center"/>
          </w:tcPr>
          <w:p>
            <w:pPr>
              <w:spacing w:after="40"/>
            </w:pPr>
            <w:r>
              <w:rPr>
                <w:sz w:val="17"/>
              </w:rPr>
              <w:t>Confidence, ambiguity and whether a human review is needed.</w:t>
            </w:r>
          </w:p>
        </w:tc>
      </w:tr>
    </w:tbl>
    <w:p>
      <w:r>
        <w:t>A full operational definition and proposed acceptance criteria are in the package problem-definition document.</w:t>
      </w:r>
    </w:p>
    <w:p>
      <w:r>
        <w:br w:type="page"/>
      </w:r>
    </w:p>
    <w:p>
      <w:pPr>
        <w:pStyle w:val="Heading1"/>
      </w:pPr>
      <w:r>
        <w:t>Research-backed candidate methods</w:t>
      </w:r>
    </w:p>
    <w:tbl>
      <w:tblPr>
        <w:tblStyle w:val="LightShading-Accent1"/>
        <w:tblW w:type="auto" w:w="0"/>
        <w:jc w:val="center"/>
        <w:tblLook w:firstColumn="1" w:firstRow="1" w:lastColumn="0" w:lastRow="0" w:noHBand="0" w:noVBand="1" w:val="04A0"/>
      </w:tblPr>
      <w:tblGrid>
        <w:gridCol w:w="3312"/>
        <w:gridCol w:w="3312"/>
        <w:gridCol w:w="3312"/>
      </w:tblGrid>
      <w:tr>
        <w:trPr>
          <w:tblHeader w:val="true"/>
        </w:trPr>
        <w:tc>
          <w:tcPr>
            <w:tcW w:type="dxa" w:w="1872"/>
            <w:shd w:fill="18324B"/>
          </w:tcPr>
          <w:p>
            <w:r>
              <w:rPr>
                <w:b/>
                <w:color w:val="FFFFFF"/>
                <w:sz w:val="18"/>
              </w:rPr>
              <w:t>Candidate</w:t>
            </w:r>
          </w:p>
        </w:tc>
        <w:tc>
          <w:tcPr>
            <w:tcW w:type="dxa" w:w="3960"/>
            <w:shd w:fill="18324B"/>
          </w:tcPr>
          <w:p>
            <w:r>
              <w:rPr>
                <w:b/>
                <w:color w:val="FFFFFF"/>
                <w:sz w:val="18"/>
              </w:rPr>
              <w:t>What it contributes</w:t>
            </w:r>
          </w:p>
        </w:tc>
        <w:tc>
          <w:tcPr>
            <w:tcW w:type="dxa" w:w="3816"/>
            <w:shd w:fill="18324B"/>
          </w:tcPr>
          <w:p>
            <w:r>
              <w:rPr>
                <w:b/>
                <w:color w:val="FFFFFF"/>
                <w:sz w:val="18"/>
              </w:rPr>
              <w:t>Decision and limitation</w:t>
            </w:r>
          </w:p>
        </w:tc>
      </w:tr>
      <w:tr>
        <w:trPr>
          <w:cantSplit/>
        </w:trPr>
        <w:tc>
          <w:tcPr>
            <w:tcW w:type="dxa" w:w="1872"/>
            <w:vAlign w:val="center"/>
          </w:tcPr>
          <w:p>
            <w:pPr>
              <w:spacing w:after="40"/>
            </w:pPr>
            <w:r>
              <w:rPr>
                <w:sz w:val="17"/>
              </w:rPr>
              <w:t>M³Diff / OmniDiff</w:t>
              <w:br/>
              <w:t>ICCV 2025</w:t>
            </w:r>
          </w:p>
        </w:tc>
        <w:tc>
          <w:tcPr>
            <w:tcW w:type="dxa" w:w="3960"/>
            <w:vAlign w:val="center"/>
          </w:tcPr>
          <w:p>
            <w:pPr>
              <w:spacing w:after="40"/>
            </w:pPr>
            <w:r>
              <w:rPr>
                <w:sz w:val="17"/>
              </w:rPr>
              <w:t>Multi-scale differential perception in a paired-image MLLM; detailed captions across real and rendered scenes.</w:t>
            </w:r>
          </w:p>
        </w:tc>
        <w:tc>
          <w:tcPr>
            <w:tcW w:type="dxa" w:w="3816"/>
            <w:vAlign w:val="center"/>
          </w:tcPr>
          <w:p>
            <w:pPr>
              <w:spacing w:after="40"/>
            </w:pPr>
            <w:r>
              <w:rPr>
                <w:sz w:val="17"/>
              </w:rPr>
              <w:t>First modern reproduction candidate. 8B-class model; captioning is not mask validation. Authors report an 8×A100 training setup.</w:t>
            </w:r>
          </w:p>
        </w:tc>
      </w:tr>
      <w:tr>
        <w:trPr>
          <w:cantSplit/>
        </w:trPr>
        <w:tc>
          <w:tcPr>
            <w:tcW w:type="dxa" w:w="1872"/>
            <w:vAlign w:val="center"/>
          </w:tcPr>
          <w:p>
            <w:pPr>
              <w:spacing w:after="40"/>
            </w:pPr>
            <w:r>
              <w:rPr>
                <w:sz w:val="17"/>
              </w:rPr>
              <w:t>OneDiff</w:t>
              <w:br/>
              <w:t>ACCV 2024</w:t>
            </w:r>
          </w:p>
        </w:tc>
        <w:tc>
          <w:tcPr>
            <w:tcW w:type="dxa" w:w="3960"/>
            <w:vAlign w:val="center"/>
          </w:tcPr>
          <w:p>
            <w:pPr>
              <w:spacing w:after="40"/>
            </w:pPr>
            <w:r>
              <w:rPr>
                <w:sz w:val="17"/>
              </w:rPr>
              <w:t>Siamese encoder and Visual Delta Module; broad IDC training/evaluation.</w:t>
            </w:r>
          </w:p>
        </w:tc>
        <w:tc>
          <w:tcPr>
            <w:tcW w:type="dxa" w:w="3816"/>
            <w:vAlign w:val="center"/>
          </w:tcPr>
          <w:p>
            <w:pPr>
              <w:spacing w:after="40"/>
            </w:pPr>
            <w:r>
              <w:rPr>
                <w:sz w:val="17"/>
              </w:rPr>
              <w:t>Strong paired-feature comparator; verify checkpoints, terms and exact reproduction path.</w:t>
            </w:r>
          </w:p>
        </w:tc>
      </w:tr>
      <w:tr>
        <w:trPr>
          <w:cantSplit/>
        </w:trPr>
        <w:tc>
          <w:tcPr>
            <w:tcW w:type="dxa" w:w="1872"/>
            <w:vAlign w:val="center"/>
          </w:tcPr>
          <w:p>
            <w:pPr>
              <w:spacing w:after="40"/>
            </w:pPr>
            <w:r>
              <w:rPr>
                <w:sz w:val="17"/>
              </w:rPr>
              <w:t>DUDA</w:t>
              <w:br/>
              <w:t>ICCV 2019</w:t>
            </w:r>
          </w:p>
        </w:tc>
        <w:tc>
          <w:tcPr>
            <w:tcW w:type="dxa" w:w="3960"/>
            <w:vAlign w:val="center"/>
          </w:tcPr>
          <w:p>
            <w:pPr>
              <w:spacing w:after="40"/>
            </w:pPr>
            <w:r>
              <w:rPr>
                <w:sz w:val="17"/>
              </w:rPr>
              <w:t>Dual attention and dynamic speaker explicitly address distractors and change localization.</w:t>
            </w:r>
          </w:p>
        </w:tc>
        <w:tc>
          <w:tcPr>
            <w:tcW w:type="dxa" w:w="3816"/>
            <w:vAlign w:val="center"/>
          </w:tcPr>
          <w:p>
            <w:pPr>
              <w:spacing w:after="40"/>
            </w:pPr>
            <w:r>
              <w:rPr>
                <w:sz w:val="17"/>
              </w:rPr>
              <w:t>Useful nuisance-controlled baseline; older architecture and synthetic-domain limits.</w:t>
            </w:r>
          </w:p>
        </w:tc>
      </w:tr>
      <w:tr>
        <w:trPr>
          <w:cantSplit/>
        </w:trPr>
        <w:tc>
          <w:tcPr>
            <w:tcW w:type="dxa" w:w="1872"/>
            <w:vAlign w:val="center"/>
          </w:tcPr>
          <w:p>
            <w:pPr>
              <w:spacing w:after="40"/>
            </w:pPr>
            <w:r>
              <w:rPr>
                <w:sz w:val="17"/>
              </w:rPr>
              <w:t>MEDIC</w:t>
              <w:br/>
              <w:t>ECCV 2026</w:t>
            </w:r>
          </w:p>
        </w:tc>
        <w:tc>
          <w:tcPr>
            <w:tcW w:type="dxa" w:w="3960"/>
            <w:vAlign w:val="center"/>
          </w:tcPr>
          <w:p>
            <w:pPr>
              <w:spacing w:after="40"/>
            </w:pPr>
            <w:r>
              <w:rPr>
                <w:sz w:val="17"/>
              </w:rPr>
              <w:t>Two-stage no-change/type router and change-specialized memory experts.</w:t>
            </w:r>
          </w:p>
        </w:tc>
        <w:tc>
          <w:tcPr>
            <w:tcW w:type="dxa" w:w="3816"/>
            <w:vAlign w:val="center"/>
          </w:tcPr>
          <w:p>
            <w:pPr>
              <w:spacing w:after="40"/>
            </w:pPr>
            <w:r>
              <w:rPr>
                <w:sz w:val="17"/>
              </w:rPr>
              <w:t>Test specialization only if category-specific errors justify it; reported caption scores do not establish mask grounding.</w:t>
            </w:r>
          </w:p>
        </w:tc>
      </w:tr>
      <w:tr>
        <w:trPr>
          <w:cantSplit/>
        </w:trPr>
        <w:tc>
          <w:tcPr>
            <w:tcW w:type="dxa" w:w="1872"/>
            <w:vAlign w:val="center"/>
          </w:tcPr>
          <w:p>
            <w:pPr>
              <w:spacing w:after="40"/>
            </w:pPr>
            <w:r>
              <w:rPr>
                <w:sz w:val="17"/>
              </w:rPr>
              <w:t>CLIP4IDC</w:t>
              <w:br/>
              <w:t>AACL-IJCNLP 2022</w:t>
            </w:r>
          </w:p>
        </w:tc>
        <w:tc>
          <w:tcPr>
            <w:tcW w:type="dxa" w:w="3960"/>
            <w:vAlign w:val="center"/>
          </w:tcPr>
          <w:p>
            <w:pPr>
              <w:spacing w:after="40"/>
            </w:pPr>
            <w:r>
              <w:rPr>
                <w:sz w:val="17"/>
              </w:rPr>
              <w:t>Adapts CLIP representations to image-pair differences.</w:t>
            </w:r>
          </w:p>
        </w:tc>
        <w:tc>
          <w:tcPr>
            <w:tcW w:type="dxa" w:w="3816"/>
            <w:vAlign w:val="center"/>
          </w:tcPr>
          <w:p>
            <w:pPr>
              <w:spacing w:after="40"/>
            </w:pPr>
            <w:r>
              <w:rPr>
                <w:sz w:val="17"/>
              </w:rPr>
              <w:t>Useful representation-learning comparator; localization requires separate measurement.</w:t>
            </w:r>
          </w:p>
        </w:tc>
      </w:tr>
      <w:tr>
        <w:trPr>
          <w:cantSplit/>
        </w:trPr>
        <w:tc>
          <w:tcPr>
            <w:tcW w:type="dxa" w:w="1872"/>
            <w:vAlign w:val="center"/>
          </w:tcPr>
          <w:p>
            <w:pPr>
              <w:spacing w:after="40"/>
            </w:pPr>
            <w:r>
              <w:rPr>
                <w:sz w:val="17"/>
              </w:rPr>
              <w:t>Spot-the-Shift</w:t>
              <w:br/>
              <w:t>2026 preprint</w:t>
            </w:r>
          </w:p>
        </w:tc>
        <w:tc>
          <w:tcPr>
            <w:tcW w:type="dxa" w:w="3960"/>
            <w:vAlign w:val="center"/>
          </w:tcPr>
          <w:p>
            <w:pPr>
              <w:spacing w:after="40"/>
            </w:pPr>
            <w:r>
              <w:rPr>
                <w:sz w:val="17"/>
              </w:rPr>
              <w:t>Human-verified long-term driving pairs with captions and spatial masks.</w:t>
            </w:r>
          </w:p>
        </w:tc>
        <w:tc>
          <w:tcPr>
            <w:tcW w:type="dxa" w:w="3816"/>
            <w:vAlign w:val="center"/>
          </w:tcPr>
          <w:p>
            <w:pPr>
              <w:spacing w:after="40"/>
            </w:pPr>
            <w:r>
              <w:rPr>
                <w:sz w:val="17"/>
              </w:rPr>
              <w:t>Promising grounded benchmark; release access and license remain unverified.</w:t>
            </w:r>
          </w:p>
        </w:tc>
      </w:tr>
    </w:tbl>
    <w:p>
      <w:pPr>
        <w:pStyle w:val="Heading1"/>
      </w:pPr>
      <w:r>
        <w:t>Dataset fit and evidence gaps</w:t>
      </w:r>
    </w:p>
    <w:p>
      <w:r>
        <w:t>OmniDiff reports 15,598 annotated pairs from 324 indoor/outdoor scenes, with 12 change types and captions averaging about 60 words. It is a strong semantic-caption benchmark, but the release description reviewed does not establish comprehensive pixel masks. CLEVR-Change is valuable for controlled illumination/viewpoint distractors and rendered ground truth. Spot-the-Diff is real surveillance imagery with multiple captions but no original region masks and image-use terms inherited from VIRAT. Spot-the-Shift appears to address grounded evaluation but needs access, schema, split and rights verification.</w:t>
      </w:r>
    </w:p>
    <w:p>
      <w:r>
        <w:t>No annotation field should be treated as negative merely because it is absent. Exact and near duplicates, edited originals, scenes and videos must be grouped before splitting. Full dataset and licensing audit is included in the package.</w:t>
      </w:r>
    </w:p>
    <w:p>
      <w:pPr>
        <w:pStyle w:val="Heading1"/>
      </w:pPr>
      <w:r>
        <w:t>Model selection decision</w:t>
      </w:r>
    </w:p>
    <w:p>
      <w:r>
        <w:t>Do not train a new architecture yet. First reproduce official M³Diff inference on a caption benchmark and measure spatial localization separately on a mask-annotated benchmark if access is confirmed. Use DUDA/CLEVR-Change for controlled nuisance tests. Add MEDIC only if per-type analysis identifies a systematic failure and the comparison can be reproduced fairly.</w:t>
      </w:r>
    </w:p>
    <w:p>
      <w:r>
        <w:t>The RTX 4000 Ada host has 20 GB VRAM. The shared environment and cached Qwen3-VL 4B and EasyOCR weights were reused without downloads or installation. A 13-test suite passes. M³Diff’s 16.2 GB checkpoint and custom loader remain unverified on this GPU; it was not downloaded.</w:t>
      </w:r>
    </w:p>
    <w:p>
      <w:pPr>
        <w:pStyle w:val="Heading1"/>
      </w:pPr>
      <w:r>
        <w:t>Executable baseline and measured checks</w:t>
      </w:r>
    </w:p>
    <w:p>
      <w:r>
        <w:t>The end-to-end pipeline retains raw RGB differences, a robust global-photometric residual view, connected regions and a phase-correlation translation cue. Optional cached Qwen3-VL generates structured change claims; optional local-only EasyOCR compares text. Each run saves JSON, masks, overlays, previews, resource metadata and a prediction manifest. The system preserves raw evidence, does not warp images, marks claim-to-region links unverified, and requires review.</w:t>
      </w:r>
    </w:p>
    <w:p>
      <w:r>
        <w:t>The final run covered 11 constructed pairs. Selective pair recognition was correct on 9 of 9 covered pairs at 81.8% coverage; the system abstained on illumination-only and camera-translation cases. Pixel-mask macro IoU was 0.905, but most masks were exact rendered pixel differences and camera translation scored 0.0 IoU. Manual review found 4 fully correct, 3 partially correct and 4 incorrect semantic descriptions. The model hallucinated an unrelated movement, misread the one-character text edit, and described lighting variation as a semantic color change. OCR produced EXITI and EXIT, also failing to resolve the edit. These are constructed diagnostics, not benchmark or human-study results.</w:t>
      </w:r>
    </w:p>
    <w:tbl>
      <w:tblPr>
        <w:tblW w:type="auto" w:w="0"/>
        <w:jc w:val="center"/>
        <w:tblLook w:firstColumn="1" w:firstRow="1" w:lastColumn="0" w:lastRow="0" w:noHBand="0" w:noVBand="1" w:val="04A0"/>
      </w:tblPr>
      <w:tblGrid>
        <w:gridCol w:w="4968"/>
        <w:gridCol w:w="4968"/>
      </w:tblGrid>
      <w:tr>
        <w:tc>
          <w:tcPr>
            <w:tcW w:type="dxa" w:w="4968"/>
          </w:tcPr>
          <w:p>
            <w:pPr>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synthetic_baseline_overlay.png"/>
                          <pic:cNvPicPr/>
                        </pic:nvPicPr>
                        <pic:blipFill>
                          <a:blip r:embed="rId11"/>
                          <a:stretch>
                            <a:fillRect/>
                          </a:stretch>
                        </pic:blipFill>
                        <pic:spPr>
                          <a:xfrm>
                            <a:off x="0" y="0"/>
                            <a:ext cx="1828800" cy="1828800"/>
                          </a:xfrm>
                          <a:prstGeom prst="rect"/>
                        </pic:spPr>
                      </pic:pic>
                    </a:graphicData>
                  </a:graphic>
                </wp:inline>
              </w:drawing>
            </w:r>
          </w:p>
          <w:p>
            <w:pPr>
              <w:jc w:val="center"/>
            </w:pPr>
            <w:r>
              <w:rPr>
                <w:i/>
                <w:sz w:val="16"/>
              </w:rPr>
              <w:t>Exact square change, noiseless pair</w:t>
            </w:r>
          </w:p>
        </w:tc>
        <w:tc>
          <w:tcPr>
            <w:tcW w:type="dxa" w:w="4968"/>
          </w:tcPr>
          <w:p>
            <w:pPr>
              <w:jc w:val="center"/>
            </w:pPr>
            <w:r>
              <w:drawing>
                <wp:inline xmlns:a="http://schemas.openxmlformats.org/drawingml/2006/main" xmlns:pic="http://schemas.openxmlformats.org/drawingml/2006/picture">
                  <wp:extent cx="1828800" cy="1828800"/>
                  <wp:docPr id="2" name="Picture 2"/>
                  <wp:cNvGraphicFramePr>
                    <a:graphicFrameLocks noChangeAspect="1"/>
                  </wp:cNvGraphicFramePr>
                  <a:graphic>
                    <a:graphicData uri="http://schemas.openxmlformats.org/drawingml/2006/picture">
                      <pic:pic>
                        <pic:nvPicPr>
                          <pic:cNvPr id="0" name="stress_illumination_only_overlay.png"/>
                          <pic:cNvPicPr/>
                        </pic:nvPicPr>
                        <pic:blipFill>
                          <a:blip r:embed="rId12"/>
                          <a:stretch>
                            <a:fillRect/>
                          </a:stretch>
                        </pic:blipFill>
                        <pic:spPr>
                          <a:xfrm>
                            <a:off x="0" y="0"/>
                            <a:ext cx="1828800" cy="1828800"/>
                          </a:xfrm>
                          <a:prstGeom prst="rect"/>
                        </pic:spPr>
                      </pic:pic>
                    </a:graphicData>
                  </a:graphic>
                </wp:inline>
              </w:drawing>
            </w:r>
          </w:p>
          <w:p>
            <w:pPr>
              <w:jc w:val="center"/>
            </w:pPr>
            <w:r>
              <w:rPr>
                <w:i/>
                <w:sz w:val="16"/>
              </w:rPr>
              <w:t>False change under global brightness</w:t>
            </w:r>
          </w:p>
        </w:tc>
      </w:tr>
    </w:tbl>
    <w:p>
      <w:pPr>
        <w:pStyle w:val="Caption"/>
      </w:pPr>
      <w:r>
        <w:t>The first overlay is the constructed exact-mask check; the second shows all pixels incorrectly highlighted by a global brightness shift. The underlying metrics and example images are saved in the research package.</w:t>
      </w:r>
    </w:p>
    <w:p>
      <w:r>
        <w:br w:type="page"/>
      </w:r>
    </w:p>
    <w:p>
      <w:pPr>
        <w:pStyle w:val="Heading1"/>
      </w:pPr>
      <w:r>
        <w:t>End-to-end diagnostic examples</w:t>
      </w:r>
    </w:p>
    <w:p>
      <w:r>
        <w:t>The gallery shows the input pair, synthetic reference mask, predicted photometric-residual mask and overlay for difficult cases. The text panel contains actual model claims and the researcher review. In particular, broad illumination is correctly escalated for review, the small text edit remains unresolved, and camera translation still creates a false-positive mask despite a conservative pair-level abstention.</w:t>
      </w:r>
    </w:p>
    <w:p>
      <w:pPr>
        <w:jc w:val="center"/>
      </w:pPr>
      <w:r>
        <w:drawing>
          <wp:inline xmlns:a="http://schemas.openxmlformats.org/drawingml/2006/main" xmlns:pic="http://schemas.openxmlformats.org/drawingml/2006/picture">
            <wp:extent cx="5989320" cy="5490979"/>
            <wp:docPr id="3" name="Picture 3"/>
            <wp:cNvGraphicFramePr>
              <a:graphicFrameLocks noChangeAspect="1"/>
            </wp:cNvGraphicFramePr>
            <a:graphic>
              <a:graphicData uri="http://schemas.openxmlformats.org/drawingml/2006/picture">
                <pic:pic>
                  <pic:nvPicPr>
                    <pic:cNvPr id="0" name="end_to_end_failure_gallery.png"/>
                    <pic:cNvPicPr/>
                  </pic:nvPicPr>
                  <pic:blipFill>
                    <a:blip r:embed="rId13"/>
                    <a:stretch>
                      <a:fillRect/>
                    </a:stretch>
                  </pic:blipFill>
                  <pic:spPr>
                    <a:xfrm>
                      <a:off x="0" y="0"/>
                      <a:ext cx="5989320" cy="5490979"/>
                    </a:xfrm>
                    <a:prstGeom prst="rect"/>
                  </pic:spPr>
                </pic:pic>
              </a:graphicData>
            </a:graphic>
          </wp:inline>
        </w:drawing>
      </w:r>
    </w:p>
    <w:p>
      <w:pPr>
        <w:pStyle w:val="Heading1"/>
      </w:pPr>
      <w:r>
        <w:t>Experimental protocol</w:t>
      </w:r>
    </w:p>
    <w:p>
      <w:r>
        <w:t>1. Select the target domain, define meaningful-change policy and document miss/false-alarm costs.</w:t>
      </w:r>
    </w:p>
    <w:p>
      <w:r>
        <w:t>2. Audit licensed datasets, annotations, group identifiers and splits; report exact/near-duplicate leakage.</w:t>
      </w:r>
    </w:p>
    <w:p>
      <w:r>
        <w:t>3. Reproduce specialist baselines with fixed checkpoints, preprocessing, prompts and evaluation code.</w:t>
      </w:r>
    </w:p>
    <w:p>
      <w:r>
        <w:t>4. Report recognition, masks/boxes, semantic direction, unsupported claims, nuisance robustness, uncertainty and runtime separately.</w:t>
      </w:r>
    </w:p>
    <w:p>
      <w:r>
        <w:t>5. Stress-test tiny text edits, small additions/removals, multiple changes, no-change pairs, shadows, compression, shifts and genuine changes under nuisance.</w:t>
      </w:r>
    </w:p>
    <w:p>
      <w:r>
        <w:t>6. Diagnose errors and change one major component at a time; stop if held-out gains are uncertain or raise false claims.</w:t>
      </w:r>
    </w:p>
    <w:p>
      <w:r>
        <w:t>Use group-level bootstrap intervals where possible. Tune on validation data only and keep final labels sealed. Caption overlap metrics are secondary and cannot prove localization or factual correctness.</w:t>
      </w:r>
    </w:p>
    <w:p>
      <w:pPr>
        <w:pStyle w:val="Heading1"/>
      </w:pPr>
      <w:r>
        <w:t>Current limits and next step</w:t>
      </w:r>
    </w:p>
    <w:p>
      <w:r>
        <w:t>No specialist learned model, official dataset, real-image prediction, independent human evaluation, public benchmark score or calibrated uncertainty result exists. The synthetic selective metrics are not evidence of generalization. M³Diff inference compatibility and memory fit remain unverified. Camera registration and claim-to-region grounding are unresolved. The next step is to obtain legally usable natural pairs with masks and captions, then test the pipeline against a reproducible specialist baseline.</w:t>
      </w:r>
    </w:p>
    <w:p>
      <w:pPr>
        <w:pStyle w:val="Heading1"/>
      </w:pPr>
      <w:r>
        <w:t>Primary sources</w:t>
      </w:r>
    </w:p>
    <w:p>
      <w:pPr>
        <w:pStyle w:val="ListBullet"/>
        <w:spacing w:after="60"/>
      </w:pPr>
      <w:r>
        <w:rPr>
          <w:sz w:val="15"/>
        </w:rPr>
        <w:t>Liu et al. OmniDiff: A Comprehensive Benchmark for Fine-grained Image Difference Captioning. ICCV 2025. CVF Open Access.</w:t>
      </w:r>
    </w:p>
    <w:p>
      <w:pPr>
        <w:pStyle w:val="ListBullet"/>
        <w:spacing w:after="60"/>
      </w:pPr>
      <w:r>
        <w:rPr>
          <w:sz w:val="15"/>
        </w:rPr>
        <w:t>Hu et al. OneDiff: A Generalist Model for Image Difference Captioning. ACCV 2024. CVF Open Access.</w:t>
      </w:r>
    </w:p>
    <w:p>
      <w:pPr>
        <w:pStyle w:val="ListBullet"/>
        <w:spacing w:after="60"/>
      </w:pPr>
      <w:r>
        <w:rPr>
          <w:sz w:val="15"/>
        </w:rPr>
        <w:t>Park et al. Robust Change Captioning. ICCV 2019. CVF Open Access.</w:t>
      </w:r>
    </w:p>
    <w:p>
      <w:pPr>
        <w:pStyle w:val="ListBullet"/>
        <w:spacing w:after="60"/>
      </w:pPr>
      <w:r>
        <w:rPr>
          <w:sz w:val="15"/>
        </w:rPr>
        <w:t>Guo et al. CLIP4IDC: CLIP for Image Difference Captioning. AACL-IJCNLP 2022. ACL Anthology.</w:t>
      </w:r>
    </w:p>
    <w:p>
      <w:pPr>
        <w:pStyle w:val="ListBullet"/>
        <w:spacing w:after="60"/>
      </w:pPr>
      <w:r>
        <w:rPr>
          <w:sz w:val="15"/>
        </w:rPr>
        <w:t>MEDIC. Official research repository, ECCV 2026. github.com/VisualAIKHU/MEDIC.</w:t>
      </w:r>
    </w:p>
    <w:p>
      <w:pPr>
        <w:pStyle w:val="ListBullet"/>
        <w:spacing w:after="60"/>
      </w:pPr>
      <w:r>
        <w:rPr>
          <w:sz w:val="15"/>
        </w:rPr>
        <w:t>Liberatori et al. Spot-the-Shift. arXiv:2609.10356, 2026.</w:t>
      </w:r>
    </w:p>
    <w:p>
      <w:pPr>
        <w:pStyle w:val="ListBullet"/>
        <w:spacing w:after="60"/>
      </w:pPr>
      <w:r>
        <w:rPr>
          <w:sz w:val="15"/>
        </w:rPr>
        <w:t>Qwen Team. Qwen3-VL-4B-Instruct model card and Transformers documentation. Hugging Face.</w:t>
      </w:r>
    </w:p>
    <w:sectPr w:rsidR="00FC693F" w:rsidRPr="0006063C" w:rsidSect="00034616">
      <w:headerReference w:type="default" r:id="rId9"/>
      <w:footerReference w:type="default" r:id="rId10"/>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Research status: 16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rFonts w:ascii="Aptos" w:hAnsi="Aptos"/>
        <w:color w:val="5A6976"/>
        <w:sz w:val="16"/>
      </w:rPr>
      <w:t>FINE-GRAINED IMAGE DIFFERENCE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C354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