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96762A"/>
          <w:spacing w:val="60"/>
          <w:sz w:val="20"/>
          <w:szCs w:val="20"/>
        </w:rPr>
        <w:t xml:space="preserve">NYAYSEVAK</w:t>
      </w:r>
    </w:p>
    <w:p>
      <w:pPr>
        <w:spacing w:after="420"/>
      </w:pPr>
      <w:r>
        <w:rPr>
          <w:rFonts w:ascii="Calibri" w:cs="Calibri" w:eastAsia="Calibri" w:hAnsi="Calibri"/>
          <w:color w:val="6A6353"/>
          <w:spacing w:val="40"/>
          <w:sz w:val="18"/>
          <w:szCs w:val="18"/>
        </w:rPr>
        <w:t xml:space="preserve">SEO &amp; GROWTH REPORT</w:t>
      </w:r>
    </w:p>
    <w:p>
      <w:pPr>
        <w:pBdr>
          <w:bottom w:val="single" w:color="C9A84C" w:sz="12" w:space="14"/>
        </w:pBdr>
        <w:spacing w:after="200"/>
      </w:pPr>
      <w:r>
        <w:rPr>
          <w:rFonts w:ascii="Georgia" w:cs="Georgia" w:eastAsia="Georgia" w:hAnsi="Georgia"/>
          <w:b/>
          <w:bCs/>
          <w:color w:val="1A1814"/>
          <w:sz w:val="60"/>
          <w:szCs w:val="60"/>
        </w:rPr>
        <w:t xml:space="preserve">Week 24</w:t>
      </w:r>
    </w:p>
    <w:p>
      <w:pPr>
        <w:spacing w:after="140" w:before="220"/>
      </w:pPr>
      <w:r>
        <w:rPr>
          <w:rFonts w:ascii="Georgia" w:cs="Georgia" w:eastAsia="Georgia" w:hAnsi="Georgia"/>
          <w:i/>
          <w:iCs/>
          <w:color w:val="6A6353"/>
          <w:sz w:val="26"/>
          <w:szCs w:val="26"/>
        </w:rPr>
        <w:t xml:space="preserve">From five metros to a real regional footprint.</w:t>
      </w:r>
    </w:p>
    <w:p>
      <w:pPr>
        <w:spacing w:after="700"/>
      </w:pPr>
      <w:r>
        <w:rPr>
          <w:rFonts w:ascii="Calibri" w:cs="Calibri" w:eastAsia="Calibri" w:hAnsi="Calibri"/>
          <w:color w:val="6A6353"/>
          <w:sz w:val="19"/>
          <w:szCs w:val="19"/>
        </w:rPr>
        <w:t xml:space="preserve">NCR completion · Gujarat · Rajasthan · Hyderabad brought to parity · A structured-data correction · The Google Business Profile.</w:t>
      </w:r>
    </w:p>
    <w:p>
      <w:pPr>
        <w:spacing w:after="40"/>
      </w:pPr>
      <w:r>
        <w:rPr>
          <w:rFonts w:ascii="Calibri" w:cs="Calibri" w:eastAsia="Calibri" w:hAnsi="Calibri"/>
          <w:caps/>
          <w:color w:val="96762A"/>
          <w:spacing w:val="40"/>
          <w:sz w:val="16"/>
          <w:szCs w:val="16"/>
        </w:rPr>
        <w:t xml:space="preserve">DATE</w:t>
      </w:r>
    </w:p>
    <w:p>
      <w:pPr>
        <w:spacing w:after="220"/>
      </w:pPr>
      <w:r>
        <w:rPr>
          <w:rFonts w:ascii="Calibri" w:cs="Calibri" w:eastAsia="Calibri" w:hAnsi="Calibri"/>
          <w:color w:val="1A1814"/>
          <w:sz w:val="21"/>
          <w:szCs w:val="21"/>
        </w:rPr>
        <w:t xml:space="preserve">2026-08-21</w:t>
      </w:r>
    </w:p>
    <w:p>
      <w:pPr>
        <w:spacing w:after="40"/>
      </w:pPr>
      <w:r>
        <w:rPr>
          <w:rFonts w:ascii="Calibri" w:cs="Calibri" w:eastAsia="Calibri" w:hAnsi="Calibri"/>
          <w:caps/>
          <w:color w:val="96762A"/>
          <w:spacing w:val="40"/>
          <w:sz w:val="16"/>
          <w:szCs w:val="16"/>
        </w:rPr>
        <w:t xml:space="preserve">PREPARED BY</w:t>
      </w:r>
    </w:p>
    <w:p>
      <w:pPr>
        <w:spacing w:after="700"/>
      </w:pPr>
      <w:r>
        <w:rPr>
          <w:rFonts w:ascii="Calibri" w:cs="Calibri" w:eastAsia="Calibri" w:hAnsi="Calibri"/>
          <w:color w:val="1A1814"/>
          <w:sz w:val="21"/>
          <w:szCs w:val="21"/>
        </w:rPr>
        <w:t xml:space="preserve">SEO Architecture Team</w:t>
      </w:r>
    </w:p>
    <w:p>
      <w:pPr>
        <w:pBdr>
          <w:top w:val="single" w:color="DED6C5" w:sz="6" w:space="10"/>
        </w:pBdr>
        <w:spacing w:before="200"/>
      </w:pPr>
      <w:r>
        <w:rPr>
          <w:rFonts w:ascii="Calibri" w:cs="Calibri" w:eastAsia="Calibri" w:hAnsi="Calibri"/>
          <w:b/>
          <w:bCs/>
          <w:color w:val="A2372B"/>
          <w:spacing w:val="40"/>
          <w:sz w:val="16"/>
          <w:szCs w:val="16"/>
        </w:rPr>
        <w:t xml:space="preserve">CONFIDENTIAL</w:t>
      </w:r>
    </w:p>
    <w:p>
      <w:r>
        <w:br w:type="page"/>
      </w:r>
    </w:p>
    <w:p>
      <w:pPr>
        <w:spacing w:after="140" w:line="276"/>
      </w:pPr>
      <w:r>
        <w:rPr>
          <w:rFonts w:ascii="Calibri" w:cs="Calibri" w:eastAsia="Calibri" w:hAnsi="Calibri"/>
          <w:b/>
          <w:bCs/>
          <w:color w:val="1A1814"/>
          <w:sz w:val="21"/>
          <w:szCs w:val="21"/>
        </w:rPr>
        <w:t xml:space="preserve">This cycle in one line:</w:t>
      </w:r>
      <w:r>
        <w:rPr>
          <w:rFonts w:ascii="Calibri" w:cs="Calibri" w:eastAsia="Calibri" w:hAnsi="Calibri"/>
          <w:color w:val="1A1814"/>
          <w:sz w:val="21"/>
          <w:szCs w:val="21"/>
        </w:rPr>
        <w:t xml:space="preserve"> We expanded your local footprint by 70% — nine new cities across NCR, Gujarat and Rajasthan, with Hyderabad taken from one deep page to full parity with Delhi — and corrected a claim in the site's structured data that was working against the Google Business Profile.</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 — What Was Delivered</w:t>
      </w:r>
    </w:p>
    <w:p>
      <w:pPr>
        <w:spacing w:after="140" w:line="276"/>
      </w:pPr>
      <w:r>
        <w:rPr>
          <w:rFonts w:ascii="Calibri" w:cs="Calibri" w:eastAsia="Calibri" w:hAnsi="Calibri"/>
          <w:b/>
          <w:bCs/>
          <w:color w:val="1A1814"/>
          <w:sz w:val="21"/>
          <w:szCs w:val="21"/>
        </w:rPr>
        <w:t xml:space="preserve">63 new pages</w:t>
      </w:r>
      <w:r>
        <w:rPr>
          <w:rFonts w:ascii="Calibri" w:cs="Calibri" w:eastAsia="Calibri" w:hAnsi="Calibri"/>
          <w:color w:val="1A1814"/>
          <w:sz w:val="21"/>
          <w:szCs w:val="21"/>
        </w:rPr>
        <w:t xml:space="preserve">, taking the site from 13 cities to 22 across eight states.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Before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After</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New</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hubs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13</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22</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 practice area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110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+45</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 specific matter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30</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39</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+9</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Total city pages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108</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171</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+63</w:t>
            </w:r>
          </w:p>
        </w:tc>
      </w:tr>
    </w:tbl>
    <w:p>
      <w:pPr>
        <w:spacing w:after="200"/>
      </w:pPr>
      <w:r>
        <w:t xml:space="preserve"/>
      </w:r>
    </w:p>
    <w:p>
      <w:pPr>
        <w:pStyle w:val="Heading3"/>
        <w:spacing w:after="120" w:before="260"/>
      </w:pPr>
      <w:r>
        <w:rPr>
          <w:rFonts w:ascii="Calibri" w:cs="Calibri" w:eastAsia="Calibri" w:hAnsi="Calibri"/>
          <w:b/>
          <w:bCs/>
          <w:color w:val="1A1814"/>
          <w:sz w:val="24"/>
          <w:szCs w:val="24"/>
        </w:rPr>
        <w:t xml:space="preserve">The four workstreams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Workstream</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What was delivered</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Hyderabad depth</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 new matter pages — anticipatory bail, cheque bounce, RERA, company registration, NCLT/insolvency. </w:t>
            </w:r>
            <w:r>
              <w:rPr>
                <w:rFonts w:ascii="Calibri" w:cs="Calibri" w:eastAsia="Calibri" w:hAnsi="Calibri"/>
                <w:b/>
                <w:bCs/>
                <w:color w:val="6A6353"/>
                <w:sz w:val="17"/>
                <w:szCs w:val="17"/>
              </w:rPr>
              <w:t xml:space="preserve">Hyderabad now has 12 pages, exact parity with Delhi.</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NCR completion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Ghaziabad brought to full parity (+4 matter pages), and Greater Noida added as a new city with 5 practice pages.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Surat, Vadodara, Rajkot and Gandhinagar — 4 city hubs plus 20 practice pages.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Jodhpur, Udaipur, Kota and Ajmer — 4 city hubs plus 20 practice pages.</w:t>
            </w:r>
          </w:p>
        </w:tc>
      </w:tr>
    </w:tbl>
    <w:p>
      <w:pPr>
        <w:spacing w:after="200"/>
      </w:pPr>
      <w:r>
        <w:t xml:space="preserve"/>
      </w:r>
    </w:p>
    <w:p>
      <w:pPr>
        <w:pStyle w:val="Heading3"/>
        <w:spacing w:after="120" w:before="260"/>
      </w:pPr>
      <w:r>
        <w:rPr>
          <w:rFonts w:ascii="Calibri" w:cs="Calibri" w:eastAsia="Calibri" w:hAnsi="Calibri"/>
          <w:b/>
          <w:bCs/>
          <w:color w:val="1A1814"/>
          <w:sz w:val="24"/>
          <w:szCs w:val="24"/>
        </w:rPr>
        <w:t xml:space="preserve">Why Hyderabad came first</w:t>
      </w:r>
    </w:p>
    <w:p>
      <w:pPr>
        <w:spacing w:after="140" w:line="276"/>
      </w:pPr>
      <w:r>
        <w:rPr>
          <w:rFonts w:ascii="Calibri" w:cs="Calibri" w:eastAsia="Calibri" w:hAnsi="Calibri"/>
          <w:color w:val="1A1814"/>
          <w:sz w:val="21"/>
          <w:szCs w:val="21"/>
        </w:rPr>
        <w:t xml:space="preserve">Hyderabad is the strongest-performing city in your Search Console data, and it was carrying </w:t>
      </w:r>
      <w:r>
        <w:rPr>
          <w:rFonts w:ascii="Calibri" w:cs="Calibri" w:eastAsia="Calibri" w:hAnsi="Calibri"/>
          <w:b/>
          <w:bCs/>
          <w:color w:val="1A1814"/>
          <w:sz w:val="21"/>
          <w:szCs w:val="21"/>
        </w:rPr>
        <w:t xml:space="preserve">one</w:t>
      </w:r>
      <w:r>
        <w:rPr>
          <w:rFonts w:ascii="Calibri" w:cs="Calibri" w:eastAsia="Calibri" w:hAnsi="Calibri"/>
          <w:color w:val="1A1814"/>
          <w:sz w:val="21"/>
          <w:szCs w:val="21"/>
        </w:rPr>
        <w:t xml:space="preserve"> deep matter page against Delhi's six. The city with proven demand had the thinnest coverage.</w:t>
      </w:r>
    </w:p>
    <w:p>
      <w:pPr>
        <w:spacing w:after="140" w:line="276"/>
      </w:pPr>
      <w:r>
        <w:rPr>
          <w:rFonts w:ascii="Calibri" w:cs="Calibri" w:eastAsia="Calibri" w:hAnsi="Calibri"/>
          <w:color w:val="1A1814"/>
          <w:sz w:val="21"/>
          <w:szCs w:val="21"/>
        </w:rPr>
        <w:t xml:space="preserve">A new page in Hyderabad inherits the authority the existing Hyderabad pages have already built; a new page in a city we have never covered starts from nothing. Same effort, considerably faster payback — so Hyderabad was completed before we opened the new regions.</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II — The City Portfolio</w:t>
      </w:r>
    </w:p>
    <w:p>
      <w:pPr>
        <w:spacing w:after="140" w:line="276"/>
      </w:pPr>
      <w:r>
        <w:rPr>
          <w:rFonts w:ascii="Calibri" w:cs="Calibri" w:eastAsia="Calibri" w:hAnsi="Calibri"/>
          <w:color w:val="1A1814"/>
          <w:sz w:val="21"/>
          <w:szCs w:val="21"/>
        </w:rPr>
        <w:t xml:space="preserve">Every one of the 22 cities now has complete coverage across the five core practice areas. Depth on specific high-value matters is where the remaining gap sits.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City</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Region</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Practice areas</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Specific matters</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Pages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Delhi</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Gurgaon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Faridabad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Ghaziabad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Greater 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NCR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Hyderabad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South</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12</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Ahmedabad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7</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Surat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Vadodara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Rajkot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Gandhinagar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Jaipur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7</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Jodhpur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Udaipur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Kota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Mumbai · Bangalore · Chennai · Pune · Kolkata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Metro</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5/5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0–1/6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6–7</w:t>
            </w:r>
          </w:p>
        </w:tc>
      </w:tr>
    </w:tbl>
    <w:p>
      <w:pPr>
        <w:spacing w:after="200"/>
      </w:pPr>
      <w:r>
        <w:t xml:space="preserve"/>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III — Why These Pages Can Compete</w:t>
      </w:r>
    </w:p>
    <w:p>
      <w:pPr>
        <w:spacing w:after="140" w:line="276"/>
      </w:pPr>
      <w:r>
        <w:rPr>
          <w:rFonts w:ascii="Calibri" w:cs="Calibri" w:eastAsia="Calibri" w:hAnsi="Calibri"/>
          <w:color w:val="1A1814"/>
          <w:sz w:val="21"/>
          <w:szCs w:val="21"/>
        </w:rPr>
        <w:t xml:space="preserve">Google penalises templated local pages — the kind where a competitor swaps the city name into the same paragraph fifty times. Those pages do not rank, and increasingly they attract manual action.</w:t>
      </w:r>
    </w:p>
    <w:p>
      <w:pPr>
        <w:spacing w:after="140" w:line="276"/>
      </w:pPr>
      <w:r>
        <w:rPr>
          <w:rFonts w:ascii="Calibri" w:cs="Calibri" w:eastAsia="Calibri" w:hAnsi="Calibri"/>
          <w:color w:val="1A1814"/>
          <w:sz w:val="21"/>
          <w:szCs w:val="21"/>
        </w:rPr>
        <w:t xml:space="preserve">Our defence is that </w:t>
      </w:r>
      <w:r>
        <w:rPr>
          <w:rFonts w:ascii="Calibri" w:cs="Calibri" w:eastAsia="Calibri" w:hAnsi="Calibri"/>
          <w:b/>
          <w:bCs/>
          <w:color w:val="1A1814"/>
          <w:sz w:val="21"/>
          <w:szCs w:val="21"/>
        </w:rPr>
        <w:t xml:space="preserve">each city has genuinely different law applying to it</w:t>
      </w:r>
      <w:r>
        <w:rPr>
          <w:rFonts w:ascii="Calibri" w:cs="Calibri" w:eastAsia="Calibri" w:hAnsi="Calibri"/>
          <w:color w:val="1A1814"/>
          <w:sz w:val="21"/>
          <w:szCs w:val="21"/>
        </w:rPr>
        <w:t xml:space="preserve">, and every page says so explicitly. This is the substantive work of the cycle, and it is what a competitor cannot cheaply copy.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City</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The distinguishing legal fact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Jodhpur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The </w:t>
            </w:r>
            <w:r>
              <w:rPr>
                <w:rFonts w:ascii="Calibri" w:cs="Calibri" w:eastAsia="Calibri" w:hAnsi="Calibri"/>
                <w:b/>
                <w:bCs/>
                <w:color w:val="6A6353"/>
                <w:sz w:val="17"/>
                <w:szCs w:val="17"/>
              </w:rPr>
              <w:t xml:space="preserve">principal seat</w:t>
            </w:r>
            <w:r>
              <w:rPr>
                <w:rFonts w:ascii="Calibri" w:cs="Calibri" w:eastAsia="Calibri" w:hAnsi="Calibri"/>
                <w:b w:val="false"/>
                <w:bCs w:val="false"/>
                <w:color w:val="6A6353"/>
                <w:sz w:val="17"/>
                <w:szCs w:val="17"/>
              </w:rPr>
              <w:t xml:space="preserve"> of the Rajasthan High Court — Jaipur is only a bench. Writs from the western districts are filed here, and the pages name which districts and why.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Kota &amp; 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Fall under the </w:t>
            </w:r>
            <w:r>
              <w:rPr>
                <w:rFonts w:ascii="Calibri" w:cs="Calibri" w:eastAsia="Calibri" w:hAnsi="Calibri"/>
                <w:b/>
                <w:bCs/>
                <w:color w:val="6A6353"/>
                <w:sz w:val="17"/>
                <w:szCs w:val="17"/>
              </w:rPr>
              <w:t xml:space="preserve">Jaipur Bench</w:t>
            </w:r>
            <w:r>
              <w:rPr>
                <w:rFonts w:ascii="Calibri" w:cs="Calibri" w:eastAsia="Calibri" w:hAnsi="Calibri"/>
                <w:b w:val="false"/>
                <w:bCs w:val="false"/>
                <w:color w:val="6A6353"/>
                <w:sz w:val="17"/>
                <w:szCs w:val="17"/>
              </w:rPr>
              <w:t xml:space="preserve">, not the Jodhpur principal seat. Stated explicitly, because filing at the wrong seat costs a litigant months.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Ajmer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Seat of the </w:t>
            </w:r>
            <w:r>
              <w:rPr>
                <w:rFonts w:ascii="Calibri" w:cs="Calibri" w:eastAsia="Calibri" w:hAnsi="Calibri"/>
                <w:b/>
                <w:bCs/>
                <w:color w:val="6A6353"/>
                <w:sz w:val="17"/>
                <w:szCs w:val="17"/>
              </w:rPr>
              <w:t xml:space="preserve">Board of Revenue</w:t>
            </w:r>
            <w:r>
              <w:rPr>
                <w:rFonts w:ascii="Calibri" w:cs="Calibri" w:eastAsia="Calibri" w:hAnsi="Calibri"/>
                <w:b w:val="false"/>
                <w:bCs w:val="false"/>
                <w:color w:val="6A6353"/>
                <w:sz w:val="17"/>
                <w:szCs w:val="17"/>
              </w:rPr>
              <w:t xml:space="preserve"> — Rajasthan's apex revenue court, hearing appeals from every district in the state. Also the state public service commission and education boards.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Udaipur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Much of the division is a </w:t>
            </w:r>
            <w:r>
              <w:rPr>
                <w:rFonts w:ascii="Calibri" w:cs="Calibri" w:eastAsia="Calibri" w:hAnsi="Calibri"/>
                <w:b/>
                <w:bCs/>
                <w:color w:val="6A6353"/>
                <w:sz w:val="17"/>
                <w:szCs w:val="17"/>
              </w:rPr>
              <w:t xml:space="preserve">Fifth Schedule Scheduled Area</w:t>
            </w:r>
            <w:r>
              <w:rPr>
                <w:rFonts w:ascii="Calibri" w:cs="Calibri" w:eastAsia="Calibri" w:hAnsi="Calibri"/>
                <w:b w:val="false"/>
                <w:bCs w:val="false"/>
                <w:color w:val="6A6353"/>
                <w:sz w:val="17"/>
                <w:szCs w:val="17"/>
              </w:rPr>
              <w:t xml:space="preserve">, where the law restricts transfer of tribal land and a completed sale can be undone years later.</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Kota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India's coaching capital — </w:t>
            </w:r>
            <w:r>
              <w:rPr>
                <w:rFonts w:ascii="Calibri" w:cs="Calibri" w:eastAsia="Calibri" w:hAnsi="Calibri"/>
                <w:b/>
                <w:bCs/>
                <w:color w:val="6A6353"/>
                <w:sz w:val="17"/>
                <w:szCs w:val="17"/>
              </w:rPr>
              <w:t xml:space="preserve">fee-refund claims</w:t>
            </w:r>
            <w:r>
              <w:rPr>
                <w:rFonts w:ascii="Calibri" w:cs="Calibri" w:eastAsia="Calibri" w:hAnsi="Calibri"/>
                <w:b w:val="false"/>
                <w:bCs w:val="false"/>
                <w:color w:val="6A6353"/>
                <w:sz w:val="17"/>
                <w:szCs w:val="17"/>
              </w:rPr>
              <w:t xml:space="preserve">, hostel tenancy, institutional liability, and guardianship for minors whose parents live in another state. No other Indian city generates this.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Surat &amp; Rajkot</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Gujarat is a prohibition state</w:t>
            </w:r>
            <w:r>
              <w:rPr>
                <w:rFonts w:ascii="Calibri" w:cs="Calibri" w:eastAsia="Calibri" w:hAnsi="Calibri"/>
                <w:b w:val="false"/>
                <w:bCs w:val="false"/>
                <w:color w:val="6A6353"/>
                <w:sz w:val="17"/>
                <w:szCs w:val="17"/>
              </w:rPr>
              <w:t xml:space="preserve">, with serious consequences after the 2017 amendments. Rajkot adds </w:t>
            </w:r>
            <w:r>
              <w:rPr>
                <w:rFonts w:ascii="Calibri" w:cs="Calibri" w:eastAsia="Calibri" w:hAnsi="Calibri"/>
                <w:b/>
                <w:bCs/>
                <w:color w:val="6A6353"/>
                <w:sz w:val="17"/>
                <w:szCs w:val="17"/>
              </w:rPr>
              <w:t xml:space="preserve">Saurashtra's separate land-tenure laws</w:t>
            </w:r>
            <w:r>
              <w:rPr>
                <w:rFonts w:ascii="Calibri" w:cs="Calibri" w:eastAsia="Calibri" w:hAnsi="Calibri"/>
                <w:b w:val="false"/>
                <w:bCs w:val="false"/>
                <w:color w:val="6A6353"/>
                <w:sz w:val="17"/>
                <w:szCs w:val="17"/>
              </w:rPr>
              <w:t xml:space="preserve">, which do not apply in the rest of Gujarat.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Vadodara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 large organised-sector industrial workforce, so </w:t>
            </w:r>
            <w:r>
              <w:rPr>
                <w:rFonts w:ascii="Calibri" w:cs="Calibri" w:eastAsia="Calibri" w:hAnsi="Calibri"/>
                <w:b/>
                <w:bCs/>
                <w:color w:val="6A6353"/>
                <w:sz w:val="17"/>
                <w:szCs w:val="17"/>
              </w:rPr>
              <w:t xml:space="preserve">workplace-safety and pollution prosecutions</w:t>
            </w:r>
            <w:r>
              <w:rPr>
                <w:rFonts w:ascii="Calibri" w:cs="Calibri" w:eastAsia="Calibri" w:hAnsi="Calibri"/>
                <w:b w:val="false"/>
                <w:bCs w:val="false"/>
                <w:color w:val="6A6353"/>
                <w:sz w:val="17"/>
                <w:szCs w:val="17"/>
              </w:rPr>
              <w:t xml:space="preserve"> that name senior plant staff personally, alongside standing orders and contract-labour work.</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Gandhinagar</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State capital plus </w:t>
            </w:r>
            <w:r>
              <w:rPr>
                <w:rFonts w:ascii="Calibri" w:cs="Calibri" w:eastAsia="Calibri" w:hAnsi="Calibri"/>
                <w:b/>
                <w:bCs/>
                <w:color w:val="6A6353"/>
                <w:sz w:val="17"/>
                <w:szCs w:val="17"/>
              </w:rPr>
              <w:t xml:space="preserve">GIFT City</w:t>
            </w:r>
            <w:r>
              <w:rPr>
                <w:rFonts w:ascii="Calibri" w:cs="Calibri" w:eastAsia="Calibri" w:hAnsi="Calibri"/>
                <w:b w:val="false"/>
                <w:bCs w:val="false"/>
                <w:color w:val="6A6353"/>
                <w:sz w:val="17"/>
                <w:szCs w:val="17"/>
              </w:rPr>
              <w:t xml:space="preserve">, India's only operational international financial centre, with its own dedicated regulator — a category of work that exists nowhere else in India.</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Greater 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Differentiated from Noida by the </w:t>
            </w:r>
            <w:r>
              <w:rPr>
                <w:rFonts w:ascii="Calibri" w:cs="Calibri" w:eastAsia="Calibri" w:hAnsi="Calibri"/>
                <w:b/>
                <w:bCs/>
                <w:color w:val="6A6353"/>
                <w:sz w:val="17"/>
                <w:szCs w:val="17"/>
              </w:rPr>
              <w:t xml:space="preserve">allotting authority</w:t>
            </w:r>
            <w:r>
              <w:rPr>
                <w:rFonts w:ascii="Calibri" w:cs="Calibri" w:eastAsia="Calibri" w:hAnsi="Calibri"/>
                <w:b w:val="false"/>
                <w:bCs w:val="false"/>
                <w:color w:val="6A6353"/>
                <w:sz w:val="17"/>
                <w:szCs w:val="17"/>
              </w:rPr>
              <w:t xml:space="preserve"> rather than the courthouse — both are heard at the same complex, and the pages say so rather than implying otherwise.</w:t>
            </w:r>
          </w:p>
        </w:tc>
      </w:tr>
    </w:tbl>
    <w:p>
      <w:pPr>
        <w:spacing w:after="200"/>
      </w:pPr>
      <w:r>
        <w:t xml:space="preserve"/>
      </w:r>
    </w:p>
    <w:p>
      <w:pPr>
        <w:pStyle w:val="Heading3"/>
        <w:spacing w:after="120" w:before="260"/>
      </w:pPr>
      <w:r>
        <w:rPr>
          <w:rFonts w:ascii="Calibri" w:cs="Calibri" w:eastAsia="Calibri" w:hAnsi="Calibri"/>
          <w:b/>
          <w:bCs/>
          <w:color w:val="1A1814"/>
          <w:sz w:val="24"/>
          <w:szCs w:val="24"/>
        </w:rPr>
        <w:t xml:space="preserve">The detail competitors get wrong</w:t>
      </w:r>
    </w:p>
    <w:p>
      <w:pPr>
        <w:spacing w:after="140" w:line="276"/>
      </w:pPr>
      <w:r>
        <w:rPr>
          <w:rFonts w:ascii="Calibri" w:cs="Calibri" w:eastAsia="Calibri" w:hAnsi="Calibri"/>
          <w:color w:val="1A1814"/>
          <w:sz w:val="21"/>
          <w:szCs w:val="21"/>
        </w:rPr>
        <w:t xml:space="preserve">Court jurisdiction and tribunal jurisdiction do not follow the same map. Jodhpur's High Court work is heard at Jodhpur, but its company and insolvency work goes to </w:t>
      </w:r>
      <w:r>
        <w:rPr>
          <w:rFonts w:ascii="Calibri" w:cs="Calibri" w:eastAsia="Calibri" w:hAnsi="Calibri"/>
          <w:b/>
          <w:bCs/>
          <w:color w:val="1A1814"/>
          <w:sz w:val="21"/>
          <w:szCs w:val="21"/>
        </w:rPr>
        <w:t xml:space="preserve">Jaipur</w:t>
      </w:r>
      <w:r>
        <w:rPr>
          <w:rFonts w:ascii="Calibri" w:cs="Calibri" w:eastAsia="Calibri" w:hAnsi="Calibri"/>
          <w:color w:val="1A1814"/>
          <w:sz w:val="21"/>
          <w:szCs w:val="21"/>
        </w:rPr>
        <w:t xml:space="preserve">. Ghaziabad and Greater Noida businesses trade inside the NCR but file company matters at </w:t>
      </w:r>
      <w:r>
        <w:rPr>
          <w:rFonts w:ascii="Calibri" w:cs="Calibri" w:eastAsia="Calibri" w:hAnsi="Calibri"/>
          <w:b/>
          <w:bCs/>
          <w:color w:val="1A1814"/>
          <w:sz w:val="21"/>
          <w:szCs w:val="21"/>
        </w:rPr>
        <w:t xml:space="preserve">Allahabad</w:t>
      </w:r>
      <w:r>
        <w:rPr>
          <w:rFonts w:ascii="Calibri" w:cs="Calibri" w:eastAsia="Calibri" w:hAnsi="Calibri"/>
          <w:color w:val="1A1814"/>
          <w:sz w:val="21"/>
          <w:szCs w:val="21"/>
        </w:rPr>
        <w:t xml:space="preserve">, not Delhi.</w:t>
      </w:r>
    </w:p>
    <w:p>
      <w:pPr>
        <w:spacing w:after="140" w:line="276"/>
      </w:pPr>
      <w:r>
        <w:rPr>
          <w:rFonts w:ascii="Calibri" w:cs="Calibri" w:eastAsia="Calibri" w:hAnsi="Calibri"/>
          <w:color w:val="1A1814"/>
          <w:sz w:val="21"/>
          <w:szCs w:val="21"/>
        </w:rPr>
        <w:t xml:space="preserve">Getting these right is a small, checkable signal of genuine local competence — and it is exactly what a prospective client notices when comparing two firms' websites.</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IV — Technical Corrections</w:t>
      </w:r>
    </w:p>
    <w:p>
      <w:pPr>
        <w:pStyle w:val="Heading3"/>
        <w:spacing w:after="120" w:before="260"/>
      </w:pPr>
      <w:r>
        <w:rPr>
          <w:rFonts w:ascii="Calibri" w:cs="Calibri" w:eastAsia="Calibri" w:hAnsi="Calibri"/>
          <w:b/>
          <w:bCs/>
          <w:color w:val="1A1814"/>
          <w:sz w:val="24"/>
          <w:szCs w:val="24"/>
        </w:rPr>
        <w:t xml:space="preserve">A gap that was keeping pages out of Google's index</w:t>
      </w:r>
    </w:p>
    <w:p>
      <w:pPr>
        <w:spacing w:after="140" w:line="276"/>
      </w:pPr>
      <w:r>
        <w:rPr>
          <w:rFonts w:ascii="Calibri" w:cs="Calibri" w:eastAsia="Calibri" w:hAnsi="Calibri"/>
          <w:color w:val="1A1814"/>
          <w:sz w:val="21"/>
          <w:szCs w:val="21"/>
        </w:rPr>
        <w:t xml:space="preserve">The site's court pages — one of the largest groups of pages on the site — had </w:t>
      </w:r>
      <w:r>
        <w:rPr>
          <w:rFonts w:ascii="Calibri" w:cs="Calibri" w:eastAsia="Calibri" w:hAnsi="Calibri"/>
          <w:b/>
          <w:bCs/>
          <w:color w:val="1A1814"/>
          <w:sz w:val="21"/>
          <w:szCs w:val="21"/>
        </w:rPr>
        <w:t xml:space="preserve">no internal links pointing to them from anywhere</w:t>
      </w:r>
      <w:r>
        <w:rPr>
          <w:rFonts w:ascii="Calibri" w:cs="Calibri" w:eastAsia="Calibri" w:hAnsi="Calibri"/>
          <w:color w:val="1A1814"/>
          <w:sz w:val="21"/>
          <w:szCs w:val="21"/>
        </w:rPr>
        <w:t xml:space="preserve">, only the sitemap. Search engines treat a page that nothing links to as a page that does not matter, and this is the single most common reason pages sit in Google's </w:t>
      </w:r>
      <w:r>
        <w:rPr>
          <w:rFonts w:ascii="Calibri" w:cs="Calibri" w:eastAsia="Calibri" w:hAnsi="Calibri"/>
          <w:i/>
          <w:iCs/>
          <w:color w:val="1A1814"/>
          <w:sz w:val="21"/>
          <w:szCs w:val="21"/>
        </w:rPr>
        <w:t xml:space="preserve">"Discovered — currently not indexed"</w:t>
      </w:r>
      <w:r>
        <w:rPr>
          <w:rFonts w:ascii="Calibri" w:cs="Calibri" w:eastAsia="Calibri" w:hAnsi="Calibri"/>
          <w:color w:val="1A1814"/>
          <w:sz w:val="21"/>
          <w:szCs w:val="21"/>
        </w:rPr>
        <w:t xml:space="preserve"> bucket rather than appearing in results.</w:t>
      </w:r>
    </w:p>
    <w:p>
      <w:pPr>
        <w:spacing w:after="140" w:line="276"/>
      </w:pPr>
      <w:r>
        <w:rPr>
          <w:rFonts w:ascii="Calibri" w:cs="Calibri" w:eastAsia="Calibri" w:hAnsi="Calibri"/>
          <w:color w:val="1A1814"/>
          <w:sz w:val="21"/>
          <w:szCs w:val="21"/>
        </w:rPr>
        <w:t xml:space="preserve">Every city page now links to its state's court directory. This should improve indexation of that whole group over the coming weeks.</w:t>
      </w:r>
    </w:p>
    <w:p>
      <w:pPr>
        <w:pStyle w:val="Heading3"/>
        <w:spacing w:after="120" w:before="260"/>
      </w:pPr>
      <w:r>
        <w:rPr>
          <w:rFonts w:ascii="Calibri" w:cs="Calibri" w:eastAsia="Calibri" w:hAnsi="Calibri"/>
          <w:b/>
          <w:bCs/>
          <w:color w:val="1A1814"/>
          <w:sz w:val="24"/>
          <w:szCs w:val="24"/>
        </w:rPr>
        <w:t xml:space="preserve">Two pages competing for the same city</w:t>
      </w:r>
    </w:p>
    <w:p>
      <w:pPr>
        <w:spacing w:after="140" w:line="276"/>
      </w:pPr>
      <w:r>
        <w:rPr>
          <w:rFonts w:ascii="Calibri" w:cs="Calibri" w:eastAsia="Calibri" w:hAnsi="Calibri"/>
          <w:color w:val="1A1814"/>
          <w:sz w:val="21"/>
          <w:szCs w:val="21"/>
        </w:rPr>
        <w:t xml:space="preserve">Ahmedabad's page listed Gandhinagar as one of its own localities and claimed its courthouse. That was reasonable while Gandhinagar had no page of its own. Now that it does, the two would have competed for the same searches and split the signal between them. Ahmedabad's page has been corrected.</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 — The Structured-Data Correction</w:t>
      </w:r>
    </w:p>
    <w:p>
      <w:pPr>
        <w:spacing w:after="140" w:line="276"/>
      </w:pPr>
      <w:r>
        <w:rPr>
          <w:rFonts w:ascii="Calibri" w:cs="Calibri" w:eastAsia="Calibri" w:hAnsi="Calibri"/>
          <w:b/>
          <w:bCs/>
          <w:color w:val="1A1814"/>
          <w:sz w:val="21"/>
          <w:szCs w:val="21"/>
        </w:rPr>
        <w:t xml:space="preserve">This is the most consequential change of the cycle, and it is worth understanding.</w:t>
      </w:r>
    </w:p>
    <w:p>
      <w:pPr>
        <w:spacing w:after="140" w:line="276"/>
      </w:pPr>
      <w:r>
        <w:rPr>
          <w:rFonts w:ascii="Calibri" w:cs="Calibri" w:eastAsia="Calibri" w:hAnsi="Calibri"/>
          <w:color w:val="1A1814"/>
          <w:sz w:val="21"/>
          <w:szCs w:val="21"/>
        </w:rPr>
        <w:t xml:space="preserve">Structured data is the machine-readable summary every page sends to Google. It is a public statement about your business, exactly like the visible text.</w:t>
      </w:r>
    </w:p>
    <w:p>
      <w:pPr>
        <w:spacing w:after="140" w:line="276"/>
      </w:pPr>
      <w:r>
        <w:rPr>
          <w:rFonts w:ascii="Calibri" w:cs="Calibri" w:eastAsia="Calibri" w:hAnsi="Calibri"/>
          <w:color w:val="1A1814"/>
          <w:sz w:val="21"/>
          <w:szCs w:val="21"/>
        </w:rPr>
        <w:t xml:space="preserve">Every city page was telling Google that NyaySevak </w:t>
      </w:r>
      <w:r>
        <w:rPr>
          <w:rFonts w:ascii="Calibri" w:cs="Calibri" w:eastAsia="Calibri" w:hAnsi="Calibri"/>
          <w:b/>
          <w:bCs/>
          <w:color w:val="1A1814"/>
          <w:sz w:val="21"/>
          <w:szCs w:val="21"/>
        </w:rPr>
        <w:t xml:space="preserve">has a physical office in that city</w:t>
      </w:r>
      <w:r>
        <w:rPr>
          <w:rFonts w:ascii="Calibri" w:cs="Calibri" w:eastAsia="Calibri" w:hAnsi="Calibri"/>
          <w:color w:val="1A1814"/>
          <w:sz w:val="21"/>
          <w:szCs w:val="21"/>
        </w:rPr>
        <w:t xml:space="preserve">, complete with map coordinates. Across 22 cities, the site was declaring 22 separate business premises — while your organisation details state a single base.</w:t>
      </w:r>
    </w:p>
    <w:p>
      <w:pPr>
        <w:spacing w:after="140" w:line="276"/>
      </w:pPr>
      <w:r>
        <w:rPr>
          <w:rFonts w:ascii="Calibri" w:cs="Calibri" w:eastAsia="Calibri" w:hAnsi="Calibri"/>
          <w:color w:val="1A1814"/>
          <w:sz w:val="21"/>
          <w:szCs w:val="21"/>
        </w:rPr>
        <w:t xml:space="preserve">Two independent problems, pointing the same way:</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It contradicted your compliance position.</w:t>
      </w:r>
      <w:r>
        <w:rPr>
          <w:rFonts w:ascii="Calibri" w:cs="Calibri" w:eastAsia="Calibri" w:hAnsi="Calibri"/>
          <w:color w:val="1A1814"/>
          <w:sz w:val="21"/>
          <w:szCs w:val="21"/>
        </w:rPr>
        <w:t xml:space="preserve"> You have a team across these cities but deliberately do not showcase them, offices, or fees, because of Bar Council advertising rules. The visible pages follow that discipline carefully. The structured data did not — and it is just as public.</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It worked against your Google Business Profile.</w:t>
      </w:r>
      <w:r>
        <w:rPr>
          <w:rFonts w:ascii="Calibri" w:cs="Calibri" w:eastAsia="Calibri" w:hAnsi="Calibri"/>
          <w:color w:val="1A1814"/>
          <w:sz w:val="21"/>
          <w:szCs w:val="21"/>
        </w:rPr>
        <w:t xml:space="preserve"> Google cross-checks what a website claims against the verified profile. One verified location against twenty-two asserted ones is a conflict, and a conflict </w:t>
      </w:r>
      <w:r>
        <w:rPr>
          <w:rFonts w:ascii="Calibri" w:cs="Calibri" w:eastAsia="Calibri" w:hAnsi="Calibri"/>
          <w:i/>
          <w:iCs/>
          <w:color w:val="1A1814"/>
          <w:sz w:val="21"/>
          <w:szCs w:val="21"/>
        </w:rPr>
        <w:t xml:space="preserve">weakens</w:t>
      </w:r>
      <w:r>
        <w:rPr>
          <w:rFonts w:ascii="Calibri" w:cs="Calibri" w:eastAsia="Calibri" w:hAnsi="Calibri"/>
          <w:color w:val="1A1814"/>
          <w:sz w:val="21"/>
          <w:szCs w:val="21"/>
        </w:rPr>
        <w:t xml:space="preserve"> the connection between your site and your profile rather than building it.</w:t>
      </w:r>
    </w:p>
    <w:p>
      <w:pPr>
        <w:spacing w:after="140" w:line="276"/>
      </w:pPr>
      <w:r>
        <w:rPr>
          <w:rFonts w:ascii="Calibri" w:cs="Calibri" w:eastAsia="Calibri" w:hAnsi="Calibri"/>
          <w:b/>
          <w:bCs/>
          <w:color w:val="1A1814"/>
          <w:sz w:val="21"/>
          <w:szCs w:val="21"/>
        </w:rPr>
        <w:t xml:space="preserve">What it says now:</w:t>
      </w:r>
      <w:r>
        <w:rPr>
          <w:rFonts w:ascii="Calibri" w:cs="Calibri" w:eastAsia="Calibri" w:hAnsi="Calibri"/>
          <w:color w:val="1A1814"/>
          <w:sz w:val="21"/>
          <w:szCs w:val="21"/>
        </w:rPr>
        <w:t xml:space="preserve"> a service covering each city, provided by one business, with the area served named explicitly. Nothing about local relevance is lost — the city coverage was always carried by that "area served" statement, and local map rankings come from the Google Business Profile, never from this markup. What has gone is a claim we could not stand behind.</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 — The Google Business Profile</w:t>
      </w:r>
    </w:p>
    <w:p>
      <w:pPr>
        <w:spacing w:after="140" w:line="276"/>
      </w:pPr>
      <w:r>
        <w:rPr>
          <w:rFonts w:ascii="Calibri" w:cs="Calibri" w:eastAsia="Calibri" w:hAnsi="Calibri"/>
          <w:color w:val="1A1814"/>
          <w:sz w:val="21"/>
          <w:szCs w:val="21"/>
        </w:rPr>
        <w:t xml:space="preserve">Every report since Week 18 has identified the Google Business Profile as the single highest-leverage action available to you. It creates a verified real-world entity that separates you from the similarly named competitor you compete with on brand searches, unlocks Maps visibility, and enables genuine reviews — the trust signal your competitors have and you do not.</w:t>
      </w:r>
    </w:p>
    <w:p>
      <w:pPr>
        <w:spacing w:after="140" w:line="276"/>
      </w:pPr>
      <w:r>
        <w:rPr>
          <w:rFonts w:ascii="Calibri" w:cs="Calibri" w:eastAsia="Calibri" w:hAnsi="Calibri"/>
          <w:b/>
          <w:bCs/>
          <w:color w:val="1A1814"/>
          <w:sz w:val="21"/>
          <w:szCs w:val="21"/>
        </w:rPr>
        <w:t xml:space="preserve">It is currently suspended, and this outranks everything else in this report.</w:t>
      </w:r>
    </w:p>
    <w:p>
      <w:pPr>
        <w:spacing w:after="140" w:line="276"/>
      </w:pPr>
      <w:r>
        <w:rPr>
          <w:rFonts w:ascii="Calibri" w:cs="Calibri" w:eastAsia="Calibri" w:hAnsi="Calibri"/>
          <w:color w:val="1A1814"/>
          <w:sz w:val="21"/>
          <w:szCs w:val="21"/>
        </w:rPr>
        <w:t xml:space="preserve">To diagnose it we need two things only you can supply: </w:t>
      </w:r>
      <w:r>
        <w:rPr>
          <w:rFonts w:ascii="Calibri" w:cs="Calibri" w:eastAsia="Calibri" w:hAnsi="Calibri"/>
          <w:b/>
          <w:bCs/>
          <w:color w:val="1A1814"/>
          <w:sz w:val="21"/>
          <w:szCs w:val="21"/>
        </w:rPr>
        <w:t xml:space="preserve">the suspension email</w:t>
      </w:r>
      <w:r>
        <w:rPr>
          <w:rFonts w:ascii="Calibri" w:cs="Calibri" w:eastAsia="Calibri" w:hAnsi="Calibri"/>
          <w:color w:val="1A1814"/>
          <w:sz w:val="21"/>
          <w:szCs w:val="21"/>
        </w:rPr>
        <w:t xml:space="preserve"> (a soft suspension leaves the listing visible but removes your access; a hard suspension removes it from Maps and Search entirely — the recovery routes differ), and </w:t>
      </w:r>
      <w:r>
        <w:rPr>
          <w:rFonts w:ascii="Calibri" w:cs="Calibri" w:eastAsia="Calibri" w:hAnsi="Calibri"/>
          <w:b/>
          <w:bCs/>
          <w:color w:val="1A1814"/>
          <w:sz w:val="21"/>
          <w:szCs w:val="21"/>
        </w:rPr>
        <w:t xml:space="preserve">the profile's current business name, address, and primary category.</w:t>
      </w:r>
    </w:p>
    <w:p>
      <w:pPr>
        <w:pStyle w:val="Heading3"/>
        <w:spacing w:after="120" w:before="260"/>
      </w:pPr>
      <w:r>
        <w:rPr>
          <w:rFonts w:ascii="Calibri" w:cs="Calibri" w:eastAsia="Calibri" w:hAnsi="Calibri"/>
          <w:b/>
          <w:bCs/>
          <w:color w:val="1A1814"/>
          <w:sz w:val="24"/>
          <w:szCs w:val="24"/>
        </w:rPr>
        <w:t xml:space="preserve">Most likely causes, in order</w:t>
      </w:r>
    </w:p>
    <w:p>
      <w:pPr>
        <w:spacing w:after="100" w:line="276"/>
        <w:ind w:left="420" w:hanging="240"/>
      </w:pPr>
      <w:r>
        <w:rPr>
          <w:rFonts w:ascii="Calibri" w:cs="Calibri" w:eastAsia="Calibri" w:hAnsi="Calibri"/>
          <w:b/>
          <w:bCs/>
          <w:color w:val="96762A"/>
          <w:sz w:val="21"/>
          <w:szCs w:val="21"/>
        </w:rPr>
        <w:t xml:space="preserve">1.  </w:t>
      </w:r>
      <w:r>
        <w:rPr>
          <w:rFonts w:ascii="Calibri" w:cs="Calibri" w:eastAsia="Calibri" w:hAnsi="Calibri"/>
          <w:b/>
          <w:bCs/>
          <w:color w:val="1A1814"/>
          <w:sz w:val="21"/>
          <w:szCs w:val="21"/>
        </w:rPr>
        <w:t xml:space="preserve">The address.</w:t>
      </w:r>
      <w:r>
        <w:rPr>
          <w:rFonts w:ascii="Calibri" w:cs="Calibri" w:eastAsia="Calibri" w:hAnsi="Calibri"/>
          <w:color w:val="1A1814"/>
          <w:sz w:val="21"/>
          <w:szCs w:val="21"/>
        </w:rPr>
        <w:t xml:space="preserve"> Google requires a business that serves customers at their location to </w:t>
      </w:r>
      <w:r>
        <w:rPr>
          <w:rFonts w:ascii="Calibri" w:cs="Calibri" w:eastAsia="Calibri" w:hAnsi="Calibri"/>
          <w:i/>
          <w:iCs/>
          <w:color w:val="1A1814"/>
          <w:sz w:val="21"/>
          <w:szCs w:val="21"/>
        </w:rPr>
        <w:t xml:space="preserve">hide</w:t>
      </w:r>
      <w:r>
        <w:rPr>
          <w:rFonts w:ascii="Calibri" w:cs="Calibri" w:eastAsia="Calibri" w:hAnsi="Calibri"/>
          <w:color w:val="1A1814"/>
          <w:sz w:val="21"/>
          <w:szCs w:val="21"/>
        </w:rPr>
        <w:t xml:space="preserve"> its address, and any address it does display must be a real place staffed during the hours you publish. A virtual office, co-working desk, registered-agent address, or a visible home address is the most common suspension trigger for legal businesses of this shape.</w:t>
      </w:r>
    </w:p>
    <w:p>
      <w:pPr>
        <w:spacing w:after="100" w:line="276"/>
        <w:ind w:left="420" w:hanging="240"/>
      </w:pPr>
      <w:r>
        <w:rPr>
          <w:rFonts w:ascii="Calibri" w:cs="Calibri" w:eastAsia="Calibri" w:hAnsi="Calibri"/>
          <w:b/>
          <w:bCs/>
          <w:color w:val="96762A"/>
          <w:sz w:val="21"/>
          <w:szCs w:val="21"/>
        </w:rPr>
        <w:t xml:space="preserve">2.  </w:t>
      </w:r>
      <w:r>
        <w:rPr>
          <w:rFonts w:ascii="Calibri" w:cs="Calibri" w:eastAsia="Calibri" w:hAnsi="Calibri"/>
          <w:b/>
          <w:bCs/>
          <w:color w:val="1A1814"/>
          <w:sz w:val="21"/>
          <w:szCs w:val="21"/>
        </w:rPr>
        <w:t xml:space="preserve">Keywords in the business name.</w:t>
      </w:r>
      <w:r>
        <w:rPr>
          <w:rFonts w:ascii="Calibri" w:cs="Calibri" w:eastAsia="Calibri" w:hAnsi="Calibri"/>
          <w:color w:val="1A1814"/>
          <w:sz w:val="21"/>
          <w:szCs w:val="21"/>
        </w:rPr>
        <w:t xml:space="preserve"> Anything beyond plain "NyaySevak" is the second most common trigger.</w:t>
      </w:r>
    </w:p>
    <w:p>
      <w:pPr>
        <w:spacing w:after="100" w:line="276"/>
        <w:ind w:left="420" w:hanging="240"/>
      </w:pPr>
      <w:r>
        <w:rPr>
          <w:rFonts w:ascii="Calibri" w:cs="Calibri" w:eastAsia="Calibri" w:hAnsi="Calibri"/>
          <w:b/>
          <w:bCs/>
          <w:color w:val="96762A"/>
          <w:sz w:val="21"/>
          <w:szCs w:val="21"/>
        </w:rPr>
        <w:t xml:space="preserve">3.  </w:t>
      </w:r>
      <w:r>
        <w:rPr>
          <w:rFonts w:ascii="Calibri" w:cs="Calibri" w:eastAsia="Calibri" w:hAnsi="Calibri"/>
          <w:b/>
          <w:bCs/>
          <w:color w:val="1A1814"/>
          <w:sz w:val="21"/>
          <w:szCs w:val="21"/>
        </w:rPr>
        <w:t xml:space="preserve">A recent edit.</w:t>
      </w:r>
      <w:r>
        <w:rPr>
          <w:rFonts w:ascii="Calibri" w:cs="Calibri" w:eastAsia="Calibri" w:hAnsi="Calibri"/>
          <w:color w:val="1A1814"/>
          <w:sz w:val="21"/>
          <w:szCs w:val="21"/>
        </w:rPr>
        <w:t xml:space="preserve"> Changing the name, address, category, or website triggers an automated re-review — and that is usually the moment a borderline listing is suspended.</w:t>
      </w:r>
    </w:p>
    <w:p>
      <w:pPr>
        <w:spacing w:after="140" w:line="276"/>
      </w:pPr>
      <w:r>
        <w:rPr>
          <w:rFonts w:ascii="Calibri" w:cs="Calibri" w:eastAsia="Calibri" w:hAnsi="Calibri"/>
          <w:b/>
          <w:bCs/>
          <w:color w:val="1A1814"/>
          <w:sz w:val="21"/>
          <w:szCs w:val="21"/>
        </w:rPr>
        <w:t xml:space="preserve">Context worth knowing:</w:t>
      </w:r>
      <w:r>
        <w:rPr>
          <w:rFonts w:ascii="Calibri" w:cs="Calibri" w:eastAsia="Calibri" w:hAnsi="Calibri"/>
          <w:color w:val="1A1814"/>
          <w:sz w:val="21"/>
          <w:szCs w:val="21"/>
        </w:rPr>
        <w:t xml:space="preserve"> legal services is one of Google's high-scrutiny categories, alongside locksmiths and addiction treatment. Enforcement is more aggressive and the threshold lower than in ordinary industries.</w:t>
      </w:r>
    </w:p>
    <w:p>
      <w:pPr>
        <w:spacing w:after="140" w:line="276"/>
      </w:pPr>
      <w:r>
        <w:rPr>
          <w:rFonts w:ascii="Calibri" w:cs="Calibri" w:eastAsia="Calibri" w:hAnsi="Calibri"/>
          <w:b/>
          <w:bCs/>
          <w:color w:val="1A1814"/>
          <w:sz w:val="21"/>
          <w:szCs w:val="21"/>
        </w:rPr>
        <w:t xml:space="preserve">To appeal</w:t>
      </w:r>
      <w:r>
        <w:rPr>
          <w:rFonts w:ascii="Calibri" w:cs="Calibri" w:eastAsia="Calibri" w:hAnsi="Calibri"/>
          <w:color w:val="1A1814"/>
          <w:sz w:val="21"/>
          <w:szCs w:val="21"/>
        </w:rPr>
        <w:t xml:space="preserve">, you will need business registration (GST or incorporation certificate), a utility bill or lease for the address, and photographs of signage if you have a physical office.</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VII — What to Expect, and When</w:t>
      </w:r>
    </w:p>
    <w:p>
      <w:pPr>
        <w:spacing w:after="140" w:line="276"/>
      </w:pPr>
      <w:r>
        <w:rPr>
          <w:rFonts w:ascii="Calibri" w:cs="Calibri" w:eastAsia="Calibri" w:hAnsi="Calibri"/>
          <w:color w:val="1A1814"/>
          <w:sz w:val="21"/>
          <w:szCs w:val="21"/>
        </w:rPr>
        <w:t xml:space="preserve">Honest timelines matter more than optimistic 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Work</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Realistic expectation</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Hyderabad &amp; Ghaziabad matter pages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Movement in </w:t>
            </w:r>
            <w:r>
              <w:rPr>
                <w:rFonts w:ascii="Calibri" w:cs="Calibri" w:eastAsia="Calibri" w:hAnsi="Calibri"/>
                <w:b/>
                <w:bCs/>
                <w:color w:val="6A6353"/>
                <w:sz w:val="17"/>
                <w:szCs w:val="17"/>
              </w:rPr>
              <w:t xml:space="preserve">4–8 weeks</w:t>
            </w:r>
            <w:r>
              <w:rPr>
                <w:rFonts w:ascii="Calibri" w:cs="Calibri" w:eastAsia="Calibri" w:hAnsi="Calibri"/>
                <w:b w:val="false"/>
                <w:bCs w:val="false"/>
                <w:color w:val="6A6353"/>
                <w:sz w:val="17"/>
                <w:szCs w:val="17"/>
              </w:rPr>
              <w:t xml:space="preserve">. These inherit authority from established page clusters, so they move fastest.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Greater Noida</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6–12 weeks</w:t>
            </w:r>
            <w:r>
              <w:rPr>
                <w:rFonts w:ascii="Calibri" w:cs="Calibri" w:eastAsia="Calibri" w:hAnsi="Calibri"/>
                <w:b w:val="false"/>
                <w:bCs w:val="false"/>
                <w:color w:val="6A6353"/>
                <w:sz w:val="17"/>
                <w:szCs w:val="17"/>
              </w:rPr>
              <w:t xml:space="preserve">. A new city, but surrounded by strong regional authority.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Gujarat &amp; Rajasthan (8 cities)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Impressions in </w:t>
            </w:r>
            <w:r>
              <w:rPr>
                <w:rFonts w:ascii="Calibri" w:cs="Calibri" w:eastAsia="Calibri" w:hAnsi="Calibri"/>
                <w:b/>
                <w:bCs/>
                <w:color w:val="6A6353"/>
                <w:sz w:val="17"/>
                <w:szCs w:val="17"/>
              </w:rPr>
              <w:t xml:space="preserve">3–6 weeks</w:t>
            </w:r>
            <w:r>
              <w:rPr>
                <w:rFonts w:ascii="Calibri" w:cs="Calibri" w:eastAsia="Calibri" w:hAnsi="Calibri"/>
                <w:b w:val="false"/>
                <w:bCs w:val="false"/>
                <w:color w:val="6A6353"/>
                <w:sz w:val="17"/>
                <w:szCs w:val="17"/>
              </w:rPr>
              <w:t xml:space="preserve">; meaningful position movement over </w:t>
            </w:r>
            <w:r>
              <w:rPr>
                <w:rFonts w:ascii="Calibri" w:cs="Calibri" w:eastAsia="Calibri" w:hAnsi="Calibri"/>
                <w:b/>
                <w:bCs/>
                <w:color w:val="6A6353"/>
                <w:sz w:val="17"/>
                <w:szCs w:val="17"/>
              </w:rPr>
              <w:t xml:space="preserve">3–6 months</w:t>
            </w:r>
            <w:r>
              <w:rPr>
                <w:rFonts w:ascii="Calibri" w:cs="Calibri" w:eastAsia="Calibri" w:hAnsi="Calibri"/>
                <w:b w:val="false"/>
                <w:bCs w:val="false"/>
                <w:color w:val="6A6353"/>
                <w:sz w:val="17"/>
                <w:szCs w:val="17"/>
              </w:rPr>
              <w:t xml:space="preserve">. These are cold regions where the site has no history.</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Court-page indexation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3–6 weeks</w:t>
            </w:r>
            <w:r>
              <w:rPr>
                <w:rFonts w:ascii="Calibri" w:cs="Calibri" w:eastAsia="Calibri" w:hAnsi="Calibri"/>
                <w:b w:val="false"/>
                <w:bCs w:val="false"/>
                <w:color w:val="6A6353"/>
                <w:sz w:val="17"/>
                <w:szCs w:val="17"/>
              </w:rPr>
              <w:t xml:space="preserve"> following the internal-linking fix.</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Structured-data correction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Re-read within </w:t>
            </w:r>
            <w:r>
              <w:rPr>
                <w:rFonts w:ascii="Calibri" w:cs="Calibri" w:eastAsia="Calibri" w:hAnsi="Calibri"/>
                <w:b/>
                <w:bCs/>
                <w:color w:val="6A6353"/>
                <w:sz w:val="17"/>
                <w:szCs w:val="17"/>
              </w:rPr>
              <w:t xml:space="preserve">1–3 weeks</w:t>
            </w:r>
            <w:r>
              <w:rPr>
                <w:rFonts w:ascii="Calibri" w:cs="Calibri" w:eastAsia="Calibri" w:hAnsi="Calibri"/>
                <w:b w:val="false"/>
                <w:bCs w:val="false"/>
                <w:color w:val="6A6353"/>
                <w:sz w:val="17"/>
                <w:szCs w:val="17"/>
              </w:rPr>
              <w:t xml:space="preserve">.</w:t>
            </w:r>
          </w:p>
        </w:tc>
      </w:tr>
    </w:tbl>
    <w:p>
      <w:pPr>
        <w:spacing w:after="200"/>
      </w:pPr>
      <w:r>
        <w:t xml:space="preserve"/>
      </w:r>
    </w:p>
    <w:p>
      <w:pPr>
        <w:spacing w:after="140" w:line="276"/>
      </w:pPr>
      <w:r>
        <w:rPr>
          <w:rFonts w:ascii="Calibri" w:cs="Calibri" w:eastAsia="Calibri" w:hAnsi="Calibri"/>
          <w:color w:val="1A1814"/>
          <w:sz w:val="21"/>
          <w:szCs w:val="21"/>
        </w:rPr>
        <w:t xml:space="preserve">Expect impressions well before clicks. A page appearing in results at position 30 earns no traffic but is the necessary first step toward position 8.</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VIII — How We Will Measure It</w:t>
      </w:r>
    </w:p>
    <w:p>
      <w:pPr>
        <w:spacing w:after="140" w:line="276"/>
      </w:pPr>
      <w:r>
        <w:rPr>
          <w:rFonts w:ascii="Calibri" w:cs="Calibri" w:eastAsia="Calibri" w:hAnsi="Calibri"/>
          <w:color w:val="1A1814"/>
          <w:sz w:val="21"/>
          <w:szCs w:val="21"/>
        </w:rPr>
        <w:t xml:space="preserve">We re-pull Search Console every two weeks and track: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Measure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Now</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Six-week target</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City pages indexed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171 submitted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140+ indexed</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Hyderabad matter-page impressions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0 (new)</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rising</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Gujarat / Rajasthan impressions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negligible</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first impressions landing</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Court pages indexed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low</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rising after the linking fix</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Fee-intent search positions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avg. position 9.6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below position 7</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Google Business Profile</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suspended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reinstated and verified</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Referring domains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negligible</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15–25</w:t>
            </w:r>
          </w:p>
        </w:tc>
      </w:tr>
    </w:tbl>
    <w:p>
      <w:pPr>
        <w:spacing w:after="200"/>
      </w:pPr>
      <w:r>
        <w:t xml:space="preserve"/>
      </w:r>
    </w:p>
    <w:p>
      <w:pPr>
        <w:spacing w:after="140" w:line="276"/>
      </w:pPr>
      <w:r>
        <w:rPr>
          <w:rFonts w:ascii="Calibri" w:cs="Calibri" w:eastAsia="Calibri" w:hAnsi="Calibri"/>
          <w:b/>
          <w:bCs/>
          <w:color w:val="1A1814"/>
          <w:sz w:val="21"/>
          <w:szCs w:val="21"/>
        </w:rPr>
        <w:t xml:space="preserve">The loop:</w:t>
      </w:r>
      <w:r>
        <w:rPr>
          <w:rFonts w:ascii="Calibri" w:cs="Calibri" w:eastAsia="Calibri" w:hAnsi="Calibri"/>
          <w:color w:val="1A1814"/>
          <w:sz w:val="21"/>
          <w:szCs w:val="21"/>
        </w:rPr>
        <w:t xml:space="preserve"> whichever city or matter shows the worst ranking relative to its commercial intent receives the next block of work. The data chooses the next cycle, not intuition.</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IX — Honest Limits</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63 new pages will not rank quickly.</w:t>
      </w:r>
      <w:r>
        <w:rPr>
          <w:rFonts w:ascii="Calibri" w:cs="Calibri" w:eastAsia="Calibri" w:hAnsi="Calibri"/>
          <w:color w:val="1A1814"/>
          <w:sz w:val="21"/>
          <w:szCs w:val="21"/>
        </w:rPr>
        <w:t xml:space="preserve"> Gujarat and Rajasthan are regions where the site has no existing authority. This is a three-to-six-month investment, not a three-week one.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Nine cities still have no deep matter pages.</w:t>
      </w:r>
      <w:r>
        <w:rPr>
          <w:rFonts w:ascii="Calibri" w:cs="Calibri" w:eastAsia="Calibri" w:hAnsi="Calibri"/>
          <w:color w:val="1A1814"/>
          <w:sz w:val="21"/>
          <w:szCs w:val="21"/>
        </w:rPr>
        <w:t xml:space="preserve"> Greater Noida and all eight new Gujarat and Rajasthan cities have practice-area coverage only. Mumbai, Chennai, Pune and Kolkata also remain shallow despite being long-established metros. This is the largest remaining content gap.</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Google Business Profile is the binding constraint on results, and it is currently suspended.</w:t>
      </w:r>
      <w:r>
        <w:rPr>
          <w:rFonts w:ascii="Calibri" w:cs="Calibri" w:eastAsia="Calibri" w:hAnsi="Calibri"/>
          <w:color w:val="1A1814"/>
          <w:sz w:val="21"/>
          <w:szCs w:val="21"/>
        </w:rPr>
        <w:t xml:space="preserve"> No amount of on-page work substitutes for it.</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The legal detail is a considered synthesis, not legal advice.</w:t>
      </w:r>
      <w:r>
        <w:rPr>
          <w:rFonts w:ascii="Calibri" w:cs="Calibri" w:eastAsia="Calibri" w:hAnsi="Calibri"/>
          <w:color w:val="1A1814"/>
          <w:sz w:val="21"/>
          <w:szCs w:val="21"/>
        </w:rPr>
        <w:t xml:space="preserve"> The jurisdictional facts throughout — High Court seats, tribunal benches, state land-tenure restrictions, prohibition provisions — are stated carefully and specifically, but should be spot-checked by a practising advocate in Gujarat and Rajasthan before being treated as authoritative.</w:t>
      </w:r>
    </w:p>
    <w:p>
      <w:pPr>
        <w:spacing w:after="100" w:line="276"/>
        <w:ind w:left="420" w:hanging="240"/>
      </w:pPr>
      <w:r>
        <w:rPr>
          <w:rFonts w:ascii="Calibri" w:cs="Calibri" w:eastAsia="Calibri" w:hAnsi="Calibri"/>
          <w:b w:val="false"/>
          <w:bCs w:val="false"/>
          <w:color w:val="96762A"/>
          <w:sz w:val="21"/>
          <w:szCs w:val="21"/>
        </w:rPr>
        <w:t xml:space="preserve">•   </w:t>
      </w:r>
      <w:r>
        <w:rPr>
          <w:rFonts w:ascii="Calibri" w:cs="Calibri" w:eastAsia="Calibri" w:hAnsi="Calibri"/>
          <w:b/>
          <w:bCs/>
          <w:color w:val="1A1814"/>
          <w:sz w:val="21"/>
          <w:szCs w:val="21"/>
        </w:rPr>
        <w:t xml:space="preserve">Rankings are not within anyone's gift.</w:t>
      </w:r>
      <w:r>
        <w:rPr>
          <w:rFonts w:ascii="Calibri" w:cs="Calibri" w:eastAsia="Calibri" w:hAnsi="Calibri"/>
          <w:color w:val="1A1814"/>
          <w:sz w:val="21"/>
          <w:szCs w:val="21"/>
        </w:rPr>
        <w:t xml:space="preserve"> We control the quality and structure of what is published; Google decides the rest, and authority is earned over months.</w:t>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PART X — What We Need From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Action</w:t>
            </w:r>
          </w:p>
        </w:tc>
        <w:tc>
          <w:tcPr>
            <w:tcBorders>
              <w:top w:val="single" w:color="DED6C5" w:sz="2"/>
              <w:left w:val="single" w:color="DED6C5" w:sz="2"/>
              <w:bottom w:val="single" w:color="DED6C5" w:sz="2"/>
              <w:right w:val="single" w:color="DED6C5" w:sz="2"/>
            </w:tcBorders>
            <w:shd w:fill="F5F1E8" w:val="clear"/>
            <w:tcMar>
              <w:top w:type="dxa" w:w="90"/>
              <w:left w:type="dxa" w:w="130"/>
              <w:bottom w:type="dxa" w:w="90"/>
              <w:right w:type="dxa" w:w="130"/>
            </w:tcMar>
          </w:tcPr>
          <w:p>
            <w:pPr>
              <w:spacing w:after="0" w:line="250"/>
            </w:pPr>
            <w:r>
              <w:rPr>
                <w:rFonts w:ascii="Calibri" w:cs="Calibri" w:eastAsia="Calibri" w:hAnsi="Calibri"/>
                <w:b/>
                <w:bCs/>
                <w:color w:val="1A1814"/>
                <w:sz w:val="17"/>
                <w:szCs w:val="17"/>
              </w:rPr>
              <w:t xml:space="preserve">Why it matters</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1</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Forward the Google Business Profile suspension email</w:t>
            </w:r>
            <w:r>
              <w:rPr>
                <w:rFonts w:ascii="Calibri" w:cs="Calibri" w:eastAsia="Calibri" w:hAnsi="Calibri"/>
                <w:b w:val="false"/>
                <w:bCs w:val="false"/>
                <w:color w:val="6A6353"/>
                <w:sz w:val="17"/>
                <w:szCs w:val="17"/>
              </w:rPr>
              <w:t xml:space="preserve">, and confirm the profile's name, address and primary category.</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Highest priority in this report. Nothing else moves the needle as much.</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2</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Send the profile's Maps link</w:t>
            </w:r>
            <w:r>
              <w:rPr>
                <w:rFonts w:ascii="Calibri" w:cs="Calibri" w:eastAsia="Calibri" w:hAnsi="Calibri"/>
                <w:b w:val="false"/>
                <w:bCs w:val="false"/>
                <w:color w:val="6A6353"/>
                <w:sz w:val="17"/>
                <w:szCs w:val="17"/>
              </w:rPr>
              <w:t xml:space="preserve"> once reinstated.</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Connects your site to your verified profile — the strongest available signal separating you from the similarly named competitor.</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3</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Confirm your published opening hours.</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Google compares the hours on your site against your profile; a mismatch weakens the connection.</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4</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Confirm the Facebook and Instagram profiles are live.</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Both are currently declared as yours. A link to a profile that does not exist is a negative trust signal.</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5</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Choose the next block of work.</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Deep matter pages for the nine cities that have none, or filling in Mumbai, Chennai, Pune and Kolkata.</w:t>
            </w:r>
          </w:p>
        </w:tc>
      </w:tr>
      <w:tr>
        <w:trPr>
          <w:tblHeader w:val="false"/>
        </w:trPr>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6</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bCs/>
                <w:color w:val="6A6353"/>
                <w:sz w:val="17"/>
                <w:szCs w:val="17"/>
              </w:rPr>
              <w:t xml:space="preserve">Have the state-law detail reviewed</w:t>
            </w:r>
            <w:r>
              <w:rPr>
                <w:rFonts w:ascii="Calibri" w:cs="Calibri" w:eastAsia="Calibri" w:hAnsi="Calibri"/>
                <w:b w:val="false"/>
                <w:bCs w:val="false"/>
                <w:color w:val="6A6353"/>
                <w:sz w:val="17"/>
                <w:szCs w:val="17"/>
              </w:rPr>
              <w:t xml:space="preserve"> by a practising advocate in Gujarat and Rajasthan.</w:t>
            </w:r>
          </w:p>
        </w:tc>
        <w:tc>
          <w:tcPr>
            <w:tcBorders>
              <w:top w:val="single" w:color="DED6C5" w:sz="2"/>
              <w:left w:val="single" w:color="DED6C5" w:sz="2"/>
              <w:bottom w:val="single" w:color="DED6C5" w:sz="2"/>
              <w:right w:val="single" w:color="DED6C5" w:sz="2"/>
            </w:tcBorders>
            <w:tcMar>
              <w:top w:type="dxa" w:w="90"/>
              <w:left w:type="dxa" w:w="130"/>
              <w:bottom w:type="dxa" w:w="90"/>
              <w:right w:type="dxa" w:w="130"/>
            </w:tcMar>
          </w:tcPr>
          <w:p>
            <w:pPr>
              <w:spacing w:after="0" w:line="250"/>
            </w:pPr>
            <w:r>
              <w:rPr>
                <w:rFonts w:ascii="Calibri" w:cs="Calibri" w:eastAsia="Calibri" w:hAnsi="Calibri"/>
                <w:b w:val="false"/>
                <w:bCs w:val="false"/>
                <w:color w:val="6A6353"/>
                <w:sz w:val="17"/>
                <w:szCs w:val="17"/>
              </w:rPr>
              <w:t xml:space="preserve">Accuracy is the entire basis on which these pages outperform templated competitors.</w:t>
            </w:r>
          </w:p>
        </w:tc>
      </w:tr>
    </w:tbl>
    <w:p>
      <w:pPr>
        <w:spacing w:after="200"/>
      </w:pPr>
      <w:r>
        <w:t xml:space="preserve"/>
      </w:r>
    </w:p>
    <w:p>
      <w:pPr>
        <w:pBdr>
          <w:bottom w:val="single" w:color="DED6C5" w:sz="6" w:space="1"/>
        </w:pBdr>
        <w:spacing w:after="200" w:before="200"/>
      </w:pPr>
      <w:r>
        <w:t xml:space="preserve"/>
      </w:r>
    </w:p>
    <w:p>
      <w:pPr>
        <w:pStyle w:val="Heading2"/>
        <w:pBdr>
          <w:bottom w:val="single" w:color="DED6C5" w:sz="6" w:space="6"/>
        </w:pBdr>
        <w:spacing w:after="160" w:before="340"/>
      </w:pPr>
      <w:r>
        <w:rPr>
          <w:rFonts w:ascii="Georgia" w:cs="Georgia" w:eastAsia="Georgia" w:hAnsi="Georgia"/>
          <w:b/>
          <w:bCs/>
          <w:color w:val="96762A"/>
          <w:sz w:val="30"/>
          <w:szCs w:val="30"/>
        </w:rPr>
        <w:t xml:space="preserve">Appendix A — Pages Delivered</w:t>
      </w:r>
    </w:p>
    <w:p>
      <w:pPr>
        <w:spacing w:after="140" w:line="276"/>
      </w:pPr>
      <w:r>
        <w:rPr>
          <w:rFonts w:ascii="Calibri" w:cs="Calibri" w:eastAsia="Calibri" w:hAnsi="Calibri"/>
          <w:b/>
          <w:bCs/>
          <w:color w:val="1A1814"/>
          <w:sz w:val="21"/>
          <w:szCs w:val="21"/>
        </w:rPr>
        <w:t xml:space="preserve">City hubs (9)</w:t>
      </w:r>
      <w:r>
        <w:rPr>
          <w:rFonts w:ascii="Calibri" w:cs="Calibri" w:eastAsia="Calibri" w:hAnsi="Calibri"/>
          <w:color w:val="1A1814"/>
          <w:sz w:val="21"/>
          <w:szCs w:val="21"/>
        </w:rPr>
        <w:t xml:space="preserve"> Greater Noida · Surat · Vadodara · Rajkot · Gandhinagar · Jodhpur · Udaipur · Kota · Ajmer</w:t>
      </w:r>
    </w:p>
    <w:p>
      <w:pPr>
        <w:spacing w:after="140" w:line="276"/>
      </w:pPr>
      <w:r>
        <w:rPr>
          <w:rFonts w:ascii="Calibri" w:cs="Calibri" w:eastAsia="Calibri" w:hAnsi="Calibri"/>
          <w:b/>
          <w:bCs/>
          <w:color w:val="1A1814"/>
          <w:sz w:val="21"/>
          <w:szCs w:val="21"/>
        </w:rPr>
        <w:t xml:space="preserve">Practice-area pages (45)</w:t>
      </w:r>
      <w:r>
        <w:rPr>
          <w:rFonts w:ascii="Calibri" w:cs="Calibri" w:eastAsia="Calibri" w:hAnsi="Calibri"/>
          <w:color w:val="1A1814"/>
          <w:sz w:val="21"/>
          <w:szCs w:val="21"/>
        </w:rPr>
        <w:t xml:space="preserve"> — each of the nine cities above, across all five core areas: Criminal · Civil · Divorce &amp; Family · Property &amp; Real Estate · Corporate &amp; Business</w:t>
      </w:r>
    </w:p>
    <w:p>
      <w:pPr>
        <w:spacing w:after="140" w:line="276"/>
      </w:pPr>
      <w:r>
        <w:rPr>
          <w:rFonts w:ascii="Calibri" w:cs="Calibri" w:eastAsia="Calibri" w:hAnsi="Calibri"/>
          <w:b/>
          <w:bCs/>
          <w:color w:val="1A1814"/>
          <w:sz w:val="21"/>
          <w:szCs w:val="21"/>
        </w:rPr>
        <w:t xml:space="preserve">Hyderabad matter pages (5)</w:t>
      </w:r>
      <w:r>
        <w:rPr>
          <w:rFonts w:ascii="Calibri" w:cs="Calibri" w:eastAsia="Calibri" w:hAnsi="Calibri"/>
          <w:color w:val="1A1814"/>
          <w:sz w:val="21"/>
          <w:szCs w:val="21"/>
        </w:rPr>
        <w:t xml:space="preserve"> Anticipatory bail · Cheque bounce (Section 138) · RERA complaint · Company registration · NCLT &amp; insolvency</w:t>
      </w:r>
    </w:p>
    <w:p>
      <w:pPr>
        <w:spacing w:after="140" w:line="276"/>
      </w:pPr>
      <w:r>
        <w:rPr>
          <w:rFonts w:ascii="Calibri" w:cs="Calibri" w:eastAsia="Calibri" w:hAnsi="Calibri"/>
          <w:b/>
          <w:bCs/>
          <w:color w:val="1A1814"/>
          <w:sz w:val="21"/>
          <w:szCs w:val="21"/>
        </w:rPr>
        <w:t xml:space="preserve">Ghaziabad matter pages (4)</w:t>
      </w:r>
      <w:r>
        <w:rPr>
          <w:rFonts w:ascii="Calibri" w:cs="Calibri" w:eastAsia="Calibri" w:hAnsi="Calibri"/>
          <w:color w:val="1A1814"/>
          <w:sz w:val="21"/>
          <w:szCs w:val="21"/>
        </w:rPr>
        <w:t xml:space="preserve"> Anticipatory bail · Mutual consent divorce · Company registration · NCLT &amp; insolvency</w:t>
      </w:r>
    </w:p>
    <w:p>
      <w:pPr>
        <w:spacing w:after="140" w:line="276"/>
      </w:pPr>
      <w:r>
        <w:rPr>
          <w:rFonts w:ascii="Calibri" w:cs="Calibri" w:eastAsia="Calibri" w:hAnsi="Calibri"/>
          <w:color w:val="1A1814"/>
          <w:sz w:val="21"/>
          <w:szCs w:val="21"/>
        </w:rPr>
        <w:t xml:space="preserve">Every page carries a direct-answer summary for AI and voice search, a frequently-asked-questions section, structured data, and links into the surrounding topic cluster. Page depth ranges from approximately 800 words for city hubs to 1,700 words for the deepest matter pages.</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A635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ED6C5" w:sz="4" w:space="6"/>
      </w:pBdr>
      <w:spacing w:after="200"/>
      <w:jc w:val="right"/>
    </w:pPr>
    <w:r>
      <w:rPr>
        <w:rFonts w:ascii="Calibri" w:cs="Calibri" w:eastAsia="Calibri" w:hAnsi="Calibri"/>
        <w:color w:val="6A6353"/>
        <w:sz w:val="15"/>
        <w:szCs w:val="15"/>
      </w:rPr>
      <w:t xml:space="preserve">NyaySevak · Week 24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81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24</dc:title>
  <dc:creator>NyaySevak — SEO Architecture Team</dc:creator>
  <dc:description>From five metros to a real regional footprint.</dc:description>
  <cp:lastModifiedBy>Un-named</cp:lastModifiedBy>
  <cp:revision>1</cp:revision>
  <dcterms:created xsi:type="dcterms:W3CDTF">2026-08-21T08:20:58.880Z</dcterms:created>
  <dcterms:modified xsi:type="dcterms:W3CDTF">2026-08-21T08:20:58.881Z</dcterms:modified>
</cp:coreProperties>
</file>

<file path=docProps/custom.xml><?xml version="1.0" encoding="utf-8"?>
<Properties xmlns="http://schemas.openxmlformats.org/officeDocument/2006/custom-properties" xmlns:vt="http://schemas.openxmlformats.org/officeDocument/2006/docPropsVTypes"/>
</file>