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Calibri" w:hAnsi="Calibri"/>
          <w:b/>
          <w:i w:val="0"/>
          <w:color w:val="B16A00"/>
          <w:sz w:val="22"/>
        </w:rPr>
        <w:t>TRIVENI CABS</w:t>
      </w:r>
    </w:p>
    <w:p>
      <w:pPr>
        <w:spacing w:after="80" w:before="0"/>
        <w:jc w:val="center"/>
      </w:pPr>
      <w:r>
        <w:rPr>
          <w:rFonts w:ascii="Calibri" w:hAnsi="Calibri"/>
          <w:b/>
          <w:i w:val="0"/>
          <w:color w:val="122A4A"/>
          <w:sz w:val="52"/>
        </w:rPr>
        <w:t>Week 44 — Premium SEO Plan</w:t>
      </w:r>
    </w:p>
    <w:p>
      <w:pPr>
        <w:spacing w:after="280" w:before="0"/>
        <w:jc w:val="center"/>
      </w:pPr>
      <w:r>
        <w:rPr>
          <w:rFonts w:ascii="Calibri" w:hAnsi="Calibri"/>
          <w:b w:val="0"/>
          <w:i/>
          <w:color w:val="555555"/>
          <w:sz w:val="25"/>
        </w:rPr>
        <w:t>Converting the impressions we already have</w:t>
      </w:r>
    </w:p>
    <w:tbl>
      <w:tblPr>
        <w:tblStyle w:val="TableGrid"/>
        <w:tblW w:type="auto" w:w="0"/>
        <w:jc w:val="center"/>
        <w:tblLook w:firstColumn="1" w:firstRow="1" w:lastColumn="0" w:lastRow="0" w:noHBand="0" w:noVBand="1" w:val="04A0"/>
      </w:tblPr>
      <w:tblGrid>
        <w:gridCol w:w="4896"/>
        <w:gridCol w:w="4896"/>
      </w:tblGrid>
      <w:tr>
        <w:tc>
          <w:tcPr>
            <w:tcW w:type="dxa" w:w="2448"/>
            <w:shd w:val="clear" w:color="auto" w:fill="122A4A"/>
          </w:tcPr>
          <w:p>
            <w:r/>
            <w:r>
              <w:rPr>
                <w:rFonts w:ascii="Calibri" w:hAnsi="Calibri"/>
                <w:b/>
                <w:color w:val="FFFFFF"/>
                <w:sz w:val="19"/>
              </w:rPr>
            </w:r>
          </w:p>
        </w:tc>
        <w:tc>
          <w:tcPr>
            <w:tcW w:type="dxa" w:w="6624"/>
            <w:shd w:val="clear" w:color="auto" w:fill="122A4A"/>
          </w:tcPr>
          <w:p>
            <w:r/>
            <w:r>
              <w:rPr>
                <w:rFonts w:ascii="Calibri" w:hAnsi="Calibri"/>
                <w:b/>
                <w:color w:val="FFFFFF"/>
                <w:sz w:val="19"/>
              </w:rPr>
            </w:r>
          </w:p>
        </w:tc>
      </w:tr>
      <w:tr>
        <w:tc>
          <w:tcPr>
            <w:tcW w:type="dxa" w:w="2448"/>
          </w:tcPr>
          <w:p>
            <w:r/>
            <w:r>
              <w:rPr>
                <w:rFonts w:ascii="Calibri" w:hAnsi="Calibri"/>
                <w:b w:val="0"/>
                <w:sz w:val="18"/>
              </w:rPr>
              <w:t>Website</w:t>
            </w:r>
          </w:p>
        </w:tc>
        <w:tc>
          <w:tcPr>
            <w:tcW w:type="dxa" w:w="6624"/>
          </w:tcPr>
          <w:p>
            <w:r/>
            <w:r>
              <w:rPr>
                <w:rFonts w:ascii="Calibri" w:hAnsi="Calibri"/>
                <w:b w:val="0"/>
                <w:sz w:val="18"/>
              </w:rPr>
              <w:t>www.trivenicabs.in</w:t>
            </w:r>
          </w:p>
        </w:tc>
      </w:tr>
      <w:tr>
        <w:tc>
          <w:tcPr>
            <w:tcW w:type="dxa" w:w="2448"/>
          </w:tcPr>
          <w:p>
            <w:r/>
            <w:r>
              <w:rPr>
                <w:rFonts w:ascii="Calibri" w:hAnsi="Calibri"/>
                <w:b w:val="0"/>
                <w:sz w:val="18"/>
              </w:rPr>
              <w:t>Week</w:t>
            </w:r>
          </w:p>
        </w:tc>
        <w:tc>
          <w:tcPr>
            <w:tcW w:type="dxa" w:w="6624"/>
          </w:tcPr>
          <w:p>
            <w:r/>
            <w:r>
              <w:rPr>
                <w:rFonts w:ascii="Calibri" w:hAnsi="Calibri"/>
                <w:b w:val="0"/>
                <w:sz w:val="18"/>
              </w:rPr>
              <w:t>44 — 24 to 30 August 2026</w:t>
            </w:r>
          </w:p>
        </w:tc>
      </w:tr>
      <w:tr>
        <w:tc>
          <w:tcPr>
            <w:tcW w:type="dxa" w:w="2448"/>
          </w:tcPr>
          <w:p>
            <w:r/>
            <w:r>
              <w:rPr>
                <w:rFonts w:ascii="Calibri" w:hAnsi="Calibri"/>
                <w:b w:val="0"/>
                <w:sz w:val="18"/>
              </w:rPr>
              <w:t>Scope</w:t>
            </w:r>
          </w:p>
        </w:tc>
        <w:tc>
          <w:tcPr>
            <w:tcW w:type="dxa" w:w="6624"/>
          </w:tcPr>
          <w:p>
            <w:r/>
            <w:r>
              <w:rPr>
                <w:rFonts w:ascii="Calibri" w:hAnsi="Calibri"/>
                <w:b w:val="0"/>
                <w:sz w:val="18"/>
              </w:rPr>
              <w:t>North India only</w:t>
            </w:r>
          </w:p>
        </w:tc>
      </w:tr>
      <w:tr>
        <w:tc>
          <w:tcPr>
            <w:tcW w:type="dxa" w:w="2448"/>
          </w:tcPr>
          <w:p>
            <w:r/>
            <w:r>
              <w:rPr>
                <w:rFonts w:ascii="Calibri" w:hAnsi="Calibri"/>
                <w:b w:val="0"/>
                <w:sz w:val="18"/>
              </w:rPr>
              <w:t>Pages in scope</w:t>
            </w:r>
          </w:p>
        </w:tc>
        <w:tc>
          <w:tcPr>
            <w:tcW w:type="dxa" w:w="6624"/>
          </w:tcPr>
          <w:p>
            <w:r/>
            <w:r>
              <w:rPr>
                <w:rFonts w:ascii="Calibri" w:hAnsi="Calibri"/>
                <w:b w:val="0"/>
                <w:sz w:val="18"/>
              </w:rPr>
              <w:t>All 3,392 — via the template layer</w:t>
            </w:r>
          </w:p>
        </w:tc>
      </w:tr>
      <w:tr>
        <w:tc>
          <w:tcPr>
            <w:tcW w:type="dxa" w:w="2448"/>
          </w:tcPr>
          <w:p>
            <w:r/>
            <w:r>
              <w:rPr>
                <w:rFonts w:ascii="Calibri" w:hAnsi="Calibri"/>
                <w:b w:val="0"/>
                <w:sz w:val="18"/>
              </w:rPr>
              <w:t>Baseline</w:t>
            </w:r>
          </w:p>
        </w:tc>
        <w:tc>
          <w:tcPr>
            <w:tcW w:type="dxa" w:w="6624"/>
          </w:tcPr>
          <w:p>
            <w:r/>
            <w:r>
              <w:rPr>
                <w:rFonts w:ascii="Calibri" w:hAnsi="Calibri"/>
                <w:b w:val="0"/>
                <w:sz w:val="18"/>
              </w:rPr>
              <w:t>Search Console, 19 May – 18 Aug 2026</w:t>
            </w:r>
          </w:p>
        </w:tc>
      </w:tr>
      <w:tr>
        <w:tc>
          <w:tcPr>
            <w:tcW w:type="dxa" w:w="2448"/>
          </w:tcPr>
          <w:p>
            <w:r/>
            <w:r>
              <w:rPr>
                <w:rFonts w:ascii="Calibri" w:hAnsi="Calibri"/>
                <w:b w:val="0"/>
                <w:sz w:val="18"/>
              </w:rPr>
              <w:t>Status</w:t>
            </w:r>
          </w:p>
        </w:tc>
        <w:tc>
          <w:tcPr>
            <w:tcW w:type="dxa" w:w="6624"/>
          </w:tcPr>
          <w:p>
            <w:r/>
            <w:r>
              <w:rPr>
                <w:rFonts w:ascii="Calibri" w:hAnsi="Calibri"/>
                <w:b w:val="0"/>
                <w:sz w:val="18"/>
              </w:rPr>
              <w:t>Week 43 live on production since 22 August</w:t>
            </w:r>
          </w:p>
        </w:tc>
      </w:tr>
    </w:tbl>
    <w:p>
      <w:pPr>
        <w:spacing w:after="40"/>
      </w:pPr>
    </w:p>
    <w:p>
      <w:pPr>
        <w:spacing w:before="360" w:after="160"/>
        <w:pBdr>
          <w:bottom w:val="single" w:sz="6" w:space="2" w:color="B16A00"/>
        </w:pBdr>
      </w:pPr>
      <w:r>
        <w:rPr>
          <w:rFonts w:ascii="Calibri" w:hAnsi="Calibri"/>
          <w:b/>
          <w:color w:val="122A4A"/>
          <w:sz w:val="34"/>
        </w:rPr>
        <w:t>The one-line summary</w:t>
      </w:r>
    </w:p>
    <w:p>
      <w:pPr>
        <w:spacing w:after="120" w:before="0"/>
      </w:pPr>
      <w:r>
        <w:rPr>
          <w:rFonts w:ascii="Calibri" w:hAnsi="Calibri"/>
          <w:b w:val="0"/>
          <w:i w:val="0"/>
          <w:sz w:val="22"/>
        </w:rPr>
        <w:t>Week 43 repaired the site. Week 44 converts it. The site is shown to searchers 6.86 million times a quarter and clicked 42,380 times — a click-through rate of 0.62% against an expected 2.2%. The impressions already exist. This week is about turning them into enquiries, and it targets the pages that take bookings.</w:t>
      </w:r>
    </w:p>
    <w:p>
      <w:pPr>
        <w:spacing w:before="360" w:after="160"/>
        <w:pBdr>
          <w:bottom w:val="single" w:sz="6" w:space="2" w:color="B16A00"/>
        </w:pBdr>
      </w:pPr>
      <w:r>
        <w:rPr>
          <w:rFonts w:ascii="Calibri" w:hAnsi="Calibri"/>
          <w:b/>
          <w:color w:val="122A4A"/>
          <w:sz w:val="34"/>
        </w:rPr>
        <w:t>What Week 43 delivered</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color="auto" w:fill="122A4A"/>
          </w:tcPr>
          <w:p>
            <w:r/>
            <w:r>
              <w:rPr>
                <w:rFonts w:ascii="Calibri" w:hAnsi="Calibri"/>
                <w:b/>
                <w:color w:val="FFFFFF"/>
                <w:sz w:val="19"/>
              </w:rPr>
              <w:t>Measure</w:t>
            </w:r>
          </w:p>
        </w:tc>
        <w:tc>
          <w:tcPr>
            <w:tcW w:type="dxa" w:w="2160"/>
            <w:shd w:val="clear" w:color="auto" w:fill="122A4A"/>
          </w:tcPr>
          <w:p>
            <w:r/>
            <w:r>
              <w:rPr>
                <w:rFonts w:ascii="Calibri" w:hAnsi="Calibri"/>
                <w:b/>
                <w:color w:val="FFFFFF"/>
                <w:sz w:val="19"/>
              </w:rPr>
              <w:t>Before</w:t>
            </w:r>
          </w:p>
        </w:tc>
        <w:tc>
          <w:tcPr>
            <w:tcW w:type="dxa" w:w="2160"/>
            <w:shd w:val="clear" w:color="auto" w:fill="122A4A"/>
          </w:tcPr>
          <w:p>
            <w:r/>
            <w:r>
              <w:rPr>
                <w:rFonts w:ascii="Calibri" w:hAnsi="Calibri"/>
                <w:b/>
                <w:color w:val="FFFFFF"/>
                <w:sz w:val="19"/>
              </w:rPr>
              <w:t>After</w:t>
            </w:r>
          </w:p>
        </w:tc>
      </w:tr>
      <w:tr>
        <w:tc>
          <w:tcPr>
            <w:tcW w:type="dxa" w:w="5040"/>
          </w:tcPr>
          <w:p>
            <w:r/>
            <w:r>
              <w:rPr>
                <w:rFonts w:ascii="Calibri" w:hAnsi="Calibri"/>
                <w:b w:val="0"/>
                <w:sz w:val="18"/>
              </w:rPr>
              <w:t>Booking pages serving "not found" at HTTP 200</w:t>
            </w:r>
          </w:p>
        </w:tc>
        <w:tc>
          <w:tcPr>
            <w:tcW w:type="dxa" w:w="2160"/>
          </w:tcPr>
          <w:p>
            <w:r/>
            <w:r>
              <w:rPr>
                <w:rFonts w:ascii="Calibri" w:hAnsi="Calibri"/>
                <w:b w:val="0"/>
                <w:sz w:val="18"/>
              </w:rPr>
              <w:t>13</w:t>
            </w:r>
          </w:p>
        </w:tc>
        <w:tc>
          <w:tcPr>
            <w:tcW w:type="dxa" w:w="2160"/>
          </w:tcPr>
          <w:p>
            <w:r/>
            <w:r>
              <w:rPr>
                <w:rFonts w:ascii="Calibri" w:hAnsi="Calibri"/>
                <w:b w:val="0"/>
                <w:sz w:val="18"/>
              </w:rPr>
              <w:t>0</w:t>
            </w:r>
          </w:p>
        </w:tc>
      </w:tr>
      <w:tr>
        <w:tc>
          <w:tcPr>
            <w:tcW w:type="dxa" w:w="5040"/>
          </w:tcPr>
          <w:p>
            <w:r/>
            <w:r>
              <w:rPr>
                <w:rFonts w:ascii="Calibri" w:hAnsi="Calibri"/>
                <w:b w:val="0"/>
                <w:sz w:val="18"/>
              </w:rPr>
              <w:t>Pages with duplicate titles</w:t>
            </w:r>
          </w:p>
        </w:tc>
        <w:tc>
          <w:tcPr>
            <w:tcW w:type="dxa" w:w="2160"/>
          </w:tcPr>
          <w:p>
            <w:r/>
            <w:r>
              <w:rPr>
                <w:rFonts w:ascii="Calibri" w:hAnsi="Calibri"/>
                <w:b w:val="0"/>
                <w:sz w:val="18"/>
              </w:rPr>
              <w:t>16 clusters</w:t>
            </w:r>
          </w:p>
        </w:tc>
        <w:tc>
          <w:tcPr>
            <w:tcW w:type="dxa" w:w="2160"/>
          </w:tcPr>
          <w:p>
            <w:r/>
            <w:r>
              <w:rPr>
                <w:rFonts w:ascii="Calibri" w:hAnsi="Calibri"/>
                <w:b w:val="0"/>
                <w:sz w:val="18"/>
              </w:rPr>
              <w:t>0</w:t>
            </w:r>
          </w:p>
        </w:tc>
      </w:tr>
      <w:tr>
        <w:tc>
          <w:tcPr>
            <w:tcW w:type="dxa" w:w="5040"/>
          </w:tcPr>
          <w:p>
            <w:r/>
            <w:r>
              <w:rPr>
                <w:rFonts w:ascii="Calibri" w:hAnsi="Calibri"/>
                <w:b w:val="0"/>
                <w:sz w:val="18"/>
              </w:rPr>
              <w:t>Titles printing the brand twice</w:t>
            </w:r>
          </w:p>
        </w:tc>
        <w:tc>
          <w:tcPr>
            <w:tcW w:type="dxa" w:w="2160"/>
          </w:tcPr>
          <w:p>
            <w:r/>
            <w:r>
              <w:rPr>
                <w:rFonts w:ascii="Calibri" w:hAnsi="Calibri"/>
                <w:b w:val="0"/>
                <w:sz w:val="18"/>
              </w:rPr>
              <w:t>320</w:t>
            </w:r>
          </w:p>
        </w:tc>
        <w:tc>
          <w:tcPr>
            <w:tcW w:type="dxa" w:w="2160"/>
          </w:tcPr>
          <w:p>
            <w:r/>
            <w:r>
              <w:rPr>
                <w:rFonts w:ascii="Calibri" w:hAnsi="Calibri"/>
                <w:b w:val="0"/>
                <w:sz w:val="18"/>
              </w:rPr>
              <w:t>0</w:t>
            </w:r>
          </w:p>
        </w:tc>
      </w:tr>
      <w:tr>
        <w:tc>
          <w:tcPr>
            <w:tcW w:type="dxa" w:w="5040"/>
          </w:tcPr>
          <w:p>
            <w:r/>
            <w:r>
              <w:rPr>
                <w:rFonts w:ascii="Calibri" w:hAnsi="Calibri"/>
                <w:b w:val="0"/>
                <w:sz w:val="18"/>
              </w:rPr>
              <w:t>Titles showing a broken "…" in Google</w:t>
            </w:r>
          </w:p>
        </w:tc>
        <w:tc>
          <w:tcPr>
            <w:tcW w:type="dxa" w:w="2160"/>
          </w:tcPr>
          <w:p>
            <w:r/>
            <w:r>
              <w:rPr>
                <w:rFonts w:ascii="Calibri" w:hAnsi="Calibri"/>
                <w:b w:val="0"/>
                <w:sz w:val="18"/>
              </w:rPr>
              <w:t>906</w:t>
            </w:r>
          </w:p>
        </w:tc>
        <w:tc>
          <w:tcPr>
            <w:tcW w:type="dxa" w:w="2160"/>
          </w:tcPr>
          <w:p>
            <w:r/>
            <w:r>
              <w:rPr>
                <w:rFonts w:ascii="Calibri" w:hAnsi="Calibri"/>
                <w:b w:val="0"/>
                <w:sz w:val="18"/>
              </w:rPr>
              <w:t>0</w:t>
            </w:r>
          </w:p>
        </w:tc>
      </w:tr>
      <w:tr>
        <w:tc>
          <w:tcPr>
            <w:tcW w:type="dxa" w:w="5040"/>
          </w:tcPr>
          <w:p>
            <w:r/>
            <w:r>
              <w:rPr>
                <w:rFonts w:ascii="Calibri" w:hAnsi="Calibri"/>
                <w:b w:val="0"/>
                <w:sz w:val="18"/>
              </w:rPr>
              <w:t>Titles cut short by Google</w:t>
            </w:r>
          </w:p>
        </w:tc>
        <w:tc>
          <w:tcPr>
            <w:tcW w:type="dxa" w:w="2160"/>
          </w:tcPr>
          <w:p>
            <w:r/>
            <w:r>
              <w:rPr>
                <w:rFonts w:ascii="Calibri" w:hAnsi="Calibri"/>
                <w:b w:val="0"/>
                <w:sz w:val="18"/>
              </w:rPr>
              <w:t>2,868</w:t>
            </w:r>
          </w:p>
        </w:tc>
        <w:tc>
          <w:tcPr>
            <w:tcW w:type="dxa" w:w="2160"/>
          </w:tcPr>
          <w:p>
            <w:r/>
            <w:r>
              <w:rPr>
                <w:rFonts w:ascii="Calibri" w:hAnsi="Calibri"/>
                <w:b w:val="0"/>
                <w:sz w:val="18"/>
              </w:rPr>
              <w:t>36</w:t>
            </w:r>
          </w:p>
        </w:tc>
      </w:tr>
      <w:tr>
        <w:tc>
          <w:tcPr>
            <w:tcW w:type="dxa" w:w="5040"/>
          </w:tcPr>
          <w:p>
            <w:r/>
            <w:r>
              <w:rPr>
                <w:rFonts w:ascii="Calibri" w:hAnsi="Calibri"/>
                <w:b w:val="0"/>
                <w:sz w:val="18"/>
              </w:rPr>
              <w:t>Routes quoting a wrong ₹3,300 fare</w:t>
            </w:r>
          </w:p>
        </w:tc>
        <w:tc>
          <w:tcPr>
            <w:tcW w:type="dxa" w:w="2160"/>
          </w:tcPr>
          <w:p>
            <w:r/>
            <w:r>
              <w:rPr>
                <w:rFonts w:ascii="Calibri" w:hAnsi="Calibri"/>
                <w:b w:val="0"/>
                <w:sz w:val="18"/>
              </w:rPr>
              <w:t>75</w:t>
            </w:r>
          </w:p>
        </w:tc>
        <w:tc>
          <w:tcPr>
            <w:tcW w:type="dxa" w:w="2160"/>
          </w:tcPr>
          <w:p>
            <w:r/>
            <w:r>
              <w:rPr>
                <w:rFonts w:ascii="Calibri" w:hAnsi="Calibri"/>
                <w:b w:val="0"/>
                <w:sz w:val="18"/>
              </w:rPr>
              <w:t>0</w:t>
            </w:r>
          </w:p>
        </w:tc>
      </w:tr>
      <w:tr>
        <w:tc>
          <w:tcPr>
            <w:tcW w:type="dxa" w:w="5040"/>
          </w:tcPr>
          <w:p>
            <w:r/>
            <w:r>
              <w:rPr>
                <w:rFonts w:ascii="Calibri" w:hAnsi="Calibri"/>
                <w:b w:val="0"/>
                <w:sz w:val="18"/>
              </w:rPr>
              <w:t>Duplicate booking URLs competing</w:t>
            </w:r>
          </w:p>
        </w:tc>
        <w:tc>
          <w:tcPr>
            <w:tcW w:type="dxa" w:w="2160"/>
          </w:tcPr>
          <w:p>
            <w:r/>
            <w:r>
              <w:rPr>
                <w:rFonts w:ascii="Calibri" w:hAnsi="Calibri"/>
                <w:b w:val="0"/>
                <w:sz w:val="18"/>
              </w:rPr>
              <w:t>47</w:t>
            </w:r>
          </w:p>
        </w:tc>
        <w:tc>
          <w:tcPr>
            <w:tcW w:type="dxa" w:w="2160"/>
          </w:tcPr>
          <w:p>
            <w:r/>
            <w:r>
              <w:rPr>
                <w:rFonts w:ascii="Calibri" w:hAnsi="Calibri"/>
                <w:b w:val="0"/>
                <w:sz w:val="18"/>
              </w:rPr>
              <w:t>18</w:t>
            </w:r>
          </w:p>
        </w:tc>
      </w:tr>
      <w:tr>
        <w:tc>
          <w:tcPr>
            <w:tcW w:type="dxa" w:w="5040"/>
          </w:tcPr>
          <w:p>
            <w:r/>
            <w:r>
              <w:rPr>
                <w:rFonts w:ascii="Calibri" w:hAnsi="Calibri"/>
                <w:b w:val="0"/>
                <w:sz w:val="18"/>
              </w:rPr>
              <w:t>Distance pages showing toll costs</w:t>
            </w:r>
          </w:p>
        </w:tc>
        <w:tc>
          <w:tcPr>
            <w:tcW w:type="dxa" w:w="2160"/>
          </w:tcPr>
          <w:p>
            <w:r/>
            <w:r>
              <w:rPr>
                <w:rFonts w:ascii="Calibri" w:hAnsi="Calibri"/>
                <w:b w:val="0"/>
                <w:sz w:val="18"/>
              </w:rPr>
              <w:t>6</w:t>
            </w:r>
          </w:p>
        </w:tc>
        <w:tc>
          <w:tcPr>
            <w:tcW w:type="dxa" w:w="2160"/>
          </w:tcPr>
          <w:p>
            <w:r/>
            <w:r>
              <w:rPr>
                <w:rFonts w:ascii="Calibri" w:hAnsi="Calibri"/>
                <w:b w:val="0"/>
                <w:sz w:val="18"/>
              </w:rPr>
              <w:t>35</w:t>
            </w:r>
          </w:p>
        </w:tc>
      </w:tr>
      <w:tr>
        <w:tc>
          <w:tcPr>
            <w:tcW w:type="dxa" w:w="5040"/>
          </w:tcPr>
          <w:p>
            <w:r/>
            <w:r>
              <w:rPr>
                <w:rFonts w:ascii="Calibri" w:hAnsi="Calibri"/>
                <w:b w:val="0"/>
                <w:sz w:val="18"/>
              </w:rPr>
              <w:t>Google Lighthouse — SEO score</w:t>
            </w:r>
          </w:p>
        </w:tc>
        <w:tc>
          <w:tcPr>
            <w:tcW w:type="dxa" w:w="2160"/>
          </w:tcPr>
          <w:p>
            <w:r/>
            <w:r>
              <w:rPr>
                <w:rFonts w:ascii="Calibri" w:hAnsi="Calibri"/>
                <w:b w:val="0"/>
                <w:sz w:val="18"/>
              </w:rPr>
              <w:t>—</w:t>
            </w:r>
          </w:p>
        </w:tc>
        <w:tc>
          <w:tcPr>
            <w:tcW w:type="dxa" w:w="2160"/>
          </w:tcPr>
          <w:p>
            <w:r/>
            <w:r>
              <w:rPr>
                <w:rFonts w:ascii="Calibri" w:hAnsi="Calibri"/>
                <w:b w:val="0"/>
                <w:sz w:val="18"/>
              </w:rPr>
              <w:t>100 / 100</w:t>
            </w:r>
          </w:p>
        </w:tc>
      </w:tr>
    </w:tbl>
    <w:p>
      <w:pPr>
        <w:spacing w:after="40"/>
      </w:pPr>
    </w:p>
    <w:p>
      <w:pPr>
        <w:spacing w:after="120" w:before="0"/>
      </w:pPr>
      <w:r>
        <w:rPr>
          <w:rFonts w:ascii="Calibri" w:hAnsi="Calibri"/>
          <w:b w:val="0"/>
          <w:i/>
          <w:color w:val="555555"/>
          <w:sz w:val="21"/>
        </w:rPr>
        <w:t>The largest change — retitling 4.3 million impressions worth of pages so they stop repeating the answer Google already displays — went live on 22 August. Search Console needs four to six weeks before it can say whether that worked. Week 44 does not depend on it and should not be judged on it.</w:t>
      </w:r>
    </w:p>
    <w:p>
      <w:pPr>
        <w:spacing w:before="360" w:after="160"/>
        <w:pBdr>
          <w:bottom w:val="single" w:sz="6" w:space="2" w:color="B16A00"/>
        </w:pBdr>
      </w:pPr>
      <w:r>
        <w:rPr>
          <w:rFonts w:ascii="Calibri" w:hAnsi="Calibri"/>
          <w:b/>
          <w:color w:val="122A4A"/>
          <w:sz w:val="34"/>
        </w:rPr>
        <w:t>Where the opportunity is</w:t>
      </w:r>
    </w:p>
    <w:p>
      <w:pPr>
        <w:spacing w:after="120" w:before="0"/>
      </w:pPr>
      <w:r>
        <w:rPr>
          <w:rFonts w:ascii="Calibri" w:hAnsi="Calibri"/>
          <w:b w:val="0"/>
          <w:i w:val="0"/>
          <w:sz w:val="22"/>
        </w:rPr>
        <w:t>Nine templates were never touched. Every one of them is a page that can take a booking, and together they are the largest measured opportunity on the site.</w:t>
      </w:r>
    </w:p>
    <w:tbl>
      <w:tblPr>
        <w:tblStyle w:val="TableGrid"/>
        <w:tblW w:type="auto" w:w="0"/>
        <w:jc w:val="center"/>
        <w:tblLook w:firstColumn="1" w:firstRow="1" w:lastColumn="0" w:lastRow="0" w:noHBand="0" w:noVBand="1" w:val="04A0"/>
      </w:tblPr>
      <w:tblGrid>
        <w:gridCol w:w="1632"/>
        <w:gridCol w:w="1632"/>
        <w:gridCol w:w="1632"/>
        <w:gridCol w:w="1632"/>
        <w:gridCol w:w="1632"/>
        <w:gridCol w:w="1632"/>
      </w:tblGrid>
      <w:tr>
        <w:tc>
          <w:tcPr>
            <w:tcW w:type="dxa" w:w="2880"/>
            <w:shd w:val="clear" w:color="auto" w:fill="122A4A"/>
          </w:tcPr>
          <w:p>
            <w:r/>
            <w:r>
              <w:rPr>
                <w:rFonts w:ascii="Calibri" w:hAnsi="Calibri"/>
                <w:b/>
                <w:color w:val="FFFFFF"/>
                <w:sz w:val="19"/>
              </w:rPr>
              <w:t>Template</w:t>
            </w:r>
          </w:p>
        </w:tc>
        <w:tc>
          <w:tcPr>
            <w:tcW w:type="dxa" w:w="1584"/>
            <w:shd w:val="clear" w:color="auto" w:fill="122A4A"/>
          </w:tcPr>
          <w:p>
            <w:r/>
            <w:r>
              <w:rPr>
                <w:rFonts w:ascii="Calibri" w:hAnsi="Calibri"/>
                <w:b/>
                <w:color w:val="FFFFFF"/>
                <w:sz w:val="19"/>
              </w:rPr>
              <w:t>Impressions</w:t>
            </w:r>
          </w:p>
        </w:tc>
        <w:tc>
          <w:tcPr>
            <w:tcW w:type="dxa" w:w="1152"/>
            <w:shd w:val="clear" w:color="auto" w:fill="122A4A"/>
          </w:tcPr>
          <w:p>
            <w:r/>
            <w:r>
              <w:rPr>
                <w:rFonts w:ascii="Calibri" w:hAnsi="Calibri"/>
                <w:b/>
                <w:color w:val="FFFFFF"/>
                <w:sz w:val="19"/>
              </w:rPr>
              <w:t>Clicks</w:t>
            </w:r>
          </w:p>
        </w:tc>
        <w:tc>
          <w:tcPr>
            <w:tcW w:type="dxa" w:w="1008"/>
            <w:shd w:val="clear" w:color="auto" w:fill="122A4A"/>
          </w:tcPr>
          <w:p>
            <w:r/>
            <w:r>
              <w:rPr>
                <w:rFonts w:ascii="Calibri" w:hAnsi="Calibri"/>
                <w:b/>
                <w:color w:val="FFFFFF"/>
                <w:sz w:val="19"/>
              </w:rPr>
              <w:t>CTR</w:t>
            </w:r>
          </w:p>
        </w:tc>
        <w:tc>
          <w:tcPr>
            <w:tcW w:type="dxa" w:w="1152"/>
            <w:shd w:val="clear" w:color="auto" w:fill="122A4A"/>
          </w:tcPr>
          <w:p>
            <w:r/>
            <w:r>
              <w:rPr>
                <w:rFonts w:ascii="Calibri" w:hAnsi="Calibri"/>
                <w:b/>
                <w:color w:val="FFFFFF"/>
                <w:sz w:val="19"/>
              </w:rPr>
              <w:t>Position</w:t>
            </w:r>
          </w:p>
        </w:tc>
        <w:tc>
          <w:tcPr>
            <w:tcW w:type="dxa" w:w="1296"/>
            <w:shd w:val="clear" w:color="auto" w:fill="122A4A"/>
          </w:tcPr>
          <w:p>
            <w:r/>
            <w:r>
              <w:rPr>
                <w:rFonts w:ascii="Calibri" w:hAnsi="Calibri"/>
                <w:b/>
                <w:color w:val="FFFFFF"/>
                <w:sz w:val="19"/>
              </w:rPr>
              <w:t>Headroom</w:t>
            </w:r>
          </w:p>
        </w:tc>
      </w:tr>
      <w:tr>
        <w:tc>
          <w:tcPr>
            <w:tcW w:type="dxa" w:w="2880"/>
          </w:tcPr>
          <w:p>
            <w:r/>
            <w:r>
              <w:rPr>
                <w:rFonts w:ascii="Calibri" w:hAnsi="Calibri"/>
                <w:b w:val="0"/>
                <w:sz w:val="18"/>
              </w:rPr>
              <w:t>Railway station taxi</w:t>
            </w:r>
          </w:p>
        </w:tc>
        <w:tc>
          <w:tcPr>
            <w:tcW w:type="dxa" w:w="1584"/>
          </w:tcPr>
          <w:p>
            <w:r/>
            <w:r>
              <w:rPr>
                <w:rFonts w:ascii="Calibri" w:hAnsi="Calibri"/>
                <w:b w:val="0"/>
                <w:sz w:val="18"/>
              </w:rPr>
              <w:t>85,821</w:t>
            </w:r>
          </w:p>
        </w:tc>
        <w:tc>
          <w:tcPr>
            <w:tcW w:type="dxa" w:w="1152"/>
          </w:tcPr>
          <w:p>
            <w:r/>
            <w:r>
              <w:rPr>
                <w:rFonts w:ascii="Calibri" w:hAnsi="Calibri"/>
                <w:b w:val="0"/>
                <w:sz w:val="18"/>
              </w:rPr>
              <w:t>1,053</w:t>
            </w:r>
          </w:p>
        </w:tc>
        <w:tc>
          <w:tcPr>
            <w:tcW w:type="dxa" w:w="1008"/>
          </w:tcPr>
          <w:p>
            <w:r/>
            <w:r>
              <w:rPr>
                <w:rFonts w:ascii="Calibri" w:hAnsi="Calibri"/>
                <w:b w:val="0"/>
                <w:sz w:val="18"/>
              </w:rPr>
              <w:t>1.23%</w:t>
            </w:r>
          </w:p>
        </w:tc>
        <w:tc>
          <w:tcPr>
            <w:tcW w:type="dxa" w:w="1152"/>
          </w:tcPr>
          <w:p>
            <w:r/>
            <w:r>
              <w:rPr>
                <w:rFonts w:ascii="Calibri" w:hAnsi="Calibri"/>
                <w:b w:val="0"/>
                <w:sz w:val="18"/>
              </w:rPr>
              <w:t>5.9</w:t>
            </w:r>
          </w:p>
        </w:tc>
        <w:tc>
          <w:tcPr>
            <w:tcW w:type="dxa" w:w="1296"/>
          </w:tcPr>
          <w:p>
            <w:r/>
            <w:r>
              <w:rPr>
                <w:rFonts w:ascii="Calibri" w:hAnsi="Calibri"/>
                <w:b w:val="0"/>
                <w:sz w:val="18"/>
              </w:rPr>
              <w:t>+1,521</w:t>
            </w:r>
          </w:p>
        </w:tc>
      </w:tr>
      <w:tr>
        <w:tc>
          <w:tcPr>
            <w:tcW w:type="dxa" w:w="2880"/>
          </w:tcPr>
          <w:p>
            <w:r/>
            <w:r>
              <w:rPr>
                <w:rFonts w:ascii="Calibri" w:hAnsi="Calibri"/>
                <w:b w:val="0"/>
                <w:sz w:val="18"/>
              </w:rPr>
              <w:t>Bus — routes, service, stand</w:t>
            </w:r>
          </w:p>
        </w:tc>
        <w:tc>
          <w:tcPr>
            <w:tcW w:type="dxa" w:w="1584"/>
          </w:tcPr>
          <w:p>
            <w:r/>
            <w:r>
              <w:rPr>
                <w:rFonts w:ascii="Calibri" w:hAnsi="Calibri"/>
                <w:b w:val="0"/>
                <w:sz w:val="18"/>
              </w:rPr>
              <w:t>181,099</w:t>
            </w:r>
          </w:p>
        </w:tc>
        <w:tc>
          <w:tcPr>
            <w:tcW w:type="dxa" w:w="1152"/>
          </w:tcPr>
          <w:p>
            <w:r/>
            <w:r>
              <w:rPr>
                <w:rFonts w:ascii="Calibri" w:hAnsi="Calibri"/>
                <w:b w:val="0"/>
                <w:sz w:val="18"/>
              </w:rPr>
              <w:t>1,543</w:t>
            </w:r>
          </w:p>
        </w:tc>
        <w:tc>
          <w:tcPr>
            <w:tcW w:type="dxa" w:w="1008"/>
          </w:tcPr>
          <w:p>
            <w:r/>
            <w:r>
              <w:rPr>
                <w:rFonts w:ascii="Calibri" w:hAnsi="Calibri"/>
                <w:b w:val="0"/>
                <w:sz w:val="18"/>
              </w:rPr>
              <w:t>0.85%</w:t>
            </w:r>
          </w:p>
        </w:tc>
        <w:tc>
          <w:tcPr>
            <w:tcW w:type="dxa" w:w="1152"/>
          </w:tcPr>
          <w:p>
            <w:r/>
            <w:r>
              <w:rPr>
                <w:rFonts w:ascii="Calibri" w:hAnsi="Calibri"/>
                <w:b w:val="0"/>
                <w:sz w:val="18"/>
              </w:rPr>
              <w:t>8.8</w:t>
            </w:r>
          </w:p>
        </w:tc>
        <w:tc>
          <w:tcPr>
            <w:tcW w:type="dxa" w:w="1296"/>
          </w:tcPr>
          <w:p>
            <w:r/>
            <w:r>
              <w:rPr>
                <w:rFonts w:ascii="Calibri" w:hAnsi="Calibri"/>
                <w:b w:val="0"/>
                <w:sz w:val="18"/>
              </w:rPr>
              <w:t>+2,984</w:t>
            </w:r>
          </w:p>
        </w:tc>
      </w:tr>
      <w:tr>
        <w:tc>
          <w:tcPr>
            <w:tcW w:type="dxa" w:w="2880"/>
          </w:tcPr>
          <w:p>
            <w:r/>
            <w:r>
              <w:rPr>
                <w:rFonts w:ascii="Calibri" w:hAnsi="Calibri"/>
                <w:b w:val="0"/>
                <w:sz w:val="18"/>
              </w:rPr>
              <w:t>Tempo traveller (all types)</w:t>
            </w:r>
          </w:p>
        </w:tc>
        <w:tc>
          <w:tcPr>
            <w:tcW w:type="dxa" w:w="1584"/>
          </w:tcPr>
          <w:p>
            <w:r/>
            <w:r>
              <w:rPr>
                <w:rFonts w:ascii="Calibri" w:hAnsi="Calibri"/>
                <w:b w:val="0"/>
                <w:sz w:val="18"/>
              </w:rPr>
              <w:t>116,669</w:t>
            </w:r>
          </w:p>
        </w:tc>
        <w:tc>
          <w:tcPr>
            <w:tcW w:type="dxa" w:w="1152"/>
          </w:tcPr>
          <w:p>
            <w:r/>
            <w:r>
              <w:rPr>
                <w:rFonts w:ascii="Calibri" w:hAnsi="Calibri"/>
                <w:b w:val="0"/>
                <w:sz w:val="18"/>
              </w:rPr>
              <w:t>2,048</w:t>
            </w:r>
          </w:p>
        </w:tc>
        <w:tc>
          <w:tcPr>
            <w:tcW w:type="dxa" w:w="1008"/>
          </w:tcPr>
          <w:p>
            <w:r/>
            <w:r>
              <w:rPr>
                <w:rFonts w:ascii="Calibri" w:hAnsi="Calibri"/>
                <w:b w:val="0"/>
                <w:sz w:val="18"/>
              </w:rPr>
              <w:t>1.76%</w:t>
            </w:r>
          </w:p>
        </w:tc>
        <w:tc>
          <w:tcPr>
            <w:tcW w:type="dxa" w:w="1152"/>
          </w:tcPr>
          <w:p>
            <w:r/>
            <w:r>
              <w:rPr>
                <w:rFonts w:ascii="Calibri" w:hAnsi="Calibri"/>
                <w:b w:val="0"/>
                <w:sz w:val="18"/>
              </w:rPr>
              <w:t>9.9</w:t>
            </w:r>
          </w:p>
        </w:tc>
        <w:tc>
          <w:tcPr>
            <w:tcW w:type="dxa" w:w="1296"/>
          </w:tcPr>
          <w:p>
            <w:r/>
            <w:r>
              <w:rPr>
                <w:rFonts w:ascii="Calibri" w:hAnsi="Calibri"/>
                <w:b w:val="0"/>
                <w:sz w:val="18"/>
              </w:rPr>
              <w:t>+868</w:t>
            </w:r>
          </w:p>
        </w:tc>
      </w:tr>
      <w:tr>
        <w:tc>
          <w:tcPr>
            <w:tcW w:type="dxa" w:w="2880"/>
          </w:tcPr>
          <w:p>
            <w:r/>
            <w:r>
              <w:rPr>
                <w:rFonts w:ascii="Calibri" w:hAnsi="Calibri"/>
                <w:b w:val="0"/>
                <w:sz w:val="18"/>
              </w:rPr>
              <w:t>Bus stand taxi</w:t>
            </w:r>
          </w:p>
        </w:tc>
        <w:tc>
          <w:tcPr>
            <w:tcW w:type="dxa" w:w="1584"/>
          </w:tcPr>
          <w:p>
            <w:r/>
            <w:r>
              <w:rPr>
                <w:rFonts w:ascii="Calibri" w:hAnsi="Calibri"/>
                <w:b w:val="0"/>
                <w:sz w:val="18"/>
              </w:rPr>
              <w:t>59,723</w:t>
            </w:r>
          </w:p>
        </w:tc>
        <w:tc>
          <w:tcPr>
            <w:tcW w:type="dxa" w:w="1152"/>
          </w:tcPr>
          <w:p>
            <w:r/>
            <w:r>
              <w:rPr>
                <w:rFonts w:ascii="Calibri" w:hAnsi="Calibri"/>
                <w:b w:val="0"/>
                <w:sz w:val="18"/>
              </w:rPr>
              <w:t>502</w:t>
            </w:r>
          </w:p>
        </w:tc>
        <w:tc>
          <w:tcPr>
            <w:tcW w:type="dxa" w:w="1008"/>
          </w:tcPr>
          <w:p>
            <w:r/>
            <w:r>
              <w:rPr>
                <w:rFonts w:ascii="Calibri" w:hAnsi="Calibri"/>
                <w:b w:val="0"/>
                <w:sz w:val="18"/>
              </w:rPr>
              <w:t>0.84%</w:t>
            </w:r>
          </w:p>
        </w:tc>
        <w:tc>
          <w:tcPr>
            <w:tcW w:type="dxa" w:w="1152"/>
          </w:tcPr>
          <w:p>
            <w:r/>
            <w:r>
              <w:rPr>
                <w:rFonts w:ascii="Calibri" w:hAnsi="Calibri"/>
                <w:b w:val="0"/>
                <w:sz w:val="18"/>
              </w:rPr>
              <w:t>6.8</w:t>
            </w:r>
          </w:p>
        </w:tc>
        <w:tc>
          <w:tcPr>
            <w:tcW w:type="dxa" w:w="1296"/>
          </w:tcPr>
          <w:p>
            <w:r/>
            <w:r>
              <w:rPr>
                <w:rFonts w:ascii="Calibri" w:hAnsi="Calibri"/>
                <w:b w:val="0"/>
                <w:sz w:val="18"/>
              </w:rPr>
              <w:t>+1,289</w:t>
            </w:r>
          </w:p>
        </w:tc>
      </w:tr>
      <w:tr>
        <w:tc>
          <w:tcPr>
            <w:tcW w:type="dxa" w:w="2880"/>
          </w:tcPr>
          <w:p>
            <w:r/>
            <w:r>
              <w:rPr>
                <w:rFonts w:ascii="Calibri" w:hAnsi="Calibri"/>
                <w:b w:val="0"/>
                <w:sz w:val="18"/>
              </w:rPr>
              <w:t>Sightseeing</w:t>
            </w:r>
          </w:p>
        </w:tc>
        <w:tc>
          <w:tcPr>
            <w:tcW w:type="dxa" w:w="1584"/>
          </w:tcPr>
          <w:p>
            <w:r/>
            <w:r>
              <w:rPr>
                <w:rFonts w:ascii="Calibri" w:hAnsi="Calibri"/>
                <w:b w:val="0"/>
                <w:sz w:val="18"/>
              </w:rPr>
              <w:t>47,097</w:t>
            </w:r>
          </w:p>
        </w:tc>
        <w:tc>
          <w:tcPr>
            <w:tcW w:type="dxa" w:w="1152"/>
          </w:tcPr>
          <w:p>
            <w:r/>
            <w:r>
              <w:rPr>
                <w:rFonts w:ascii="Calibri" w:hAnsi="Calibri"/>
                <w:b w:val="0"/>
                <w:sz w:val="18"/>
              </w:rPr>
              <w:t>654</w:t>
            </w:r>
          </w:p>
        </w:tc>
        <w:tc>
          <w:tcPr>
            <w:tcW w:type="dxa" w:w="1008"/>
          </w:tcPr>
          <w:p>
            <w:r/>
            <w:r>
              <w:rPr>
                <w:rFonts w:ascii="Calibri" w:hAnsi="Calibri"/>
                <w:b w:val="0"/>
                <w:sz w:val="18"/>
              </w:rPr>
              <w:t>1.39%</w:t>
            </w:r>
          </w:p>
        </w:tc>
        <w:tc>
          <w:tcPr>
            <w:tcW w:type="dxa" w:w="1152"/>
          </w:tcPr>
          <w:p>
            <w:r/>
            <w:r>
              <w:rPr>
                <w:rFonts w:ascii="Calibri" w:hAnsi="Calibri"/>
                <w:b w:val="0"/>
                <w:sz w:val="18"/>
              </w:rPr>
              <w:t>10.5</w:t>
            </w:r>
          </w:p>
        </w:tc>
        <w:tc>
          <w:tcPr>
            <w:tcW w:type="dxa" w:w="1296"/>
          </w:tcPr>
          <w:p>
            <w:r/>
            <w:r>
              <w:rPr>
                <w:rFonts w:ascii="Calibri" w:hAnsi="Calibri"/>
                <w:b w:val="0"/>
                <w:sz w:val="18"/>
              </w:rPr>
              <w:t>+758</w:t>
            </w:r>
          </w:p>
        </w:tc>
      </w:tr>
      <w:tr>
        <w:tc>
          <w:tcPr>
            <w:tcW w:type="dxa" w:w="2880"/>
          </w:tcPr>
          <w:p>
            <w:r/>
            <w:r>
              <w:rPr>
                <w:rFonts w:ascii="Calibri" w:hAnsi="Calibri"/>
                <w:b w:val="0"/>
                <w:sz w:val="18"/>
              </w:rPr>
              <w:t>Airport service</w:t>
            </w:r>
          </w:p>
        </w:tc>
        <w:tc>
          <w:tcPr>
            <w:tcW w:type="dxa" w:w="1584"/>
          </w:tcPr>
          <w:p>
            <w:r/>
            <w:r>
              <w:rPr>
                <w:rFonts w:ascii="Calibri" w:hAnsi="Calibri"/>
                <w:b w:val="0"/>
                <w:sz w:val="18"/>
              </w:rPr>
              <w:t>44,563</w:t>
            </w:r>
          </w:p>
        </w:tc>
        <w:tc>
          <w:tcPr>
            <w:tcW w:type="dxa" w:w="1152"/>
          </w:tcPr>
          <w:p>
            <w:r/>
            <w:r>
              <w:rPr>
                <w:rFonts w:ascii="Calibri" w:hAnsi="Calibri"/>
                <w:b w:val="0"/>
                <w:sz w:val="18"/>
              </w:rPr>
              <w:t>361</w:t>
            </w:r>
          </w:p>
        </w:tc>
        <w:tc>
          <w:tcPr>
            <w:tcW w:type="dxa" w:w="1008"/>
          </w:tcPr>
          <w:p>
            <w:r/>
            <w:r>
              <w:rPr>
                <w:rFonts w:ascii="Calibri" w:hAnsi="Calibri"/>
                <w:b w:val="0"/>
                <w:sz w:val="18"/>
              </w:rPr>
              <w:t>0.81%</w:t>
            </w:r>
          </w:p>
        </w:tc>
        <w:tc>
          <w:tcPr>
            <w:tcW w:type="dxa" w:w="1152"/>
          </w:tcPr>
          <w:p>
            <w:r/>
            <w:r>
              <w:rPr>
                <w:rFonts w:ascii="Calibri" w:hAnsi="Calibri"/>
                <w:b w:val="0"/>
                <w:sz w:val="18"/>
              </w:rPr>
              <w:t>20.0</w:t>
            </w:r>
          </w:p>
        </w:tc>
        <w:tc>
          <w:tcPr>
            <w:tcW w:type="dxa" w:w="1296"/>
          </w:tcPr>
          <w:p>
            <w:r/>
            <w:r>
              <w:rPr>
                <w:rFonts w:ascii="Calibri" w:hAnsi="Calibri"/>
                <w:b w:val="0"/>
                <w:sz w:val="18"/>
              </w:rPr>
              <w:t>+975</w:t>
            </w:r>
          </w:p>
        </w:tc>
      </w:tr>
      <w:tr>
        <w:tc>
          <w:tcPr>
            <w:tcW w:type="dxa" w:w="2880"/>
          </w:tcPr>
          <w:p>
            <w:r/>
            <w:r>
              <w:rPr>
                <w:rFonts w:ascii="Calibri" w:hAnsi="Calibri"/>
                <w:b w:val="0"/>
                <w:sz w:val="18"/>
              </w:rPr>
              <w:t>Taxi fare</w:t>
            </w:r>
          </w:p>
        </w:tc>
        <w:tc>
          <w:tcPr>
            <w:tcW w:type="dxa" w:w="1584"/>
          </w:tcPr>
          <w:p>
            <w:r/>
            <w:r>
              <w:rPr>
                <w:rFonts w:ascii="Calibri" w:hAnsi="Calibri"/>
                <w:b w:val="0"/>
                <w:sz w:val="18"/>
              </w:rPr>
              <w:t>42,963</w:t>
            </w:r>
          </w:p>
        </w:tc>
        <w:tc>
          <w:tcPr>
            <w:tcW w:type="dxa" w:w="1152"/>
          </w:tcPr>
          <w:p>
            <w:r/>
            <w:r>
              <w:rPr>
                <w:rFonts w:ascii="Calibri" w:hAnsi="Calibri"/>
                <w:b w:val="0"/>
                <w:sz w:val="18"/>
              </w:rPr>
              <w:t>334</w:t>
            </w:r>
          </w:p>
        </w:tc>
        <w:tc>
          <w:tcPr>
            <w:tcW w:type="dxa" w:w="1008"/>
          </w:tcPr>
          <w:p>
            <w:r/>
            <w:r>
              <w:rPr>
                <w:rFonts w:ascii="Calibri" w:hAnsi="Calibri"/>
                <w:b w:val="0"/>
                <w:sz w:val="18"/>
              </w:rPr>
              <w:t>0.78%</w:t>
            </w:r>
          </w:p>
        </w:tc>
        <w:tc>
          <w:tcPr>
            <w:tcW w:type="dxa" w:w="1152"/>
          </w:tcPr>
          <w:p>
            <w:r/>
            <w:r>
              <w:rPr>
                <w:rFonts w:ascii="Calibri" w:hAnsi="Calibri"/>
                <w:b w:val="0"/>
                <w:sz w:val="18"/>
              </w:rPr>
              <w:t>8.7</w:t>
            </w:r>
          </w:p>
        </w:tc>
        <w:tc>
          <w:tcPr>
            <w:tcW w:type="dxa" w:w="1296"/>
          </w:tcPr>
          <w:p>
            <w:r/>
            <w:r>
              <w:rPr>
                <w:rFonts w:ascii="Calibri" w:hAnsi="Calibri"/>
                <w:b w:val="0"/>
                <w:sz w:val="18"/>
              </w:rPr>
              <w:t>+954</w:t>
            </w:r>
          </w:p>
        </w:tc>
      </w:tr>
      <w:tr>
        <w:tc>
          <w:tcPr>
            <w:tcW w:type="dxa" w:w="2880"/>
          </w:tcPr>
          <w:p>
            <w:r/>
            <w:r>
              <w:rPr>
                <w:rFonts w:ascii="Calibri" w:hAnsi="Calibri"/>
                <w:b w:val="0"/>
                <w:sz w:val="18"/>
              </w:rPr>
              <w:t>City hub pages</w:t>
            </w:r>
          </w:p>
        </w:tc>
        <w:tc>
          <w:tcPr>
            <w:tcW w:type="dxa" w:w="1584"/>
          </w:tcPr>
          <w:p>
            <w:r/>
            <w:r>
              <w:rPr>
                <w:rFonts w:ascii="Calibri" w:hAnsi="Calibri"/>
                <w:b w:val="0"/>
                <w:sz w:val="18"/>
              </w:rPr>
              <w:t>81,095</w:t>
            </w:r>
          </w:p>
        </w:tc>
        <w:tc>
          <w:tcPr>
            <w:tcW w:type="dxa" w:w="1152"/>
          </w:tcPr>
          <w:p>
            <w:r/>
            <w:r>
              <w:rPr>
                <w:rFonts w:ascii="Calibri" w:hAnsi="Calibri"/>
                <w:b w:val="0"/>
                <w:sz w:val="18"/>
              </w:rPr>
              <w:t>1,186</w:t>
            </w:r>
          </w:p>
        </w:tc>
        <w:tc>
          <w:tcPr>
            <w:tcW w:type="dxa" w:w="1008"/>
          </w:tcPr>
          <w:p>
            <w:r/>
            <w:r>
              <w:rPr>
                <w:rFonts w:ascii="Calibri" w:hAnsi="Calibri"/>
                <w:b w:val="0"/>
                <w:sz w:val="18"/>
              </w:rPr>
              <w:t>1.46%</w:t>
            </w:r>
          </w:p>
        </w:tc>
        <w:tc>
          <w:tcPr>
            <w:tcW w:type="dxa" w:w="1152"/>
          </w:tcPr>
          <w:p>
            <w:r/>
            <w:r>
              <w:rPr>
                <w:rFonts w:ascii="Calibri" w:hAnsi="Calibri"/>
                <w:b w:val="0"/>
                <w:sz w:val="18"/>
              </w:rPr>
              <w:t>22.3</w:t>
            </w:r>
          </w:p>
        </w:tc>
        <w:tc>
          <w:tcPr>
            <w:tcW w:type="dxa" w:w="1296"/>
          </w:tcPr>
          <w:p>
            <w:r/>
            <w:r>
              <w:rPr>
                <w:rFonts w:ascii="Calibri" w:hAnsi="Calibri"/>
                <w:b w:val="0"/>
                <w:sz w:val="18"/>
              </w:rPr>
              <w:t>+841</w:t>
            </w:r>
          </w:p>
        </w:tc>
      </w:tr>
      <w:tr>
        <w:tc>
          <w:tcPr>
            <w:tcW w:type="dxa" w:w="2880"/>
          </w:tcPr>
          <w:p>
            <w:r/>
            <w:r>
              <w:rPr>
                <w:rFonts w:ascii="Calibri" w:hAnsi="Calibri"/>
                <w:b w:val="0"/>
                <w:sz w:val="18"/>
              </w:rPr>
              <w:t>Local taxi</w:t>
            </w:r>
          </w:p>
        </w:tc>
        <w:tc>
          <w:tcPr>
            <w:tcW w:type="dxa" w:w="1584"/>
          </w:tcPr>
          <w:p>
            <w:r/>
            <w:r>
              <w:rPr>
                <w:rFonts w:ascii="Calibri" w:hAnsi="Calibri"/>
                <w:b w:val="0"/>
                <w:sz w:val="18"/>
              </w:rPr>
              <w:t>20,809</w:t>
            </w:r>
          </w:p>
        </w:tc>
        <w:tc>
          <w:tcPr>
            <w:tcW w:type="dxa" w:w="1152"/>
          </w:tcPr>
          <w:p>
            <w:r/>
            <w:r>
              <w:rPr>
                <w:rFonts w:ascii="Calibri" w:hAnsi="Calibri"/>
                <w:b w:val="0"/>
                <w:sz w:val="18"/>
              </w:rPr>
              <w:t>336</w:t>
            </w:r>
          </w:p>
        </w:tc>
        <w:tc>
          <w:tcPr>
            <w:tcW w:type="dxa" w:w="1008"/>
          </w:tcPr>
          <w:p>
            <w:r/>
            <w:r>
              <w:rPr>
                <w:rFonts w:ascii="Calibri" w:hAnsi="Calibri"/>
                <w:b w:val="0"/>
                <w:sz w:val="18"/>
              </w:rPr>
              <w:t>1.61%</w:t>
            </w:r>
          </w:p>
        </w:tc>
        <w:tc>
          <w:tcPr>
            <w:tcW w:type="dxa" w:w="1152"/>
          </w:tcPr>
          <w:p>
            <w:r/>
            <w:r>
              <w:rPr>
                <w:rFonts w:ascii="Calibri" w:hAnsi="Calibri"/>
                <w:b w:val="0"/>
                <w:sz w:val="18"/>
              </w:rPr>
              <w:t>14.3</w:t>
            </w:r>
          </w:p>
        </w:tc>
        <w:tc>
          <w:tcPr>
            <w:tcW w:type="dxa" w:w="1296"/>
          </w:tcPr>
          <w:p>
            <w:r/>
            <w:r>
              <w:rPr>
                <w:rFonts w:ascii="Calibri" w:hAnsi="Calibri"/>
                <w:b w:val="0"/>
                <w:sz w:val="18"/>
              </w:rPr>
              <w:t>+288</w:t>
            </w:r>
          </w:p>
        </w:tc>
      </w:tr>
      <w:tr>
        <w:tc>
          <w:tcPr>
            <w:tcW w:type="dxa" w:w="2880"/>
            <w:shd w:val="clear" w:color="auto" w:fill="F2F2F2"/>
          </w:tcPr>
          <w:p>
            <w:r/>
            <w:r>
              <w:rPr>
                <w:rFonts w:ascii="Calibri" w:hAnsi="Calibri"/>
                <w:b/>
                <w:sz w:val="18"/>
              </w:rPr>
              <w:t>TOTAL — 331 pages</w:t>
            </w:r>
          </w:p>
        </w:tc>
        <w:tc>
          <w:tcPr>
            <w:tcW w:type="dxa" w:w="1584"/>
            <w:shd w:val="clear" w:color="auto" w:fill="F2F2F2"/>
          </w:tcPr>
          <w:p>
            <w:r/>
            <w:r>
              <w:rPr>
                <w:rFonts w:ascii="Calibri" w:hAnsi="Calibri"/>
                <w:b/>
                <w:sz w:val="18"/>
              </w:rPr>
              <w:t>679,839</w:t>
            </w:r>
          </w:p>
        </w:tc>
        <w:tc>
          <w:tcPr>
            <w:tcW w:type="dxa" w:w="1152"/>
            <w:shd w:val="clear" w:color="auto" w:fill="F2F2F2"/>
          </w:tcPr>
          <w:p>
            <w:r/>
            <w:r>
              <w:rPr>
                <w:rFonts w:ascii="Calibri" w:hAnsi="Calibri"/>
                <w:b/>
                <w:sz w:val="18"/>
              </w:rPr>
              <w:t>8,017</w:t>
            </w:r>
          </w:p>
        </w:tc>
        <w:tc>
          <w:tcPr>
            <w:tcW w:type="dxa" w:w="1008"/>
            <w:shd w:val="clear" w:color="auto" w:fill="F2F2F2"/>
          </w:tcPr>
          <w:p>
            <w:r/>
            <w:r>
              <w:rPr>
                <w:rFonts w:ascii="Calibri" w:hAnsi="Calibri"/>
                <w:b/>
                <w:sz w:val="18"/>
              </w:rPr>
              <w:t>1.18%</w:t>
            </w:r>
          </w:p>
        </w:tc>
        <w:tc>
          <w:tcPr>
            <w:tcW w:type="dxa" w:w="1152"/>
            <w:shd w:val="clear" w:color="auto" w:fill="F2F2F2"/>
          </w:tcPr>
          <w:p>
            <w:r/>
            <w:r>
              <w:rPr>
                <w:rFonts w:ascii="Calibri" w:hAnsi="Calibri"/>
                <w:b/>
                <w:sz w:val="18"/>
              </w:rPr>
            </w:r>
          </w:p>
        </w:tc>
        <w:tc>
          <w:tcPr>
            <w:tcW w:type="dxa" w:w="1296"/>
            <w:shd w:val="clear" w:color="auto" w:fill="F2F2F2"/>
          </w:tcPr>
          <w:p>
            <w:r/>
            <w:r>
              <w:rPr>
                <w:rFonts w:ascii="Calibri" w:hAnsi="Calibri"/>
                <w:b/>
                <w:sz w:val="18"/>
              </w:rPr>
              <w:t>+10,478</w:t>
            </w:r>
          </w:p>
        </w:tc>
      </w:tr>
    </w:tbl>
    <w:p>
      <w:pPr>
        <w:spacing w:after="40"/>
      </w:pPr>
    </w:p>
    <w:p>
      <w:pPr>
        <w:spacing w:after="120" w:before="0"/>
      </w:pPr>
      <w:r>
        <w:rPr>
          <w:rFonts w:ascii="Calibri" w:hAnsi="Calibri"/>
          <w:b w:val="0"/>
          <w:i w:val="0"/>
          <w:sz w:val="21"/>
        </w:rPr>
        <w:t>Roughly +10,500 additional clicks a quarter, all of it booking-intent traffic. Someone searching for a taxi at a railway station is not browsing — they are standing there with luggage.</w:t>
      </w:r>
    </w:p>
    <w:p>
      <w:pPr>
        <w:spacing w:before="360" w:after="160"/>
        <w:pBdr>
          <w:bottom w:val="single" w:sz="6" w:space="2" w:color="B16A00"/>
        </w:pBdr>
      </w:pPr>
      <w:r>
        <w:rPr>
          <w:rFonts w:ascii="Calibri" w:hAnsi="Calibri"/>
          <w:b/>
          <w:color w:val="122A4A"/>
          <w:sz w:val="34"/>
        </w:rPr>
        <w:t>Three different problems, not one</w:t>
      </w:r>
    </w:p>
    <w:p>
      <w:pPr>
        <w:spacing w:before="240" w:after="80"/>
      </w:pPr>
      <w:r>
        <w:rPr>
          <w:rFonts w:ascii="Calibri" w:hAnsi="Calibri"/>
          <w:b/>
          <w:color w:val="B16A00"/>
          <w:sz w:val="25"/>
        </w:rPr>
        <w:t>1. Ranks well, does not get clicked — fixable this week</w:t>
      </w:r>
    </w:p>
    <w:p>
      <w:pPr>
        <w:spacing w:after="120" w:before="0"/>
      </w:pPr>
      <w:r>
        <w:rPr>
          <w:rFonts w:ascii="Calibri" w:hAnsi="Calibri"/>
          <w:b w:val="0"/>
          <w:i w:val="0"/>
          <w:sz w:val="21"/>
        </w:rPr>
        <w:t>Railway station pages rank 5.9. Bus stand pages rank 6.8. One page sits at position 4.5 and converts at 0.58%, where 8% would be normal. These pages are already being seen; they are simply not being chosen. That is fixable in days, not quarters.</w:t>
      </w:r>
    </w:p>
    <w:p>
      <w:pPr>
        <w:spacing w:before="240" w:after="80"/>
      </w:pPr>
      <w:r>
        <w:rPr>
          <w:rFonts w:ascii="Calibri" w:hAnsi="Calibri"/>
          <w:b/>
          <w:color w:val="B16A00"/>
          <w:sz w:val="25"/>
        </w:rPr>
        <w:t>2. Does not rank at all — months, not days</w:t>
      </w:r>
    </w:p>
    <w:p>
      <w:pPr>
        <w:spacing w:after="120" w:before="0"/>
      </w:pPr>
      <w:r>
        <w:rPr>
          <w:rFonts w:ascii="Calibri" w:hAnsi="Calibri"/>
          <w:b w:val="0"/>
          <w:i w:val="0"/>
          <w:sz w:val="21"/>
        </w:rPr>
        <w:t>Airport service averages position 20. City hub pages average 22 — Dehradun sits at 38, Varanasi at 32. A city hub is the page that should own "cab service in Dehradun", the most valuable query in that city, and it is on page four. This needs content depth and authority, and it will not show inside Week 44.</w:t>
      </w:r>
    </w:p>
    <w:p>
      <w:pPr>
        <w:spacing w:before="240" w:after="80"/>
      </w:pPr>
      <w:r>
        <w:rPr>
          <w:rFonts w:ascii="Calibri" w:hAnsi="Calibri"/>
          <w:b/>
          <w:color w:val="B16A00"/>
          <w:sz w:val="25"/>
        </w:rPr>
        <w:t>3. May be aimed at the wrong customer — settle before spending</w:t>
      </w:r>
    </w:p>
    <w:p>
      <w:pPr>
        <w:spacing w:after="120" w:before="0"/>
      </w:pPr>
      <w:r>
        <w:rPr>
          <w:rFonts w:ascii="Calibri" w:hAnsi="Calibri"/>
          <w:b w:val="0"/>
          <w:i w:val="0"/>
          <w:sz w:val="21"/>
        </w:rPr>
        <w:t>Bus pages are the largest block at 181,099 impressions, and one ranks sixth while converting at 0.17%. That is the signature of an answer nobody wanted. Someone searching "Delhi to Mussoorie bus" probably wants a ticket and a timetable; we charter 22 to 56 seater buses. If that is what is happening, no rewrite rescues those pages and they should be repositioned toward group charter instead. This must be confirmed before a rupee is spent on them.</w:t>
      </w:r>
    </w:p>
    <w:p>
      <w:pPr>
        <w:spacing w:before="360" w:after="160"/>
        <w:pBdr>
          <w:bottom w:val="single" w:sz="6" w:space="2" w:color="B16A00"/>
        </w:pBdr>
      </w:pPr>
      <w:r>
        <w:rPr>
          <w:rFonts w:ascii="Calibri" w:hAnsi="Calibri"/>
          <w:b/>
          <w:color w:val="122A4A"/>
          <w:sz w:val="34"/>
        </w:rPr>
        <w:t>Covering all 3,392 pages</w:t>
      </w:r>
    </w:p>
    <w:p>
      <w:pPr>
        <w:spacing w:after="120" w:before="0"/>
      </w:pPr>
      <w:r>
        <w:rPr>
          <w:rFonts w:ascii="Calibri" w:hAnsi="Calibri"/>
          <w:b w:val="0"/>
          <w:i w:val="0"/>
          <w:sz w:val="22"/>
        </w:rPr>
        <w:t>The brief is the whole site, and that is right. Two facts shape how it is done.</w:t>
      </w:r>
    </w:p>
    <w:p>
      <w:pPr>
        <w:spacing w:after="120" w:before="0"/>
      </w:pPr>
      <w:r>
        <w:rPr>
          <w:rFonts w:ascii="Calibri" w:hAnsi="Calibri"/>
          <w:b w:val="0"/>
          <w:i w:val="0"/>
          <w:sz w:val="21"/>
        </w:rPr>
        <w:t>First, the site is template-driven, and that is its great advantage. In Week 43 a single change corrected 906 page titles at once; another corrected every fare on the site. Fixing a template covers every page of that type automatically — all 269 tempo pages, not only the 108 with measurable traffic. Full coverage is achieved through the template layer, and that is how this plan is built.</w:t>
      </w:r>
    </w:p>
    <w:p>
      <w:pPr>
        <w:spacing w:after="80" w:before="0"/>
      </w:pPr>
      <w:r>
        <w:rPr>
          <w:rFonts w:ascii="Calibri" w:hAnsi="Calibri"/>
          <w:b w:val="0"/>
          <w:i w:val="0"/>
          <w:sz w:val="21"/>
        </w:rPr>
        <w:t>Second, and less comfortable: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color="auto" w:fill="122A4A"/>
          </w:tcPr>
          <w:p>
            <w:r/>
            <w:r>
              <w:rPr>
                <w:rFonts w:ascii="Calibri" w:hAnsi="Calibri"/>
                <w:b/>
                <w:color w:val="FFFFFF"/>
                <w:sz w:val="19"/>
              </w:rPr>
            </w:r>
          </w:p>
        </w:tc>
        <w:tc>
          <w:tcPr>
            <w:tcW w:type="dxa" w:w="1584"/>
            <w:shd w:val="clear" w:color="auto" w:fill="122A4A"/>
          </w:tcPr>
          <w:p>
            <w:r/>
            <w:r>
              <w:rPr>
                <w:rFonts w:ascii="Calibri" w:hAnsi="Calibri"/>
                <w:b/>
                <w:color w:val="FFFFFF"/>
                <w:sz w:val="19"/>
              </w:rPr>
              <w:t>Pages</w:t>
            </w:r>
          </w:p>
        </w:tc>
        <w:tc>
          <w:tcPr>
            <w:tcW w:type="dxa" w:w="2160"/>
            <w:shd w:val="clear" w:color="auto" w:fill="122A4A"/>
          </w:tcPr>
          <w:p>
            <w:r/>
            <w:r>
              <w:rPr>
                <w:rFonts w:ascii="Calibri" w:hAnsi="Calibri"/>
                <w:b/>
                <w:color w:val="FFFFFF"/>
                <w:sz w:val="19"/>
              </w:rPr>
              <w:t>Impressions</w:t>
            </w:r>
          </w:p>
        </w:tc>
        <w:tc>
          <w:tcPr>
            <w:tcW w:type="dxa" w:w="2160"/>
            <w:shd w:val="clear" w:color="auto" w:fill="122A4A"/>
          </w:tcPr>
          <w:p>
            <w:r/>
            <w:r>
              <w:rPr>
                <w:rFonts w:ascii="Calibri" w:hAnsi="Calibri"/>
                <w:b/>
                <w:color w:val="FFFFFF"/>
                <w:sz w:val="19"/>
              </w:rPr>
              <w:t>Share of visibility</w:t>
            </w:r>
          </w:p>
        </w:tc>
      </w:tr>
      <w:tr>
        <w:tc>
          <w:tcPr>
            <w:tcW w:type="dxa" w:w="2736"/>
          </w:tcPr>
          <w:p>
            <w:r/>
            <w:r>
              <w:rPr>
                <w:rFonts w:ascii="Calibri" w:hAnsi="Calibri"/>
                <w:b w:val="0"/>
                <w:sz w:val="18"/>
              </w:rPr>
              <w:t>Top 1,000 pages</w:t>
            </w:r>
          </w:p>
        </w:tc>
        <w:tc>
          <w:tcPr>
            <w:tcW w:type="dxa" w:w="1584"/>
          </w:tcPr>
          <w:p>
            <w:r/>
            <w:r>
              <w:rPr>
                <w:rFonts w:ascii="Calibri" w:hAnsi="Calibri"/>
                <w:b w:val="0"/>
                <w:sz w:val="18"/>
              </w:rPr>
              <w:t>1,000</w:t>
            </w:r>
          </w:p>
        </w:tc>
        <w:tc>
          <w:tcPr>
            <w:tcW w:type="dxa" w:w="2160"/>
          </w:tcPr>
          <w:p>
            <w:r/>
            <w:r>
              <w:rPr>
                <w:rFonts w:ascii="Calibri" w:hAnsi="Calibri"/>
                <w:b w:val="0"/>
                <w:sz w:val="18"/>
              </w:rPr>
              <w:t>6,805,696</w:t>
            </w:r>
          </w:p>
        </w:tc>
        <w:tc>
          <w:tcPr>
            <w:tcW w:type="dxa" w:w="2160"/>
          </w:tcPr>
          <w:p>
            <w:r/>
            <w:r>
              <w:rPr>
                <w:rFonts w:ascii="Calibri" w:hAnsi="Calibri"/>
                <w:b w:val="0"/>
                <w:sz w:val="18"/>
              </w:rPr>
              <w:t>99.2%</w:t>
            </w:r>
          </w:p>
        </w:tc>
      </w:tr>
      <w:tr>
        <w:tc>
          <w:tcPr>
            <w:tcW w:type="dxa" w:w="2736"/>
          </w:tcPr>
          <w:p>
            <w:r/>
            <w:r>
              <w:rPr>
                <w:rFonts w:ascii="Calibri" w:hAnsi="Calibri"/>
                <w:b w:val="0"/>
                <w:sz w:val="18"/>
              </w:rPr>
              <w:t>Every other page</w:t>
            </w:r>
          </w:p>
        </w:tc>
        <w:tc>
          <w:tcPr>
            <w:tcW w:type="dxa" w:w="1584"/>
          </w:tcPr>
          <w:p>
            <w:r/>
            <w:r>
              <w:rPr>
                <w:rFonts w:ascii="Calibri" w:hAnsi="Calibri"/>
                <w:b w:val="0"/>
                <w:sz w:val="18"/>
              </w:rPr>
              <w:t>~2,392</w:t>
            </w:r>
          </w:p>
        </w:tc>
        <w:tc>
          <w:tcPr>
            <w:tcW w:type="dxa" w:w="2160"/>
          </w:tcPr>
          <w:p>
            <w:r/>
            <w:r>
              <w:rPr>
                <w:rFonts w:ascii="Calibri" w:hAnsi="Calibri"/>
                <w:b w:val="0"/>
                <w:sz w:val="18"/>
              </w:rPr>
              <w:t>58,236</w:t>
            </w:r>
          </w:p>
        </w:tc>
        <w:tc>
          <w:tcPr>
            <w:tcW w:type="dxa" w:w="2160"/>
          </w:tcPr>
          <w:p>
            <w:r/>
            <w:r>
              <w:rPr>
                <w:rFonts w:ascii="Calibri" w:hAnsi="Calibri"/>
                <w:b w:val="0"/>
                <w:sz w:val="18"/>
              </w:rPr>
              <w:t>0.8%</w:t>
            </w:r>
          </w:p>
        </w:tc>
      </w:tr>
    </w:tbl>
    <w:p>
      <w:pPr>
        <w:spacing w:after="40"/>
      </w:pPr>
    </w:p>
    <w:p>
      <w:pPr>
        <w:spacing w:after="120" w:before="0"/>
      </w:pPr>
      <w:r>
        <w:rPr>
          <w:rFonts w:ascii="Calibri" w:hAnsi="Calibri"/>
          <w:b w:val="0"/>
          <w:i w:val="0"/>
          <w:sz w:val="21"/>
        </w:rPr>
        <w:t>Seventy-one per cent of the pages produce eight-tenths of one per cent of the visibility — fewer than 16 impressions each per quarter, about one every six days. Optimising a page nobody can find does not create traffic. Those pages need a different question: not "how do we improve this" but "why can this not be found".</w:t>
      </w:r>
    </w:p>
    <w:p>
      <w:pPr>
        <w:spacing w:before="360" w:after="160"/>
        <w:pBdr>
          <w:bottom w:val="single" w:sz="6" w:space="2" w:color="B16A00"/>
        </w:pBdr>
      </w:pPr>
      <w:r>
        <w:rPr>
          <w:rFonts w:ascii="Calibri" w:hAnsi="Calibri"/>
          <w:b/>
          <w:color w:val="122A4A"/>
          <w:sz w:val="34"/>
        </w:rPr>
        <w:t>The 777 vehicle pages — a correction</w:t>
      </w:r>
    </w:p>
    <w:p>
      <w:pPr>
        <w:spacing w:after="120" w:before="0"/>
      </w:pPr>
      <w:r>
        <w:rPr>
          <w:rFonts w:ascii="Calibri" w:hAnsi="Calibri"/>
          <w:b w:val="0"/>
          <w:i w:val="0"/>
          <w:sz w:val="22"/>
        </w:rPr>
        <w:t>An earlier draft of this plan called the three vehicle templates the biggest duplication problem on the site and recommended consolidating 777 pages down to 259. That recommendation is withdrawn, and the reason matters.</w:t>
      </w:r>
    </w:p>
    <w:p>
      <w:pPr>
        <w:spacing w:after="120" w:before="0"/>
      </w:pPr>
      <w:r>
        <w:rPr>
          <w:rFonts w:ascii="Calibri" w:hAnsi="Calibri"/>
          <w:b w:val="0"/>
          <w:i w:val="0"/>
          <w:sz w:val="21"/>
        </w:rPr>
        <w:t>The structural fact is real: Tempo Traveller, Force Urbania and Maharaja Tempo Traveller cover exactly the same 259 cities and routes.</w:t>
      </w:r>
    </w:p>
    <w:tbl>
      <w:tblPr>
        <w:tblStyle w:val="TableGrid"/>
        <w:tblW w:type="auto" w:w="0"/>
        <w:jc w:val="center"/>
        <w:tblLook w:firstColumn="1" w:firstRow="1" w:lastColumn="0" w:lastRow="0" w:noHBand="0" w:noVBand="1" w:val="04A0"/>
      </w:tblPr>
      <w:tblGrid>
        <w:gridCol w:w="3264"/>
        <w:gridCol w:w="3264"/>
        <w:gridCol w:w="3264"/>
      </w:tblGrid>
      <w:tr>
        <w:tc>
          <w:tcPr>
            <w:tcW w:type="dxa" w:w="3744"/>
            <w:shd w:val="clear" w:color="auto" w:fill="122A4A"/>
          </w:tcPr>
          <w:p>
            <w:r/>
            <w:r>
              <w:rPr>
                <w:rFonts w:ascii="Calibri" w:hAnsi="Calibri"/>
                <w:b/>
                <w:color w:val="FFFFFF"/>
                <w:sz w:val="19"/>
              </w:rPr>
              <w:t>Template</w:t>
            </w:r>
          </w:p>
        </w:tc>
        <w:tc>
          <w:tcPr>
            <w:tcW w:type="dxa" w:w="2304"/>
            <w:shd w:val="clear" w:color="auto" w:fill="122A4A"/>
          </w:tcPr>
          <w:p>
            <w:r/>
            <w:r>
              <w:rPr>
                <w:rFonts w:ascii="Calibri" w:hAnsi="Calibri"/>
                <w:b/>
                <w:color w:val="FFFFFF"/>
                <w:sz w:val="19"/>
              </w:rPr>
              <w:t>Pages built</w:t>
            </w:r>
          </w:p>
        </w:tc>
        <w:tc>
          <w:tcPr>
            <w:tcW w:type="dxa" w:w="3024"/>
            <w:shd w:val="clear" w:color="auto" w:fill="122A4A"/>
          </w:tcPr>
          <w:p>
            <w:r/>
            <w:r>
              <w:rPr>
                <w:rFonts w:ascii="Calibri" w:hAnsi="Calibri"/>
                <w:b/>
                <w:color w:val="FFFFFF"/>
                <w:sz w:val="19"/>
              </w:rPr>
              <w:t>Pages with measured traffic</w:t>
            </w:r>
          </w:p>
        </w:tc>
      </w:tr>
      <w:tr>
        <w:tc>
          <w:tcPr>
            <w:tcW w:type="dxa" w:w="3744"/>
          </w:tcPr>
          <w:p>
            <w:r/>
            <w:r>
              <w:rPr>
                <w:rFonts w:ascii="Calibri" w:hAnsi="Calibri"/>
                <w:b w:val="0"/>
                <w:sz w:val="18"/>
              </w:rPr>
              <w:t>Tempo Traveller</w:t>
            </w:r>
          </w:p>
        </w:tc>
        <w:tc>
          <w:tcPr>
            <w:tcW w:type="dxa" w:w="2304"/>
          </w:tcPr>
          <w:p>
            <w:r/>
            <w:r>
              <w:rPr>
                <w:rFonts w:ascii="Calibri" w:hAnsi="Calibri"/>
                <w:b w:val="0"/>
                <w:sz w:val="18"/>
              </w:rPr>
              <w:t>269</w:t>
            </w:r>
          </w:p>
        </w:tc>
        <w:tc>
          <w:tcPr>
            <w:tcW w:type="dxa" w:w="3024"/>
          </w:tcPr>
          <w:p>
            <w:r/>
            <w:r>
              <w:rPr>
                <w:rFonts w:ascii="Calibri" w:hAnsi="Calibri"/>
                <w:b w:val="0"/>
                <w:sz w:val="18"/>
              </w:rPr>
              <w:t>108</w:t>
            </w:r>
          </w:p>
        </w:tc>
      </w:tr>
      <w:tr>
        <w:tc>
          <w:tcPr>
            <w:tcW w:type="dxa" w:w="3744"/>
          </w:tcPr>
          <w:p>
            <w:r/>
            <w:r>
              <w:rPr>
                <w:rFonts w:ascii="Calibri" w:hAnsi="Calibri"/>
                <w:b w:val="0"/>
                <w:sz w:val="18"/>
              </w:rPr>
              <w:t>Force Urbania</w:t>
            </w:r>
          </w:p>
        </w:tc>
        <w:tc>
          <w:tcPr>
            <w:tcW w:type="dxa" w:w="2304"/>
          </w:tcPr>
          <w:p>
            <w:r/>
            <w:r>
              <w:rPr>
                <w:rFonts w:ascii="Calibri" w:hAnsi="Calibri"/>
                <w:b w:val="0"/>
                <w:sz w:val="18"/>
              </w:rPr>
              <w:t>259</w:t>
            </w:r>
          </w:p>
        </w:tc>
        <w:tc>
          <w:tcPr>
            <w:tcW w:type="dxa" w:w="3024"/>
          </w:tcPr>
          <w:p>
            <w:r/>
            <w:r>
              <w:rPr>
                <w:rFonts w:ascii="Calibri" w:hAnsi="Calibri"/>
                <w:b w:val="0"/>
                <w:sz w:val="18"/>
              </w:rPr>
              <w:t>0</w:t>
            </w:r>
          </w:p>
        </w:tc>
      </w:tr>
      <w:tr>
        <w:tc>
          <w:tcPr>
            <w:tcW w:type="dxa" w:w="3744"/>
          </w:tcPr>
          <w:p>
            <w:r/>
            <w:r>
              <w:rPr>
                <w:rFonts w:ascii="Calibri" w:hAnsi="Calibri"/>
                <w:b w:val="0"/>
                <w:sz w:val="18"/>
              </w:rPr>
              <w:t>Maharaja Tempo Traveller</w:t>
            </w:r>
          </w:p>
        </w:tc>
        <w:tc>
          <w:tcPr>
            <w:tcW w:type="dxa" w:w="2304"/>
          </w:tcPr>
          <w:p>
            <w:r/>
            <w:r>
              <w:rPr>
                <w:rFonts w:ascii="Calibri" w:hAnsi="Calibri"/>
                <w:b w:val="0"/>
                <w:sz w:val="18"/>
              </w:rPr>
              <w:t>259</w:t>
            </w:r>
          </w:p>
        </w:tc>
        <w:tc>
          <w:tcPr>
            <w:tcW w:type="dxa" w:w="3024"/>
          </w:tcPr>
          <w:p>
            <w:r/>
            <w:r>
              <w:rPr>
                <w:rFonts w:ascii="Calibri" w:hAnsi="Calibri"/>
                <w:b w:val="0"/>
                <w:sz w:val="18"/>
              </w:rPr>
              <w:t>0</w:t>
            </w:r>
          </w:p>
        </w:tc>
      </w:tr>
    </w:tbl>
    <w:p>
      <w:pPr>
        <w:spacing w:after="40"/>
      </w:pPr>
    </w:p>
    <w:p>
      <w:pPr>
        <w:spacing w:after="120" w:before="0"/>
      </w:pPr>
      <w:r>
        <w:rPr>
          <w:rFonts w:ascii="Calibri" w:hAnsi="Calibri"/>
          <w:b w:val="0"/>
          <w:i w:val="0"/>
          <w:sz w:val="21"/>
        </w:rPr>
        <w:t>Those zeros were read as Google picking one template and discarding the other two. They mean nothing of the sort. The Search Console data runs to 18 August; both templates went live around three days ago. They did not exist when the data was collected. A page cannot appear in measurements taken before it was published.</w:t>
      </w:r>
    </w:p>
    <w:p>
      <w:pPr>
        <w:spacing w:after="120" w:before="0"/>
      </w:pPr>
      <w:r>
        <w:rPr>
          <w:rFonts w:ascii="Calibri" w:hAnsi="Calibri"/>
          <w:b w:val="0"/>
          <w:i w:val="0"/>
          <w:sz w:val="21"/>
        </w:rPr>
        <w:t>The same error invalidated a second conclusion — that nobody searches for "Force Urbania" or "Maharaja". We could not have ranked for those terms, because the pages were not live. That measured our absence, not the market.</w:t>
      </w:r>
    </w:p>
    <w:p>
      <w:pPr>
        <w:spacing w:after="80" w:before="0"/>
      </w:pPr>
      <w:r>
        <w:rPr>
          <w:rFonts w:ascii="Calibri" w:hAnsi="Calibri"/>
          <w:b/>
          <w:i w:val="0"/>
          <w:sz w:val="21"/>
        </w:rPr>
        <w:t>Recommended action: measure, do not cut.</w:t>
      </w:r>
    </w:p>
    <w:p>
      <w:pPr>
        <w:pStyle w:val="ListBullet"/>
        <w:spacing w:after="60"/>
      </w:pPr>
      <w:r>
        <w:rPr>
          <w:rFonts w:ascii="Calibri" w:hAnsi="Calibri"/>
          <w:b/>
          <w:sz w:val="21"/>
        </w:rPr>
        <w:t xml:space="preserve">Re-pull Search Console in four to six weeks — </w:t>
      </w:r>
      <w:r>
        <w:rPr>
          <w:rFonts w:ascii="Calibri" w:hAnsi="Calibri"/>
          <w:sz w:val="21"/>
        </w:rPr>
        <w:t>filtered to the two new templates, with a window starting after their deploy date.</w:t>
      </w:r>
    </w:p>
    <w:p>
      <w:pPr>
        <w:pStyle w:val="ListBullet"/>
        <w:spacing w:after="60"/>
      </w:pPr>
      <w:r>
        <w:rPr>
          <w:rFonts w:ascii="Calibri" w:hAnsi="Calibri"/>
          <w:b/>
          <w:sz w:val="21"/>
        </w:rPr>
        <w:t xml:space="preserve">If they earn their own impressions — </w:t>
      </w:r>
      <w:r>
        <w:rPr>
          <w:rFonts w:ascii="Calibri" w:hAnsi="Calibri"/>
          <w:sz w:val="21"/>
        </w:rPr>
        <w:t>the strategy works — keep it and expand.</w:t>
      </w:r>
    </w:p>
    <w:p>
      <w:pPr>
        <w:pStyle w:val="ListBullet"/>
        <w:spacing w:after="60"/>
      </w:pPr>
      <w:r>
        <w:rPr>
          <w:rFonts w:ascii="Calibri" w:hAnsi="Calibri"/>
          <w:b/>
          <w:sz w:val="21"/>
        </w:rPr>
        <w:t xml:space="preserve">If they earn nothing and Tempo holds steady — </w:t>
      </w:r>
      <w:r>
        <w:rPr>
          <w:rFonts w:ascii="Calibri" w:hAnsi="Calibri"/>
          <w:sz w:val="21"/>
        </w:rPr>
        <w:t>no demand for the brand names; make them vehicle-detail pages linked from the category template instead of parallel city sets.</w:t>
      </w:r>
    </w:p>
    <w:p>
      <w:pPr>
        <w:pStyle w:val="ListBullet"/>
        <w:spacing w:after="60"/>
      </w:pPr>
      <w:r>
        <w:rPr>
          <w:rFonts w:ascii="Calibri" w:hAnsi="Calibri"/>
          <w:b/>
          <w:sz w:val="21"/>
        </w:rPr>
        <w:t xml:space="preserve">If they earn something and Tempo falls — </w:t>
      </w:r>
      <w:r>
        <w:rPr>
          <w:rFonts w:ascii="Calibri" w:hAnsi="Calibri"/>
          <w:sz w:val="21"/>
        </w:rPr>
        <w:t>genuine cannibalisation, and consolidation becomes the answer.</w:t>
      </w:r>
    </w:p>
    <w:p>
      <w:pPr>
        <w:spacing w:after="120" w:before="0"/>
      </w:pPr>
      <w:r>
        <w:rPr>
          <w:rFonts w:ascii="Calibri" w:hAnsi="Calibri"/>
          <w:b w:val="0"/>
          <w:i/>
          <w:color w:val="555555"/>
          <w:sz w:val="21"/>
        </w:rPr>
        <w:t>Nothing should be retired before that data exists. Retiring 518 live pages on a measurement taken before they were published would have been a serious mistake, and this plan came close to recommending it.</w:t>
      </w:r>
    </w:p>
    <w:p>
      <w:pPr>
        <w:spacing w:after="120" w:before="0"/>
      </w:pPr>
      <w:r>
        <w:rPr>
          <w:rFonts w:ascii="Calibri" w:hAnsi="Calibri"/>
          <w:b w:val="0"/>
          <w:i w:val="0"/>
          <w:sz w:val="21"/>
        </w:rPr>
        <w:t>One template this does not excuse: Event Transportation was published on 2 August, the same day as Toll Cost and Railway Station Taxi. Those two now have measurable traffic on 100% and 79% of their pages, at positions 4.9 and 5.9. Event Transportation has traffic on 2 of 129 pages at position 39.5. Same publication date, same chance to be indexed, opposite result — so newness does not explain it.</w:t>
      </w:r>
    </w:p>
    <w:p>
      <w:pPr>
        <w:spacing w:before="360" w:after="160"/>
        <w:pBdr>
          <w:bottom w:val="single" w:sz="6" w:space="2" w:color="B16A00"/>
        </w:pBdr>
      </w:pPr>
      <w:r>
        <w:rPr>
          <w:rFonts w:ascii="Calibri" w:hAnsi="Calibri"/>
          <w:b/>
          <w:color w:val="122A4A"/>
          <w:sz w:val="34"/>
        </w:rPr>
        <w:t>Uplifting the remaining pages — and a surprise</w:t>
      </w:r>
    </w:p>
    <w:p>
      <w:pPr>
        <w:spacing w:after="120" w:before="0"/>
      </w:pPr>
      <w:r>
        <w:rPr>
          <w:rFonts w:ascii="Calibri" w:hAnsi="Calibri"/>
          <w:b w:val="0"/>
          <w:i w:val="0"/>
          <w:sz w:val="22"/>
        </w:rPr>
        <w:t>The obvious explanation for an invisible page is that nothing links to it. We crawled all 3,392 pages and counted. The opposite is true.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736"/>
            <w:shd w:val="clear" w:color="auto" w:fill="122A4A"/>
          </w:tcPr>
          <w:p>
            <w:r/>
            <w:r>
              <w:rPr>
                <w:rFonts w:ascii="Calibri" w:hAnsi="Calibri"/>
                <w:b/>
                <w:color w:val="FFFFFF"/>
                <w:sz w:val="19"/>
              </w:rPr>
              <w:t>Template</w:t>
            </w:r>
          </w:p>
        </w:tc>
        <w:tc>
          <w:tcPr>
            <w:tcW w:type="dxa" w:w="2448"/>
            <w:shd w:val="clear" w:color="auto" w:fill="122A4A"/>
          </w:tcPr>
          <w:p>
            <w:r/>
            <w:r>
              <w:rPr>
                <w:rFonts w:ascii="Calibri" w:hAnsi="Calibri"/>
                <w:b/>
                <w:color w:val="FFFFFF"/>
                <w:sz w:val="19"/>
              </w:rPr>
              <w:t>Pages linking to it</w:t>
            </w:r>
          </w:p>
        </w:tc>
        <w:tc>
          <w:tcPr>
            <w:tcW w:type="dxa" w:w="2016"/>
            <w:shd w:val="clear" w:color="auto" w:fill="122A4A"/>
          </w:tcPr>
          <w:p>
            <w:r/>
            <w:r>
              <w:rPr>
                <w:rFonts w:ascii="Calibri" w:hAnsi="Calibri"/>
                <w:b/>
                <w:color w:val="FFFFFF"/>
                <w:sz w:val="19"/>
              </w:rPr>
              <w:t>Pages with traffic</w:t>
            </w:r>
          </w:p>
        </w:tc>
        <w:tc>
          <w:tcPr>
            <w:tcW w:type="dxa" w:w="1440"/>
            <w:shd w:val="clear" w:color="auto" w:fill="122A4A"/>
          </w:tcPr>
          <w:p>
            <w:r/>
            <w:r>
              <w:rPr>
                <w:rFonts w:ascii="Calibri" w:hAnsi="Calibri"/>
                <w:b/>
                <w:color w:val="FFFFFF"/>
                <w:sz w:val="19"/>
              </w:rPr>
              <w:t>Position</w:t>
            </w:r>
          </w:p>
        </w:tc>
      </w:tr>
      <w:tr>
        <w:tc>
          <w:tcPr>
            <w:tcW w:type="dxa" w:w="2736"/>
          </w:tcPr>
          <w:p>
            <w:r/>
            <w:r>
              <w:rPr>
                <w:rFonts w:ascii="Calibri" w:hAnsi="Calibri"/>
                <w:b w:val="0"/>
                <w:sz w:val="18"/>
              </w:rPr>
              <w:t>Toll cost</w:t>
            </w:r>
          </w:p>
        </w:tc>
        <w:tc>
          <w:tcPr>
            <w:tcW w:type="dxa" w:w="2448"/>
          </w:tcPr>
          <w:p>
            <w:r/>
            <w:r>
              <w:rPr>
                <w:rFonts w:ascii="Calibri" w:hAnsi="Calibri"/>
                <w:b w:val="0"/>
                <w:sz w:val="18"/>
              </w:rPr>
              <w:t>178  (5% of site)</w:t>
            </w:r>
          </w:p>
        </w:tc>
        <w:tc>
          <w:tcPr>
            <w:tcW w:type="dxa" w:w="2016"/>
          </w:tcPr>
          <w:p>
            <w:r/>
            <w:r>
              <w:rPr>
                <w:rFonts w:ascii="Calibri" w:hAnsi="Calibri"/>
                <w:b w:val="0"/>
                <w:sz w:val="18"/>
              </w:rPr>
              <w:t>100%</w:t>
            </w:r>
          </w:p>
        </w:tc>
        <w:tc>
          <w:tcPr>
            <w:tcW w:type="dxa" w:w="1440"/>
          </w:tcPr>
          <w:p>
            <w:r/>
            <w:r>
              <w:rPr>
                <w:rFonts w:ascii="Calibri" w:hAnsi="Calibri"/>
                <w:b w:val="0"/>
                <w:sz w:val="18"/>
              </w:rPr>
              <w:t>4.9</w:t>
            </w:r>
          </w:p>
        </w:tc>
      </w:tr>
      <w:tr>
        <w:tc>
          <w:tcPr>
            <w:tcW w:type="dxa" w:w="2736"/>
          </w:tcPr>
          <w:p>
            <w:r/>
            <w:r>
              <w:rPr>
                <w:rFonts w:ascii="Calibri" w:hAnsi="Calibri"/>
                <w:b w:val="0"/>
                <w:sz w:val="18"/>
              </w:rPr>
              <w:t>Railway station taxi</w:t>
            </w:r>
          </w:p>
        </w:tc>
        <w:tc>
          <w:tcPr>
            <w:tcW w:type="dxa" w:w="2448"/>
          </w:tcPr>
          <w:p>
            <w:r/>
            <w:r>
              <w:rPr>
                <w:rFonts w:ascii="Calibri" w:hAnsi="Calibri"/>
                <w:b w:val="0"/>
                <w:sz w:val="18"/>
              </w:rPr>
              <w:t>34  (1% of site)</w:t>
            </w:r>
          </w:p>
        </w:tc>
        <w:tc>
          <w:tcPr>
            <w:tcW w:type="dxa" w:w="2016"/>
          </w:tcPr>
          <w:p>
            <w:r/>
            <w:r>
              <w:rPr>
                <w:rFonts w:ascii="Calibri" w:hAnsi="Calibri"/>
                <w:b w:val="0"/>
                <w:sz w:val="18"/>
              </w:rPr>
              <w:t>79%</w:t>
            </w:r>
          </w:p>
        </w:tc>
        <w:tc>
          <w:tcPr>
            <w:tcW w:type="dxa" w:w="1440"/>
          </w:tcPr>
          <w:p>
            <w:r/>
            <w:r>
              <w:rPr>
                <w:rFonts w:ascii="Calibri" w:hAnsi="Calibri"/>
                <w:b w:val="0"/>
                <w:sz w:val="18"/>
              </w:rPr>
              <w:t>5.9</w:t>
            </w:r>
          </w:p>
        </w:tc>
      </w:tr>
      <w:tr>
        <w:tc>
          <w:tcPr>
            <w:tcW w:type="dxa" w:w="2736"/>
          </w:tcPr>
          <w:p>
            <w:r/>
            <w:r>
              <w:rPr>
                <w:rFonts w:ascii="Calibri" w:hAnsi="Calibri"/>
                <w:b w:val="0"/>
                <w:sz w:val="18"/>
              </w:rPr>
              <w:t>One way cab</w:t>
            </w:r>
          </w:p>
        </w:tc>
        <w:tc>
          <w:tcPr>
            <w:tcW w:type="dxa" w:w="2448"/>
          </w:tcPr>
          <w:p>
            <w:r/>
            <w:r>
              <w:rPr>
                <w:rFonts w:ascii="Calibri" w:hAnsi="Calibri"/>
                <w:b w:val="0"/>
                <w:sz w:val="18"/>
              </w:rPr>
              <w:t>3,392  (100%)</w:t>
            </w:r>
          </w:p>
        </w:tc>
        <w:tc>
          <w:tcPr>
            <w:tcW w:type="dxa" w:w="2016"/>
          </w:tcPr>
          <w:p>
            <w:r/>
            <w:r>
              <w:rPr>
                <w:rFonts w:ascii="Calibri" w:hAnsi="Calibri"/>
                <w:b w:val="0"/>
                <w:sz w:val="18"/>
              </w:rPr>
              <w:t>13%</w:t>
            </w:r>
          </w:p>
        </w:tc>
        <w:tc>
          <w:tcPr>
            <w:tcW w:type="dxa" w:w="1440"/>
          </w:tcPr>
          <w:p>
            <w:r/>
            <w:r>
              <w:rPr>
                <w:rFonts w:ascii="Calibri" w:hAnsi="Calibri"/>
                <w:b w:val="0"/>
                <w:sz w:val="18"/>
              </w:rPr>
              <w:t>20.9</w:t>
            </w:r>
          </w:p>
        </w:tc>
      </w:tr>
      <w:tr>
        <w:tc>
          <w:tcPr>
            <w:tcW w:type="dxa" w:w="2736"/>
          </w:tcPr>
          <w:p>
            <w:r/>
            <w:r>
              <w:rPr>
                <w:rFonts w:ascii="Calibri" w:hAnsi="Calibri"/>
                <w:b w:val="0"/>
                <w:sz w:val="18"/>
              </w:rPr>
              <w:t>Round trip</w:t>
            </w:r>
          </w:p>
        </w:tc>
        <w:tc>
          <w:tcPr>
            <w:tcW w:type="dxa" w:w="2448"/>
          </w:tcPr>
          <w:p>
            <w:r/>
            <w:r>
              <w:rPr>
                <w:rFonts w:ascii="Calibri" w:hAnsi="Calibri"/>
                <w:b w:val="0"/>
                <w:sz w:val="18"/>
              </w:rPr>
              <w:t>3,392  (100%)</w:t>
            </w:r>
          </w:p>
        </w:tc>
        <w:tc>
          <w:tcPr>
            <w:tcW w:type="dxa" w:w="2016"/>
          </w:tcPr>
          <w:p>
            <w:r/>
            <w:r>
              <w:rPr>
                <w:rFonts w:ascii="Calibri" w:hAnsi="Calibri"/>
                <w:b w:val="0"/>
                <w:sz w:val="18"/>
              </w:rPr>
              <w:t>10%</w:t>
            </w:r>
          </w:p>
        </w:tc>
        <w:tc>
          <w:tcPr>
            <w:tcW w:type="dxa" w:w="1440"/>
          </w:tcPr>
          <w:p>
            <w:r/>
            <w:r>
              <w:rPr>
                <w:rFonts w:ascii="Calibri" w:hAnsi="Calibri"/>
                <w:b w:val="0"/>
                <w:sz w:val="18"/>
              </w:rPr>
              <w:t>45.5</w:t>
            </w:r>
          </w:p>
        </w:tc>
      </w:tr>
      <w:tr>
        <w:tc>
          <w:tcPr>
            <w:tcW w:type="dxa" w:w="2736"/>
          </w:tcPr>
          <w:p>
            <w:r/>
            <w:r>
              <w:rPr>
                <w:rFonts w:ascii="Calibri" w:hAnsi="Calibri"/>
                <w:b w:val="0"/>
                <w:sz w:val="18"/>
              </w:rPr>
              <w:t>Event transportation</w:t>
            </w:r>
          </w:p>
        </w:tc>
        <w:tc>
          <w:tcPr>
            <w:tcW w:type="dxa" w:w="2448"/>
          </w:tcPr>
          <w:p>
            <w:r/>
            <w:r>
              <w:rPr>
                <w:rFonts w:ascii="Calibri" w:hAnsi="Calibri"/>
                <w:b w:val="0"/>
                <w:sz w:val="18"/>
              </w:rPr>
              <w:t>3,392  (100%)</w:t>
            </w:r>
          </w:p>
        </w:tc>
        <w:tc>
          <w:tcPr>
            <w:tcW w:type="dxa" w:w="2016"/>
          </w:tcPr>
          <w:p>
            <w:r/>
            <w:r>
              <w:rPr>
                <w:rFonts w:ascii="Calibri" w:hAnsi="Calibri"/>
                <w:b w:val="0"/>
                <w:sz w:val="18"/>
              </w:rPr>
              <w:t>2%</w:t>
            </w:r>
          </w:p>
        </w:tc>
        <w:tc>
          <w:tcPr>
            <w:tcW w:type="dxa" w:w="1440"/>
          </w:tcPr>
          <w:p>
            <w:r/>
            <w:r>
              <w:rPr>
                <w:rFonts w:ascii="Calibri" w:hAnsi="Calibri"/>
                <w:b w:val="0"/>
                <w:sz w:val="18"/>
              </w:rPr>
              <w:t>39.5</w:t>
            </w:r>
          </w:p>
        </w:tc>
      </w:tr>
    </w:tbl>
    <w:p>
      <w:pPr>
        <w:spacing w:after="40"/>
      </w:pPr>
    </w:p>
    <w:p>
      <w:pPr>
        <w:spacing w:after="120" w:before="0"/>
      </w:pPr>
      <w:r>
        <w:rPr>
          <w:rFonts w:ascii="Calibri" w:hAnsi="Calibri"/>
          <w:b w:val="0"/>
          <w:i w:val="0"/>
          <w:sz w:val="21"/>
        </w:rPr>
        <w:t>The two best-performing templates on the site have the fewest internal links. The difference is what kind of link it is. Round trip, one way cab and event transportation sit in the footer, so they appear on every page as boilerplate. Toll cost has no footer link at all — its links come from inside relevant content, on the distance guides and the homepage rate section.</w:t>
      </w:r>
    </w:p>
    <w:p>
      <w:pPr>
        <w:spacing w:after="120" w:before="0"/>
      </w:pPr>
      <w:r>
        <w:rPr>
          <w:rFonts w:ascii="Calibri" w:hAnsi="Calibri"/>
          <w:b/>
          <w:i w:val="0"/>
          <w:sz w:val="21"/>
        </w:rPr>
        <w:t>Sitewide footer links are worth almost nothing. A contextual link from a page about the same subject is worth a great deal. So "uplift the remaining pages" does not mean adding them to the footer — they are already there.</w:t>
      </w:r>
    </w:p>
    <w:p>
      <w:pPr>
        <w:spacing w:after="80" w:before="0"/>
      </w:pPr>
      <w:r>
        <w:rPr>
          <w:rFonts w:ascii="Calibri" w:hAnsi="Calibri"/>
          <w:b w:val="0"/>
          <w:i w:val="0"/>
          <w:sz w:val="21"/>
        </w:rPr>
        <w:t>The order of work follows from that:</w:t>
      </w:r>
    </w:p>
    <w:p>
      <w:pPr>
        <w:pStyle w:val="ListBullet"/>
        <w:spacing w:after="60"/>
      </w:pPr>
      <w:r>
        <w:rPr>
          <w:rFonts w:ascii="Calibri" w:hAnsi="Calibri"/>
          <w:b/>
          <w:sz w:val="21"/>
        </w:rPr>
        <w:t xml:space="preserve">Resolve the 777-page duplication first — </w:t>
      </w:r>
      <w:r>
        <w:rPr>
          <w:rFonts w:ascii="Calibri" w:hAnsi="Calibri"/>
          <w:sz w:val="21"/>
        </w:rPr>
        <w:t>no linking strategy rescues a page whose problem is two identical siblings.</w:t>
      </w:r>
    </w:p>
    <w:p>
      <w:pPr>
        <w:pStyle w:val="ListBullet"/>
        <w:spacing w:after="60"/>
      </w:pPr>
      <w:r>
        <w:rPr>
          <w:rFonts w:ascii="Calibri" w:hAnsi="Calibri"/>
          <w:b/>
          <w:sz w:val="21"/>
        </w:rPr>
        <w:t xml:space="preserve">Build contextual links from pages that already rank — </w:t>
      </w:r>
      <w:r>
        <w:rPr>
          <w:rFonts w:ascii="Calibri" w:hAnsi="Calibri"/>
          <w:sz w:val="21"/>
        </w:rPr>
        <w:t>the distance guides rank 7–8 and carry 2.9 million impressions; the toll pages rank 4.9. Those are the equity sources.</w:t>
      </w:r>
    </w:p>
    <w:p>
      <w:pPr>
        <w:pStyle w:val="ListBullet"/>
        <w:spacing w:after="60"/>
      </w:pPr>
      <w:r>
        <w:rPr>
          <w:rFonts w:ascii="Calibri" w:hAnsi="Calibri"/>
          <w:b/>
          <w:sz w:val="21"/>
        </w:rPr>
        <w:t xml:space="preserve">Check demand before rewriting — </w:t>
      </w:r>
      <w:r>
        <w:rPr>
          <w:rFonts w:ascii="Calibri" w:hAnsi="Calibri"/>
          <w:sz w:val="21"/>
        </w:rPr>
        <w:t>event transportation has 129 pages and traffic on two. Confirm people search for it in these cities before investing in content. The answer may be that the pages are fine and the market is small.</w:t>
      </w:r>
    </w:p>
    <w:p>
      <w:pPr>
        <w:pStyle w:val="ListBullet"/>
        <w:spacing w:after="60"/>
      </w:pPr>
      <w:r>
        <w:rPr>
          <w:rFonts w:ascii="Calibri" w:hAnsi="Calibri"/>
          <w:b/>
          <w:sz w:val="21"/>
        </w:rPr>
        <w:t xml:space="preserve">Then content depth — </w:t>
      </w:r>
      <w:r>
        <w:rPr>
          <w:rFonts w:ascii="Calibri" w:hAnsi="Calibri"/>
          <w:sz w:val="21"/>
        </w:rPr>
        <w:t>only on the templates that survive the three questions above.</w:t>
      </w:r>
    </w:p>
    <w:p>
      <w:pPr>
        <w:spacing w:before="360" w:after="160"/>
        <w:pBdr>
          <w:bottom w:val="single" w:sz="6" w:space="2" w:color="B16A00"/>
        </w:pBdr>
      </w:pPr>
      <w:r>
        <w:rPr>
          <w:rFonts w:ascii="Calibri" w:hAnsi="Calibri"/>
          <w:b/>
          <w:color w:val="122A4A"/>
          <w:sz w:val="34"/>
        </w:rPr>
        <w:t>The week</w:t>
      </w:r>
    </w:p>
    <w:tbl>
      <w:tblPr>
        <w:tblStyle w:val="TableGrid"/>
        <w:tblW w:type="auto" w:w="0"/>
        <w:jc w:val="center"/>
        <w:tblLook w:firstColumn="1" w:firstRow="1" w:lastColumn="0" w:lastRow="0" w:noHBand="0" w:noVBand="1" w:val="04A0"/>
      </w:tblPr>
      <w:tblGrid>
        <w:gridCol w:w="3264"/>
        <w:gridCol w:w="3264"/>
        <w:gridCol w:w="3264"/>
      </w:tblGrid>
      <w:tr>
        <w:tc>
          <w:tcPr>
            <w:tcW w:type="dxa" w:w="1152"/>
            <w:shd w:val="clear" w:color="auto" w:fill="122A4A"/>
          </w:tcPr>
          <w:p>
            <w:r/>
            <w:r>
              <w:rPr>
                <w:rFonts w:ascii="Calibri" w:hAnsi="Calibri"/>
                <w:b/>
                <w:color w:val="FFFFFF"/>
                <w:sz w:val="19"/>
              </w:rPr>
              <w:t>Day</w:t>
            </w:r>
          </w:p>
        </w:tc>
        <w:tc>
          <w:tcPr>
            <w:tcW w:type="dxa" w:w="4320"/>
            <w:shd w:val="clear" w:color="auto" w:fill="122A4A"/>
          </w:tcPr>
          <w:p>
            <w:r/>
            <w:r>
              <w:rPr>
                <w:rFonts w:ascii="Calibri" w:hAnsi="Calibri"/>
                <w:b/>
                <w:color w:val="FFFFFF"/>
                <w:sz w:val="19"/>
              </w:rPr>
              <w:t>Focus</w:t>
            </w:r>
          </w:p>
        </w:tc>
        <w:tc>
          <w:tcPr>
            <w:tcW w:type="dxa" w:w="3600"/>
            <w:shd w:val="clear" w:color="auto" w:fill="122A4A"/>
          </w:tcPr>
          <w:p>
            <w:r/>
            <w:r>
              <w:rPr>
                <w:rFonts w:ascii="Calibri" w:hAnsi="Calibri"/>
                <w:b/>
                <w:color w:val="FFFFFF"/>
                <w:sz w:val="19"/>
              </w:rPr>
              <w:t>Deliverable</w:t>
            </w:r>
          </w:p>
        </w:tc>
      </w:tr>
      <w:tr>
        <w:tc>
          <w:tcPr>
            <w:tcW w:type="dxa" w:w="1152"/>
          </w:tcPr>
          <w:p>
            <w:r/>
            <w:r>
              <w:rPr>
                <w:rFonts w:ascii="Calibri" w:hAnsi="Calibri"/>
                <w:b w:val="0"/>
                <w:sz w:val="18"/>
              </w:rPr>
              <w:t>Monday</w:t>
            </w:r>
          </w:p>
        </w:tc>
        <w:tc>
          <w:tcPr>
            <w:tcW w:type="dxa" w:w="4320"/>
          </w:tcPr>
          <w:p>
            <w:r/>
            <w:r>
              <w:rPr>
                <w:rFonts w:ascii="Calibri" w:hAnsi="Calibri"/>
                <w:b w:val="0"/>
                <w:sz w:val="18"/>
              </w:rPr>
              <w:t>Diagnosis — five Search Console page exports</w:t>
            </w:r>
          </w:p>
        </w:tc>
        <w:tc>
          <w:tcPr>
            <w:tcW w:type="dxa" w:w="3600"/>
          </w:tcPr>
          <w:p>
            <w:r/>
            <w:r>
              <w:rPr>
                <w:rFonts w:ascii="Calibri" w:hAnsi="Calibri"/>
                <w:b w:val="0"/>
                <w:sz w:val="18"/>
              </w:rPr>
              <w:t>Written diagnosis with supporting queries</w:t>
            </w:r>
          </w:p>
        </w:tc>
      </w:tr>
      <w:tr>
        <w:tc>
          <w:tcPr>
            <w:tcW w:type="dxa" w:w="1152"/>
          </w:tcPr>
          <w:p>
            <w:r/>
            <w:r>
              <w:rPr>
                <w:rFonts w:ascii="Calibri" w:hAnsi="Calibri"/>
                <w:b w:val="0"/>
                <w:sz w:val="18"/>
              </w:rPr>
              <w:t>Tue–Wed</w:t>
            </w:r>
          </w:p>
        </w:tc>
        <w:tc>
          <w:tcPr>
            <w:tcW w:type="dxa" w:w="4320"/>
          </w:tcPr>
          <w:p>
            <w:r/>
            <w:r>
              <w:rPr>
                <w:rFonts w:ascii="Calibri" w:hAnsi="Calibri"/>
                <w:b w:val="0"/>
                <w:sz w:val="18"/>
              </w:rPr>
              <w:t>Rewrite station, bus stand, taxi fare and tempo around the arrival moment</w:t>
            </w:r>
          </w:p>
        </w:tc>
        <w:tc>
          <w:tcPr>
            <w:tcW w:type="dxa" w:w="3600"/>
          </w:tcPr>
          <w:p>
            <w:r/>
            <w:r>
              <w:rPr>
                <w:rFonts w:ascii="Calibri" w:hAnsi="Calibri"/>
                <w:b w:val="0"/>
                <w:sz w:val="18"/>
              </w:rPr>
              <w:t>Templates live, before/after table</w:t>
            </w:r>
          </w:p>
        </w:tc>
      </w:tr>
      <w:tr>
        <w:tc>
          <w:tcPr>
            <w:tcW w:type="dxa" w:w="1152"/>
          </w:tcPr>
          <w:p>
            <w:r/>
            <w:r>
              <w:rPr>
                <w:rFonts w:ascii="Calibri" w:hAnsi="Calibri"/>
                <w:b w:val="0"/>
                <w:sz w:val="18"/>
              </w:rPr>
              <w:t>Thursday</w:t>
            </w:r>
          </w:p>
        </w:tc>
        <w:tc>
          <w:tcPr>
            <w:tcW w:type="dxa" w:w="4320"/>
          </w:tcPr>
          <w:p>
            <w:r/>
            <w:r>
              <w:rPr>
                <w:rFonts w:ascii="Calibri" w:hAnsi="Calibri"/>
                <w:b w:val="0"/>
                <w:sz w:val="18"/>
              </w:rPr>
              <w:t>Airport service and city hubs — content depth and contextual links</w:t>
            </w:r>
          </w:p>
        </w:tc>
        <w:tc>
          <w:tcPr>
            <w:tcW w:type="dxa" w:w="3600"/>
          </w:tcPr>
          <w:p>
            <w:r/>
            <w:r>
              <w:rPr>
                <w:rFonts w:ascii="Calibri" w:hAnsi="Calibri"/>
                <w:b w:val="0"/>
                <w:sz w:val="18"/>
              </w:rPr>
              <w:t>Linking plan implemented</w:t>
            </w:r>
          </w:p>
        </w:tc>
      </w:tr>
      <w:tr>
        <w:tc>
          <w:tcPr>
            <w:tcW w:type="dxa" w:w="1152"/>
          </w:tcPr>
          <w:p>
            <w:r/>
            <w:r>
              <w:rPr>
                <w:rFonts w:ascii="Calibri" w:hAnsi="Calibri"/>
                <w:b w:val="0"/>
                <w:sz w:val="18"/>
              </w:rPr>
              <w:t>Friday</w:t>
            </w:r>
          </w:p>
        </w:tc>
        <w:tc>
          <w:tcPr>
            <w:tcW w:type="dxa" w:w="4320"/>
          </w:tcPr>
          <w:p>
            <w:r/>
            <w:r>
              <w:rPr>
                <w:rFonts w:ascii="Calibri" w:hAnsi="Calibri"/>
                <w:b w:val="0"/>
                <w:sz w:val="18"/>
              </w:rPr>
              <w:t>15 short-route booking pages; blog call-to-action audit</w:t>
            </w:r>
          </w:p>
        </w:tc>
        <w:tc>
          <w:tcPr>
            <w:tcW w:type="dxa" w:w="3600"/>
          </w:tcPr>
          <w:p>
            <w:r/>
            <w:r>
              <w:rPr>
                <w:rFonts w:ascii="Calibri" w:hAnsi="Calibri"/>
                <w:b w:val="0"/>
                <w:sz w:val="18"/>
              </w:rPr>
              <w:t>Pages live, verified CTA map</w:t>
            </w:r>
          </w:p>
        </w:tc>
      </w:tr>
      <w:tr>
        <w:tc>
          <w:tcPr>
            <w:tcW w:type="dxa" w:w="1152"/>
          </w:tcPr>
          <w:p>
            <w:r/>
            <w:r>
              <w:rPr>
                <w:rFonts w:ascii="Calibri" w:hAnsi="Calibri"/>
                <w:b w:val="0"/>
                <w:sz w:val="18"/>
              </w:rPr>
              <w:t>Saturday</w:t>
            </w:r>
          </w:p>
        </w:tc>
        <w:tc>
          <w:tcPr>
            <w:tcW w:type="dxa" w:w="4320"/>
          </w:tcPr>
          <w:p>
            <w:r/>
            <w:r>
              <w:rPr>
                <w:rFonts w:ascii="Calibri" w:hAnsi="Calibri"/>
                <w:b w:val="0"/>
                <w:sz w:val="18"/>
              </w:rPr>
              <w:t>Peak season — strengthen the Oct–Dec pages while they can still rank</w:t>
            </w:r>
          </w:p>
        </w:tc>
        <w:tc>
          <w:tcPr>
            <w:tcW w:type="dxa" w:w="3600"/>
          </w:tcPr>
          <w:p>
            <w:r/>
            <w:r>
              <w:rPr>
                <w:rFonts w:ascii="Calibri" w:hAnsi="Calibri"/>
                <w:b w:val="0"/>
                <w:sz w:val="18"/>
              </w:rPr>
              <w:t>Seasonal audit, links live</w:t>
            </w:r>
          </w:p>
        </w:tc>
      </w:tr>
      <w:tr>
        <w:tc>
          <w:tcPr>
            <w:tcW w:type="dxa" w:w="1152"/>
          </w:tcPr>
          <w:p>
            <w:r/>
            <w:r>
              <w:rPr>
                <w:rFonts w:ascii="Calibri" w:hAnsi="Calibri"/>
                <w:b w:val="0"/>
                <w:sz w:val="18"/>
              </w:rPr>
              <w:t>Sunday</w:t>
            </w:r>
          </w:p>
        </w:tc>
        <w:tc>
          <w:tcPr>
            <w:tcW w:type="dxa" w:w="4320"/>
          </w:tcPr>
          <w:p>
            <w:r/>
            <w:r>
              <w:rPr>
                <w:rFonts w:ascii="Calibri" w:hAnsi="Calibri"/>
                <w:b w:val="0"/>
                <w:sz w:val="18"/>
              </w:rPr>
              <w:t>Automated checks, rank tracking, outcome report</w:t>
            </w:r>
          </w:p>
        </w:tc>
        <w:tc>
          <w:tcPr>
            <w:tcW w:type="dxa" w:w="3600"/>
          </w:tcPr>
          <w:p>
            <w:r/>
            <w:r>
              <w:rPr>
                <w:rFonts w:ascii="Calibri" w:hAnsi="Calibri"/>
                <w:b w:val="0"/>
                <w:sz w:val="18"/>
              </w:rPr>
              <w:t>Week 44 report</w:t>
            </w:r>
          </w:p>
        </w:tc>
      </w:tr>
    </w:tbl>
    <w:p>
      <w:pPr>
        <w:spacing w:after="40"/>
      </w:pPr>
    </w:p>
    <w:p>
      <w:pPr>
        <w:spacing w:before="360" w:after="160"/>
        <w:pBdr>
          <w:bottom w:val="single" w:sz="6" w:space="2" w:color="B16A00"/>
        </w:pBdr>
      </w:pPr>
      <w:r>
        <w:rPr>
          <w:rFonts w:ascii="Calibri" w:hAnsi="Calibri"/>
          <w:b/>
          <w:color w:val="122A4A"/>
          <w:sz w:val="34"/>
        </w:rPr>
        <w:t>What we need from you</w:t>
      </w:r>
    </w:p>
    <w:p>
      <w:pPr>
        <w:spacing w:after="80" w:before="0"/>
      </w:pPr>
      <w:r>
        <w:rPr>
          <w:rFonts w:ascii="Calibri" w:hAnsi="Calibri"/>
          <w:b w:val="0"/>
          <w:i w:val="0"/>
          <w:sz w:val="21"/>
        </w:rPr>
        <w:t>One of these blocks the largest piece of work in the plan.</w:t>
      </w:r>
    </w:p>
    <w:p>
      <w:pPr>
        <w:pStyle w:val="ListBullet"/>
        <w:spacing w:after="60"/>
      </w:pPr>
      <w:r>
        <w:rPr>
          <w:rFonts w:ascii="Calibri" w:hAnsi="Calibri"/>
          <w:b/>
          <w:sz w:val="21"/>
        </w:rPr>
        <w:t xml:space="preserve">Five Search Console exports (blocking) — </w:t>
      </w:r>
      <w:r>
        <w:rPr>
          <w:rFonts w:ascii="Calibri" w:hAnsi="Calibri"/>
          <w:sz w:val="21"/>
        </w:rPr>
        <w:t>Performance → Pages → select page → Queries, for five named pages. Without these we would be rewriting 331 pages on a guess, and guessing is how the duplicate-URL problem we spent Week 43 undoing was created.</w:t>
      </w:r>
    </w:p>
    <w:p>
      <w:pPr>
        <w:pStyle w:val="ListBullet"/>
        <w:spacing w:after="60"/>
      </w:pPr>
      <w:r>
        <w:rPr>
          <w:rFonts w:ascii="Calibri" w:hAnsi="Calibri"/>
          <w:b/>
          <w:sz w:val="21"/>
        </w:rPr>
        <w:t xml:space="preserve">A decision on the 777 vehicle pages — </w:t>
      </w:r>
      <w:r>
        <w:rPr>
          <w:rFonts w:ascii="Calibri" w:hAnsi="Calibri"/>
          <w:sz w:val="21"/>
        </w:rPr>
        <w:t>consolidate, differentiate, or leave.</w:t>
      </w:r>
    </w:p>
    <w:p>
      <w:pPr>
        <w:pStyle w:val="ListBullet"/>
        <w:spacing w:after="60"/>
      </w:pPr>
      <w:r>
        <w:rPr>
          <w:rFonts w:ascii="Calibri" w:hAnsi="Calibri"/>
          <w:b/>
          <w:sz w:val="21"/>
        </w:rPr>
        <w:t xml:space="preserve">The fare question — </w:t>
      </w:r>
      <w:r>
        <w:rPr>
          <w:rFonts w:ascii="Calibri" w:hAnsi="Calibri"/>
          <w:sz w:val="21"/>
        </w:rPr>
        <w:t>one journey is currently quoted at three different prices across the site (₹660, ₹2,365 and a third figure) because three datasets disagree.</w:t>
      </w:r>
    </w:p>
    <w:p>
      <w:pPr>
        <w:pStyle w:val="ListBullet"/>
        <w:spacing w:after="60"/>
      </w:pPr>
      <w:r>
        <w:rPr>
          <w:rFonts w:ascii="Calibri" w:hAnsi="Calibri"/>
          <w:b/>
          <w:sz w:val="21"/>
        </w:rPr>
        <w:t xml:space="preserve">A full-day rate card — </w:t>
      </w:r>
      <w:r>
        <w:rPr>
          <w:rFonts w:ascii="Calibri" w:hAnsi="Calibri"/>
          <w:sz w:val="21"/>
        </w:rPr>
        <w:t>so round-trip fares stop being calculated as double the one-way, which can exceed your own published full-day rate.</w:t>
      </w:r>
    </w:p>
    <w:p>
      <w:pPr>
        <w:pStyle w:val="ListBullet"/>
        <w:spacing w:after="60"/>
      </w:pPr>
      <w:r>
        <w:rPr>
          <w:rFonts w:ascii="Calibri" w:hAnsi="Calibri"/>
          <w:b/>
          <w:sz w:val="21"/>
        </w:rPr>
        <w:t xml:space="preserve">Search Console housekeeping — </w:t>
      </w:r>
      <w:r>
        <w:rPr>
          <w:rFonts w:ascii="Calibri" w:hAnsi="Calibri"/>
          <w:sz w:val="21"/>
        </w:rPr>
        <w:t>resubmit the sitemap and request indexing for the 22 consolidated URLs and the repaired booking pages.</w:t>
      </w:r>
    </w:p>
    <w:p>
      <w:pPr>
        <w:spacing w:before="360" w:after="160"/>
        <w:pBdr>
          <w:bottom w:val="single" w:sz="6" w:space="2" w:color="B16A00"/>
        </w:pBdr>
      </w:pPr>
      <w:r>
        <w:rPr>
          <w:rFonts w:ascii="Calibri" w:hAnsi="Calibri"/>
          <w:b/>
          <w:color w:val="122A4A"/>
          <w:sz w:val="34"/>
        </w:rPr>
        <w:t>How to judge the week</w:t>
      </w:r>
    </w:p>
    <w:tbl>
      <w:tblPr>
        <w:tblStyle w:val="TableGrid"/>
        <w:tblW w:type="auto" w:w="0"/>
        <w:jc w:val="center"/>
        <w:tblLook w:firstColumn="1" w:firstRow="1" w:lastColumn="0" w:lastRow="0" w:noHBand="0" w:noVBand="1" w:val="04A0"/>
      </w:tblPr>
      <w:tblGrid>
        <w:gridCol w:w="3264"/>
        <w:gridCol w:w="3264"/>
        <w:gridCol w:w="3264"/>
      </w:tblGrid>
      <w:tr>
        <w:tc>
          <w:tcPr>
            <w:tcW w:type="dxa" w:w="4896"/>
            <w:shd w:val="clear" w:color="auto" w:fill="122A4A"/>
          </w:tcPr>
          <w:p>
            <w:r/>
            <w:r>
              <w:rPr>
                <w:rFonts w:ascii="Calibri" w:hAnsi="Calibri"/>
                <w:b/>
                <w:color w:val="FFFFFF"/>
                <w:sz w:val="19"/>
              </w:rPr>
              <w:t>Measure</w:t>
            </w:r>
          </w:p>
        </w:tc>
        <w:tc>
          <w:tcPr>
            <w:tcW w:type="dxa" w:w="2016"/>
            <w:shd w:val="clear" w:color="auto" w:fill="122A4A"/>
          </w:tcPr>
          <w:p>
            <w:r/>
            <w:r>
              <w:rPr>
                <w:rFonts w:ascii="Calibri" w:hAnsi="Calibri"/>
                <w:b/>
                <w:color w:val="FFFFFF"/>
                <w:sz w:val="19"/>
              </w:rPr>
              <w:t>Today</w:t>
            </w:r>
          </w:p>
        </w:tc>
        <w:tc>
          <w:tcPr>
            <w:tcW w:type="dxa" w:w="2448"/>
            <w:shd w:val="clear" w:color="auto" w:fill="122A4A"/>
          </w:tcPr>
          <w:p>
            <w:r/>
            <w:r>
              <w:rPr>
                <w:rFonts w:ascii="Calibri" w:hAnsi="Calibri"/>
                <w:b/>
                <w:color w:val="FFFFFF"/>
                <w:sz w:val="19"/>
              </w:rPr>
              <w:t>Target</w:t>
            </w:r>
          </w:p>
        </w:tc>
      </w:tr>
      <w:tr>
        <w:tc>
          <w:tcPr>
            <w:tcW w:type="dxa" w:w="4896"/>
          </w:tcPr>
          <w:p>
            <w:r/>
            <w:r>
              <w:rPr>
                <w:rFonts w:ascii="Calibri" w:hAnsi="Calibri"/>
                <w:b w:val="0"/>
                <w:sz w:val="18"/>
              </w:rPr>
              <w:t>Nine service templates — click-through rate</w:t>
            </w:r>
          </w:p>
        </w:tc>
        <w:tc>
          <w:tcPr>
            <w:tcW w:type="dxa" w:w="2016"/>
          </w:tcPr>
          <w:p>
            <w:r/>
            <w:r>
              <w:rPr>
                <w:rFonts w:ascii="Calibri" w:hAnsi="Calibri"/>
                <w:b w:val="0"/>
                <w:sz w:val="18"/>
              </w:rPr>
              <w:t>1.08%</w:t>
            </w:r>
          </w:p>
        </w:tc>
        <w:tc>
          <w:tcPr>
            <w:tcW w:type="dxa" w:w="2448"/>
          </w:tcPr>
          <w:p>
            <w:r/>
            <w:r>
              <w:rPr>
                <w:rFonts w:ascii="Calibri" w:hAnsi="Calibri"/>
                <w:b w:val="0"/>
                <w:sz w:val="18"/>
              </w:rPr>
              <w:t>2.5%</w:t>
            </w:r>
          </w:p>
        </w:tc>
      </w:tr>
      <w:tr>
        <w:tc>
          <w:tcPr>
            <w:tcW w:type="dxa" w:w="4896"/>
          </w:tcPr>
          <w:p>
            <w:r/>
            <w:r>
              <w:rPr>
                <w:rFonts w:ascii="Calibri" w:hAnsi="Calibri"/>
                <w:b w:val="0"/>
                <w:sz w:val="18"/>
              </w:rPr>
              <w:t>Their clicks per quarter</w:t>
            </w:r>
          </w:p>
        </w:tc>
        <w:tc>
          <w:tcPr>
            <w:tcW w:type="dxa" w:w="2016"/>
          </w:tcPr>
          <w:p>
            <w:r/>
            <w:r>
              <w:rPr>
                <w:rFonts w:ascii="Calibri" w:hAnsi="Calibri"/>
                <w:b w:val="0"/>
                <w:sz w:val="18"/>
              </w:rPr>
              <w:t>3,240</w:t>
            </w:r>
          </w:p>
        </w:tc>
        <w:tc>
          <w:tcPr>
            <w:tcW w:type="dxa" w:w="2448"/>
          </w:tcPr>
          <w:p>
            <w:r/>
            <w:r>
              <w:rPr>
                <w:rFonts w:ascii="Calibri" w:hAnsi="Calibri"/>
                <w:b w:val="0"/>
                <w:sz w:val="18"/>
              </w:rPr>
              <w:t>7,500</w:t>
            </w:r>
          </w:p>
        </w:tc>
      </w:tr>
      <w:tr>
        <w:tc>
          <w:tcPr>
            <w:tcW w:type="dxa" w:w="4896"/>
          </w:tcPr>
          <w:p>
            <w:r/>
            <w:r>
              <w:rPr>
                <w:rFonts w:ascii="Calibri" w:hAnsi="Calibri"/>
                <w:b w:val="0"/>
                <w:sz w:val="18"/>
              </w:rPr>
              <w:t>Distance pages with no way to book</w:t>
            </w:r>
          </w:p>
        </w:tc>
        <w:tc>
          <w:tcPr>
            <w:tcW w:type="dxa" w:w="2016"/>
          </w:tcPr>
          <w:p>
            <w:r/>
            <w:r>
              <w:rPr>
                <w:rFonts w:ascii="Calibri" w:hAnsi="Calibri"/>
                <w:b w:val="0"/>
                <w:sz w:val="18"/>
              </w:rPr>
              <w:t>15</w:t>
            </w:r>
          </w:p>
        </w:tc>
        <w:tc>
          <w:tcPr>
            <w:tcW w:type="dxa" w:w="2448"/>
          </w:tcPr>
          <w:p>
            <w:r/>
            <w:r>
              <w:rPr>
                <w:rFonts w:ascii="Calibri" w:hAnsi="Calibri"/>
                <w:b w:val="0"/>
                <w:sz w:val="18"/>
              </w:rPr>
              <w:t>0</w:t>
            </w:r>
          </w:p>
        </w:tc>
      </w:tr>
      <w:tr>
        <w:tc>
          <w:tcPr>
            <w:tcW w:type="dxa" w:w="4896"/>
          </w:tcPr>
          <w:p>
            <w:r/>
            <w:r>
              <w:rPr>
                <w:rFonts w:ascii="Calibri" w:hAnsi="Calibri"/>
                <w:b w:val="0"/>
                <w:sz w:val="18"/>
              </w:rPr>
              <w:t>Seasonal pages linked from ranking content</w:t>
            </w:r>
          </w:p>
        </w:tc>
        <w:tc>
          <w:tcPr>
            <w:tcW w:type="dxa" w:w="2016"/>
          </w:tcPr>
          <w:p>
            <w:r/>
            <w:r>
              <w:rPr>
                <w:rFonts w:ascii="Calibri" w:hAnsi="Calibri"/>
                <w:b w:val="0"/>
                <w:sz w:val="18"/>
              </w:rPr>
              <w:t>1 of 5</w:t>
            </w:r>
          </w:p>
        </w:tc>
        <w:tc>
          <w:tcPr>
            <w:tcW w:type="dxa" w:w="2448"/>
          </w:tcPr>
          <w:p>
            <w:r/>
            <w:r>
              <w:rPr>
                <w:rFonts w:ascii="Calibri" w:hAnsi="Calibri"/>
                <w:b w:val="0"/>
                <w:sz w:val="18"/>
              </w:rPr>
              <w:t>5 of 5</w:t>
            </w:r>
          </w:p>
        </w:tc>
      </w:tr>
      <w:tr>
        <w:tc>
          <w:tcPr>
            <w:tcW w:type="dxa" w:w="4896"/>
          </w:tcPr>
          <w:p>
            <w:r/>
            <w:r>
              <w:rPr>
                <w:rFonts w:ascii="Calibri" w:hAnsi="Calibri"/>
                <w:b w:val="0"/>
                <w:sz w:val="18"/>
              </w:rPr>
              <w:t>Automated SEO check — errors</w:t>
            </w:r>
          </w:p>
        </w:tc>
        <w:tc>
          <w:tcPr>
            <w:tcW w:type="dxa" w:w="2016"/>
          </w:tcPr>
          <w:p>
            <w:r/>
            <w:r>
              <w:rPr>
                <w:rFonts w:ascii="Calibri" w:hAnsi="Calibri"/>
                <w:b w:val="0"/>
                <w:sz w:val="18"/>
              </w:rPr>
              <w:t>0</w:t>
            </w:r>
          </w:p>
        </w:tc>
        <w:tc>
          <w:tcPr>
            <w:tcW w:type="dxa" w:w="2448"/>
          </w:tcPr>
          <w:p>
            <w:r/>
            <w:r>
              <w:rPr>
                <w:rFonts w:ascii="Calibri" w:hAnsi="Calibri"/>
                <w:b w:val="0"/>
                <w:sz w:val="18"/>
              </w:rPr>
              <w:t>0</w:t>
            </w:r>
          </w:p>
        </w:tc>
      </w:tr>
      <w:tr>
        <w:tc>
          <w:tcPr>
            <w:tcW w:type="dxa" w:w="4896"/>
          </w:tcPr>
          <w:p>
            <w:r/>
            <w:r>
              <w:rPr>
                <w:rFonts w:ascii="Calibri" w:hAnsi="Calibri"/>
                <w:b w:val="0"/>
                <w:sz w:val="18"/>
              </w:rPr>
              <w:t>Automated SEO check — warnings</w:t>
            </w:r>
          </w:p>
        </w:tc>
        <w:tc>
          <w:tcPr>
            <w:tcW w:type="dxa" w:w="2016"/>
          </w:tcPr>
          <w:p>
            <w:r/>
            <w:r>
              <w:rPr>
                <w:rFonts w:ascii="Calibri" w:hAnsi="Calibri"/>
                <w:b w:val="0"/>
                <w:sz w:val="18"/>
              </w:rPr>
              <w:t>133</w:t>
            </w:r>
          </w:p>
        </w:tc>
        <w:tc>
          <w:tcPr>
            <w:tcW w:type="dxa" w:w="2448"/>
          </w:tcPr>
          <w:p>
            <w:r/>
            <w:r>
              <w:rPr>
                <w:rFonts w:ascii="Calibri" w:hAnsi="Calibri"/>
                <w:b w:val="0"/>
                <w:sz w:val="18"/>
              </w:rPr>
              <w:t>under 40</w:t>
            </w:r>
          </w:p>
        </w:tc>
      </w:tr>
      <w:tr>
        <w:tc>
          <w:tcPr>
            <w:tcW w:type="dxa" w:w="4896"/>
          </w:tcPr>
          <w:p>
            <w:r/>
            <w:r>
              <w:rPr>
                <w:rFonts w:ascii="Calibri" w:hAnsi="Calibri"/>
                <w:b w:val="0"/>
                <w:sz w:val="18"/>
              </w:rPr>
              <w:t>Bus intent question</w:t>
            </w:r>
          </w:p>
        </w:tc>
        <w:tc>
          <w:tcPr>
            <w:tcW w:type="dxa" w:w="2016"/>
          </w:tcPr>
          <w:p>
            <w:r/>
            <w:r>
              <w:rPr>
                <w:rFonts w:ascii="Calibri" w:hAnsi="Calibri"/>
                <w:b w:val="0"/>
                <w:sz w:val="18"/>
              </w:rPr>
              <w:t>open</w:t>
            </w:r>
          </w:p>
        </w:tc>
        <w:tc>
          <w:tcPr>
            <w:tcW w:type="dxa" w:w="2448"/>
          </w:tcPr>
          <w:p>
            <w:r/>
            <w:r>
              <w:rPr>
                <w:rFonts w:ascii="Calibri" w:hAnsi="Calibri"/>
                <w:b w:val="0"/>
                <w:sz w:val="18"/>
              </w:rPr>
              <w:t>answered in writing</w:t>
            </w:r>
          </w:p>
        </w:tc>
      </w:tr>
    </w:tbl>
    <w:p>
      <w:pPr>
        <w:spacing w:after="40"/>
      </w:pPr>
    </w:p>
    <w:p>
      <w:pPr>
        <w:spacing w:after="120" w:before="0"/>
      </w:pPr>
      <w:r>
        <w:rPr>
          <w:rFonts w:ascii="Calibri" w:hAnsi="Calibri"/>
          <w:b w:val="0"/>
          <w:i/>
          <w:color w:val="555555"/>
          <w:sz w:val="21"/>
        </w:rPr>
        <w:t>Deliberately not judged on the distance and blog pages. That work went live on 22 August and reports back in late September. Reading it sooner would be reading noise.</w:t>
      </w:r>
    </w:p>
    <w:p>
      <w:pPr>
        <w:spacing w:before="360" w:after="160"/>
        <w:pBdr>
          <w:bottom w:val="single" w:sz="6" w:space="2" w:color="B16A00"/>
        </w:pBdr>
      </w:pPr>
      <w:r>
        <w:rPr>
          <w:rFonts w:ascii="Calibri" w:hAnsi="Calibri"/>
          <w:b/>
          <w:color w:val="122A4A"/>
          <w:sz w:val="34"/>
        </w:rPr>
        <w:t>Honest expectation</w:t>
      </w:r>
    </w:p>
    <w:p>
      <w:pPr>
        <w:spacing w:after="120" w:before="0"/>
      </w:pPr>
      <w:r>
        <w:rPr>
          <w:rFonts w:ascii="Calibri" w:hAnsi="Calibri"/>
          <w:b w:val="0"/>
          <w:i w:val="0"/>
          <w:sz w:val="21"/>
        </w:rPr>
        <w:t>The nine service templates are the most winnable thing on this site: 679,839 impressions, most of them already ranking in the top ten, converting at a third of what those positions deserve. If Monday’s exports confirm the diagnosis, +4,000 to +5,000 clicks a quarter of booking-intent traffic is realistic inside the month.</w:t>
      </w:r>
    </w:p>
    <w:p>
      <w:pPr>
        <w:spacing w:after="120" w:before="0"/>
      </w:pPr>
      <w:r>
        <w:rPr>
          <w:rFonts w:ascii="Calibri" w:hAnsi="Calibri"/>
          <w:b w:val="0"/>
          <w:i w:val="0"/>
          <w:sz w:val="21"/>
        </w:rPr>
        <w:t>The airport and city hub work will not show in Week 44, and probably not in Week 45. Anyone promising otherwise is selling something.</w:t>
      </w:r>
    </w:p>
    <w:p>
      <w:pPr>
        <w:spacing w:after="120" w:before="0"/>
      </w:pPr>
      <w:r>
        <w:rPr>
          <w:rFonts w:ascii="Calibri" w:hAnsi="Calibri"/>
          <w:b w:val="0"/>
          <w:i w:val="0"/>
          <w:sz w:val="21"/>
        </w:rPr>
        <w:t>The Week 43 retitling of 4.3 million impressions is the largest bet placed so far and reports back in late September. At the conservative end of the model that alone is +31% sitewide.</w:t>
      </w:r>
    </w:p>
    <w:p>
      <w:pPr>
        <w:spacing w:after="120" w:before="0"/>
      </w:pPr>
      <w:r>
        <w:rPr>
          <w:rFonts w:ascii="Calibri" w:hAnsi="Calibri"/>
          <w:b/>
          <w:i w:val="0"/>
          <w:color w:val="122A4A"/>
          <w:sz w:val="22"/>
        </w:rPr>
        <w:t>None of this requires building more pages. The site already has 6.86 million impressions. The work is converting them.</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