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Segoe UI" w:hAnsi="Segoe UI"/>
          <w:color w:val="1F2937"/>
          <w:sz w:val="40"/>
        </w:rPr>
        <w:t>AeroTurbine Dynamics Ltd. — Technical Specification</w:t>
      </w:r>
    </w:p>
    <w:p>
      <w:r>
        <w:t>Document ID: ATD-SPEC-2026-V4 | Classification: CONFIDENTIAL INDUSTRIAL</w:t>
      </w:r>
    </w:p>
    <w:p>
      <w:r>
        <w:t>Scope: High-Pressure Industrial Gas Turbine Operations &amp; Threshold Compliance</w:t>
        <w:br/>
      </w:r>
    </w:p>
    <w:p>
      <w:pPr>
        <w:pStyle w:val="Heading1"/>
      </w:pPr>
      <w:r>
        <w:t>1. Operating Tolerances &amp; Vibration Limits</w:t>
      </w:r>
    </w:p>
    <w:p>
      <w:r>
        <w:t>Industrial gas turbines operating in continuous production must maintain root-mean-square (RMS) vibration velocities strictly below the critical engineering threshold:</w:t>
      </w:r>
    </w:p>
    <w:p>
      <w:r>
        <w:rPr>
          <w:b/>
          <w:color w:val="B91C1C"/>
        </w:rPr>
        <w:t>• Maximum Permissible Vibration Velocity: 4.5 mm/s RMS (ISO 10816-3 Class III)</w:t>
      </w:r>
    </w:p>
    <w:p>
      <w:r>
        <w:t>• Maximum Continuous Bearing Temperature: 185.0 °C</w:t>
      </w:r>
    </w:p>
    <w:p>
      <w:r>
        <w:t>• Mandatory Overhaul Interval: 3,000 Operating Hours</w:t>
      </w:r>
    </w:p>
    <w:p>
      <w:pPr>
        <w:pStyle w:val="Heading1"/>
      </w:pPr>
      <w:r>
        <w:t>2. Mandatory Action Protocol for Exceeded Limits</w:t>
      </w:r>
    </w:p>
    <w:p>
      <w:r>
        <w:t>If any turbine exhibits measured vibration exceeding 4.5 mm/s RMS or bearing temperatures above 185.0 °C:</w:t>
        <w:br/>
        <w:t>1. Immediate emergency shutdown and rotor de-coupling within 2 hours of telemetry alarm.</w:t>
        <w:br/>
        <w:t>2. Ultrasonic non-destructive testing (NDT) on high-pressure compressor stage blades.</w:t>
        <w:br/>
        <w:t>3. Complete bearing housing lubrication flush and replacement of dynamic seal assemblies.</w:t>
        <w:br/>
        <w:t>4. Any unit exceeding 30 defects per quarter must undergo full rotor re-balancing prior to re-commissioning.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