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1hb2eyzetj6k" w:id="0"/>
      <w:bookmarkEnd w:id="0"/>
      <w:r w:rsidDel="00000000" w:rsidR="00000000" w:rsidRPr="00000000">
        <w:rPr>
          <w:b w:val="1"/>
          <w:bCs w:val="1"/>
          <w:rtl w:val="0"/>
        </w:rPr>
        <w:t xml:space="preserve">Task 3B – MD Talking Points (UrbanPulse)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vxnmkqm5r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Discussion Areas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zn8wybqf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Performance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ROAS is below target at 2.1.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growth has been slower than expected despite ongoing campaign optimization.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brands appear to have stronger product presentation and listing quality.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rates may be impacted by listing quality rather than advertising performance alone.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5rpic2f3j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Opportunities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product images and listing content to increase conversion rates.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additional advertising formats and placements.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high-performing product categories for increased investment.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opportunities for expanding market share within the men's grooming category.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product differentiation against competitors.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k4909yq70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for the MD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company's primary growth objectives for the next 12 months?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current focus on revenue growth, profitability, or market share expansion?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any upcoming product launches or category expansions planned?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important is Amazon relative to other sales channels?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any budget constraints that could impact future growth initiatives?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euiayohla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increasing advertising budgets, I would focus on improving listing quality, product presentation, and conversion rates. Better conversion efficiency will allow future advertising investments to generate stronger returns and improve overall profitability. A balanced approach between advertising optimization and listing improvements is likely to deliver the best results.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