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12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5"/>
        <w:gridCol w:w="3192"/>
        <w:gridCol w:w="3119"/>
        <w:gridCol w:w="1530"/>
        <w:tblGridChange w:id="0">
          <w:tblGrid>
            <w:gridCol w:w="2615"/>
            <w:gridCol w:w="3192"/>
            <w:gridCol w:w="3119"/>
            <w:gridCol w:w="153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23, 2024</w:t>
            </w:r>
          </w:p>
        </w:tc>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Marks</w:t>
            </w:r>
          </w:p>
        </w:tc>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+ 50</w:t>
            </w:r>
          </w:p>
        </w:tc>
      </w:tr>
      <w:tr>
        <w:trPr>
          <w:cantSplit w:val="0"/>
          <w:tblHeader w:val="0"/>
        </w:trPr>
        <w:tc>
          <w:tcPr>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Code</w:t>
            </w:r>
          </w:p>
        </w:tc>
        <w:tc>
          <w:tcPr>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BT242AT</w:t>
            </w:r>
          </w:p>
        </w:tc>
        <w:tc>
          <w:tcPr>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tc>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min</w:t>
            </w:r>
          </w:p>
        </w:tc>
      </w:tr>
      <w:tr>
        <w:trPr>
          <w:cantSplit w:val="0"/>
          <w:tblHeader w:val="0"/>
        </w:trPr>
        <w:tc>
          <w:tcPr>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w:t>
            </w:r>
          </w:p>
        </w:tc>
        <w:tc>
          <w:tcPr>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Semester</w:t>
            </w:r>
          </w:p>
        </w:tc>
        <w:tc>
          <w:tcPr>
            <w:gridSpan w:val="2"/>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Book Offline Quiz and Test – 2 </w:t>
            </w:r>
          </w:p>
        </w:tc>
      </w:tr>
      <w:tr>
        <w:trPr>
          <w:cantSplit w:val="0"/>
          <w:tblHeader w:val="0"/>
        </w:trPr>
        <w:tc>
          <w:tcPr>
            <w:gridSpan w:val="4"/>
            <w:shd w:fill="auto"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Bio Safety Standards and Ethics (Basket course)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Answer all questions in Part A &amp; Part B, Answer Part A in first two pages in sequence only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A</w:t>
      </w:r>
      <w:r w:rsidDel="00000000" w:rsidR="00000000" w:rsidRPr="00000000">
        <w:rPr>
          <w:rtl w:val="0"/>
        </w:rPr>
      </w:r>
    </w:p>
    <w:tbl>
      <w:tblPr>
        <w:tblStyle w:val="Table2"/>
        <w:tblW w:w="104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7655"/>
        <w:gridCol w:w="567"/>
        <w:gridCol w:w="850"/>
        <w:gridCol w:w="822"/>
        <w:tblGridChange w:id="0">
          <w:tblGrid>
            <w:gridCol w:w="562"/>
            <w:gridCol w:w="7655"/>
            <w:gridCol w:w="567"/>
            <w:gridCol w:w="850"/>
            <w:gridCol w:w="822"/>
          </w:tblGrid>
        </w:tblGridChange>
      </w:tblGrid>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BT-L</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food, the term used for disease causing microorganism is referred as ___________</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temperature range which is optimum for bacterial growth in food</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principle of HACCP ?</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instrument used to multiply the DNA</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allowable concentration of the lead in food as per the FSSAI</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any two-food certification followed in the world</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term GAP</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60"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premises, processes, products and procedures is related to_____ </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any two examples for microbiological contamination</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number of Licenses issued by FSSAI</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B</w:t>
      </w:r>
    </w:p>
    <w:tbl>
      <w:tblPr>
        <w:tblStyle w:val="Table3"/>
        <w:tblpPr w:leftFromText="180" w:rightFromText="180" w:topFromText="0" w:bottomFromText="0" w:vertAnchor="text" w:horzAnchor="text" w:tblpX="0" w:tblpY="97"/>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8207"/>
        <w:gridCol w:w="586"/>
        <w:gridCol w:w="603"/>
        <w:gridCol w:w="550"/>
        <w:tblGridChange w:id="0">
          <w:tblGrid>
            <w:gridCol w:w="510"/>
            <w:gridCol w:w="8207"/>
            <w:gridCol w:w="586"/>
            <w:gridCol w:w="603"/>
            <w:gridCol w:w="550"/>
          </w:tblGrid>
        </w:tblGridChange>
      </w:tblGrid>
      <w:tr>
        <w:trPr>
          <w:cantSplit w:val="0"/>
          <w:tblHeader w:val="0"/>
        </w:trPr>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No</w:t>
            </w:r>
          </w:p>
        </w:tc>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(Test)</w:t>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BT-L</w:t>
            </w:r>
          </w:p>
        </w:tc>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t>
            </w:r>
          </w:p>
        </w:tc>
      </w:tr>
      <w:tr>
        <w:trPr>
          <w:cantSplit w:val="0"/>
          <w:tblHeader w:val="0"/>
        </w:trPr>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physical, chemical, and biological hazardous material which contaminate the food.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term FSSAI, illustrate its functions, importance &amp; type of license issued by them.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various methods to eliminate the chemical, Biological and physical hazardous materials from food.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term HACCP and explain in detail the principles of HACCP.</w:t>
            </w:r>
          </w:p>
        </w:tc>
        <w:tc>
          <w:tcPr>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the food spoilage microorganisms and explain the diseases caused by them.</w:t>
            </w:r>
          </w:p>
        </w:tc>
        <w:tc>
          <w:tcPr>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p>
        </w:tc>
        <w:tc>
          <w:tcPr>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GMP and GLP in maintaining the food hygiene </w:t>
            </w:r>
          </w:p>
        </w:tc>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BT-L-Blooms Taxonomy, CO-Course Outcomes, M-Marks</w:t>
      </w:r>
    </w:p>
    <w:tbl>
      <w:tblPr>
        <w:tblStyle w:val="Table4"/>
        <w:tblpPr w:leftFromText="180" w:rightFromText="180" w:topFromText="0" w:bottomFromText="0" w:vertAnchor="text" w:horzAnchor="text" w:tblpX="0" w:tblpY="79"/>
        <w:tblW w:w="10653.999999999998" w:type="dxa"/>
        <w:jc w:val="left"/>
        <w:tblLayout w:type="fixed"/>
        <w:tblLook w:val="0400"/>
      </w:tblPr>
      <w:tblGrid>
        <w:gridCol w:w="1485"/>
        <w:gridCol w:w="826"/>
        <w:gridCol w:w="830"/>
        <w:gridCol w:w="754"/>
        <w:gridCol w:w="753"/>
        <w:gridCol w:w="754"/>
        <w:gridCol w:w="754"/>
        <w:gridCol w:w="748"/>
        <w:gridCol w:w="748"/>
        <w:gridCol w:w="748"/>
        <w:gridCol w:w="748"/>
        <w:gridCol w:w="748"/>
        <w:gridCol w:w="758"/>
        <w:tblGridChange w:id="0">
          <w:tblGrid>
            <w:gridCol w:w="1485"/>
            <w:gridCol w:w="826"/>
            <w:gridCol w:w="830"/>
            <w:gridCol w:w="754"/>
            <w:gridCol w:w="753"/>
            <w:gridCol w:w="754"/>
            <w:gridCol w:w="754"/>
            <w:gridCol w:w="748"/>
            <w:gridCol w:w="748"/>
            <w:gridCol w:w="748"/>
            <w:gridCol w:w="748"/>
            <w:gridCol w:w="748"/>
            <w:gridCol w:w="758"/>
          </w:tblGrid>
        </w:tblGridChange>
      </w:tblGrid>
      <w:tr>
        <w:trPr>
          <w:cantSplit w:val="0"/>
          <w:trHeight w:val="40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Marks Distribution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Particulars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L6</w:t>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 Marks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key and scheme  </w:t>
      </w:r>
    </w:p>
    <w:tbl>
      <w:tblPr>
        <w:tblStyle w:val="Table5"/>
        <w:tblpPr w:leftFromText="180" w:rightFromText="180" w:topFromText="0" w:bottomFromText="0" w:vertAnchor="text" w:horzAnchor="text" w:tblpX="0" w:tblpY="12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5"/>
        <w:gridCol w:w="3192"/>
        <w:gridCol w:w="3119"/>
        <w:gridCol w:w="1530"/>
        <w:tblGridChange w:id="0">
          <w:tblGrid>
            <w:gridCol w:w="2615"/>
            <w:gridCol w:w="3192"/>
            <w:gridCol w:w="3119"/>
            <w:gridCol w:w="1530"/>
          </w:tblGrid>
        </w:tblGridChange>
      </w:tblGrid>
      <w:tr>
        <w:trPr>
          <w:cantSplit w:val="0"/>
          <w:tblHeader w:val="0"/>
        </w:trPr>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23, 2024</w:t>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Marks</w:t>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+ 50</w:t>
            </w:r>
          </w:p>
        </w:tc>
      </w:tr>
      <w:tr>
        <w:trPr>
          <w:cantSplit w:val="0"/>
          <w:tblHeader w:val="0"/>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Code</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BT242AT</w:t>
            </w:r>
          </w:p>
        </w:tc>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min</w:t>
            </w:r>
          </w:p>
        </w:tc>
      </w:tr>
      <w:tr>
        <w:trPr>
          <w:cantSplit w:val="0"/>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w:t>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Semester</w:t>
            </w:r>
          </w:p>
        </w:tc>
        <w:tc>
          <w:tcPr>
            <w:gridSpan w:val="2"/>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Book Offline Quiz and Test – 2 </w:t>
            </w:r>
          </w:p>
        </w:tc>
      </w:tr>
      <w:tr>
        <w:trPr>
          <w:cantSplit w:val="0"/>
          <w:tblHeader w:val="0"/>
        </w:trPr>
        <w:tc>
          <w:tcPr>
            <w:gridSpan w:val="4"/>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Bio Safety Standards and Ethics (Basket course)</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Answer all questions in Part A &amp; Part B, Answer Part A in first two pages in sequence only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A</w:t>
      </w:r>
      <w:r w:rsidDel="00000000" w:rsidR="00000000" w:rsidRPr="00000000">
        <w:rPr>
          <w:rtl w:val="0"/>
        </w:rPr>
      </w:r>
    </w:p>
    <w:tbl>
      <w:tblPr>
        <w:tblStyle w:val="Table6"/>
        <w:tblW w:w="104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gridCol w:w="1814"/>
        <w:tblGridChange w:id="0">
          <w:tblGrid>
            <w:gridCol w:w="562"/>
            <w:gridCol w:w="8080"/>
            <w:gridCol w:w="1814"/>
          </w:tblGrid>
        </w:tblGridChange>
      </w:tblGrid>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food, the term used for disease causing microorganism is referred as ___________</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Pathogen </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temperature range which is optimum for bacterial growth in food</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principle of HACCP ?</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verification procedure</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instrument used to multiply the DNA</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RTPCR</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allowable concentration of the lead in food as per the FSSAI</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ppm</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any two-food certification followed in the world</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Halal, Kosher</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term GAP</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Agricultural Practices</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premises, processes, products and procedures is related to_____ </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GMP</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any two examples for microbiological contamination</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Coliform, pseudomonas or other two </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number of Licenses issued by FSSAI</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B</w:t>
      </w:r>
    </w:p>
    <w:tbl>
      <w:tblPr>
        <w:tblStyle w:val="Table7"/>
        <w:tblpPr w:leftFromText="180" w:rightFromText="180" w:topFromText="0" w:bottomFromText="0" w:vertAnchor="text" w:horzAnchor="text" w:tblpX="0" w:tblpY="9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
        <w:gridCol w:w="9093"/>
        <w:gridCol w:w="709"/>
        <w:tblGridChange w:id="0">
          <w:tblGrid>
            <w:gridCol w:w="541"/>
            <w:gridCol w:w="9093"/>
            <w:gridCol w:w="709"/>
          </w:tblGrid>
        </w:tblGridChange>
      </w:tblGrid>
      <w:tr>
        <w:trPr>
          <w:cantSplit w:val="0"/>
          <w:tblHeader w:val="0"/>
        </w:trPr>
        <w:tc>
          <w:tcPr>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No</w:t>
            </w:r>
          </w:p>
        </w:tc>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(Test)</w:t>
            </w:r>
          </w:p>
        </w:tc>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rPr>
          <w:cantSplit w:val="0"/>
          <w:tblHeader w:val="0"/>
        </w:trPr>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physical, chemical, and biological hazardous material which contaminate the food.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35985" cy="2384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5985" cy="23841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Expand the term FSSAI, illustrate its functions, importance &amp; type of license issued by them.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4444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2"/>
                <w:szCs w:val="22"/>
                <w:highlight w:val="white"/>
                <w:u w:val="none"/>
                <w:vertAlign w:val="baseline"/>
                <w:rtl w:val="0"/>
              </w:rPr>
              <w:t xml:space="preserve">The full form of FSSAI is the </w:t>
            </w:r>
            <w:r w:rsidDel="00000000" w:rsidR="00000000" w:rsidRPr="00000000">
              <w:rPr>
                <w:rFonts w:ascii="Times New Roman" w:cs="Times New Roman" w:eastAsia="Times New Roman" w:hAnsi="Times New Roman"/>
                <w:b w:val="1"/>
                <w:i w:val="0"/>
                <w:smallCaps w:val="0"/>
                <w:strike w:val="0"/>
                <w:color w:val="444444"/>
                <w:sz w:val="22"/>
                <w:szCs w:val="22"/>
                <w:highlight w:val="white"/>
                <w:u w:val="none"/>
                <w:vertAlign w:val="baseline"/>
                <w:rtl w:val="0"/>
              </w:rPr>
              <w:t xml:space="preserve">Food Safety and Standards Authority of India.</w:t>
            </w:r>
            <w:r w:rsidDel="00000000" w:rsidR="00000000" w:rsidRPr="00000000">
              <w:rPr>
                <w:rFonts w:ascii="Times New Roman" w:cs="Times New Roman" w:eastAsia="Times New Roman" w:hAnsi="Times New Roman"/>
                <w:b w:val="0"/>
                <w:i w:val="0"/>
                <w:smallCaps w:val="0"/>
                <w:strike w:val="0"/>
                <w:color w:val="444444"/>
                <w:sz w:val="22"/>
                <w:szCs w:val="22"/>
                <w:highlight w:val="white"/>
                <w:u w:val="none"/>
                <w:vertAlign w:val="baseline"/>
                <w:rtl w:val="0"/>
              </w:rPr>
              <w:t xml:space="preserve"> The organization belongs to the Ministry of Health and Family Welfare of the Indian Government. To ensure that healthy and nutritious foods are accessible to humans, it aims to establish scientific standards for the control, inspection and regulation of the production, storage, selling, distribution and import of foods.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44444"/>
                <w:sz w:val="22"/>
                <w:szCs w:val="22"/>
                <w:highlight w:val="white"/>
                <w:u w:val="none"/>
                <w:vertAlign w:val="baseline"/>
              </w:rPr>
            </w:pPr>
            <w:r w:rsidDel="00000000" w:rsidR="00000000" w:rsidRPr="00000000">
              <w:rPr>
                <w:rtl w:val="0"/>
              </w:rPr>
            </w:r>
          </w:p>
          <w:p w:rsidR="00000000" w:rsidDel="00000000" w:rsidP="00000000" w:rsidRDefault="00000000" w:rsidRPr="00000000" w14:paraId="000000D7">
            <w:pPr>
              <w:pStyle w:val="Heading3"/>
              <w:shd w:fill="ffffff" w:val="clear"/>
              <w:spacing w:after="150" w:before="300" w:lineRule="auto"/>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 Functions</w:t>
            </w:r>
          </w:p>
          <w:p w:rsidR="00000000" w:rsidDel="00000000" w:rsidP="00000000" w:rsidRDefault="00000000" w:rsidRPr="00000000" w14:paraId="000000D8">
            <w:pPr>
              <w:numPr>
                <w:ilvl w:val="0"/>
                <w:numId w:val="5"/>
              </w:numPr>
              <w:shd w:fill="ffffff" w:val="clear"/>
              <w:spacing w:after="75" w:before="28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Framing of laws to set down food safety standards.</w:t>
            </w:r>
          </w:p>
          <w:p w:rsidR="00000000" w:rsidDel="00000000" w:rsidP="00000000" w:rsidRDefault="00000000" w:rsidRPr="00000000" w14:paraId="000000D9">
            <w:pPr>
              <w:numPr>
                <w:ilvl w:val="0"/>
                <w:numId w:val="5"/>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Authorizing standards to accredit labs for food testing.</w:t>
            </w:r>
          </w:p>
          <w:p w:rsidR="00000000" w:rsidDel="00000000" w:rsidP="00000000" w:rsidRDefault="00000000" w:rsidRPr="00000000" w14:paraId="000000DA">
            <w:pPr>
              <w:numPr>
                <w:ilvl w:val="0"/>
                <w:numId w:val="5"/>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Providing the Central Government to technical assistance and scientific guidance.</w:t>
            </w:r>
          </w:p>
          <w:p w:rsidR="00000000" w:rsidDel="00000000" w:rsidP="00000000" w:rsidRDefault="00000000" w:rsidRPr="00000000" w14:paraId="000000DB">
            <w:pPr>
              <w:numPr>
                <w:ilvl w:val="0"/>
                <w:numId w:val="5"/>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Conducting surveys to obtain food intake and food pollution information.</w:t>
            </w:r>
          </w:p>
          <w:p w:rsidR="00000000" w:rsidDel="00000000" w:rsidP="00000000" w:rsidRDefault="00000000" w:rsidRPr="00000000" w14:paraId="000000DC">
            <w:pPr>
              <w:numPr>
                <w:ilvl w:val="0"/>
                <w:numId w:val="5"/>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Spread data to raise awareness regarding food quality.</w:t>
            </w:r>
          </w:p>
          <w:p w:rsidR="00000000" w:rsidDel="00000000" w:rsidP="00000000" w:rsidRDefault="00000000" w:rsidRPr="00000000" w14:paraId="000000DD">
            <w:pPr>
              <w:numPr>
                <w:ilvl w:val="0"/>
                <w:numId w:val="5"/>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Conduct training programmes to educate individuals who have been in or want to begin a food business.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444444"/>
                <w:sz w:val="22"/>
                <w:szCs w:val="22"/>
                <w:highlight w:val="white"/>
                <w:u w:val="none"/>
                <w:vertAlign w:val="baseline"/>
              </w:rPr>
            </w:pPr>
            <w:r w:rsidDel="00000000" w:rsidR="00000000" w:rsidRPr="00000000">
              <w:rPr>
                <w:rtl w:val="0"/>
              </w:rPr>
            </w:r>
          </w:p>
          <w:p w:rsidR="00000000" w:rsidDel="00000000" w:rsidP="00000000" w:rsidRDefault="00000000" w:rsidRPr="00000000" w14:paraId="000000DF">
            <w:pPr>
              <w:shd w:fill="ffffff" w:val="clear"/>
              <w:spacing w:after="150" w:before="300" w:lineRule="auto"/>
              <w:rPr>
                <w:rFonts w:ascii="Times New Roman" w:cs="Times New Roman" w:eastAsia="Times New Roman" w:hAnsi="Times New Roman"/>
                <w:b w:val="1"/>
                <w:color w:val="444444"/>
              </w:rPr>
            </w:pPr>
            <w:r w:rsidDel="00000000" w:rsidR="00000000" w:rsidRPr="00000000">
              <w:rPr>
                <w:rFonts w:ascii="Times New Roman" w:cs="Times New Roman" w:eastAsia="Times New Roman" w:hAnsi="Times New Roman"/>
                <w:b w:val="1"/>
                <w:color w:val="444444"/>
                <w:rtl w:val="0"/>
              </w:rPr>
              <w:t xml:space="preserve">Importance of FSSAI</w:t>
            </w:r>
          </w:p>
          <w:p w:rsidR="00000000" w:rsidDel="00000000" w:rsidP="00000000" w:rsidRDefault="00000000" w:rsidRPr="00000000" w14:paraId="000000E0">
            <w:pPr>
              <w:numPr>
                <w:ilvl w:val="0"/>
                <w:numId w:val="4"/>
              </w:numPr>
              <w:shd w:fill="ffffff" w:val="clear"/>
              <w:spacing w:after="75" w:before="28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Under the Food and Safety Act of 2006, FSSAI was established.</w:t>
            </w:r>
          </w:p>
          <w:p w:rsidR="00000000" w:rsidDel="00000000" w:rsidP="00000000" w:rsidRDefault="00000000" w:rsidRPr="00000000" w14:paraId="000000E1">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Its headquarter is located in New Delhi, India.</w:t>
            </w:r>
          </w:p>
          <w:p w:rsidR="00000000" w:rsidDel="00000000" w:rsidP="00000000" w:rsidRDefault="00000000" w:rsidRPr="00000000" w14:paraId="000000E2">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It has eight regional office which is located in Chandigarh, Delhi, Lucknow, Mumbai, Guwahati, Kolkata, Cochin &amp; Chennai.</w:t>
            </w:r>
          </w:p>
          <w:p w:rsidR="00000000" w:rsidDel="00000000" w:rsidP="00000000" w:rsidRDefault="00000000" w:rsidRPr="00000000" w14:paraId="000000E3">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There are four referral laboratories and seventy-two local food testing lab for the testing of adulterated products.</w:t>
            </w:r>
          </w:p>
          <w:p w:rsidR="00000000" w:rsidDel="00000000" w:rsidP="00000000" w:rsidRDefault="00000000" w:rsidRPr="00000000" w14:paraId="000000E4">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The organization has the power to perform chemical research on various firms’ food items.</w:t>
            </w:r>
          </w:p>
          <w:p w:rsidR="00000000" w:rsidDel="00000000" w:rsidP="00000000" w:rsidRDefault="00000000" w:rsidRPr="00000000" w14:paraId="000000E5">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It also makes progress against businesses that do not ensure the appropriate nutrition &amp; quality of the food items. For example, FSSAI banned Maggi noodles.</w:t>
            </w:r>
          </w:p>
          <w:p w:rsidR="00000000" w:rsidDel="00000000" w:rsidP="00000000" w:rsidRDefault="00000000" w:rsidRPr="00000000" w14:paraId="000000E6">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FSSAI is allowed to grant licences that conform to its rules and practices to Food Business Operators.</w:t>
            </w:r>
          </w:p>
          <w:p w:rsidR="00000000" w:rsidDel="00000000" w:rsidP="00000000" w:rsidRDefault="00000000" w:rsidRPr="00000000" w14:paraId="000000E7">
            <w:pPr>
              <w:numPr>
                <w:ilvl w:val="0"/>
                <w:numId w:val="4"/>
              </w:numPr>
              <w:shd w:fill="ffffff" w:val="clear"/>
              <w:spacing w:after="75" w:before="0" w:line="240" w:lineRule="auto"/>
              <w:ind w:left="720" w:hanging="360"/>
              <w:rPr>
                <w:color w:val="444444"/>
              </w:rPr>
            </w:pPr>
            <w:r w:rsidDel="00000000" w:rsidR="00000000" w:rsidRPr="00000000">
              <w:rPr>
                <w:rFonts w:ascii="Times New Roman" w:cs="Times New Roman" w:eastAsia="Times New Roman" w:hAnsi="Times New Roman"/>
                <w:color w:val="444444"/>
                <w:rtl w:val="0"/>
              </w:rPr>
              <w:t xml:space="preserve">The licence is now compulsory anyone who is in a food company, like a food processor, food trader and owner of a hotel or restaurant.</w:t>
            </w:r>
          </w:p>
          <w:p w:rsidR="00000000" w:rsidDel="00000000" w:rsidP="00000000" w:rsidRDefault="00000000" w:rsidRPr="00000000" w14:paraId="000000E8">
            <w:pPr>
              <w:shd w:fill="ffffff" w:val="clear"/>
              <w:spacing w:after="75" w:before="280" w:line="240" w:lineRule="auto"/>
              <w:ind w:left="360" w:firstLine="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1f1f1f"/>
                <w:highlight w:val="white"/>
                <w:rtl w:val="0"/>
              </w:rPr>
              <w:t xml:space="preserve">The three licenses are – </w:t>
            </w:r>
            <w:r w:rsidDel="00000000" w:rsidR="00000000" w:rsidRPr="00000000">
              <w:rPr>
                <w:rFonts w:ascii="Times New Roman" w:cs="Times New Roman" w:eastAsia="Times New Roman" w:hAnsi="Times New Roman"/>
                <w:color w:val="040c28"/>
                <w:highlight w:val="white"/>
                <w:rtl w:val="0"/>
              </w:rPr>
              <w:t xml:space="preserve">FSSAI Basic Registration, FSSAI State license and FSSAI Central License</w:t>
            </w:r>
            <w:r w:rsidDel="00000000" w:rsidR="00000000" w:rsidRPr="00000000">
              <w:rPr>
                <w:rFonts w:ascii="Times New Roman" w:cs="Times New Roman" w:eastAsia="Times New Roman" w:hAnsi="Times New Roman"/>
                <w:color w:val="1f1f1f"/>
                <w:highlight w:val="whit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various methods to eliminate the chemical, Biological and physical hazardous materials from food.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7228" cy="22996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7228" cy="229966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18370" cy="2215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18370" cy="22158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term HACCP and explain in detail the principles of HACCP.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20594" cy="215890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0594" cy="215890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out the food spoilage microorganisms and explain the diseases caused by them.</w:t>
            </w:r>
          </w:p>
          <w:p w:rsidR="00000000" w:rsidDel="00000000" w:rsidP="00000000" w:rsidRDefault="00000000" w:rsidRPr="00000000" w14:paraId="000000F8">
            <w:pPr>
              <w:spacing w:after="0" w:line="240" w:lineRule="auto"/>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Foodborne illnesses may result from any of the following sources:</w:t>
            </w:r>
          </w:p>
          <w:p w:rsidR="00000000" w:rsidDel="00000000" w:rsidP="00000000" w:rsidRDefault="00000000" w:rsidRPr="00000000" w14:paraId="000000F9">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Bacteria: </w:t>
            </w:r>
            <w:r w:rsidDel="00000000" w:rsidR="00000000" w:rsidRPr="00000000">
              <w:rPr>
                <w:rFonts w:ascii="Times New Roman" w:cs="Times New Roman" w:eastAsia="Times New Roman" w:hAnsi="Times New Roman"/>
                <w:color w:val="231f20"/>
                <w:rtl w:val="0"/>
              </w:rPr>
              <w:t xml:space="preserve">These may be present in raw and undercooked meat, fish, and poultry; unpasteurized dairy products; contaminated fruits and vegetables; and contaminated drinking water.</w:t>
            </w:r>
          </w:p>
          <w:p w:rsidR="00000000" w:rsidDel="00000000" w:rsidP="00000000" w:rsidRDefault="00000000" w:rsidRPr="00000000" w14:paraId="000000FA">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Viruses:</w:t>
            </w:r>
            <w:r w:rsidDel="00000000" w:rsidR="00000000" w:rsidRPr="00000000">
              <w:rPr>
                <w:rFonts w:ascii="Times New Roman" w:cs="Times New Roman" w:eastAsia="Times New Roman" w:hAnsi="Times New Roman"/>
                <w:color w:val="231f20"/>
                <w:rtl w:val="0"/>
              </w:rPr>
              <w:t xml:space="preserve"> Viruses are transmitted to the body through food contaminated by viral particles.</w:t>
            </w:r>
          </w:p>
          <w:p w:rsidR="00000000" w:rsidDel="00000000" w:rsidP="00000000" w:rsidRDefault="00000000" w:rsidRPr="00000000" w14:paraId="000000FB">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Parasites:</w:t>
            </w:r>
            <w:r w:rsidDel="00000000" w:rsidR="00000000" w:rsidRPr="00000000">
              <w:rPr>
                <w:rFonts w:ascii="Times New Roman" w:cs="Times New Roman" w:eastAsia="Times New Roman" w:hAnsi="Times New Roman"/>
                <w:color w:val="231f20"/>
                <w:rtl w:val="0"/>
              </w:rPr>
              <w:t xml:space="preserve"> Contaminated water and soil can transmit harmful parasites to fresh produce, seafood, meat, poultry, and other foods.</w:t>
            </w:r>
          </w:p>
          <w:p w:rsidR="00000000" w:rsidDel="00000000" w:rsidP="00000000" w:rsidRDefault="00000000" w:rsidRPr="00000000" w14:paraId="000000FC">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Prions:</w:t>
            </w:r>
            <w:r w:rsidDel="00000000" w:rsidR="00000000" w:rsidRPr="00000000">
              <w:rPr>
                <w:rFonts w:ascii="Times New Roman" w:cs="Times New Roman" w:eastAsia="Times New Roman" w:hAnsi="Times New Roman"/>
                <w:color w:val="231f20"/>
                <w:rtl w:val="0"/>
              </w:rPr>
              <w:t xml:space="preserve"> These </w:t>
            </w:r>
            <w:hyperlink r:id="rId10">
              <w:r w:rsidDel="00000000" w:rsidR="00000000" w:rsidRPr="00000000">
                <w:rPr>
                  <w:rFonts w:ascii="Times New Roman" w:cs="Times New Roman" w:eastAsia="Times New Roman" w:hAnsi="Times New Roman"/>
                  <w:color w:val="02838d"/>
                  <w:u w:val="single"/>
                  <w:rtl w:val="0"/>
                </w:rPr>
                <w:t xml:space="preserve">infectious</w:t>
              </w:r>
            </w:hyperlink>
            <w:r w:rsidDel="00000000" w:rsidR="00000000" w:rsidRPr="00000000">
              <w:rPr>
                <w:rFonts w:ascii="Times New Roman" w:cs="Times New Roman" w:eastAsia="Times New Roman" w:hAnsi="Times New Roman"/>
                <w:color w:val="231f20"/>
                <w:rtl w:val="0"/>
              </w:rPr>
              <w:t xml:space="preserve"> proteins are associated with “</w:t>
            </w:r>
            <w:hyperlink r:id="rId11">
              <w:r w:rsidDel="00000000" w:rsidR="00000000" w:rsidRPr="00000000">
                <w:rPr>
                  <w:rFonts w:ascii="Times New Roman" w:cs="Times New Roman" w:eastAsia="Times New Roman" w:hAnsi="Times New Roman"/>
                  <w:color w:val="02838d"/>
                  <w:u w:val="single"/>
                  <w:rtl w:val="0"/>
                </w:rPr>
                <w:t xml:space="preserve">mad cow disease</w:t>
              </w:r>
            </w:hyperlink>
            <w:r w:rsidDel="00000000" w:rsidR="00000000" w:rsidRPr="00000000">
              <w:rPr>
                <w:rFonts w:ascii="Times New Roman" w:cs="Times New Roman" w:eastAsia="Times New Roman" w:hAnsi="Times New Roman"/>
                <w:color w:val="231f20"/>
                <w:rtl w:val="0"/>
              </w:rPr>
              <w:t xml:space="preserve">” and can come from eating parts of cattle, such as the brain tissue.</w:t>
            </w:r>
          </w:p>
          <w:p w:rsidR="00000000" w:rsidDel="00000000" w:rsidP="00000000" w:rsidRDefault="00000000" w:rsidRPr="00000000" w14:paraId="000000FD">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Naturally occurring chemicals: </w:t>
            </w:r>
            <w:r w:rsidDel="00000000" w:rsidR="00000000" w:rsidRPr="00000000">
              <w:rPr>
                <w:rFonts w:ascii="Times New Roman" w:cs="Times New Roman" w:eastAsia="Times New Roman" w:hAnsi="Times New Roman"/>
                <w:color w:val="231f20"/>
                <w:rtl w:val="0"/>
              </w:rPr>
              <w:t xml:space="preserve">Naturally occurring toxins in mushrooms, staple foods such as corn and cereal, and mold on grains can cause long-term health complications.</w:t>
            </w:r>
          </w:p>
          <w:p w:rsidR="00000000" w:rsidDel="00000000" w:rsidP="00000000" w:rsidRDefault="00000000" w:rsidRPr="00000000" w14:paraId="000000FE">
            <w:pPr>
              <w:numPr>
                <w:ilvl w:val="0"/>
                <w:numId w:val="1"/>
              </w:numPr>
              <w:spacing w:after="0" w:line="240" w:lineRule="auto"/>
              <w:ind w:left="720" w:hanging="360"/>
              <w:rPr>
                <w:color w:val="231f20"/>
              </w:rPr>
            </w:pPr>
            <w:r w:rsidDel="00000000" w:rsidR="00000000" w:rsidRPr="00000000">
              <w:rPr>
                <w:rFonts w:ascii="Times New Roman" w:cs="Times New Roman" w:eastAsia="Times New Roman" w:hAnsi="Times New Roman"/>
                <w:b w:val="1"/>
                <w:color w:val="231f20"/>
                <w:rtl w:val="0"/>
              </w:rPr>
              <w:t xml:space="preserve">Environmental pollutants:</w:t>
            </w:r>
            <w:r w:rsidDel="00000000" w:rsidR="00000000" w:rsidRPr="00000000">
              <w:rPr>
                <w:rFonts w:ascii="Times New Roman" w:cs="Times New Roman" w:eastAsia="Times New Roman" w:hAnsi="Times New Roman"/>
                <w:color w:val="231f20"/>
                <w:rtl w:val="0"/>
              </w:rPr>
              <w:t xml:space="preserve"> Byproducts of plastic production and waste management, as well as heavy metals such as lead and mercury found in water and soil, can contaminate foods and lead to foodborne illnesses.</w:t>
            </w:r>
          </w:p>
          <w:p w:rsidR="00000000" w:rsidDel="00000000" w:rsidP="00000000" w:rsidRDefault="00000000" w:rsidRPr="00000000" w14:paraId="000000FF">
            <w:pPr>
              <w:spacing w:after="0" w:line="240" w:lineRule="auto"/>
              <w:ind w:left="720" w:firstLine="0"/>
              <w:rPr>
                <w:rFonts w:ascii="Times New Roman" w:cs="Times New Roman" w:eastAsia="Times New Roman" w:hAnsi="Times New Roman"/>
                <w:b w:val="1"/>
                <w:color w:val="231f20"/>
              </w:rPr>
            </w:pPr>
            <w:r w:rsidDel="00000000" w:rsidR="00000000" w:rsidRPr="00000000">
              <w:rPr>
                <w:rtl w:val="0"/>
              </w:rPr>
            </w:r>
          </w:p>
          <w:p w:rsidR="00000000" w:rsidDel="00000000" w:rsidP="00000000" w:rsidRDefault="00000000" w:rsidRPr="00000000" w14:paraId="00000100">
            <w:pPr>
              <w:spacing w:after="0" w:line="240" w:lineRule="auto"/>
              <w:ind w:left="720" w:firstLine="0"/>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101">
            <w:pPr>
              <w:numPr>
                <w:ilvl w:val="0"/>
                <w:numId w:val="2"/>
              </w:numPr>
              <w:shd w:fill="ffffff" w:val="clear"/>
              <w:spacing w:after="0" w:line="240" w:lineRule="auto"/>
              <w:ind w:left="720" w:hanging="360"/>
              <w:rPr>
                <w:color w:val="231f20"/>
              </w:rPr>
            </w:pPr>
            <w:r w:rsidDel="00000000" w:rsidR="00000000" w:rsidRPr="00000000">
              <w:rPr>
                <w:rFonts w:ascii="Times New Roman" w:cs="Times New Roman" w:eastAsia="Times New Roman" w:hAnsi="Times New Roman"/>
                <w:color w:val="3d792a"/>
                <w:u w:val="single"/>
              </w:rPr>
              <w:drawing>
                <wp:inline distB="0" distT="0" distL="0" distR="0">
                  <wp:extent cx="3727994" cy="152458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27994" cy="1524582"/>
                          </a:xfrm>
                          <a:prstGeom prst="rect"/>
                          <a:ln/>
                        </pic:spPr>
                      </pic:pic>
                    </a:graphicData>
                  </a:graphic>
                </wp:inline>
              </w:drawing>
            </w:r>
            <w:r w:rsidDel="00000000" w:rsidR="00000000" w:rsidRPr="00000000">
              <w:rPr>
                <w:rFonts w:ascii="Times New Roman" w:cs="Times New Roman" w:eastAsia="Times New Roman" w:hAnsi="Times New Roman"/>
                <w:color w:val="231f20"/>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blHeader w:val="0"/>
        </w:trPr>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p>
        </w:tc>
        <w:tc>
          <w:tcPr>
            <w:shd w:fill="auto"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the GMP and GLP in maintaining the food hygiene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Main Components of Good Manufacturing Practices   5P’S</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Principles of GMP</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04682" cy="2502601"/>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04682" cy="250260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BT-L-Blooms Taxonomy, CO-Course Outcomes, M-Marks</w:t>
      </w:r>
    </w:p>
    <w:tbl>
      <w:tblPr>
        <w:tblStyle w:val="Table8"/>
        <w:tblpPr w:leftFromText="180" w:rightFromText="180" w:topFromText="0" w:bottomFromText="0" w:vertAnchor="text" w:horzAnchor="text" w:tblpX="0" w:tblpY="79"/>
        <w:tblW w:w="10653.999999999998" w:type="dxa"/>
        <w:jc w:val="left"/>
        <w:tblLayout w:type="fixed"/>
        <w:tblLook w:val="0400"/>
      </w:tblPr>
      <w:tblGrid>
        <w:gridCol w:w="1485"/>
        <w:gridCol w:w="826"/>
        <w:gridCol w:w="830"/>
        <w:gridCol w:w="754"/>
        <w:gridCol w:w="753"/>
        <w:gridCol w:w="754"/>
        <w:gridCol w:w="754"/>
        <w:gridCol w:w="748"/>
        <w:gridCol w:w="748"/>
        <w:gridCol w:w="748"/>
        <w:gridCol w:w="748"/>
        <w:gridCol w:w="748"/>
        <w:gridCol w:w="758"/>
        <w:tblGridChange w:id="0">
          <w:tblGrid>
            <w:gridCol w:w="1485"/>
            <w:gridCol w:w="826"/>
            <w:gridCol w:w="830"/>
            <w:gridCol w:w="754"/>
            <w:gridCol w:w="753"/>
            <w:gridCol w:w="754"/>
            <w:gridCol w:w="754"/>
            <w:gridCol w:w="748"/>
            <w:gridCol w:w="748"/>
            <w:gridCol w:w="748"/>
            <w:gridCol w:w="748"/>
            <w:gridCol w:w="748"/>
            <w:gridCol w:w="758"/>
          </w:tblGrid>
        </w:tblGridChange>
      </w:tblGrid>
      <w:tr>
        <w:trPr>
          <w:cantSplit w:val="0"/>
          <w:trHeight w:val="40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Marks Distribution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Particulars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L6</w:t>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 Marks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sectPr>
      <w:headerReference r:id="rId14" w:type="default"/>
      <w:pgSz w:h="16838" w:w="11906" w:orient="portrait"/>
      <w:pgMar w:bottom="90" w:top="900" w:left="720" w:right="720" w:header="70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entury Schoolbook"/>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645910" cy="917575"/>
          <wp:effectExtent b="0" l="0" r="0" t="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645910" cy="9175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BIOTECHNOLOGY</w:t>
    </w:r>
    <w:r w:rsidDel="00000000" w:rsidR="00000000" w:rsidRPr="00000000">
      <w:rPr>
        <w:rtl w:val="0"/>
      </w:rPr>
    </w:r>
  </w:p>
  <w:p w:rsidR="00000000" w:rsidDel="00000000" w:rsidP="00000000" w:rsidRDefault="00000000" w:rsidRPr="00000000" w14:paraId="0000012B">
    <w:pPr>
      <w:spacing w:after="0" w:line="240" w:lineRule="auto"/>
      <w:jc w:val="center"/>
      <w:rPr>
        <w:rFonts w:ascii="Century Schoolbook" w:cs="Century Schoolbook" w:eastAsia="Century Schoolbook" w:hAnsi="Century Schoolbook"/>
        <w:color w:val="000000"/>
        <w:sz w:val="28"/>
        <w:szCs w:val="28"/>
      </w:rPr>
    </w:pPr>
    <w:r w:rsidDel="00000000" w:rsidR="00000000" w:rsidRPr="00000000">
      <w:rPr>
        <w:rFonts w:ascii="Century Schoolbook" w:cs="Century Schoolbook" w:eastAsia="Century Schoolbook" w:hAnsi="Century Schoolbook"/>
        <w:color w:val="000000"/>
        <w:sz w:val="28"/>
        <w:szCs w:val="28"/>
        <w:rtl w:val="0"/>
      </w:rPr>
      <w:t xml:space="preserve">Academic year 2024-2025 (Even Sem)</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sz w:val="20"/>
      <w:szCs w:val="20"/>
    </w:rPr>
    <w:tblPr>
      <w:tblStyleRowBandSize w:val="1"/>
      <w:tblStyleColBandSize w:val="1"/>
      <w:tblCellMar>
        <w:top w:w="0.0" w:type="dxa"/>
        <w:left w:w="108.0" w:type="dxa"/>
        <w:bottom w:w="0.0" w:type="dxa"/>
        <w:right w:w="108.0" w:type="dxa"/>
      </w:tblCellMar>
    </w:tblPr>
  </w:style>
  <w:style w:type="table" w:styleId="Table6">
    <w:basedOn w:val="TableNormal"/>
    <w:rPr>
      <w:sz w:val="20"/>
      <w:szCs w:val="20"/>
    </w:rPr>
    <w:tblPr>
      <w:tblStyleRowBandSize w:val="1"/>
      <w:tblStyleColBandSize w:val="1"/>
      <w:tblCellMar>
        <w:top w:w="0.0" w:type="dxa"/>
        <w:left w:w="108.0" w:type="dxa"/>
        <w:bottom w:w="0.0" w:type="dxa"/>
        <w:right w:w="108.0" w:type="dxa"/>
      </w:tblCellMar>
    </w:tblPr>
  </w:style>
  <w:style w:type="table" w:styleId="Table7">
    <w:basedOn w:val="TableNormal"/>
    <w:rPr>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ealthline.com/health/creutzfeldt-jakob-disease" TargetMode="External"/><Relationship Id="rId10" Type="http://schemas.openxmlformats.org/officeDocument/2006/relationships/hyperlink" Target="https://www.healthline.com/health/prion-disease"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