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-447674</wp:posOffset>
                </wp:positionH>
                <wp:positionV relativeFrom="paragraph">
                  <wp:posOffset>114300</wp:posOffset>
                </wp:positionV>
                <wp:extent cx="7011988" cy="9039225"/>
                <wp:effectExtent b="0" l="0" r="0" t="0"/>
                <wp:wrapNone/>
                <wp:docPr id="20" name=""/>
                <a:graphic>
                  <a:graphicData uri="http://schemas.microsoft.com/office/word/2010/wordprocessingShape">
                    <wps:wsp>
                      <wps:cNvSpPr/>
                      <wps:cNvPr id="2" name="Shape 2"/>
                      <wps:spPr>
                        <a:xfrm>
                          <a:off x="2385475" y="0"/>
                          <a:ext cx="3684900" cy="510600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-447674</wp:posOffset>
                </wp:positionH>
                <wp:positionV relativeFrom="paragraph">
                  <wp:posOffset>114300</wp:posOffset>
                </wp:positionV>
                <wp:extent cx="7011988" cy="9039225"/>
                <wp:effectExtent b="0" l="0" r="0" t="0"/>
                <wp:wrapNone/>
                <wp:docPr id="20"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7011988" cy="903922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530" w:hanging="28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ind w:left="851" w:right="-530" w:hanging="284"/>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0" distT="0" distL="0" distR="0">
            <wp:extent cx="5695569" cy="1830400"/>
            <wp:effectExtent b="0" l="0" r="0" t="0"/>
            <wp:docPr id="2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95569" cy="1830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785" w:right="1065" w:firstLine="0"/>
        <w:jc w:val="center"/>
        <w:rPr>
          <w:rFonts w:ascii="Century Schoolbook" w:cs="Century Schoolbook" w:eastAsia="Century Schoolbook" w:hAnsi="Century Schoolbook"/>
          <w:b w:val="1"/>
          <w:i w:val="0"/>
          <w:smallCaps w:val="0"/>
          <w:strike w:val="0"/>
          <w:color w:val="000000"/>
          <w:sz w:val="28"/>
          <w:szCs w:val="28"/>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none"/>
          <w:shd w:fill="auto" w:val="clear"/>
          <w:vertAlign w:val="baseline"/>
          <w:rtl w:val="0"/>
        </w:rPr>
        <w:t xml:space="preserve">DEPARTMENT OF COMPUTER SCIENCE AND ENGINEERING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785" w:right="1065" w:firstLine="0"/>
        <w:jc w:val="center"/>
        <w:rPr>
          <w:rFonts w:ascii="Century Schoolbook" w:cs="Century Schoolbook" w:eastAsia="Century Schoolbook" w:hAnsi="Century Schoolbook"/>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entury Schoolbook" w:cs="Century Schoolbook" w:eastAsia="Century Schoolbook" w:hAnsi="Century Schoolbook"/>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1"/>
        <w:spacing w:before="0" w:line="276" w:lineRule="auto"/>
        <w:ind w:left="787" w:right="1065" w:firstLine="0"/>
        <w:rPr/>
      </w:pPr>
      <w:r w:rsidDel="00000000" w:rsidR="00000000" w:rsidRPr="00000000">
        <w:rPr>
          <w:rtl w:val="0"/>
        </w:rPr>
        <w:t xml:space="preserve">COMPUTER NETWORKS – CY245AT</w:t>
      </w:r>
    </w:p>
    <w:p w:rsidR="00000000" w:rsidDel="00000000" w:rsidP="00000000" w:rsidRDefault="00000000" w:rsidRPr="00000000" w14:paraId="0000000A">
      <w:pPr>
        <w:pStyle w:val="Heading3"/>
        <w:spacing w:before="198" w:lineRule="auto"/>
        <w:ind w:left="786" w:right="1065" w:firstLine="0"/>
        <w:jc w:val="center"/>
        <w:rPr/>
      </w:pPr>
      <w:r w:rsidDel="00000000" w:rsidR="00000000" w:rsidRPr="00000000">
        <w:rPr>
          <w:rtl w:val="0"/>
        </w:rPr>
        <w:t xml:space="preserve">REPORT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 w:right="106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 w:right="106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 w:right="106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84"/>
        </w:tabs>
        <w:spacing w:after="0" w:before="0" w:line="240" w:lineRule="auto"/>
        <w:ind w:left="35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KAPSHA SURAJ SINGH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1RV2</w:t>
      </w:r>
      <w:r w:rsidDel="00000000" w:rsidR="00000000" w:rsidRPr="00000000">
        <w:rPr>
          <w:b w:val="1"/>
          <w:sz w:val="24"/>
          <w:szCs w:val="24"/>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CY</w:t>
      </w:r>
      <w:r w:rsidDel="00000000" w:rsidR="00000000" w:rsidRPr="00000000">
        <w:rPr>
          <w:b w:val="1"/>
          <w:sz w:val="24"/>
          <w:szCs w:val="24"/>
          <w:rtl w:val="0"/>
        </w:rPr>
        <w:t xml:space="preserve">402</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84"/>
        </w:tabs>
        <w:spacing w:after="0" w:before="0" w:line="240" w:lineRule="auto"/>
        <w:ind w:left="35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VARSHITH 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1RV22CY0</w:t>
      </w:r>
      <w:r w:rsidDel="00000000" w:rsidR="00000000" w:rsidRPr="00000000">
        <w:rPr>
          <w:b w:val="1"/>
          <w:sz w:val="24"/>
          <w:szCs w:val="24"/>
          <w:rtl w:val="0"/>
        </w:rPr>
        <w:t xml:space="preserve">59</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Under the Guidance of:</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Dr. Sandhya 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Assistant Professor</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Department of CSE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RV College of Engineering®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Bengaluru - 560059</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3"/>
        <w:spacing w:before="2" w:line="276" w:lineRule="auto"/>
        <w:ind w:left="2603" w:right="2882" w:firstLine="0"/>
        <w:jc w:val="center"/>
        <w:rPr/>
        <w:sectPr>
          <w:pgSz w:h="15840" w:w="12240" w:orient="portrait"/>
          <w:pgMar w:bottom="280" w:top="860" w:left="1280" w:right="1000" w:header="720" w:footer="720"/>
          <w:pgNumType w:start="1"/>
        </w:sectPr>
      </w:pPr>
      <w:r w:rsidDel="00000000" w:rsidR="00000000" w:rsidRPr="00000000">
        <w:rPr>
          <w:rtl w:val="0"/>
        </w:rPr>
        <w:t xml:space="preserve">Computer Science and Engineering – Cybersecurity 2023-2024</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singl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We, </w:t>
      </w:r>
      <w:r w:rsidDel="00000000" w:rsidR="00000000" w:rsidRPr="00000000">
        <w:rPr>
          <w:b w:val="1"/>
          <w:sz w:val="19"/>
          <w:szCs w:val="19"/>
          <w:rtl w:val="0"/>
        </w:rPr>
        <w:t xml:space="preserve">KAPSHA SURAJ SINGH and VARSHITH Y</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students of fourth semester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BE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Computer Science and Engineering – Cyber Security</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Department of Computer Science and Engineering,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RV College of Engineering</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Bengaluru, declare that the Computer Networks Experiential Learning with title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w:t>
      </w:r>
      <w:r w:rsidDel="00000000" w:rsidR="00000000" w:rsidRPr="00000000">
        <w:rPr>
          <w:b w:val="1"/>
          <w:sz w:val="19"/>
          <w:szCs w:val="19"/>
          <w:rtl w:val="0"/>
        </w:rPr>
        <w:t xml:space="preserve">Temporal Analysis and Prediction using CVE and CWE codes</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has been carried out by us. It has been submitted in partial fulfillment for the award of degree in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BE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Computer Science and Engineering-Cyber Security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of RV College of Engineering</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Bengaluru, affiliated to Visvesvaraya Technological University, Belagavi, during the academic year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202</w:t>
      </w:r>
      <w:r w:rsidDel="00000000" w:rsidR="00000000" w:rsidRPr="00000000">
        <w:rPr>
          <w:b w:val="1"/>
          <w:sz w:val="19"/>
          <w:szCs w:val="19"/>
          <w:rtl w:val="0"/>
        </w:rPr>
        <w:t xml:space="preserve">3</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w:t>
      </w:r>
      <w:r w:rsidDel="00000000" w:rsidR="00000000" w:rsidRPr="00000000">
        <w:rPr>
          <w:b w:val="1"/>
          <w:sz w:val="19"/>
          <w:szCs w:val="19"/>
          <w:rtl w:val="0"/>
        </w:rPr>
        <w:t xml:space="preserve">4</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The matter embodied in this report has not been submitted to any other university or institution for the award of any other degree or diploma.</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br w:type="textWrapping"/>
        <w:br w:type="textWrapping"/>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Date of Submission:</w:t>
        <w:tab/>
        <w:t xml:space="preserve">                                                                                                      Signature of the Student</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Student Name: </w:t>
      </w:r>
      <w:r w:rsidDel="00000000" w:rsidR="00000000" w:rsidRPr="00000000">
        <w:rPr>
          <w:b w:val="1"/>
          <w:sz w:val="19"/>
          <w:szCs w:val="19"/>
          <w:rtl w:val="0"/>
        </w:rPr>
        <w:t xml:space="preserve">KAPSHA SURAJ SINGH and VARSHITH Y</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USN: 1RV2</w:t>
      </w:r>
      <w:r w:rsidDel="00000000" w:rsidR="00000000" w:rsidRPr="00000000">
        <w:rPr>
          <w:sz w:val="19"/>
          <w:szCs w:val="19"/>
          <w:rtl w:val="0"/>
        </w:rPr>
        <w:t xml:space="preserve">3</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CY</w:t>
      </w:r>
      <w:r w:rsidDel="00000000" w:rsidR="00000000" w:rsidRPr="00000000">
        <w:rPr>
          <w:sz w:val="19"/>
          <w:szCs w:val="19"/>
          <w:rtl w:val="0"/>
        </w:rPr>
        <w:t xml:space="preserve">402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1RV22CY0</w:t>
      </w:r>
      <w:r w:rsidDel="00000000" w:rsidR="00000000" w:rsidRPr="00000000">
        <w:rPr>
          <w:sz w:val="19"/>
          <w:szCs w:val="19"/>
          <w:rtl w:val="0"/>
        </w:rPr>
        <w:t xml:space="preserve">59</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Department of Computer Science and Engineering RV College of Engineering</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Bengaluru-560059</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rFonts w:ascii="Times New Roman" w:cs="Times New Roman" w:eastAsia="Times New Roman" w:hAnsi="Times New Roman"/>
          <w:b w:val="1"/>
          <w:i w:val="0"/>
          <w:smallCaps w:val="0"/>
          <w:strike w:val="0"/>
          <w:color w:val="000000"/>
          <w:sz w:val="19"/>
          <w:szCs w:val="19"/>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single"/>
          <w:shd w:fill="auto" w:val="clear"/>
          <w:vertAlign w:val="baseline"/>
          <w:rtl w:val="0"/>
        </w:rPr>
        <w:t xml:space="preserve">TABLE OF CONTENTS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rFonts w:ascii="Times New Roman" w:cs="Times New Roman" w:eastAsia="Times New Roman" w:hAnsi="Times New Roman"/>
          <w:b w:val="1"/>
          <w:i w:val="0"/>
          <w:smallCaps w:val="0"/>
          <w:strike w:val="0"/>
          <w:color w:val="000000"/>
          <w:sz w:val="19"/>
          <w:szCs w:val="19"/>
          <w:u w:val="singl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 w:line="362" w:lineRule="auto"/>
        <w:ind w:left="144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Acknowledgement</w:t>
      </w:r>
    </w:p>
    <w:p w:rsidR="00000000" w:rsidDel="00000000" w:rsidP="00000000" w:rsidRDefault="00000000" w:rsidRPr="00000000" w14:paraId="0000004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 w:line="362" w:lineRule="auto"/>
        <w:ind w:left="144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Abstract</w:t>
      </w:r>
    </w:p>
    <w:p w:rsidR="00000000" w:rsidDel="00000000" w:rsidP="00000000" w:rsidRDefault="00000000" w:rsidRPr="00000000" w14:paraId="0000004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 w:line="362" w:lineRule="auto"/>
        <w:ind w:left="144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Chapter 1: Introduction</w:t>
      </w:r>
    </w:p>
    <w:p w:rsidR="00000000" w:rsidDel="00000000" w:rsidP="00000000" w:rsidRDefault="00000000" w:rsidRPr="00000000" w14:paraId="00000043">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Introduction to </w:t>
      </w:r>
      <w:r w:rsidDel="00000000" w:rsidR="00000000" w:rsidRPr="00000000">
        <w:rPr>
          <w:sz w:val="19"/>
          <w:szCs w:val="19"/>
          <w:rtl w:val="0"/>
        </w:rPr>
        <w:t xml:space="preserve">CVE</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Organizational Report</w:t>
      </w:r>
    </w:p>
    <w:p w:rsidR="00000000" w:rsidDel="00000000" w:rsidP="00000000" w:rsidRDefault="00000000" w:rsidRPr="00000000" w14:paraId="0000004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 w:line="362" w:lineRule="auto"/>
        <w:ind w:left="144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Chapter 2: Theory and Concepts of</w:t>
      </w:r>
      <w:r w:rsidDel="00000000" w:rsidR="00000000" w:rsidRPr="00000000">
        <w:rPr>
          <w:sz w:val="19"/>
          <w:szCs w:val="19"/>
          <w:rtl w:val="0"/>
        </w:rPr>
        <w:t xml:space="preserve"> Temporal analysis and prediction using CVE and CWE codes</w:t>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Introduction</w:t>
      </w:r>
    </w:p>
    <w:p w:rsidR="00000000" w:rsidDel="00000000" w:rsidP="00000000" w:rsidRDefault="00000000" w:rsidRPr="00000000" w14:paraId="0000004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Vulnerability Scoring (CWE and CVSS Scoring System)</w:t>
      </w:r>
    </w:p>
    <w:p w:rsidR="00000000" w:rsidDel="00000000" w:rsidP="00000000" w:rsidRDefault="00000000" w:rsidRPr="00000000" w14:paraId="0000004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Requirements of CVE </w:t>
      </w:r>
      <w:r w:rsidDel="00000000" w:rsidR="00000000" w:rsidRPr="00000000">
        <w:rPr>
          <w:sz w:val="19"/>
          <w:szCs w:val="19"/>
          <w:rtl w:val="0"/>
        </w:rPr>
        <w:t xml:space="preserve">Vulnerability</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Prediction </w:t>
      </w:r>
    </w:p>
    <w:p w:rsidR="00000000" w:rsidDel="00000000" w:rsidP="00000000" w:rsidRDefault="00000000" w:rsidRPr="00000000" w14:paraId="0000004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Summary</w:t>
      </w:r>
    </w:p>
    <w:p w:rsidR="00000000" w:rsidDel="00000000" w:rsidP="00000000" w:rsidRDefault="00000000" w:rsidRPr="00000000" w14:paraId="0000004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 w:line="362" w:lineRule="auto"/>
        <w:ind w:left="144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Chapter 3: High-Level Design of</w:t>
      </w:r>
      <w:r w:rsidDel="00000000" w:rsidR="00000000" w:rsidRPr="00000000">
        <w:rPr>
          <w:sz w:val="19"/>
          <w:szCs w:val="19"/>
          <w:rtl w:val="0"/>
        </w:rPr>
        <w:t xml:space="preserve"> Temporal Analysis </w:t>
      </w: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Design Considerations</w:t>
      </w:r>
    </w:p>
    <w:p w:rsidR="00000000" w:rsidDel="00000000" w:rsidP="00000000" w:rsidRDefault="00000000" w:rsidRPr="00000000" w14:paraId="0000004C">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Architectural Strategies</w:t>
      </w:r>
    </w:p>
    <w:p w:rsidR="00000000" w:rsidDel="00000000" w:rsidP="00000000" w:rsidRDefault="00000000" w:rsidRPr="00000000" w14:paraId="0000004D">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System Architecture for Risk Prioritization Solution</w:t>
      </w:r>
    </w:p>
    <w:p w:rsidR="00000000" w:rsidDel="00000000" w:rsidP="00000000" w:rsidRDefault="00000000" w:rsidRPr="00000000" w14:paraId="0000004E">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Data Flow Diagrams</w:t>
      </w:r>
    </w:p>
    <w:p w:rsidR="00000000" w:rsidDel="00000000" w:rsidP="00000000" w:rsidRDefault="00000000" w:rsidRPr="00000000" w14:paraId="0000004F">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Summary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2160" w:right="437" w:firstLine="0"/>
        <w:jc w:val="both"/>
        <w:rPr>
          <w:sz w:val="19"/>
          <w:szCs w:val="19"/>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 w:line="362" w:lineRule="auto"/>
        <w:ind w:left="144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Chapter 4: Implementation of </w:t>
      </w:r>
      <w:r w:rsidDel="00000000" w:rsidR="00000000" w:rsidRPr="00000000">
        <w:rPr>
          <w:sz w:val="19"/>
          <w:szCs w:val="19"/>
          <w:rtl w:val="0"/>
        </w:rPr>
        <w:t xml:space="preserve">Temporal analysis </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Algorithm</w:t>
      </w:r>
      <w:r w:rsidDel="00000000" w:rsidR="00000000" w:rsidRPr="00000000">
        <w:rPr>
          <w:sz w:val="19"/>
          <w:szCs w:val="19"/>
          <w:rtl w:val="0"/>
        </w:rPr>
        <w:t xml:space="preserve">/Methodology</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sz w:val="19"/>
          <w:szCs w:val="19"/>
          <w:rtl w:val="0"/>
        </w:rPr>
        <w:t xml:space="preserve">Source code</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sz w:val="19"/>
          <w:szCs w:val="19"/>
          <w:rtl w:val="0"/>
        </w:rPr>
        <w:t xml:space="preserve">Summary</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216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 w:line="362" w:lineRule="auto"/>
        <w:ind w:left="144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Chapter 5: E</w:t>
      </w:r>
      <w:r w:rsidDel="00000000" w:rsidR="00000000" w:rsidRPr="00000000">
        <w:rPr>
          <w:sz w:val="19"/>
          <w:szCs w:val="19"/>
          <w:rtl w:val="0"/>
        </w:rPr>
        <w:t xml:space="preserve">xperimental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Result</w:t>
      </w:r>
      <w:r w:rsidDel="00000000" w:rsidR="00000000" w:rsidRPr="00000000">
        <w:rPr>
          <w:sz w:val="19"/>
          <w:szCs w:val="19"/>
          <w:rtl w:val="0"/>
        </w:rPr>
        <w:t xml:space="preserve">s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and Analysis</w:t>
      </w:r>
    </w:p>
    <w:p w:rsidR="00000000" w:rsidDel="00000000" w:rsidP="00000000" w:rsidRDefault="00000000" w:rsidRPr="00000000" w14:paraId="0000005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Performance Analysis</w:t>
      </w:r>
    </w:p>
    <w:p w:rsidR="00000000" w:rsidDel="00000000" w:rsidP="00000000" w:rsidRDefault="00000000" w:rsidRPr="00000000" w14:paraId="0000005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Observations</w:t>
      </w:r>
    </w:p>
    <w:p w:rsidR="00000000" w:rsidDel="00000000" w:rsidP="00000000" w:rsidRDefault="00000000" w:rsidRPr="00000000" w14:paraId="0000005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2" w:line="362" w:lineRule="auto"/>
        <w:ind w:left="216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Summary</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2160" w:right="437" w:firstLine="0"/>
        <w:jc w:val="both"/>
        <w:rPr>
          <w:sz w:val="19"/>
          <w:szCs w:val="19"/>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2" w:line="362" w:lineRule="auto"/>
        <w:ind w:left="144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Chapter 6: Conclusion and </w:t>
      </w:r>
      <w:r w:rsidDel="00000000" w:rsidR="00000000" w:rsidRPr="00000000">
        <w:rPr>
          <w:sz w:val="19"/>
          <w:szCs w:val="19"/>
          <w:rtl w:val="0"/>
        </w:rPr>
        <w:t xml:space="preserve">Future Scope</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362" w:lineRule="auto"/>
        <w:ind w:left="2160" w:right="437" w:hanging="360"/>
        <w:jc w:val="both"/>
        <w:rPr>
          <w:sz w:val="19"/>
          <w:szCs w:val="19"/>
          <w:u w:val="none"/>
        </w:rPr>
      </w:pPr>
      <w:r w:rsidDel="00000000" w:rsidR="00000000" w:rsidRPr="00000000">
        <w:rPr>
          <w:sz w:val="19"/>
          <w:szCs w:val="19"/>
          <w:rtl w:val="0"/>
        </w:rPr>
        <w:t xml:space="preserve">Limitations</w:t>
      </w:r>
    </w:p>
    <w:p w:rsidR="00000000" w:rsidDel="00000000" w:rsidP="00000000" w:rsidRDefault="00000000" w:rsidRPr="00000000" w14:paraId="0000005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beforeAutospacing="0" w:line="362" w:lineRule="auto"/>
        <w:ind w:left="2160" w:right="437" w:hanging="360"/>
        <w:jc w:val="both"/>
        <w:rPr>
          <w:sz w:val="19"/>
          <w:szCs w:val="19"/>
          <w:u w:val="none"/>
        </w:rPr>
      </w:pPr>
      <w:r w:rsidDel="00000000" w:rsidR="00000000" w:rsidRPr="00000000">
        <w:rPr>
          <w:sz w:val="19"/>
          <w:szCs w:val="19"/>
          <w:rtl w:val="0"/>
        </w:rPr>
        <w:t xml:space="preserve">Future Scope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2160" w:right="437" w:firstLine="0"/>
        <w:jc w:val="both"/>
        <w:rPr>
          <w:sz w:val="19"/>
          <w:szCs w:val="19"/>
        </w:rPr>
      </w:pP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2" w:line="362" w:lineRule="auto"/>
        <w:ind w:left="1440" w:right="437" w:hanging="36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References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b w:val="1"/>
          <w:sz w:val="19"/>
          <w:szCs w:val="19"/>
          <w:u w:val="singl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b w:val="1"/>
          <w:sz w:val="19"/>
          <w:szCs w:val="19"/>
          <w:u w:val="singl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rFonts w:ascii="Times New Roman" w:cs="Times New Roman" w:eastAsia="Times New Roman" w:hAnsi="Times New Roman"/>
          <w:b w:val="0"/>
          <w:i w:val="0"/>
          <w:smallCaps w:val="0"/>
          <w:strike w:val="0"/>
          <w:color w:val="000000"/>
          <w:sz w:val="19"/>
          <w:szCs w:val="19"/>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single"/>
          <w:shd w:fill="auto" w:val="clear"/>
          <w:vertAlign w:val="baseline"/>
          <w:rtl w:val="0"/>
        </w:rPr>
        <w:t xml:space="preserve">ACKNOWLEDGEMENT</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We are indebted to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Rashtreeya Sikshana Samithi Trust</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Bengaluru for providing us with all the facilities needed for the successful completion of    Experiential Learning in Computer Networks Course at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Rashtreeya Vidyalaya College of Engineering (RVCE)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during the tenure of our Course.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We would like to thank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Dr. K N Subramanya, Principal,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for giving us an opportunity to be a part of RVCE and for his timely help and encouragement during the tenure of EL for Computer Network Course.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We are greatly thankful to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Dr. Ramakanth Kumar P., Professor and Head, Dept. of CSE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for his motivation and constant support during our tenure of EL for Computer Network Course.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We are greatly thankful to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Dr.Minal Moharir, Professor and Coordinator, BE CSE-Cyber Security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for her constant support during our tenure of EL for Computer Network Course..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We take this opportunity to convey my sincere gratitude to my internal guide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Dr. Sandhya S, Assistant Professor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Dept of CSE, her advice, support and valuable suggestions that helped us to accomplish the EL for Computer Network Course Project in time.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br w:type="textWrapping"/>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We extend our thanks to all who have directly or indirectly extended their constant support for successful completion of our EL for Computer Network Course.Project.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sz w:val="19"/>
          <w:szCs w:val="19"/>
          <w:rtl w:val="0"/>
        </w:rPr>
        <w:t xml:space="preserve">KAPSHA SURAJ SINGH and VARSHITH Y</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1RV22CY</w:t>
      </w:r>
      <w:r w:rsidDel="00000000" w:rsidR="00000000" w:rsidRPr="00000000">
        <w:rPr>
          <w:sz w:val="19"/>
          <w:szCs w:val="19"/>
          <w:rtl w:val="0"/>
        </w:rPr>
        <w:t xml:space="preserve">402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1RV22CY</w:t>
      </w:r>
      <w:r w:rsidDel="00000000" w:rsidR="00000000" w:rsidRPr="00000000">
        <w:rPr>
          <w:sz w:val="19"/>
          <w:szCs w:val="19"/>
          <w:rtl w:val="0"/>
        </w:rPr>
        <w:t xml:space="preserve">059</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left"/>
        <w:rPr>
          <w:sz w:val="19"/>
          <w:szCs w:val="19"/>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3600" w:right="437" w:firstLine="0"/>
        <w:jc w:val="left"/>
        <w:rPr>
          <w:rFonts w:ascii="Times New Roman" w:cs="Times New Roman" w:eastAsia="Times New Roman" w:hAnsi="Times New Roman"/>
          <w:b w:val="1"/>
          <w:i w:val="0"/>
          <w:smallCaps w:val="0"/>
          <w:strike w:val="0"/>
          <w:color w:val="000000"/>
          <w:sz w:val="19"/>
          <w:szCs w:val="19"/>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single"/>
          <w:shd w:fill="auto" w:val="clear"/>
          <w:vertAlign w:val="baseline"/>
          <w:rtl w:val="0"/>
        </w:rPr>
        <w:t xml:space="preserve">ABSTRACT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rFonts w:ascii="Times New Roman" w:cs="Times New Roman" w:eastAsia="Times New Roman" w:hAnsi="Times New Roman"/>
          <w:b w:val="1"/>
          <w:i w:val="0"/>
          <w:smallCaps w:val="0"/>
          <w:strike w:val="0"/>
          <w:color w:val="000000"/>
          <w:sz w:val="19"/>
          <w:szCs w:val="19"/>
          <w:u w:val="singl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sz w:val="19"/>
          <w:szCs w:val="19"/>
          <w:rtl w:val="0"/>
        </w:rPr>
        <w:t xml:space="preserve">Zero-day attacks pose a major challenge in cybersecurity by targeting vulnerabilities that remain unidentified at the time of the attack. This paper addresses this issue by leveraging the Common Weakness Enumeration (CWE) system—a well-established framework for identifying and categorizing software weaknesses—to predict potential zero-day attacks through a temporal analysis of historical CWE data. The study aims to uncover patterns that could signal emerging vulnerabilities, facilitating the development of proactive security measures.</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sz w:val="19"/>
          <w:szCs w:val="19"/>
          <w:rtl w:val="0"/>
        </w:rPr>
        <w:t xml:space="preserve">The research employs a systematic approach to predict zero-day attacks by analyzing temporal trends in CWE data. It integrates statistical methods with time series analysis and predictive modeling to identify patterns indicative of emerging vulnerabilities. By examining historical data, the study seeks to establish a framework for forecasting potential zero-day attacks. The methodology involves evaluating the accuracy, precision, F1 score, and recall of the predictive model to ensure its effectiveness in identifying relevant CWE codes and minimizing false positives.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sz w:val="19"/>
          <w:szCs w:val="19"/>
          <w:rtl w:val="0"/>
        </w:rPr>
        <w:t xml:space="preserve">The proposed predictive model achieved an accuracy of 0.66, a precision of 0.65, an F1 score of 0.64, and a recall of 0.66. These metrics highlight the model's balanced performance in effectively identifying pertinent CWE codes while keeping false positives to a minimum. The results demonstrate the model’s capability to offer valuable insights into potential zero-day attacks, contributing to more robust cybersecurity defenses through enhanced predictive capabilities. This work is novel and not previously documented in the literature, emphasizing the significance of temporal analysis in forecasting and mitigating cybersecurity threats.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rFonts w:ascii="Times New Roman" w:cs="Times New Roman" w:eastAsia="Times New Roman" w:hAnsi="Times New Roman"/>
          <w:b w:val="1"/>
          <w:i w:val="0"/>
          <w:smallCaps w:val="0"/>
          <w:strike w:val="0"/>
          <w:color w:val="000000"/>
          <w:sz w:val="23"/>
          <w:szCs w:val="23"/>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single"/>
          <w:shd w:fill="auto" w:val="clear"/>
          <w:vertAlign w:val="baseline"/>
          <w:rtl w:val="0"/>
        </w:rPr>
        <w:t xml:space="preserve">CHAPTER 1: INTRODUCTION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rFonts w:ascii="Times New Roman" w:cs="Times New Roman" w:eastAsia="Times New Roman" w:hAnsi="Times New Roman"/>
          <w:b w:val="1"/>
          <w:i w:val="0"/>
          <w:smallCaps w:val="0"/>
          <w:strike w:val="0"/>
          <w:color w:val="000000"/>
          <w:sz w:val="19"/>
          <w:szCs w:val="19"/>
          <w:u w:val="singl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2" w:line="362" w:lineRule="auto"/>
        <w:ind w:left="360" w:right="437" w:hanging="36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Introduction of Software Exploitability</w:t>
      </w:r>
    </w:p>
    <w:p w:rsidR="00000000" w:rsidDel="00000000" w:rsidP="00000000" w:rsidRDefault="00000000" w:rsidRPr="00000000" w14:paraId="000000A3">
      <w:pPr>
        <w:spacing w:after="240" w:before="240" w:line="362" w:lineRule="auto"/>
        <w:jc w:val="both"/>
        <w:rPr>
          <w:sz w:val="19"/>
          <w:szCs w:val="19"/>
        </w:rPr>
      </w:pPr>
      <w:r w:rsidDel="00000000" w:rsidR="00000000" w:rsidRPr="00000000">
        <w:rPr>
          <w:sz w:val="19"/>
          <w:szCs w:val="19"/>
          <w:rtl w:val="0"/>
        </w:rPr>
        <w:t xml:space="preserve">This paper addresses the challenge of predicting zero-day attacks by leveraging the Common Weakness Enumeration (CWE) system. The CWE is a well-established framework developed to catalog and categorize software weaknesses and vulnerabilities, providing a standardized way to identify and address potential security issues. By analyzing historical CWE data, this research aims to uncover patterns and trends that could indicate emerging vulnerabilities before they are exploited. Temporal analysis, a method of examining data over time to identify patterns and trends, is employed to predict potential zero-day attacks. This approach is crucial for developing proactive security measures that can anticipate and address vulnerabilities before they are exploited.</w:t>
      </w:r>
    </w:p>
    <w:p w:rsidR="00000000" w:rsidDel="00000000" w:rsidP="00000000" w:rsidRDefault="00000000" w:rsidRPr="00000000" w14:paraId="000000A4">
      <w:pPr>
        <w:spacing w:after="240" w:before="240" w:line="362" w:lineRule="auto"/>
        <w:jc w:val="both"/>
        <w:rPr>
          <w:sz w:val="19"/>
          <w:szCs w:val="19"/>
        </w:rPr>
      </w:pPr>
      <w:r w:rsidDel="00000000" w:rsidR="00000000" w:rsidRPr="00000000">
        <w:rPr>
          <w:sz w:val="19"/>
          <w:szCs w:val="19"/>
          <w:rtl w:val="0"/>
        </w:rPr>
        <w:t xml:space="preserve">The significance of this study lies in its innovative use of temporal analysis to predict zero-day attacks, a concept not extensively explored in existing literature. By systematically analyzing historical CWE data, the research seeks to provide insights into potential future threats, allowing organizations to implement more effective security measures. The proactive nature of this approach offers a strategic advantage in the fight against zero-day attacks, emphasizing the need for early detection and mitigation strategies. This paper contributes to the field of cybersecurity by presenting a new method for predicting zero-day attacks, highlighting the importance of leveraging historical data to enhance the effectiveness of security defenses.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Organization of Report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This report is organized into several chapters, each addressing different aspects of the research:</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b w:val="1"/>
          <w:i w:val="0"/>
          <w:smallCaps w:val="0"/>
          <w:strike w:val="0"/>
          <w:color w:val="000000"/>
          <w:sz w:val="19"/>
          <w:szCs w:val="19"/>
          <w:u w:val="none"/>
          <w:shd w:fill="auto" w:val="clear"/>
          <w:vertAlign w:val="baseline"/>
        </w:rPr>
      </w:pPr>
      <w:r w:rsidDel="00000000" w:rsidR="00000000" w:rsidRPr="00000000">
        <w:rPr>
          <w:b w:val="1"/>
          <w:i w:val="0"/>
          <w:smallCaps w:val="0"/>
          <w:strike w:val="0"/>
          <w:color w:val="000000"/>
          <w:sz w:val="19"/>
          <w:szCs w:val="19"/>
          <w:u w:val="none"/>
          <w:shd w:fill="auto" w:val="clear"/>
          <w:vertAlign w:val="baseline"/>
          <w:rtl w:val="0"/>
        </w:rPr>
        <w:t xml:space="preserve">Chapter 1: Introduction</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This chapter introduces the topic, discusses the significance of predicting CVE </w:t>
      </w:r>
      <w:r w:rsidDel="00000000" w:rsidR="00000000" w:rsidRPr="00000000">
        <w:rPr>
          <w:sz w:val="19"/>
          <w:szCs w:val="19"/>
          <w:rtl w:val="0"/>
        </w:rPr>
        <w:t xml:space="preserve">vulnerabilities.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b w:val="1"/>
          <w:i w:val="0"/>
          <w:smallCaps w:val="0"/>
          <w:strike w:val="0"/>
          <w:color w:val="000000"/>
          <w:sz w:val="19"/>
          <w:szCs w:val="19"/>
          <w:u w:val="none"/>
          <w:shd w:fill="auto" w:val="clear"/>
          <w:vertAlign w:val="baseline"/>
        </w:rPr>
      </w:pPr>
      <w:r w:rsidDel="00000000" w:rsidR="00000000" w:rsidRPr="00000000">
        <w:rPr>
          <w:b w:val="1"/>
          <w:i w:val="0"/>
          <w:smallCaps w:val="0"/>
          <w:strike w:val="0"/>
          <w:color w:val="000000"/>
          <w:sz w:val="19"/>
          <w:szCs w:val="19"/>
          <w:u w:val="none"/>
          <w:shd w:fill="auto" w:val="clear"/>
          <w:vertAlign w:val="baseline"/>
          <w:rtl w:val="0"/>
        </w:rPr>
        <w:t xml:space="preserve">Chapter 2: Literature Review</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sz w:val="19"/>
          <w:szCs w:val="19"/>
          <w:rtl w:val="0"/>
        </w:rPr>
        <w:t xml:space="preserve">This chapter gives an overview of the literature survey that was done during the research. There are  a total of 9 papers the are officially referred to here with relevance to our work</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b w:val="1"/>
          <w:sz w:val="19"/>
          <w:szCs w:val="19"/>
        </w:rPr>
      </w:pPr>
      <w:r w:rsidDel="00000000" w:rsidR="00000000" w:rsidRPr="00000000">
        <w:rPr>
          <w:b w:val="1"/>
          <w:sz w:val="19"/>
          <w:szCs w:val="19"/>
          <w:rtl w:val="0"/>
        </w:rPr>
        <w:t xml:space="preserve">Chapter 3: High-Level Design of Temporal Analysis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sz w:val="19"/>
          <w:szCs w:val="19"/>
          <w:rtl w:val="0"/>
        </w:rPr>
        <w:t xml:space="preserve">This covers the </w:t>
      </w:r>
      <w:r w:rsidDel="00000000" w:rsidR="00000000" w:rsidRPr="00000000">
        <w:rPr>
          <w:b w:val="1"/>
          <w:sz w:val="19"/>
          <w:szCs w:val="19"/>
          <w:rtl w:val="0"/>
        </w:rPr>
        <w:t xml:space="preserve">design considerations</w:t>
      </w:r>
      <w:r w:rsidDel="00000000" w:rsidR="00000000" w:rsidRPr="00000000">
        <w:rPr>
          <w:sz w:val="19"/>
          <w:szCs w:val="19"/>
          <w:rtl w:val="0"/>
        </w:rPr>
        <w:t xml:space="preserve"> and </w:t>
      </w:r>
      <w:r w:rsidDel="00000000" w:rsidR="00000000" w:rsidRPr="00000000">
        <w:rPr>
          <w:b w:val="1"/>
          <w:sz w:val="19"/>
          <w:szCs w:val="19"/>
          <w:rtl w:val="0"/>
        </w:rPr>
        <w:t xml:space="preserve">architectural strategies</w:t>
      </w:r>
      <w:r w:rsidDel="00000000" w:rsidR="00000000" w:rsidRPr="00000000">
        <w:rPr>
          <w:sz w:val="19"/>
          <w:szCs w:val="19"/>
          <w:rtl w:val="0"/>
        </w:rPr>
        <w:t xml:space="preserve"> for developing a risk prioritization system. It presents the </w:t>
      </w:r>
      <w:r w:rsidDel="00000000" w:rsidR="00000000" w:rsidRPr="00000000">
        <w:rPr>
          <w:b w:val="1"/>
          <w:sz w:val="19"/>
          <w:szCs w:val="19"/>
          <w:rtl w:val="0"/>
        </w:rPr>
        <w:t xml:space="preserve">system architecture</w:t>
      </w:r>
      <w:r w:rsidDel="00000000" w:rsidR="00000000" w:rsidRPr="00000000">
        <w:rPr>
          <w:sz w:val="19"/>
          <w:szCs w:val="19"/>
          <w:rtl w:val="0"/>
        </w:rPr>
        <w:t xml:space="preserve"> and </w:t>
      </w:r>
      <w:r w:rsidDel="00000000" w:rsidR="00000000" w:rsidRPr="00000000">
        <w:rPr>
          <w:b w:val="1"/>
          <w:sz w:val="19"/>
          <w:szCs w:val="19"/>
          <w:rtl w:val="0"/>
        </w:rPr>
        <w:t xml:space="preserve">data flow diagrams</w:t>
      </w:r>
      <w:r w:rsidDel="00000000" w:rsidR="00000000" w:rsidRPr="00000000">
        <w:rPr>
          <w:sz w:val="19"/>
          <w:szCs w:val="19"/>
          <w:rtl w:val="0"/>
        </w:rPr>
        <w:t xml:space="preserve"> for analyzing potential cybersecurity threats. The </w:t>
      </w:r>
      <w:r w:rsidDel="00000000" w:rsidR="00000000" w:rsidRPr="00000000">
        <w:rPr>
          <w:b w:val="1"/>
          <w:sz w:val="19"/>
          <w:szCs w:val="19"/>
          <w:rtl w:val="0"/>
        </w:rPr>
        <w:t xml:space="preserve">summary</w:t>
      </w:r>
      <w:r w:rsidDel="00000000" w:rsidR="00000000" w:rsidRPr="00000000">
        <w:rPr>
          <w:sz w:val="19"/>
          <w:szCs w:val="19"/>
          <w:rtl w:val="0"/>
        </w:rPr>
        <w:t xml:space="preserve"> highlights the importance of these design choices in building an effective temporal analysis solution.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b w:val="1"/>
          <w:i w:val="0"/>
          <w:smallCaps w:val="0"/>
          <w:strike w:val="0"/>
          <w:color w:val="000000"/>
          <w:sz w:val="19"/>
          <w:szCs w:val="19"/>
          <w:u w:val="none"/>
          <w:shd w:fill="auto" w:val="clear"/>
          <w:vertAlign w:val="baseline"/>
        </w:rPr>
      </w:pPr>
      <w:r w:rsidDel="00000000" w:rsidR="00000000" w:rsidRPr="00000000">
        <w:rPr>
          <w:b w:val="1"/>
          <w:i w:val="0"/>
          <w:smallCaps w:val="0"/>
          <w:strike w:val="0"/>
          <w:color w:val="000000"/>
          <w:sz w:val="19"/>
          <w:szCs w:val="19"/>
          <w:u w:val="none"/>
          <w:shd w:fill="auto" w:val="clear"/>
          <w:vertAlign w:val="baseline"/>
          <w:rtl w:val="0"/>
        </w:rPr>
        <w:t xml:space="preserve">Chapter 4: </w:t>
      </w:r>
      <w:r w:rsidDel="00000000" w:rsidR="00000000" w:rsidRPr="00000000">
        <w:rPr>
          <w:b w:val="1"/>
          <w:sz w:val="19"/>
          <w:szCs w:val="19"/>
          <w:rtl w:val="0"/>
        </w:rPr>
        <w:t xml:space="preserve">Implementation of Temporal analysis</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sz w:val="19"/>
          <w:szCs w:val="19"/>
          <w:rtl w:val="0"/>
        </w:rPr>
        <w:t xml:space="preserve">The implementation of temporal analysis in this study involved systematically examining the frequency and timing of CWE occurrences over a defined period. This approach allowed for the identification of trends, seasonal patterns, and anomalies, which were then used to enhance the predictive accuracy of the model in forecasting emerging vulnerabilities.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b w:val="1"/>
          <w:sz w:val="19"/>
          <w:szCs w:val="19"/>
        </w:rPr>
      </w:pPr>
      <w:r w:rsidDel="00000000" w:rsidR="00000000" w:rsidRPr="00000000">
        <w:rPr>
          <w:b w:val="1"/>
          <w:i w:val="0"/>
          <w:smallCaps w:val="0"/>
          <w:strike w:val="0"/>
          <w:color w:val="000000"/>
          <w:sz w:val="19"/>
          <w:szCs w:val="19"/>
          <w:u w:val="none"/>
          <w:shd w:fill="auto" w:val="clear"/>
          <w:vertAlign w:val="baseline"/>
          <w:rtl w:val="0"/>
        </w:rPr>
        <w:t xml:space="preserve">Chapter 5: E</w:t>
      </w:r>
      <w:r w:rsidDel="00000000" w:rsidR="00000000" w:rsidRPr="00000000">
        <w:rPr>
          <w:b w:val="1"/>
          <w:sz w:val="19"/>
          <w:szCs w:val="19"/>
          <w:rtl w:val="0"/>
        </w:rPr>
        <w:t xml:space="preserve">xperimental Results and Analysis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sz w:val="19"/>
          <w:szCs w:val="19"/>
          <w:rtl w:val="0"/>
        </w:rPr>
        <w:t xml:space="preserve">The experimental results and analysis demonstrated the model's effectiveness in predicting zero-day vulnerabilities, with performance metrics such as accuracy, precision, recall, and F1 score confirming its balanced capability. Detailed analysis of these results highlighted the model's strengths in identifying relevant CWE codes while minimizing false positives.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BA">
      <w:pPr>
        <w:spacing w:before="2" w:line="362" w:lineRule="auto"/>
        <w:ind w:right="437"/>
        <w:jc w:val="both"/>
        <w:rPr>
          <w:b w:val="1"/>
          <w:sz w:val="19"/>
          <w:szCs w:val="19"/>
        </w:rPr>
      </w:pPr>
      <w:r w:rsidDel="00000000" w:rsidR="00000000" w:rsidRPr="00000000">
        <w:rPr>
          <w:b w:val="1"/>
          <w:sz w:val="19"/>
          <w:szCs w:val="19"/>
          <w:rtl w:val="0"/>
        </w:rPr>
        <w:t xml:space="preserve">Chapter 6: Conclusion and Future Scope</w:t>
      </w:r>
    </w:p>
    <w:p w:rsidR="00000000" w:rsidDel="00000000" w:rsidP="00000000" w:rsidRDefault="00000000" w:rsidRPr="00000000" w14:paraId="000000BB">
      <w:pPr>
        <w:spacing w:before="2" w:line="362" w:lineRule="auto"/>
        <w:ind w:right="437"/>
        <w:jc w:val="both"/>
        <w:rPr>
          <w:sz w:val="19"/>
          <w:szCs w:val="19"/>
        </w:rPr>
      </w:pPr>
      <w:r w:rsidDel="00000000" w:rsidR="00000000" w:rsidRPr="00000000">
        <w:rPr>
          <w:sz w:val="19"/>
          <w:szCs w:val="19"/>
          <w:rtl w:val="0"/>
        </w:rPr>
        <w:t xml:space="preserve">The study successfully developed and implemented a predictive model for zero-day vulnerabilities using temporal analysis of CWE data. The model's balanced performance metrics underscore its effectiveness in forecasting emerging threats, contributing to proactive cybersecurity measures. By integrating temporal trends into vulnerability prediction, this research offers a robust approach to enhancing cybersecurity defenses against unpredictable zero-day attacks.</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b w:val="1"/>
          <w:sz w:val="23"/>
          <w:szCs w:val="23"/>
          <w:u w:val="single"/>
        </w:rPr>
      </w:pPr>
      <w:r w:rsidDel="00000000" w:rsidR="00000000" w:rsidRPr="00000000">
        <w:rPr>
          <w:rFonts w:ascii="Times New Roman" w:cs="Times New Roman" w:eastAsia="Times New Roman" w:hAnsi="Times New Roman"/>
          <w:b w:val="1"/>
          <w:i w:val="0"/>
          <w:smallCaps w:val="0"/>
          <w:strike w:val="0"/>
          <w:color w:val="000000"/>
          <w:sz w:val="23"/>
          <w:szCs w:val="23"/>
          <w:u w:val="single"/>
          <w:shd w:fill="auto" w:val="clear"/>
          <w:vertAlign w:val="baseline"/>
          <w:rtl w:val="0"/>
        </w:rPr>
        <w:t xml:space="preserve">CHAPTER 2:</w:t>
      </w:r>
      <w:r w:rsidDel="00000000" w:rsidR="00000000" w:rsidRPr="00000000">
        <w:rPr>
          <w:b w:val="1"/>
          <w:sz w:val="23"/>
          <w:szCs w:val="23"/>
          <w:u w:val="single"/>
          <w:rtl w:val="0"/>
        </w:rPr>
        <w:t xml:space="preserve"> Theory and Concepts of Temporal analysis and prediction using CVE and CWE codes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b w:val="1"/>
          <w:sz w:val="19"/>
          <w:szCs w:val="19"/>
          <w:u w:val="singl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rPr>
          <w:b w:val="1"/>
          <w:sz w:val="19"/>
          <w:szCs w:val="19"/>
          <w:u w:val="single"/>
        </w:rPr>
      </w:pPr>
      <w:r w:rsidDel="00000000" w:rsidR="00000000" w:rsidRPr="00000000">
        <w:rPr>
          <w:b w:val="1"/>
          <w:sz w:val="19"/>
          <w:szCs w:val="19"/>
          <w:u w:val="single"/>
          <w:rtl w:val="0"/>
        </w:rPr>
        <w:t xml:space="preserve">Introduction</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rPr>
          <w:sz w:val="19"/>
          <w:szCs w:val="19"/>
        </w:rPr>
      </w:pPr>
      <w:r w:rsidDel="00000000" w:rsidR="00000000" w:rsidRPr="00000000">
        <w:rPr>
          <w:sz w:val="19"/>
          <w:szCs w:val="19"/>
          <w:rtl w:val="0"/>
        </w:rPr>
        <w:t xml:space="preserve">Temporal analysis and prediction are critical in cybersecurity, especially for forecasting vulnerabilities and planning proactive defense mechanisms. In this context, the Common Vulnerabilities and Exposures (CVE) and Common Weakness Enumeration (CWE) codes serve as foundational elements for understanding and predicting potential threats. CVE is a publicly available list of information security vulnerabilities and exposures, while CWE is a community-developed list of software weaknesses. The integration of temporal analysis with CVE and CWE codes allows organizations to identify patterns over time that may indicate emerging threats or vulnerabilities. The ability to predict these vulnerabilities is crucial for risk management, enabling organizations to prioritize and address the most severe threats. This chapter explores the underlying theory and concepts related to temporal analysis and prediction using CVE and CWE codes, focusing on vulnerability scoring, requirements for CVE vulnerability prediction, and other relevant aspects.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rPr>
          <w:sz w:val="19"/>
          <w:szCs w:val="19"/>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rPr>
          <w:b w:val="1"/>
          <w:sz w:val="19"/>
          <w:szCs w:val="19"/>
          <w:u w:val="single"/>
        </w:rPr>
      </w:pPr>
      <w:r w:rsidDel="00000000" w:rsidR="00000000" w:rsidRPr="00000000">
        <w:rPr>
          <w:b w:val="1"/>
          <w:sz w:val="19"/>
          <w:szCs w:val="19"/>
          <w:u w:val="single"/>
          <w:rtl w:val="0"/>
        </w:rPr>
        <w:t xml:space="preserve">Vulnerability Scoring (CWE and CVSS Scoring System)</w:t>
      </w:r>
    </w:p>
    <w:p w:rsidR="00000000" w:rsidDel="00000000" w:rsidP="00000000" w:rsidRDefault="00000000" w:rsidRPr="00000000" w14:paraId="000000D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 w:line="362" w:lineRule="auto"/>
        <w:ind w:left="720" w:right="437" w:hanging="360"/>
        <w:rPr>
          <w:sz w:val="19"/>
          <w:szCs w:val="19"/>
          <w:u w:val="none"/>
        </w:rPr>
      </w:pPr>
      <w:r w:rsidDel="00000000" w:rsidR="00000000" w:rsidRPr="00000000">
        <w:rPr>
          <w:sz w:val="19"/>
          <w:szCs w:val="19"/>
          <w:rtl w:val="0"/>
        </w:rPr>
        <w:t xml:space="preserve">The CWE and Common Vulnerability Scoring System (CVSS) are essential tools in vulnerability management and prediction. CWE categorizes software weaknesses, providing a common language for describing vulnerabilities, while CVSS offers a framework for assessing the severity of vulnerabilities. Together, they provide a comprehensive understanding of the potential impact and exploitability of various software weaknesses.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720" w:right="437" w:firstLine="0"/>
        <w:rPr>
          <w:sz w:val="19"/>
          <w:szCs w:val="19"/>
        </w:rPr>
      </w:pP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2" w:line="362" w:lineRule="auto"/>
        <w:ind w:left="720" w:right="437" w:hanging="360"/>
        <w:rPr>
          <w:sz w:val="19"/>
          <w:szCs w:val="19"/>
          <w:u w:val="none"/>
        </w:rPr>
      </w:pPr>
      <w:r w:rsidDel="00000000" w:rsidR="00000000" w:rsidRPr="00000000">
        <w:rPr>
          <w:sz w:val="19"/>
          <w:szCs w:val="19"/>
          <w:rtl w:val="0"/>
        </w:rPr>
        <w:t xml:space="preserve">CWE is essential for identifying specific areas in software that are susceptible to exploitation. By categorizing vulnerabilities, CWE allows cybersecurity professionals to understand the types of weaknesses that are most prevalent and where efforts should be focused to mitigate them. For example, CWE codes such as "CWE-79" for Cross-Site Scripting (XSS) or "CWE-89" for SQL Injection help security teams understand what weaknesses exist and guide them on how to secure these areas effectively.</w:t>
      </w:r>
      <w:r w:rsidDel="00000000" w:rsidR="00000000" w:rsidRPr="00000000">
        <w:rPr>
          <w:sz w:val="19"/>
          <w:szCs w:val="19"/>
        </w:rPr>
        <w:drawing>
          <wp:inline distB="114300" distT="114300" distL="114300" distR="114300">
            <wp:extent cx="2851150" cy="2571957"/>
            <wp:effectExtent b="0" l="0" r="0" t="0"/>
            <wp:docPr id="22"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2851150" cy="257195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beforeAutospacing="0" w:line="362" w:lineRule="auto"/>
        <w:ind w:left="720" w:right="437" w:hanging="360"/>
        <w:rPr>
          <w:sz w:val="19"/>
          <w:szCs w:val="19"/>
          <w:u w:val="none"/>
        </w:rPr>
      </w:pPr>
      <w:r w:rsidDel="00000000" w:rsidR="00000000" w:rsidRPr="00000000">
        <w:rPr>
          <w:sz w:val="19"/>
          <w:szCs w:val="19"/>
          <w:rtl w:val="0"/>
        </w:rPr>
        <w:t xml:space="preserve">On the other hand, the CVSS scoring system is used to assign severity scores to vulnerabilities, which are derived based on multiple factors, such as exploitability, impact, and the complexity of attacks required. The CVSS score ranges from 0 to 10, with a higher score indicating a more severe vulnerability. The CVSS model comprises three metric groups: Base, Temporal, and Environmental. The Base Score represents the intrinsic qualities of a vulnerability that are constant over time and across user environments. The Temporal Score adjusts the Base Score to reflect the characteristics of a vulnerability that change over time, such as the availability of exploits or patches. The Environmental Score further modifies the Base Score based on the potential impact of a vulnerability within a specific user's environment.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720" w:right="437" w:firstLine="0"/>
        <w:rPr>
          <w:sz w:val="19"/>
          <w:szCs w:val="19"/>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720" w:right="437" w:firstLine="0"/>
        <w:rPr>
          <w:sz w:val="19"/>
          <w:szCs w:val="19"/>
        </w:rPr>
      </w:pP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 w:line="362" w:lineRule="auto"/>
        <w:ind w:left="720" w:right="437" w:hanging="360"/>
        <w:rPr>
          <w:sz w:val="19"/>
          <w:szCs w:val="19"/>
          <w:u w:val="none"/>
        </w:rPr>
      </w:pPr>
      <w:r w:rsidDel="00000000" w:rsidR="00000000" w:rsidRPr="00000000">
        <w:rPr>
          <w:sz w:val="19"/>
          <w:szCs w:val="19"/>
          <w:rtl w:val="0"/>
        </w:rPr>
        <w:t xml:space="preserve">Combining CWE and CVSS scoring systems allows for a detailed analysis of vulnerabilities. CWE provides context by describing the weakness, while CVSS quantifies its impact and likelihood. When applied to temporal analysis, these scoring systems can help track the evolution of specific vulnerabilities over time, identify trends, and predict which types of vulnerabilities are likely to be exploited in the future. This predictive capability is invaluable for developing robust cybersecurity strategies and ensuring effective risk management.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rPr>
          <w:sz w:val="19"/>
          <w:szCs w:val="19"/>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rPr>
          <w:b w:val="1"/>
          <w:sz w:val="19"/>
          <w:szCs w:val="19"/>
          <w:u w:val="single"/>
        </w:rPr>
      </w:pPr>
      <w:r w:rsidDel="00000000" w:rsidR="00000000" w:rsidRPr="00000000">
        <w:rPr>
          <w:b w:val="1"/>
          <w:sz w:val="19"/>
          <w:szCs w:val="19"/>
          <w:u w:val="single"/>
          <w:rtl w:val="0"/>
        </w:rPr>
        <w:t xml:space="preserve">Requirements of CVE Vulnerability Prediction</w:t>
      </w:r>
    </w:p>
    <w:p w:rsidR="00000000" w:rsidDel="00000000" w:rsidP="00000000" w:rsidRDefault="00000000" w:rsidRPr="00000000" w14:paraId="000000E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2" w:line="362" w:lineRule="auto"/>
        <w:ind w:left="720" w:right="437" w:hanging="360"/>
        <w:rPr>
          <w:sz w:val="19"/>
          <w:szCs w:val="19"/>
          <w:u w:val="none"/>
        </w:rPr>
      </w:pPr>
      <w:r w:rsidDel="00000000" w:rsidR="00000000" w:rsidRPr="00000000">
        <w:rPr>
          <w:sz w:val="19"/>
          <w:szCs w:val="19"/>
          <w:rtl w:val="0"/>
        </w:rPr>
        <w:t xml:space="preserve">To effectively predict vulnerabilities using CVE data, several key requirements must be met. First, a comprehensive dataset is essential. This dataset should include historical CVE entries, detailed descriptions of vulnerabilities, associated CWE codes, CVSS scores, and information on exploits and patches. The quality and completeness of the data significantly impact the accuracy and reliability of any predictive models.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720" w:right="437" w:firstLine="0"/>
        <w:rPr>
          <w:sz w:val="19"/>
          <w:szCs w:val="19"/>
        </w:rPr>
      </w:pP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2" w:line="362" w:lineRule="auto"/>
        <w:ind w:left="720" w:right="437" w:hanging="360"/>
        <w:rPr>
          <w:sz w:val="19"/>
          <w:szCs w:val="19"/>
          <w:u w:val="none"/>
        </w:rPr>
      </w:pPr>
      <w:r w:rsidDel="00000000" w:rsidR="00000000" w:rsidRPr="00000000">
        <w:rPr>
          <w:sz w:val="19"/>
          <w:szCs w:val="19"/>
          <w:rtl w:val="0"/>
        </w:rPr>
        <w:t xml:space="preserve">Second, robust data preprocessing is necessary to clean and normalize the data. Inconsistent, incomplete, or redundant data can lead to inaccurate predictions, so it is vital to ensure that the dataset is well-prepared. Data preprocessing may involve removing duplicates, handling missing values, and standardizing data formats to ensure consistency across the dataset.</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720" w:right="437" w:firstLine="0"/>
        <w:rPr>
          <w:sz w:val="19"/>
          <w:szCs w:val="19"/>
        </w:rPr>
      </w:pP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2" w:line="362" w:lineRule="auto"/>
        <w:ind w:left="720" w:right="437" w:hanging="360"/>
        <w:rPr>
          <w:sz w:val="19"/>
          <w:szCs w:val="19"/>
          <w:u w:val="none"/>
        </w:rPr>
      </w:pPr>
      <w:r w:rsidDel="00000000" w:rsidR="00000000" w:rsidRPr="00000000">
        <w:rPr>
          <w:sz w:val="19"/>
          <w:szCs w:val="19"/>
          <w:rtl w:val="0"/>
        </w:rPr>
        <w:t xml:space="preserve">Third, advanced analytical techniques must be employed to derive meaningful insights from the data. Machine learning models, such as decision trees, support vector machines (SVM), or deep learning models, can be applied to identify patterns and predict future vulnerabilities. The choice of model depends on various factors, including the size and nature of the dataset, the specific prediction task, and the desired accuracy and interpretability of the model.</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720" w:right="437" w:firstLine="0"/>
        <w:rPr>
          <w:sz w:val="19"/>
          <w:szCs w:val="19"/>
        </w:rPr>
      </w:pP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2" w:line="362" w:lineRule="auto"/>
        <w:ind w:left="720" w:right="437" w:hanging="360"/>
        <w:rPr>
          <w:sz w:val="19"/>
          <w:szCs w:val="19"/>
          <w:u w:val="none"/>
        </w:rPr>
      </w:pPr>
      <w:r w:rsidDel="00000000" w:rsidR="00000000" w:rsidRPr="00000000">
        <w:rPr>
          <w:sz w:val="19"/>
          <w:szCs w:val="19"/>
          <w:rtl w:val="0"/>
        </w:rPr>
        <w:t xml:space="preserve">Fourth, temporal analysis techniques must be incorporated to account for the time dimension in vulnerability prediction. Understanding how vulnerabilities have evolved can provide insights into future trends. Time series analysis, for example, can be used to model the progression of vulnerabilities over time, identify seasonality and trends, and make future predictions. This temporal aspect is crucial because certain types of vulnerabilities may become more or less prevalent over time due to changes in technology, attack strategies, or defensive measures.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720" w:right="437" w:firstLine="0"/>
        <w:rPr>
          <w:sz w:val="19"/>
          <w:szCs w:val="19"/>
        </w:rPr>
      </w:pP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2" w:line="362" w:lineRule="auto"/>
        <w:ind w:left="720" w:right="437" w:hanging="360"/>
        <w:rPr>
          <w:sz w:val="19"/>
          <w:szCs w:val="19"/>
          <w:u w:val="none"/>
        </w:rPr>
      </w:pPr>
      <w:r w:rsidDel="00000000" w:rsidR="00000000" w:rsidRPr="00000000">
        <w:rPr>
          <w:sz w:val="19"/>
          <w:szCs w:val="19"/>
          <w:rtl w:val="0"/>
        </w:rPr>
        <w:t xml:space="preserve">Fifth, domain expertise is required to interpret the results accurately and to implement them effectively. Cybersecurity is a complex field, and understanding the implications of certain predictions requires in-depth knowledge of both software development and security practices. Experts must be involved to validate the findings of the predictive models and to develop actionable strategies based on the predictions.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720" w:right="437" w:firstLine="0"/>
        <w:rPr>
          <w:sz w:val="19"/>
          <w:szCs w:val="19"/>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2" w:line="362" w:lineRule="auto"/>
        <w:ind w:left="720" w:right="437" w:hanging="360"/>
        <w:rPr>
          <w:sz w:val="19"/>
          <w:szCs w:val="19"/>
          <w:u w:val="none"/>
        </w:rPr>
      </w:pPr>
      <w:r w:rsidDel="00000000" w:rsidR="00000000" w:rsidRPr="00000000">
        <w:rPr>
          <w:sz w:val="19"/>
          <w:szCs w:val="19"/>
          <w:rtl w:val="0"/>
        </w:rPr>
        <w:t xml:space="preserve">Lastly, continuous monitoring and updating of the predictive models are essential. The threat landscape in cybersecurity is constantly evolving, and predictive models must be regularly updated with new data to maintain their accuracy and relevance. As new vulnerabilities are discovered and documented in CVE, these models must adapt to incorporate the latest information.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rPr>
          <w:sz w:val="19"/>
          <w:szCs w:val="19"/>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rPr>
          <w:b w:val="1"/>
          <w:sz w:val="19"/>
          <w:szCs w:val="19"/>
          <w:u w:val="single"/>
        </w:rPr>
      </w:pPr>
      <w:r w:rsidDel="00000000" w:rsidR="00000000" w:rsidRPr="00000000">
        <w:rPr>
          <w:b w:val="1"/>
          <w:sz w:val="19"/>
          <w:szCs w:val="19"/>
          <w:u w:val="single"/>
          <w:rtl w:val="0"/>
        </w:rPr>
        <w:t xml:space="preserve">Summary</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rPr>
          <w:sz w:val="19"/>
          <w:szCs w:val="19"/>
        </w:rPr>
      </w:pPr>
      <w:r w:rsidDel="00000000" w:rsidR="00000000" w:rsidRPr="00000000">
        <w:rPr>
          <w:sz w:val="19"/>
          <w:szCs w:val="19"/>
          <w:rtl w:val="0"/>
        </w:rPr>
        <w:t xml:space="preserve">In summary, this chapter has explored the theory and concepts behind temporal analysis and prediction using CVE and CWE codes. By combining CWE categorizations with CVSS scoring, organizations can gain a comprehensive understanding of software weaknesses and vulnerabilities, helping them prioritize and address risks effectively. The requirements for effective CVE vulnerability prediction involve several critical factors, including comprehensive datasets, robust data preprocessing, advanced analytical techniques, temporal analysis, domain expertise, and continuous monitoring. Meeting these requirements is crucial for developing accurate and reliable predictive models that can help organizations stay ahead of potential threats.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rPr>
          <w:sz w:val="19"/>
          <w:szCs w:val="19"/>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sz w:val="19"/>
          <w:szCs w:val="19"/>
          <w:rtl w:val="0"/>
        </w:rPr>
        <w:t xml:space="preserve">Temporal analysis, when applied correctly, can significantly enhance an organization’s ability to anticipate and mitigate risks, thereby strengthening its overall cybersecurity posture. The integration of CVE and CWE codes into a temporal analysis framework provides a powerful tool for understanding the evolution of vulnerabilities and predicting future threats. By leveraging these tools and methodologies, cybersecurity professionals can develop more robust strategies to defend against emerging threats, ultimately leading to more secure and resilient systems.</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sz w:val="19"/>
          <w:szCs w:val="19"/>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rFonts w:ascii="Times New Roman" w:cs="Times New Roman" w:eastAsia="Times New Roman" w:hAnsi="Times New Roman"/>
          <w:b w:val="1"/>
          <w:i w:val="0"/>
          <w:smallCaps w:val="0"/>
          <w:strike w:val="0"/>
          <w:color w:val="000000"/>
          <w:sz w:val="23"/>
          <w:szCs w:val="23"/>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single"/>
          <w:shd w:fill="auto" w:val="clear"/>
          <w:vertAlign w:val="baseline"/>
          <w:rtl w:val="0"/>
        </w:rPr>
        <w:t xml:space="preserve">CHAPTER 3: HIGH-LEVEL DESIGN OF CVE EXPLOITABILITY PREDICTION SYSTEM</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rFonts w:ascii="Times New Roman" w:cs="Times New Roman" w:eastAsia="Times New Roman" w:hAnsi="Times New Roman"/>
          <w:b w:val="1"/>
          <w:i w:val="0"/>
          <w:smallCaps w:val="0"/>
          <w:strike w:val="0"/>
          <w:color w:val="000000"/>
          <w:sz w:val="19"/>
          <w:szCs w:val="19"/>
          <w:u w:val="single"/>
          <w:shd w:fill="auto" w:val="clear"/>
          <w:vertAlign w:val="baseline"/>
        </w:rPr>
      </w:pPr>
      <w:r w:rsidDel="00000000" w:rsidR="00000000" w:rsidRPr="00000000">
        <w:rPr>
          <w:rtl w:val="0"/>
        </w:rPr>
      </w:r>
    </w:p>
    <w:p w:rsidR="00000000" w:rsidDel="00000000" w:rsidP="00000000" w:rsidRDefault="00000000" w:rsidRPr="00000000" w14:paraId="0000010B">
      <w:pPr>
        <w:pStyle w:val="Heading3"/>
        <w:spacing w:after="80" w:before="280" w:line="362" w:lineRule="auto"/>
        <w:ind w:left="0" w:right="437" w:firstLine="0"/>
        <w:rPr>
          <w:sz w:val="26"/>
          <w:szCs w:val="26"/>
          <w:u w:val="single"/>
        </w:rPr>
      </w:pPr>
      <w:bookmarkStart w:colFirst="0" w:colLast="0" w:name="_heading=h.czripyjip9bl" w:id="0"/>
      <w:bookmarkEnd w:id="0"/>
      <w:r w:rsidDel="00000000" w:rsidR="00000000" w:rsidRPr="00000000">
        <w:rPr>
          <w:sz w:val="26"/>
          <w:szCs w:val="26"/>
          <w:u w:val="single"/>
          <w:rtl w:val="0"/>
        </w:rPr>
        <w:t xml:space="preserve">1. Introduction</w:t>
      </w:r>
    </w:p>
    <w:p w:rsidR="00000000" w:rsidDel="00000000" w:rsidP="00000000" w:rsidRDefault="00000000" w:rsidRPr="00000000" w14:paraId="0000010C">
      <w:pPr>
        <w:pStyle w:val="Heading4"/>
        <w:keepNext w:val="0"/>
        <w:spacing w:after="40" w:line="362" w:lineRule="auto"/>
        <w:ind w:right="437"/>
        <w:jc w:val="both"/>
        <w:rPr>
          <w:rFonts w:ascii="Times New Roman" w:cs="Times New Roman" w:eastAsia="Times New Roman" w:hAnsi="Times New Roman"/>
          <w:sz w:val="22"/>
          <w:szCs w:val="22"/>
        </w:rPr>
      </w:pPr>
      <w:bookmarkStart w:colFirst="0" w:colLast="0" w:name="_heading=h.jaxko8aulvad" w:id="1"/>
      <w:bookmarkEnd w:id="1"/>
      <w:r w:rsidDel="00000000" w:rsidR="00000000" w:rsidRPr="00000000">
        <w:rPr>
          <w:rFonts w:ascii="Times New Roman" w:cs="Times New Roman" w:eastAsia="Times New Roman" w:hAnsi="Times New Roman"/>
          <w:sz w:val="22"/>
          <w:szCs w:val="22"/>
          <w:rtl w:val="0"/>
        </w:rPr>
        <w:t xml:space="preserve">1.1 Background</w:t>
      </w:r>
    </w:p>
    <w:p w:rsidR="00000000" w:rsidDel="00000000" w:rsidP="00000000" w:rsidRDefault="00000000" w:rsidRPr="00000000" w14:paraId="0000010D">
      <w:pPr>
        <w:spacing w:after="240" w:before="240" w:line="362" w:lineRule="auto"/>
        <w:jc w:val="both"/>
        <w:rPr>
          <w:sz w:val="19"/>
          <w:szCs w:val="19"/>
        </w:rPr>
      </w:pPr>
      <w:r w:rsidDel="00000000" w:rsidR="00000000" w:rsidRPr="00000000">
        <w:rPr>
          <w:sz w:val="19"/>
          <w:szCs w:val="19"/>
          <w:rtl w:val="0"/>
        </w:rPr>
        <w:t xml:space="preserve">In the ever-evolving field of cybersecurity, vulnerabilities are a critical concern for organizations and individuals alike. A vulnerability represents a weakness in a system that could be exploited by attackers to gain unauthorized access or cause harm. Understanding and predicting vulnerabilities is crucial for effective risk management and mitigation. Temporal analysis and prediction of vulnerabilities involve assessing the potential future impact and likelihood of vulnerabilities using historical data and current trends.</w:t>
      </w:r>
    </w:p>
    <w:p w:rsidR="00000000" w:rsidDel="00000000" w:rsidP="00000000" w:rsidRDefault="00000000" w:rsidRPr="00000000" w14:paraId="0000010E">
      <w:pPr>
        <w:pStyle w:val="Heading4"/>
        <w:keepNext w:val="0"/>
        <w:spacing w:after="40" w:line="362" w:lineRule="auto"/>
        <w:ind w:right="437"/>
        <w:jc w:val="both"/>
        <w:rPr>
          <w:rFonts w:ascii="Times New Roman" w:cs="Times New Roman" w:eastAsia="Times New Roman" w:hAnsi="Times New Roman"/>
          <w:sz w:val="22"/>
          <w:szCs w:val="22"/>
        </w:rPr>
      </w:pPr>
      <w:bookmarkStart w:colFirst="0" w:colLast="0" w:name="_heading=h.7dahxev9uzr3" w:id="2"/>
      <w:bookmarkEnd w:id="2"/>
      <w:r w:rsidDel="00000000" w:rsidR="00000000" w:rsidRPr="00000000">
        <w:rPr>
          <w:rFonts w:ascii="Times New Roman" w:cs="Times New Roman" w:eastAsia="Times New Roman" w:hAnsi="Times New Roman"/>
          <w:sz w:val="22"/>
          <w:szCs w:val="22"/>
          <w:rtl w:val="0"/>
        </w:rPr>
        <w:t xml:space="preserve">1.2 Objectives of the Chapter</w:t>
      </w:r>
    </w:p>
    <w:p w:rsidR="00000000" w:rsidDel="00000000" w:rsidP="00000000" w:rsidRDefault="00000000" w:rsidRPr="00000000" w14:paraId="0000010F">
      <w:pPr>
        <w:spacing w:after="240" w:before="240" w:line="362" w:lineRule="auto"/>
        <w:jc w:val="both"/>
        <w:rPr>
          <w:sz w:val="19"/>
          <w:szCs w:val="19"/>
        </w:rPr>
      </w:pPr>
      <w:r w:rsidDel="00000000" w:rsidR="00000000" w:rsidRPr="00000000">
        <w:rPr>
          <w:sz w:val="19"/>
          <w:szCs w:val="19"/>
          <w:rtl w:val="0"/>
        </w:rPr>
        <w:t xml:space="preserve">This chapter aims to provide a comprehensive understanding of the theory and concepts underlying temporal analysis and prediction of vulnerabilities. We will delve into the vulnerability scoring systems, including Common Weakness Enumeration (CWE) and Common Vulnerability Scoring System (CVSS), and explore the requirements and methodologies for effective prediction of vulnerabilities.</w:t>
      </w:r>
    </w:p>
    <w:p w:rsidR="00000000" w:rsidDel="00000000" w:rsidP="00000000" w:rsidRDefault="00000000" w:rsidRPr="00000000" w14:paraId="00000110">
      <w:pPr>
        <w:pStyle w:val="Heading3"/>
        <w:spacing w:after="80" w:before="280" w:line="362" w:lineRule="auto"/>
        <w:ind w:left="0" w:right="437" w:firstLine="0"/>
        <w:rPr>
          <w:sz w:val="26"/>
          <w:szCs w:val="26"/>
          <w:u w:val="single"/>
        </w:rPr>
      </w:pPr>
      <w:bookmarkStart w:colFirst="0" w:colLast="0" w:name="_heading=h.z3y93vyxh43p" w:id="3"/>
      <w:bookmarkEnd w:id="3"/>
      <w:r w:rsidDel="00000000" w:rsidR="00000000" w:rsidRPr="00000000">
        <w:rPr>
          <w:sz w:val="26"/>
          <w:szCs w:val="26"/>
          <w:u w:val="single"/>
          <w:rtl w:val="0"/>
        </w:rPr>
        <w:t xml:space="preserve">2. Vulnerability Scoring (CWE and CVSS Scoring System)</w:t>
      </w:r>
    </w:p>
    <w:p w:rsidR="00000000" w:rsidDel="00000000" w:rsidP="00000000" w:rsidRDefault="00000000" w:rsidRPr="00000000" w14:paraId="00000111">
      <w:pPr>
        <w:pStyle w:val="Heading4"/>
        <w:keepNext w:val="0"/>
        <w:spacing w:after="40" w:line="362" w:lineRule="auto"/>
        <w:ind w:right="437"/>
        <w:jc w:val="both"/>
        <w:rPr>
          <w:rFonts w:ascii="Times New Roman" w:cs="Times New Roman" w:eastAsia="Times New Roman" w:hAnsi="Times New Roman"/>
          <w:sz w:val="22"/>
          <w:szCs w:val="22"/>
        </w:rPr>
      </w:pPr>
      <w:bookmarkStart w:colFirst="0" w:colLast="0" w:name="_heading=h.cby770690lt9" w:id="4"/>
      <w:bookmarkEnd w:id="4"/>
      <w:r w:rsidDel="00000000" w:rsidR="00000000" w:rsidRPr="00000000">
        <w:rPr>
          <w:rFonts w:ascii="Times New Roman" w:cs="Times New Roman" w:eastAsia="Times New Roman" w:hAnsi="Times New Roman"/>
          <w:sz w:val="22"/>
          <w:szCs w:val="22"/>
          <w:rtl w:val="0"/>
        </w:rPr>
        <w:t xml:space="preserve">2.1 Common Weakness Enumeration (CWE)</w:t>
      </w:r>
    </w:p>
    <w:p w:rsidR="00000000" w:rsidDel="00000000" w:rsidP="00000000" w:rsidRDefault="00000000" w:rsidRPr="00000000" w14:paraId="00000112">
      <w:pPr>
        <w:spacing w:after="240" w:before="240" w:line="362" w:lineRule="auto"/>
        <w:jc w:val="both"/>
        <w:rPr>
          <w:b w:val="1"/>
        </w:rPr>
      </w:pPr>
      <w:r w:rsidDel="00000000" w:rsidR="00000000" w:rsidRPr="00000000">
        <w:rPr>
          <w:b w:val="1"/>
          <w:rtl w:val="0"/>
        </w:rPr>
        <w:t xml:space="preserve">2.1.1 Definition and Purpose</w:t>
      </w:r>
    </w:p>
    <w:p w:rsidR="00000000" w:rsidDel="00000000" w:rsidP="00000000" w:rsidRDefault="00000000" w:rsidRPr="00000000" w14:paraId="00000113">
      <w:pPr>
        <w:spacing w:after="240" w:before="240" w:line="362" w:lineRule="auto"/>
        <w:jc w:val="both"/>
        <w:rPr>
          <w:sz w:val="19"/>
          <w:szCs w:val="19"/>
        </w:rPr>
      </w:pPr>
      <w:r w:rsidDel="00000000" w:rsidR="00000000" w:rsidRPr="00000000">
        <w:rPr>
          <w:sz w:val="19"/>
          <w:szCs w:val="19"/>
          <w:rtl w:val="0"/>
        </w:rPr>
        <w:t xml:space="preserve">Common Weakness Enumeration (CWE) is a list of software weaknesses maintained by MITRE. It provides a standardized taxonomy for categorizing and describing software flaws. CWE helps in identifying common weaknesses that can lead to vulnerabilities, facilitating a shared understanding among developers, security professionals, and researchers.</w:t>
      </w:r>
    </w:p>
    <w:p w:rsidR="00000000" w:rsidDel="00000000" w:rsidP="00000000" w:rsidRDefault="00000000" w:rsidRPr="00000000" w14:paraId="00000114">
      <w:pPr>
        <w:spacing w:after="240" w:before="240" w:line="362" w:lineRule="auto"/>
        <w:jc w:val="both"/>
        <w:rPr>
          <w:b w:val="1"/>
          <w:sz w:val="19"/>
          <w:szCs w:val="19"/>
        </w:rPr>
      </w:pPr>
      <w:r w:rsidDel="00000000" w:rsidR="00000000" w:rsidRPr="00000000">
        <w:rPr>
          <w:b w:val="1"/>
          <w:sz w:val="19"/>
          <w:szCs w:val="19"/>
          <w:rtl w:val="0"/>
        </w:rPr>
        <w:t xml:space="preserve">2.1.2 CWE Categories</w:t>
      </w:r>
    </w:p>
    <w:p w:rsidR="00000000" w:rsidDel="00000000" w:rsidP="00000000" w:rsidRDefault="00000000" w:rsidRPr="00000000" w14:paraId="00000115">
      <w:pPr>
        <w:numPr>
          <w:ilvl w:val="0"/>
          <w:numId w:val="18"/>
        </w:numPr>
        <w:spacing w:after="0" w:afterAutospacing="0" w:before="240" w:line="362" w:lineRule="auto"/>
        <w:ind w:left="720" w:hanging="360"/>
        <w:rPr>
          <w:sz w:val="19"/>
          <w:szCs w:val="19"/>
        </w:rPr>
      </w:pPr>
      <w:r w:rsidDel="00000000" w:rsidR="00000000" w:rsidRPr="00000000">
        <w:rPr>
          <w:b w:val="1"/>
          <w:sz w:val="19"/>
          <w:szCs w:val="19"/>
          <w:rtl w:val="0"/>
        </w:rPr>
        <w:t xml:space="preserve">Software Weaknesses</w:t>
      </w:r>
      <w:r w:rsidDel="00000000" w:rsidR="00000000" w:rsidRPr="00000000">
        <w:rPr>
          <w:sz w:val="19"/>
          <w:szCs w:val="19"/>
          <w:rtl w:val="0"/>
        </w:rPr>
        <w:t xml:space="preserve">: These include issues such as buffer overflows, improper input validation, and SQL injection, which are directly related to coding practices.</w:t>
      </w:r>
    </w:p>
    <w:p w:rsidR="00000000" w:rsidDel="00000000" w:rsidP="00000000" w:rsidRDefault="00000000" w:rsidRPr="00000000" w14:paraId="00000116">
      <w:pPr>
        <w:numPr>
          <w:ilvl w:val="0"/>
          <w:numId w:val="18"/>
        </w:numPr>
        <w:spacing w:after="240" w:before="0" w:beforeAutospacing="0" w:line="362" w:lineRule="auto"/>
        <w:ind w:left="720" w:hanging="360"/>
        <w:rPr>
          <w:sz w:val="19"/>
          <w:szCs w:val="19"/>
        </w:rPr>
      </w:pPr>
      <w:r w:rsidDel="00000000" w:rsidR="00000000" w:rsidRPr="00000000">
        <w:rPr>
          <w:b w:val="1"/>
          <w:sz w:val="19"/>
          <w:szCs w:val="19"/>
          <w:rtl w:val="0"/>
        </w:rPr>
        <w:t xml:space="preserve">Architectural and Design Flaws</w:t>
      </w:r>
      <w:r w:rsidDel="00000000" w:rsidR="00000000" w:rsidRPr="00000000">
        <w:rPr>
          <w:sz w:val="19"/>
          <w:szCs w:val="19"/>
          <w:rtl w:val="0"/>
        </w:rPr>
        <w:t xml:space="preserve">: These weaknesses involve poor design decisions, such as insufficient encryption or insecure interfaces, which can lead to vulnerabilities if not addressed during the design phase.</w:t>
      </w:r>
    </w:p>
    <w:p w:rsidR="00000000" w:rsidDel="00000000" w:rsidP="00000000" w:rsidRDefault="00000000" w:rsidRPr="00000000" w14:paraId="00000117">
      <w:pPr>
        <w:pStyle w:val="Heading4"/>
        <w:keepNext w:val="0"/>
        <w:spacing w:after="40" w:line="362" w:lineRule="auto"/>
        <w:ind w:right="437"/>
        <w:jc w:val="both"/>
        <w:rPr>
          <w:rFonts w:ascii="Times New Roman" w:cs="Times New Roman" w:eastAsia="Times New Roman" w:hAnsi="Times New Roman"/>
          <w:sz w:val="22"/>
          <w:szCs w:val="22"/>
        </w:rPr>
      </w:pPr>
      <w:bookmarkStart w:colFirst="0" w:colLast="0" w:name="_heading=h.jh5e4ehcfq3k" w:id="5"/>
      <w:bookmarkEnd w:id="5"/>
      <w:r w:rsidDel="00000000" w:rsidR="00000000" w:rsidRPr="00000000">
        <w:rPr>
          <w:rFonts w:ascii="Times New Roman" w:cs="Times New Roman" w:eastAsia="Times New Roman" w:hAnsi="Times New Roman"/>
          <w:sz w:val="22"/>
          <w:szCs w:val="22"/>
          <w:rtl w:val="0"/>
        </w:rPr>
        <w:t xml:space="preserve">2.2 Common Vulnerability Scoring System (CVSS)</w:t>
      </w:r>
    </w:p>
    <w:p w:rsidR="00000000" w:rsidDel="00000000" w:rsidP="00000000" w:rsidRDefault="00000000" w:rsidRPr="00000000" w14:paraId="00000118">
      <w:pPr>
        <w:spacing w:after="240" w:before="240" w:line="362" w:lineRule="auto"/>
        <w:jc w:val="both"/>
        <w:rPr>
          <w:b w:val="1"/>
        </w:rPr>
      </w:pPr>
      <w:r w:rsidDel="00000000" w:rsidR="00000000" w:rsidRPr="00000000">
        <w:rPr>
          <w:b w:val="1"/>
          <w:rtl w:val="0"/>
        </w:rPr>
        <w:t xml:space="preserve">2.2.1 Overview of CVSS</w:t>
      </w:r>
    </w:p>
    <w:p w:rsidR="00000000" w:rsidDel="00000000" w:rsidP="00000000" w:rsidRDefault="00000000" w:rsidRPr="00000000" w14:paraId="00000119">
      <w:pPr>
        <w:spacing w:after="240" w:before="240" w:line="362" w:lineRule="auto"/>
        <w:jc w:val="both"/>
        <w:rPr>
          <w:sz w:val="19"/>
          <w:szCs w:val="19"/>
        </w:rPr>
      </w:pPr>
      <w:r w:rsidDel="00000000" w:rsidR="00000000" w:rsidRPr="00000000">
        <w:rPr>
          <w:sz w:val="19"/>
          <w:szCs w:val="19"/>
          <w:rtl w:val="0"/>
        </w:rPr>
        <w:t xml:space="preserve">Common Vulnerability Scoring System (CVSS) is a framework for rating the severity of security vulnerabilities. Developed by the Forum of Incident Response and Security Teams (FIRST), CVSS provides a numerical score reflecting the impact and exploitability of a vulnerability. The scoring system is divided into three metric groups: Base, Temporal, and Environmental.</w:t>
      </w:r>
    </w:p>
    <w:p w:rsidR="00000000" w:rsidDel="00000000" w:rsidP="00000000" w:rsidRDefault="00000000" w:rsidRPr="00000000" w14:paraId="0000011A">
      <w:pPr>
        <w:spacing w:after="240" w:before="240" w:line="362" w:lineRule="auto"/>
        <w:jc w:val="both"/>
        <w:rPr>
          <w:b w:val="1"/>
          <w:sz w:val="19"/>
          <w:szCs w:val="19"/>
        </w:rPr>
      </w:pPr>
      <w:r w:rsidDel="00000000" w:rsidR="00000000" w:rsidRPr="00000000">
        <w:rPr>
          <w:b w:val="1"/>
          <w:sz w:val="19"/>
          <w:szCs w:val="19"/>
          <w:rtl w:val="0"/>
        </w:rPr>
        <w:t xml:space="preserve">2.2.2 CVSS Scoring Metrics</w:t>
      </w:r>
    </w:p>
    <w:p w:rsidR="00000000" w:rsidDel="00000000" w:rsidP="00000000" w:rsidRDefault="00000000" w:rsidRPr="00000000" w14:paraId="0000011B">
      <w:pPr>
        <w:numPr>
          <w:ilvl w:val="0"/>
          <w:numId w:val="15"/>
        </w:numPr>
        <w:spacing w:after="0" w:afterAutospacing="0" w:before="240" w:line="362" w:lineRule="auto"/>
        <w:ind w:left="720" w:hanging="360"/>
        <w:rPr>
          <w:sz w:val="19"/>
          <w:szCs w:val="19"/>
        </w:rPr>
      </w:pPr>
      <w:r w:rsidDel="00000000" w:rsidR="00000000" w:rsidRPr="00000000">
        <w:rPr>
          <w:b w:val="1"/>
          <w:sz w:val="19"/>
          <w:szCs w:val="19"/>
          <w:rtl w:val="0"/>
        </w:rPr>
        <w:t xml:space="preserve">2.2.2.1 Base Metrics</w:t>
      </w:r>
      <w:r w:rsidDel="00000000" w:rsidR="00000000" w:rsidRPr="00000000">
        <w:rPr>
          <w:sz w:val="19"/>
          <w:szCs w:val="19"/>
          <w:rtl w:val="0"/>
        </w:rPr>
        <w:t xml:space="preserve">: These represent the intrinsic characteristics of a vulnerability that are constant over time and across different environments. Key factors include:</w:t>
      </w:r>
    </w:p>
    <w:p w:rsidR="00000000" w:rsidDel="00000000" w:rsidP="00000000" w:rsidRDefault="00000000" w:rsidRPr="00000000" w14:paraId="0000011C">
      <w:pPr>
        <w:numPr>
          <w:ilvl w:val="1"/>
          <w:numId w:val="15"/>
        </w:numPr>
        <w:spacing w:after="0" w:afterAutospacing="0" w:before="0" w:beforeAutospacing="0" w:line="362" w:lineRule="auto"/>
        <w:ind w:left="1440" w:hanging="360"/>
        <w:rPr>
          <w:sz w:val="19"/>
          <w:szCs w:val="19"/>
        </w:rPr>
      </w:pPr>
      <w:r w:rsidDel="00000000" w:rsidR="00000000" w:rsidRPr="00000000">
        <w:rPr>
          <w:b w:val="1"/>
          <w:sz w:val="19"/>
          <w:szCs w:val="19"/>
          <w:rtl w:val="0"/>
        </w:rPr>
        <w:t xml:space="preserve">Exploitability</w:t>
      </w:r>
      <w:r w:rsidDel="00000000" w:rsidR="00000000" w:rsidRPr="00000000">
        <w:rPr>
          <w:sz w:val="19"/>
          <w:szCs w:val="19"/>
          <w:rtl w:val="0"/>
        </w:rPr>
        <w:t xml:space="preserve">: How easily a vulnerability can be exploited.</w:t>
      </w:r>
    </w:p>
    <w:p w:rsidR="00000000" w:rsidDel="00000000" w:rsidP="00000000" w:rsidRDefault="00000000" w:rsidRPr="00000000" w14:paraId="0000011D">
      <w:pPr>
        <w:numPr>
          <w:ilvl w:val="1"/>
          <w:numId w:val="15"/>
        </w:numPr>
        <w:spacing w:after="0" w:afterAutospacing="0" w:before="0" w:beforeAutospacing="0" w:line="362" w:lineRule="auto"/>
        <w:ind w:left="1440" w:hanging="360"/>
        <w:rPr>
          <w:sz w:val="19"/>
          <w:szCs w:val="19"/>
        </w:rPr>
      </w:pPr>
      <w:r w:rsidDel="00000000" w:rsidR="00000000" w:rsidRPr="00000000">
        <w:rPr>
          <w:b w:val="1"/>
          <w:sz w:val="19"/>
          <w:szCs w:val="19"/>
          <w:rtl w:val="0"/>
        </w:rPr>
        <w:t xml:space="preserve">Impact</w:t>
      </w:r>
      <w:r w:rsidDel="00000000" w:rsidR="00000000" w:rsidRPr="00000000">
        <w:rPr>
          <w:sz w:val="19"/>
          <w:szCs w:val="19"/>
          <w:rtl w:val="0"/>
        </w:rPr>
        <w:t xml:space="preserve">: The potential consequences of an exploit, such as loss of confidentiality, integrity, or availability.</w:t>
      </w:r>
    </w:p>
    <w:p w:rsidR="00000000" w:rsidDel="00000000" w:rsidP="00000000" w:rsidRDefault="00000000" w:rsidRPr="00000000" w14:paraId="0000011E">
      <w:pPr>
        <w:numPr>
          <w:ilvl w:val="0"/>
          <w:numId w:val="15"/>
        </w:numPr>
        <w:spacing w:after="0" w:afterAutospacing="0" w:before="0" w:beforeAutospacing="0" w:line="362" w:lineRule="auto"/>
        <w:ind w:left="720" w:hanging="360"/>
        <w:rPr>
          <w:sz w:val="19"/>
          <w:szCs w:val="19"/>
        </w:rPr>
      </w:pPr>
      <w:r w:rsidDel="00000000" w:rsidR="00000000" w:rsidRPr="00000000">
        <w:rPr>
          <w:b w:val="1"/>
          <w:sz w:val="19"/>
          <w:szCs w:val="19"/>
          <w:rtl w:val="0"/>
        </w:rPr>
        <w:t xml:space="preserve">2.2.2.2 Temporal Metrics</w:t>
      </w:r>
      <w:r w:rsidDel="00000000" w:rsidR="00000000" w:rsidRPr="00000000">
        <w:rPr>
          <w:sz w:val="19"/>
          <w:szCs w:val="19"/>
          <w:rtl w:val="0"/>
        </w:rPr>
        <w:t xml:space="preserve">: These reflect the characteristics of a vulnerability that change over time. They include:</w:t>
      </w:r>
    </w:p>
    <w:p w:rsidR="00000000" w:rsidDel="00000000" w:rsidP="00000000" w:rsidRDefault="00000000" w:rsidRPr="00000000" w14:paraId="0000011F">
      <w:pPr>
        <w:numPr>
          <w:ilvl w:val="1"/>
          <w:numId w:val="15"/>
        </w:numPr>
        <w:spacing w:after="0" w:afterAutospacing="0" w:before="0" w:beforeAutospacing="0" w:line="362" w:lineRule="auto"/>
        <w:ind w:left="1440" w:hanging="360"/>
        <w:rPr>
          <w:sz w:val="19"/>
          <w:szCs w:val="19"/>
        </w:rPr>
      </w:pPr>
      <w:r w:rsidDel="00000000" w:rsidR="00000000" w:rsidRPr="00000000">
        <w:rPr>
          <w:b w:val="1"/>
          <w:sz w:val="19"/>
          <w:szCs w:val="19"/>
          <w:rtl w:val="0"/>
        </w:rPr>
        <w:t xml:space="preserve">Exploit Code Maturity</w:t>
      </w:r>
      <w:r w:rsidDel="00000000" w:rsidR="00000000" w:rsidRPr="00000000">
        <w:rPr>
          <w:sz w:val="19"/>
          <w:szCs w:val="19"/>
          <w:rtl w:val="0"/>
        </w:rPr>
        <w:t xml:space="preserve">: The level of sophistication and availability of exploit code.</w:t>
      </w:r>
    </w:p>
    <w:p w:rsidR="00000000" w:rsidDel="00000000" w:rsidP="00000000" w:rsidRDefault="00000000" w:rsidRPr="00000000" w14:paraId="00000120">
      <w:pPr>
        <w:numPr>
          <w:ilvl w:val="1"/>
          <w:numId w:val="15"/>
        </w:numPr>
        <w:spacing w:after="0" w:afterAutospacing="0" w:before="0" w:beforeAutospacing="0" w:line="362" w:lineRule="auto"/>
        <w:ind w:left="1440" w:hanging="360"/>
        <w:rPr>
          <w:sz w:val="19"/>
          <w:szCs w:val="19"/>
        </w:rPr>
      </w:pPr>
      <w:r w:rsidDel="00000000" w:rsidR="00000000" w:rsidRPr="00000000">
        <w:rPr>
          <w:b w:val="1"/>
          <w:sz w:val="19"/>
          <w:szCs w:val="19"/>
          <w:rtl w:val="0"/>
        </w:rPr>
        <w:t xml:space="preserve">Remediation Level</w:t>
      </w:r>
      <w:r w:rsidDel="00000000" w:rsidR="00000000" w:rsidRPr="00000000">
        <w:rPr>
          <w:sz w:val="19"/>
          <w:szCs w:val="19"/>
          <w:rtl w:val="0"/>
        </w:rPr>
        <w:t xml:space="preserve">: The availability and effectiveness of fixes or workarounds.</w:t>
      </w:r>
    </w:p>
    <w:p w:rsidR="00000000" w:rsidDel="00000000" w:rsidP="00000000" w:rsidRDefault="00000000" w:rsidRPr="00000000" w14:paraId="00000121">
      <w:pPr>
        <w:numPr>
          <w:ilvl w:val="0"/>
          <w:numId w:val="15"/>
        </w:numPr>
        <w:spacing w:after="0" w:afterAutospacing="0" w:before="0" w:beforeAutospacing="0" w:line="362" w:lineRule="auto"/>
        <w:ind w:left="720" w:hanging="360"/>
        <w:rPr>
          <w:sz w:val="19"/>
          <w:szCs w:val="19"/>
        </w:rPr>
      </w:pPr>
      <w:r w:rsidDel="00000000" w:rsidR="00000000" w:rsidRPr="00000000">
        <w:rPr>
          <w:b w:val="1"/>
          <w:sz w:val="19"/>
          <w:szCs w:val="19"/>
          <w:rtl w:val="0"/>
        </w:rPr>
        <w:t xml:space="preserve">2.2.2.3 Environmental Metrics</w:t>
      </w:r>
      <w:r w:rsidDel="00000000" w:rsidR="00000000" w:rsidRPr="00000000">
        <w:rPr>
          <w:sz w:val="19"/>
          <w:szCs w:val="19"/>
          <w:rtl w:val="0"/>
        </w:rPr>
        <w:t xml:space="preserve">: These are specific to the environment in which the vulnerability exists and include:</w:t>
      </w:r>
    </w:p>
    <w:p w:rsidR="00000000" w:rsidDel="00000000" w:rsidP="00000000" w:rsidRDefault="00000000" w:rsidRPr="00000000" w14:paraId="00000122">
      <w:pPr>
        <w:numPr>
          <w:ilvl w:val="1"/>
          <w:numId w:val="15"/>
        </w:numPr>
        <w:spacing w:after="0" w:afterAutospacing="0" w:before="0" w:beforeAutospacing="0" w:line="362" w:lineRule="auto"/>
        <w:ind w:left="1440" w:hanging="360"/>
        <w:rPr>
          <w:sz w:val="19"/>
          <w:szCs w:val="19"/>
        </w:rPr>
      </w:pPr>
      <w:r w:rsidDel="00000000" w:rsidR="00000000" w:rsidRPr="00000000">
        <w:rPr>
          <w:b w:val="1"/>
          <w:sz w:val="19"/>
          <w:szCs w:val="19"/>
          <w:rtl w:val="0"/>
        </w:rPr>
        <w:t xml:space="preserve">Security Requirements</w:t>
      </w:r>
      <w:r w:rsidDel="00000000" w:rsidR="00000000" w:rsidRPr="00000000">
        <w:rPr>
          <w:sz w:val="19"/>
          <w:szCs w:val="19"/>
          <w:rtl w:val="0"/>
        </w:rPr>
        <w:t xml:space="preserve">: The importance of the affected asset in the context of an organization's security objectives.</w:t>
      </w:r>
    </w:p>
    <w:p w:rsidR="00000000" w:rsidDel="00000000" w:rsidP="00000000" w:rsidRDefault="00000000" w:rsidRPr="00000000" w14:paraId="00000123">
      <w:pPr>
        <w:numPr>
          <w:ilvl w:val="1"/>
          <w:numId w:val="15"/>
        </w:numPr>
        <w:spacing w:after="240" w:before="0" w:beforeAutospacing="0" w:line="362" w:lineRule="auto"/>
        <w:ind w:left="1440" w:hanging="360"/>
        <w:rPr>
          <w:sz w:val="19"/>
          <w:szCs w:val="19"/>
        </w:rPr>
      </w:pPr>
      <w:r w:rsidDel="00000000" w:rsidR="00000000" w:rsidRPr="00000000">
        <w:rPr>
          <w:b w:val="1"/>
          <w:sz w:val="19"/>
          <w:szCs w:val="19"/>
          <w:rtl w:val="0"/>
        </w:rPr>
        <w:t xml:space="preserve">Modifications</w:t>
      </w:r>
      <w:r w:rsidDel="00000000" w:rsidR="00000000" w:rsidRPr="00000000">
        <w:rPr>
          <w:sz w:val="19"/>
          <w:szCs w:val="19"/>
          <w:rtl w:val="0"/>
        </w:rPr>
        <w:t xml:space="preserve">: Adjustments to the base and temporal metrics based on the specific environment.</w:t>
      </w:r>
    </w:p>
    <w:p w:rsidR="00000000" w:rsidDel="00000000" w:rsidP="00000000" w:rsidRDefault="00000000" w:rsidRPr="00000000" w14:paraId="00000124">
      <w:pPr>
        <w:pStyle w:val="Heading3"/>
        <w:spacing w:after="80" w:before="280" w:line="362" w:lineRule="auto"/>
        <w:ind w:left="0" w:right="437" w:firstLine="0"/>
        <w:rPr>
          <w:sz w:val="26"/>
          <w:szCs w:val="26"/>
          <w:u w:val="single"/>
        </w:rPr>
      </w:pPr>
      <w:bookmarkStart w:colFirst="0" w:colLast="0" w:name="_heading=h.avvsavgiq11" w:id="6"/>
      <w:bookmarkEnd w:id="6"/>
      <w:r w:rsidDel="00000000" w:rsidR="00000000" w:rsidRPr="00000000">
        <w:rPr>
          <w:sz w:val="26"/>
          <w:szCs w:val="26"/>
          <w:u w:val="single"/>
          <w:rtl w:val="0"/>
        </w:rPr>
        <w:t xml:space="preserve">3. Requirements of CVE Vulnerability Prediction</w:t>
      </w:r>
    </w:p>
    <w:p w:rsidR="00000000" w:rsidDel="00000000" w:rsidP="00000000" w:rsidRDefault="00000000" w:rsidRPr="00000000" w14:paraId="00000125">
      <w:pPr>
        <w:pStyle w:val="Heading4"/>
        <w:keepNext w:val="0"/>
        <w:spacing w:after="40" w:line="362" w:lineRule="auto"/>
        <w:ind w:right="437"/>
        <w:jc w:val="both"/>
        <w:rPr>
          <w:rFonts w:ascii="Times New Roman" w:cs="Times New Roman" w:eastAsia="Times New Roman" w:hAnsi="Times New Roman"/>
          <w:sz w:val="22"/>
          <w:szCs w:val="22"/>
        </w:rPr>
      </w:pPr>
      <w:bookmarkStart w:colFirst="0" w:colLast="0" w:name="_heading=h.l4zsgatxrpml" w:id="7"/>
      <w:bookmarkEnd w:id="7"/>
      <w:r w:rsidDel="00000000" w:rsidR="00000000" w:rsidRPr="00000000">
        <w:rPr>
          <w:rFonts w:ascii="Times New Roman" w:cs="Times New Roman" w:eastAsia="Times New Roman" w:hAnsi="Times New Roman"/>
          <w:sz w:val="22"/>
          <w:szCs w:val="22"/>
          <w:rtl w:val="0"/>
        </w:rPr>
        <w:t xml:space="preserve">3.1 Data Sources and Collection</w:t>
      </w:r>
    </w:p>
    <w:p w:rsidR="00000000" w:rsidDel="00000000" w:rsidP="00000000" w:rsidRDefault="00000000" w:rsidRPr="00000000" w14:paraId="00000126">
      <w:pPr>
        <w:spacing w:after="240" w:before="240" w:line="362" w:lineRule="auto"/>
        <w:jc w:val="both"/>
        <w:rPr>
          <w:b w:val="1"/>
        </w:rPr>
      </w:pPr>
      <w:r w:rsidDel="00000000" w:rsidR="00000000" w:rsidRPr="00000000">
        <w:rPr>
          <w:b w:val="1"/>
          <w:rtl w:val="0"/>
        </w:rPr>
        <w:t xml:space="preserve">3.1.1 CVE Databases</w:t>
      </w:r>
    </w:p>
    <w:p w:rsidR="00000000" w:rsidDel="00000000" w:rsidP="00000000" w:rsidRDefault="00000000" w:rsidRPr="00000000" w14:paraId="00000127">
      <w:pPr>
        <w:spacing w:after="240" w:before="240" w:line="362" w:lineRule="auto"/>
        <w:jc w:val="both"/>
        <w:rPr>
          <w:sz w:val="19"/>
          <w:szCs w:val="19"/>
        </w:rPr>
      </w:pPr>
      <w:r w:rsidDel="00000000" w:rsidR="00000000" w:rsidRPr="00000000">
        <w:rPr>
          <w:sz w:val="19"/>
          <w:szCs w:val="19"/>
          <w:rtl w:val="0"/>
        </w:rPr>
        <w:t xml:space="preserve">Common Vulnerabilities and Exposures (CVE) is a standardized identifier for vulnerabilities. The National Vulnerability Database (NVD) is a comprehensive repository of CVE entries, providing detailed information on each vulnerability, including descriptions, impact metrics, and remediation suggestions. Other public databases and security advisories also contribute valuable data.</w:t>
      </w:r>
    </w:p>
    <w:p w:rsidR="00000000" w:rsidDel="00000000" w:rsidP="00000000" w:rsidRDefault="00000000" w:rsidRPr="00000000" w14:paraId="00000128">
      <w:pPr>
        <w:spacing w:after="240" w:before="240" w:line="362" w:lineRule="auto"/>
        <w:jc w:val="both"/>
        <w:rPr>
          <w:b w:val="1"/>
          <w:sz w:val="19"/>
          <w:szCs w:val="19"/>
        </w:rPr>
      </w:pPr>
      <w:r w:rsidDel="00000000" w:rsidR="00000000" w:rsidRPr="00000000">
        <w:rPr>
          <w:b w:val="1"/>
          <w:sz w:val="19"/>
          <w:szCs w:val="19"/>
          <w:rtl w:val="0"/>
        </w:rPr>
        <w:t xml:space="preserve">3.1.2 Data Collection Challenges</w:t>
      </w:r>
    </w:p>
    <w:p w:rsidR="00000000" w:rsidDel="00000000" w:rsidP="00000000" w:rsidRDefault="00000000" w:rsidRPr="00000000" w14:paraId="00000129">
      <w:pPr>
        <w:numPr>
          <w:ilvl w:val="0"/>
          <w:numId w:val="3"/>
        </w:numPr>
        <w:spacing w:after="0" w:afterAutospacing="0" w:before="240" w:line="362" w:lineRule="auto"/>
        <w:ind w:left="720" w:hanging="360"/>
        <w:rPr>
          <w:sz w:val="19"/>
          <w:szCs w:val="19"/>
        </w:rPr>
      </w:pPr>
      <w:r w:rsidDel="00000000" w:rsidR="00000000" w:rsidRPr="00000000">
        <w:rPr>
          <w:b w:val="1"/>
          <w:sz w:val="19"/>
          <w:szCs w:val="19"/>
          <w:rtl w:val="0"/>
        </w:rPr>
        <w:t xml:space="preserve">Data Quality and Completeness</w:t>
      </w:r>
      <w:r w:rsidDel="00000000" w:rsidR="00000000" w:rsidRPr="00000000">
        <w:rPr>
          <w:sz w:val="19"/>
          <w:szCs w:val="19"/>
          <w:rtl w:val="0"/>
        </w:rPr>
        <w:t xml:space="preserve">: Ensuring accurate and complete data is crucial for effective analysis. Incomplete or inaccurate data can lead to misleading predictions.</w:t>
      </w:r>
    </w:p>
    <w:p w:rsidR="00000000" w:rsidDel="00000000" w:rsidP="00000000" w:rsidRDefault="00000000" w:rsidRPr="00000000" w14:paraId="0000012A">
      <w:pPr>
        <w:numPr>
          <w:ilvl w:val="0"/>
          <w:numId w:val="3"/>
        </w:numPr>
        <w:spacing w:after="240" w:before="0" w:beforeAutospacing="0" w:line="362" w:lineRule="auto"/>
        <w:ind w:left="720" w:hanging="360"/>
        <w:rPr>
          <w:sz w:val="19"/>
          <w:szCs w:val="19"/>
        </w:rPr>
      </w:pPr>
      <w:r w:rsidDel="00000000" w:rsidR="00000000" w:rsidRPr="00000000">
        <w:rPr>
          <w:b w:val="1"/>
          <w:sz w:val="19"/>
          <w:szCs w:val="19"/>
          <w:rtl w:val="0"/>
        </w:rPr>
        <w:t xml:space="preserve">Frequency of Updates</w:t>
      </w:r>
      <w:r w:rsidDel="00000000" w:rsidR="00000000" w:rsidRPr="00000000">
        <w:rPr>
          <w:sz w:val="19"/>
          <w:szCs w:val="19"/>
          <w:rtl w:val="0"/>
        </w:rPr>
        <w:t xml:space="preserve">: Vulnerability databases must be updated regularly to reflect new discoveries and changes in the threat landscape.</w:t>
      </w:r>
    </w:p>
    <w:p w:rsidR="00000000" w:rsidDel="00000000" w:rsidP="00000000" w:rsidRDefault="00000000" w:rsidRPr="00000000" w14:paraId="0000012B">
      <w:pPr>
        <w:pStyle w:val="Heading4"/>
        <w:keepNext w:val="0"/>
        <w:spacing w:after="40" w:line="362" w:lineRule="auto"/>
        <w:ind w:right="437"/>
        <w:jc w:val="both"/>
        <w:rPr>
          <w:rFonts w:ascii="Times New Roman" w:cs="Times New Roman" w:eastAsia="Times New Roman" w:hAnsi="Times New Roman"/>
          <w:sz w:val="22"/>
          <w:szCs w:val="22"/>
        </w:rPr>
      </w:pPr>
      <w:bookmarkStart w:colFirst="0" w:colLast="0" w:name="_heading=h.pvgt3up0gm3b" w:id="8"/>
      <w:bookmarkEnd w:id="8"/>
      <w:r w:rsidDel="00000000" w:rsidR="00000000" w:rsidRPr="00000000">
        <w:rPr>
          <w:rFonts w:ascii="Times New Roman" w:cs="Times New Roman" w:eastAsia="Times New Roman" w:hAnsi="Times New Roman"/>
          <w:sz w:val="22"/>
          <w:szCs w:val="22"/>
          <w:rtl w:val="0"/>
        </w:rPr>
        <w:t xml:space="preserve">3.2 Predictive Models and Techniques</w:t>
      </w:r>
    </w:p>
    <w:p w:rsidR="00000000" w:rsidDel="00000000" w:rsidP="00000000" w:rsidRDefault="00000000" w:rsidRPr="00000000" w14:paraId="0000012C">
      <w:pPr>
        <w:spacing w:after="240" w:before="240" w:line="362" w:lineRule="auto"/>
        <w:jc w:val="both"/>
        <w:rPr>
          <w:b w:val="1"/>
        </w:rPr>
      </w:pPr>
      <w:r w:rsidDel="00000000" w:rsidR="00000000" w:rsidRPr="00000000">
        <w:rPr>
          <w:b w:val="1"/>
          <w:rtl w:val="0"/>
        </w:rPr>
        <w:t xml:space="preserve">3.2.1 Machine Learning Approaches</w:t>
      </w:r>
    </w:p>
    <w:p w:rsidR="00000000" w:rsidDel="00000000" w:rsidP="00000000" w:rsidRDefault="00000000" w:rsidRPr="00000000" w14:paraId="0000012D">
      <w:pPr>
        <w:numPr>
          <w:ilvl w:val="0"/>
          <w:numId w:val="2"/>
        </w:numPr>
        <w:spacing w:after="0" w:afterAutospacing="0" w:before="240" w:line="362" w:lineRule="auto"/>
        <w:ind w:left="720" w:hanging="360"/>
        <w:rPr>
          <w:sz w:val="19"/>
          <w:szCs w:val="19"/>
        </w:rPr>
      </w:pPr>
      <w:r w:rsidDel="00000000" w:rsidR="00000000" w:rsidRPr="00000000">
        <w:rPr>
          <w:b w:val="1"/>
          <w:rtl w:val="0"/>
        </w:rPr>
        <w:t xml:space="preserve">Supervised Learning</w:t>
      </w:r>
      <w:r w:rsidDel="00000000" w:rsidR="00000000" w:rsidRPr="00000000">
        <w:rPr>
          <w:sz w:val="19"/>
          <w:szCs w:val="19"/>
          <w:rtl w:val="0"/>
        </w:rPr>
        <w:t xml:space="preserve">: Involves training models on labeled data to predict future vulnerabilities based on historical patterns.</w:t>
      </w:r>
    </w:p>
    <w:p w:rsidR="00000000" w:rsidDel="00000000" w:rsidP="00000000" w:rsidRDefault="00000000" w:rsidRPr="00000000" w14:paraId="0000012E">
      <w:pPr>
        <w:numPr>
          <w:ilvl w:val="0"/>
          <w:numId w:val="2"/>
        </w:numPr>
        <w:spacing w:after="240" w:before="0" w:beforeAutospacing="0" w:line="362" w:lineRule="auto"/>
        <w:ind w:left="720" w:hanging="360"/>
        <w:rPr>
          <w:sz w:val="19"/>
          <w:szCs w:val="19"/>
        </w:rPr>
      </w:pPr>
      <w:r w:rsidDel="00000000" w:rsidR="00000000" w:rsidRPr="00000000">
        <w:rPr>
          <w:b w:val="1"/>
          <w:sz w:val="19"/>
          <w:szCs w:val="19"/>
          <w:rtl w:val="0"/>
        </w:rPr>
        <w:t xml:space="preserve">Unsupervised Learning</w:t>
      </w:r>
      <w:r w:rsidDel="00000000" w:rsidR="00000000" w:rsidRPr="00000000">
        <w:rPr>
          <w:sz w:val="19"/>
          <w:szCs w:val="19"/>
          <w:rtl w:val="0"/>
        </w:rPr>
        <w:t xml:space="preserve">: Focuses on identifying hidden patterns and anomalies in the data without predefined labels.</w:t>
      </w:r>
    </w:p>
    <w:p w:rsidR="00000000" w:rsidDel="00000000" w:rsidP="00000000" w:rsidRDefault="00000000" w:rsidRPr="00000000" w14:paraId="0000012F">
      <w:pPr>
        <w:spacing w:after="240" w:before="240" w:line="362" w:lineRule="auto"/>
        <w:jc w:val="both"/>
        <w:rPr>
          <w:b w:val="1"/>
          <w:sz w:val="19"/>
          <w:szCs w:val="19"/>
        </w:rPr>
      </w:pPr>
      <w:r w:rsidDel="00000000" w:rsidR="00000000" w:rsidRPr="00000000">
        <w:rPr>
          <w:b w:val="1"/>
          <w:sz w:val="19"/>
          <w:szCs w:val="19"/>
          <w:rtl w:val="0"/>
        </w:rPr>
        <w:t xml:space="preserve">3.2.2 Statistical Methods</w:t>
      </w:r>
    </w:p>
    <w:p w:rsidR="00000000" w:rsidDel="00000000" w:rsidP="00000000" w:rsidRDefault="00000000" w:rsidRPr="00000000" w14:paraId="00000130">
      <w:pPr>
        <w:numPr>
          <w:ilvl w:val="0"/>
          <w:numId w:val="11"/>
        </w:numPr>
        <w:spacing w:after="0" w:afterAutospacing="0" w:before="240" w:line="362" w:lineRule="auto"/>
        <w:ind w:left="720" w:hanging="360"/>
        <w:rPr>
          <w:sz w:val="19"/>
          <w:szCs w:val="19"/>
        </w:rPr>
      </w:pPr>
      <w:r w:rsidDel="00000000" w:rsidR="00000000" w:rsidRPr="00000000">
        <w:rPr>
          <w:b w:val="1"/>
          <w:sz w:val="19"/>
          <w:szCs w:val="19"/>
          <w:rtl w:val="0"/>
        </w:rPr>
        <w:t xml:space="preserve">Time Series Analysis</w:t>
      </w:r>
      <w:r w:rsidDel="00000000" w:rsidR="00000000" w:rsidRPr="00000000">
        <w:rPr>
          <w:sz w:val="19"/>
          <w:szCs w:val="19"/>
          <w:rtl w:val="0"/>
        </w:rPr>
        <w:t xml:space="preserve">: Analyzes historical data to identify trends and seasonal patterns that can inform future predictions.</w:t>
      </w:r>
    </w:p>
    <w:p w:rsidR="00000000" w:rsidDel="00000000" w:rsidP="00000000" w:rsidRDefault="00000000" w:rsidRPr="00000000" w14:paraId="00000131">
      <w:pPr>
        <w:numPr>
          <w:ilvl w:val="0"/>
          <w:numId w:val="11"/>
        </w:numPr>
        <w:spacing w:after="240" w:before="0" w:beforeAutospacing="0" w:line="362" w:lineRule="auto"/>
        <w:ind w:left="720" w:hanging="360"/>
        <w:rPr>
          <w:sz w:val="19"/>
          <w:szCs w:val="19"/>
        </w:rPr>
      </w:pPr>
      <w:r w:rsidDel="00000000" w:rsidR="00000000" w:rsidRPr="00000000">
        <w:rPr>
          <w:b w:val="1"/>
          <w:sz w:val="19"/>
          <w:szCs w:val="19"/>
          <w:rtl w:val="0"/>
        </w:rPr>
        <w:t xml:space="preserve">Regression Models</w:t>
      </w:r>
      <w:r w:rsidDel="00000000" w:rsidR="00000000" w:rsidRPr="00000000">
        <w:rPr>
          <w:sz w:val="19"/>
          <w:szCs w:val="19"/>
          <w:rtl w:val="0"/>
        </w:rPr>
        <w:t xml:space="preserve">: Use statistical techniques to model the relationship between different variables and predict future vulnerability trends.</w:t>
      </w:r>
    </w:p>
    <w:p w:rsidR="00000000" w:rsidDel="00000000" w:rsidP="00000000" w:rsidRDefault="00000000" w:rsidRPr="00000000" w14:paraId="00000132">
      <w:pPr>
        <w:pStyle w:val="Heading4"/>
        <w:keepNext w:val="0"/>
        <w:spacing w:after="40" w:line="362" w:lineRule="auto"/>
        <w:ind w:right="437"/>
        <w:jc w:val="both"/>
        <w:rPr>
          <w:rFonts w:ascii="Times New Roman" w:cs="Times New Roman" w:eastAsia="Times New Roman" w:hAnsi="Times New Roman"/>
          <w:sz w:val="22"/>
          <w:szCs w:val="22"/>
        </w:rPr>
      </w:pPr>
      <w:bookmarkStart w:colFirst="0" w:colLast="0" w:name="_heading=h.rbu94t346xvr" w:id="9"/>
      <w:bookmarkEnd w:id="9"/>
      <w:r w:rsidDel="00000000" w:rsidR="00000000" w:rsidRPr="00000000">
        <w:rPr>
          <w:rFonts w:ascii="Times New Roman" w:cs="Times New Roman" w:eastAsia="Times New Roman" w:hAnsi="Times New Roman"/>
          <w:sz w:val="22"/>
          <w:szCs w:val="22"/>
          <w:rtl w:val="0"/>
        </w:rPr>
        <w:t xml:space="preserve">3.3 Evaluation of Prediction Models</w:t>
      </w:r>
    </w:p>
    <w:p w:rsidR="00000000" w:rsidDel="00000000" w:rsidP="00000000" w:rsidRDefault="00000000" w:rsidRPr="00000000" w14:paraId="00000133">
      <w:pPr>
        <w:spacing w:after="240" w:before="240" w:line="362" w:lineRule="auto"/>
        <w:jc w:val="both"/>
        <w:rPr>
          <w:b w:val="1"/>
        </w:rPr>
      </w:pPr>
      <w:r w:rsidDel="00000000" w:rsidR="00000000" w:rsidRPr="00000000">
        <w:rPr>
          <w:b w:val="1"/>
          <w:rtl w:val="0"/>
        </w:rPr>
        <w:t xml:space="preserve">3.3.1 Metrics for Evaluation</w:t>
      </w:r>
    </w:p>
    <w:p w:rsidR="00000000" w:rsidDel="00000000" w:rsidP="00000000" w:rsidRDefault="00000000" w:rsidRPr="00000000" w14:paraId="00000134">
      <w:pPr>
        <w:numPr>
          <w:ilvl w:val="0"/>
          <w:numId w:val="9"/>
        </w:numPr>
        <w:spacing w:after="0" w:afterAutospacing="0" w:before="240" w:line="362" w:lineRule="auto"/>
        <w:ind w:left="720" w:hanging="360"/>
        <w:rPr>
          <w:sz w:val="19"/>
          <w:szCs w:val="19"/>
        </w:rPr>
      </w:pPr>
      <w:r w:rsidDel="00000000" w:rsidR="00000000" w:rsidRPr="00000000">
        <w:rPr>
          <w:b w:val="1"/>
          <w:rtl w:val="0"/>
        </w:rPr>
        <w:t xml:space="preserve">Accuracy</w:t>
      </w:r>
      <w:r w:rsidDel="00000000" w:rsidR="00000000" w:rsidRPr="00000000">
        <w:rPr>
          <w:sz w:val="19"/>
          <w:szCs w:val="19"/>
          <w:rtl w:val="0"/>
        </w:rPr>
        <w:t xml:space="preserve">: Measures the overall correctness of the prediction model.</w:t>
      </w:r>
    </w:p>
    <w:p w:rsidR="00000000" w:rsidDel="00000000" w:rsidP="00000000" w:rsidRDefault="00000000" w:rsidRPr="00000000" w14:paraId="00000135">
      <w:pPr>
        <w:numPr>
          <w:ilvl w:val="0"/>
          <w:numId w:val="9"/>
        </w:numPr>
        <w:spacing w:after="240" w:before="0" w:beforeAutospacing="0" w:line="362" w:lineRule="auto"/>
        <w:ind w:left="720" w:hanging="360"/>
        <w:rPr>
          <w:sz w:val="19"/>
          <w:szCs w:val="19"/>
        </w:rPr>
      </w:pPr>
      <w:r w:rsidDel="00000000" w:rsidR="00000000" w:rsidRPr="00000000">
        <w:rPr>
          <w:b w:val="1"/>
          <w:sz w:val="19"/>
          <w:szCs w:val="19"/>
          <w:rtl w:val="0"/>
        </w:rPr>
        <w:t xml:space="preserve">Precision and Recall</w:t>
      </w:r>
      <w:r w:rsidDel="00000000" w:rsidR="00000000" w:rsidRPr="00000000">
        <w:rPr>
          <w:sz w:val="19"/>
          <w:szCs w:val="19"/>
          <w:rtl w:val="0"/>
        </w:rPr>
        <w:t xml:space="preserve">: Precision indicates the proportion of true positive predictions out of all positive predictions, while recall measures the proportion of true positives out of all actual positives.</w:t>
      </w:r>
    </w:p>
    <w:p w:rsidR="00000000" w:rsidDel="00000000" w:rsidP="00000000" w:rsidRDefault="00000000" w:rsidRPr="00000000" w14:paraId="00000136">
      <w:pPr>
        <w:spacing w:after="240" w:before="240" w:line="362" w:lineRule="auto"/>
        <w:jc w:val="both"/>
        <w:rPr>
          <w:b w:val="1"/>
          <w:sz w:val="19"/>
          <w:szCs w:val="19"/>
        </w:rPr>
      </w:pPr>
      <w:r w:rsidDel="00000000" w:rsidR="00000000" w:rsidRPr="00000000">
        <w:rPr>
          <w:b w:val="1"/>
          <w:sz w:val="19"/>
          <w:szCs w:val="19"/>
          <w:rtl w:val="0"/>
        </w:rPr>
        <w:t xml:space="preserve">3.3.2 Model Validation</w:t>
      </w:r>
    </w:p>
    <w:p w:rsidR="00000000" w:rsidDel="00000000" w:rsidP="00000000" w:rsidRDefault="00000000" w:rsidRPr="00000000" w14:paraId="00000137">
      <w:pPr>
        <w:numPr>
          <w:ilvl w:val="0"/>
          <w:numId w:val="6"/>
        </w:numPr>
        <w:spacing w:after="0" w:afterAutospacing="0" w:before="240" w:line="362" w:lineRule="auto"/>
        <w:ind w:left="720" w:hanging="360"/>
        <w:rPr>
          <w:sz w:val="19"/>
          <w:szCs w:val="19"/>
        </w:rPr>
      </w:pPr>
      <w:r w:rsidDel="00000000" w:rsidR="00000000" w:rsidRPr="00000000">
        <w:rPr>
          <w:b w:val="1"/>
          <w:sz w:val="19"/>
          <w:szCs w:val="19"/>
          <w:rtl w:val="0"/>
        </w:rPr>
        <w:t xml:space="preserve">Cross-Validation Techniques</w:t>
      </w:r>
      <w:r w:rsidDel="00000000" w:rsidR="00000000" w:rsidRPr="00000000">
        <w:rPr>
          <w:sz w:val="19"/>
          <w:szCs w:val="19"/>
          <w:rtl w:val="0"/>
        </w:rPr>
        <w:t xml:space="preserve">: Involves splitting data into subsets to validate the model’s performance on different data segments.</w:t>
      </w:r>
    </w:p>
    <w:p w:rsidR="00000000" w:rsidDel="00000000" w:rsidP="00000000" w:rsidRDefault="00000000" w:rsidRPr="00000000" w14:paraId="00000138">
      <w:pPr>
        <w:numPr>
          <w:ilvl w:val="0"/>
          <w:numId w:val="6"/>
        </w:numPr>
        <w:spacing w:after="240" w:before="0" w:beforeAutospacing="0" w:line="362" w:lineRule="auto"/>
        <w:ind w:left="720" w:hanging="360"/>
        <w:rPr>
          <w:sz w:val="19"/>
          <w:szCs w:val="19"/>
        </w:rPr>
      </w:pPr>
      <w:r w:rsidDel="00000000" w:rsidR="00000000" w:rsidRPr="00000000">
        <w:rPr>
          <w:b w:val="1"/>
          <w:sz w:val="19"/>
          <w:szCs w:val="19"/>
          <w:rtl w:val="0"/>
        </w:rPr>
        <w:t xml:space="preserve">Performance Benchmarking</w:t>
      </w:r>
      <w:r w:rsidDel="00000000" w:rsidR="00000000" w:rsidRPr="00000000">
        <w:rPr>
          <w:sz w:val="19"/>
          <w:szCs w:val="19"/>
          <w:rtl w:val="0"/>
        </w:rPr>
        <w:t xml:space="preserve">: Compares the prediction model against established standards or other models to assess its effectiveness.</w:t>
      </w:r>
    </w:p>
    <w:p w:rsidR="00000000" w:rsidDel="00000000" w:rsidP="00000000" w:rsidRDefault="00000000" w:rsidRPr="00000000" w14:paraId="00000139">
      <w:pPr>
        <w:pStyle w:val="Heading3"/>
        <w:spacing w:after="80" w:before="280" w:line="362" w:lineRule="auto"/>
        <w:ind w:left="0" w:right="437" w:firstLine="0"/>
        <w:rPr>
          <w:sz w:val="26"/>
          <w:szCs w:val="26"/>
          <w:u w:val="single"/>
        </w:rPr>
      </w:pPr>
      <w:bookmarkStart w:colFirst="0" w:colLast="0" w:name="_heading=h.1915azdsbp60" w:id="10"/>
      <w:bookmarkEnd w:id="10"/>
      <w:r w:rsidDel="00000000" w:rsidR="00000000" w:rsidRPr="00000000">
        <w:rPr>
          <w:sz w:val="26"/>
          <w:szCs w:val="26"/>
          <w:u w:val="single"/>
          <w:rtl w:val="0"/>
        </w:rPr>
        <w:t xml:space="preserve">4. Summary</w:t>
      </w:r>
    </w:p>
    <w:p w:rsidR="00000000" w:rsidDel="00000000" w:rsidP="00000000" w:rsidRDefault="00000000" w:rsidRPr="00000000" w14:paraId="0000013A">
      <w:pPr>
        <w:pStyle w:val="Heading4"/>
        <w:keepNext w:val="0"/>
        <w:spacing w:after="40" w:line="362" w:lineRule="auto"/>
        <w:ind w:right="437"/>
        <w:jc w:val="both"/>
        <w:rPr>
          <w:rFonts w:ascii="Times New Roman" w:cs="Times New Roman" w:eastAsia="Times New Roman" w:hAnsi="Times New Roman"/>
          <w:sz w:val="22"/>
          <w:szCs w:val="22"/>
        </w:rPr>
      </w:pPr>
      <w:bookmarkStart w:colFirst="0" w:colLast="0" w:name="_heading=h.rb38643nfvy2" w:id="11"/>
      <w:bookmarkEnd w:id="11"/>
      <w:r w:rsidDel="00000000" w:rsidR="00000000" w:rsidRPr="00000000">
        <w:rPr>
          <w:rFonts w:ascii="Times New Roman" w:cs="Times New Roman" w:eastAsia="Times New Roman" w:hAnsi="Times New Roman"/>
          <w:sz w:val="22"/>
          <w:szCs w:val="22"/>
          <w:rtl w:val="0"/>
        </w:rPr>
        <w:t xml:space="preserve">4.1 Key Findings</w:t>
      </w:r>
    </w:p>
    <w:p w:rsidR="00000000" w:rsidDel="00000000" w:rsidP="00000000" w:rsidRDefault="00000000" w:rsidRPr="00000000" w14:paraId="0000013B">
      <w:pPr>
        <w:spacing w:after="240" w:before="240" w:line="362" w:lineRule="auto"/>
        <w:jc w:val="both"/>
        <w:rPr>
          <w:sz w:val="19"/>
          <w:szCs w:val="19"/>
        </w:rPr>
      </w:pPr>
      <w:r w:rsidDel="00000000" w:rsidR="00000000" w:rsidRPr="00000000">
        <w:rPr>
          <w:sz w:val="19"/>
          <w:szCs w:val="19"/>
          <w:rtl w:val="0"/>
        </w:rPr>
        <w:t xml:space="preserve">This chapter has explored the theory and concepts of temporal analysis and prediction in cybersecurity, focusing on the CWE and CVSS scoring systems. Understanding these frameworks is essential for accurately assessing and predicting vulnerabilities.</w:t>
      </w:r>
    </w:p>
    <w:p w:rsidR="00000000" w:rsidDel="00000000" w:rsidP="00000000" w:rsidRDefault="00000000" w:rsidRPr="00000000" w14:paraId="0000013C">
      <w:pPr>
        <w:pStyle w:val="Heading4"/>
        <w:keepNext w:val="0"/>
        <w:spacing w:after="40" w:line="362" w:lineRule="auto"/>
        <w:ind w:right="437"/>
        <w:jc w:val="both"/>
        <w:rPr>
          <w:rFonts w:ascii="Times New Roman" w:cs="Times New Roman" w:eastAsia="Times New Roman" w:hAnsi="Times New Roman"/>
          <w:sz w:val="22"/>
          <w:szCs w:val="22"/>
        </w:rPr>
      </w:pPr>
      <w:bookmarkStart w:colFirst="0" w:colLast="0" w:name="_heading=h.762frzlfljzl" w:id="12"/>
      <w:bookmarkEnd w:id="12"/>
      <w:r w:rsidDel="00000000" w:rsidR="00000000" w:rsidRPr="00000000">
        <w:rPr>
          <w:rFonts w:ascii="Times New Roman" w:cs="Times New Roman" w:eastAsia="Times New Roman" w:hAnsi="Times New Roman"/>
          <w:sz w:val="22"/>
          <w:szCs w:val="22"/>
          <w:rtl w:val="0"/>
        </w:rPr>
        <w:t xml:space="preserve">4.2 Implications for Future Research</w:t>
      </w:r>
    </w:p>
    <w:p w:rsidR="00000000" w:rsidDel="00000000" w:rsidP="00000000" w:rsidRDefault="00000000" w:rsidRPr="00000000" w14:paraId="0000013D">
      <w:pPr>
        <w:spacing w:after="240" w:before="240" w:line="362" w:lineRule="auto"/>
        <w:jc w:val="both"/>
        <w:rPr>
          <w:sz w:val="19"/>
          <w:szCs w:val="19"/>
        </w:rPr>
      </w:pPr>
      <w:r w:rsidDel="00000000" w:rsidR="00000000" w:rsidRPr="00000000">
        <w:rPr>
          <w:sz w:val="19"/>
          <w:szCs w:val="19"/>
          <w:rtl w:val="0"/>
        </w:rPr>
        <w:t xml:space="preserve">Future research should focus on improving data collection methods, refining predictive models, and enhancing the accuracy of vulnerability predictions. Addressing these areas will contribute to more effective cybersecurity strategies and risk management practices.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b w:val="1"/>
          <w:sz w:val="19"/>
          <w:szCs w:val="19"/>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left"/>
        <w:rPr>
          <w:sz w:val="19"/>
          <w:szCs w:val="19"/>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left"/>
        <w:rPr>
          <w:b w:val="1"/>
          <w:sz w:val="23"/>
          <w:szCs w:val="23"/>
          <w:u w:val="single"/>
        </w:rPr>
      </w:pPr>
      <w:r w:rsidDel="00000000" w:rsidR="00000000" w:rsidRPr="00000000">
        <w:rPr>
          <w:rFonts w:ascii="Times New Roman" w:cs="Times New Roman" w:eastAsia="Times New Roman" w:hAnsi="Times New Roman"/>
          <w:b w:val="1"/>
          <w:i w:val="0"/>
          <w:smallCaps w:val="0"/>
          <w:strike w:val="0"/>
          <w:color w:val="000000"/>
          <w:sz w:val="23"/>
          <w:szCs w:val="23"/>
          <w:u w:val="single"/>
          <w:shd w:fill="auto" w:val="clear"/>
          <w:vertAlign w:val="baseline"/>
          <w:rtl w:val="0"/>
        </w:rPr>
        <w:t xml:space="preserve">CHAPTER 4: IMPLEMENTATION OF </w:t>
      </w:r>
      <w:r w:rsidDel="00000000" w:rsidR="00000000" w:rsidRPr="00000000">
        <w:rPr>
          <w:b w:val="1"/>
          <w:sz w:val="23"/>
          <w:szCs w:val="23"/>
          <w:u w:val="single"/>
          <w:rtl w:val="0"/>
        </w:rPr>
        <w:t xml:space="preserve">TEMPORAL ANALYSIS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left"/>
        <w:rPr>
          <w:b w:val="1"/>
          <w:sz w:val="19"/>
          <w:szCs w:val="19"/>
          <w:u w:val="single"/>
        </w:rPr>
      </w:pPr>
      <w:r w:rsidDel="00000000" w:rsidR="00000000" w:rsidRPr="00000000">
        <w:rPr>
          <w:rtl w:val="0"/>
        </w:rPr>
      </w:r>
    </w:p>
    <w:p w:rsidR="00000000" w:rsidDel="00000000" w:rsidP="00000000" w:rsidRDefault="00000000" w:rsidRPr="00000000" w14:paraId="00000145">
      <w:pPr>
        <w:spacing w:before="2" w:line="362" w:lineRule="auto"/>
        <w:ind w:right="437"/>
        <w:jc w:val="both"/>
        <w:rPr>
          <w:b w:val="1"/>
          <w:sz w:val="19"/>
          <w:szCs w:val="19"/>
          <w:u w:val="single"/>
        </w:rPr>
      </w:pPr>
      <w:r w:rsidDel="00000000" w:rsidR="00000000" w:rsidRPr="00000000">
        <w:rPr>
          <w:b w:val="1"/>
          <w:sz w:val="19"/>
          <w:szCs w:val="19"/>
          <w:u w:val="single"/>
          <w:rtl w:val="0"/>
        </w:rPr>
        <w:t xml:space="preserve">4.2 Algorithm and methodology </w:t>
      </w:r>
    </w:p>
    <w:p w:rsidR="00000000" w:rsidDel="00000000" w:rsidP="00000000" w:rsidRDefault="00000000" w:rsidRPr="00000000" w14:paraId="00000146">
      <w:pPr>
        <w:spacing w:before="2" w:line="362" w:lineRule="auto"/>
        <w:ind w:right="437"/>
        <w:jc w:val="both"/>
        <w:rPr>
          <w:b w:val="1"/>
          <w:sz w:val="19"/>
          <w:szCs w:val="19"/>
        </w:rPr>
      </w:pPr>
      <w:r w:rsidDel="00000000" w:rsidR="00000000" w:rsidRPr="00000000">
        <w:rPr>
          <w:b w:val="1"/>
          <w:sz w:val="19"/>
          <w:szCs w:val="19"/>
          <w:rtl w:val="0"/>
        </w:rPr>
        <w:t xml:space="preserve">Step 1: Data Collection</w:t>
      </w:r>
    </w:p>
    <w:p w:rsidR="00000000" w:rsidDel="00000000" w:rsidP="00000000" w:rsidRDefault="00000000" w:rsidRPr="00000000" w14:paraId="00000147">
      <w:pPr>
        <w:numPr>
          <w:ilvl w:val="0"/>
          <w:numId w:val="5"/>
        </w:numPr>
        <w:spacing w:after="0" w:afterAutospacing="0" w:before="240" w:lineRule="auto"/>
        <w:ind w:left="720" w:hanging="360"/>
        <w:rPr>
          <w:sz w:val="19"/>
          <w:szCs w:val="19"/>
        </w:rPr>
      </w:pPr>
      <w:r w:rsidDel="00000000" w:rsidR="00000000" w:rsidRPr="00000000">
        <w:rPr>
          <w:b w:val="1"/>
          <w:sz w:val="19"/>
          <w:szCs w:val="19"/>
          <w:rtl w:val="0"/>
        </w:rPr>
        <w:t xml:space="preserve">Objective:</w:t>
      </w:r>
      <w:r w:rsidDel="00000000" w:rsidR="00000000" w:rsidRPr="00000000">
        <w:rPr>
          <w:sz w:val="19"/>
          <w:szCs w:val="19"/>
          <w:rtl w:val="0"/>
        </w:rPr>
        <w:t xml:space="preserve"> Aggregate comprehensive historical data on vulnerabilities, including CVE entries and their associated CWE codes.</w:t>
      </w:r>
    </w:p>
    <w:p w:rsidR="00000000" w:rsidDel="00000000" w:rsidP="00000000" w:rsidRDefault="00000000" w:rsidRPr="00000000" w14:paraId="00000148">
      <w:pPr>
        <w:numPr>
          <w:ilvl w:val="0"/>
          <w:numId w:val="5"/>
        </w:numPr>
        <w:spacing w:after="0" w:afterAutospacing="0" w:before="0" w:beforeAutospacing="0" w:lineRule="auto"/>
        <w:ind w:left="720" w:hanging="360"/>
        <w:rPr>
          <w:sz w:val="19"/>
          <w:szCs w:val="19"/>
        </w:rPr>
      </w:pPr>
      <w:r w:rsidDel="00000000" w:rsidR="00000000" w:rsidRPr="00000000">
        <w:rPr>
          <w:b w:val="1"/>
          <w:sz w:val="19"/>
          <w:szCs w:val="19"/>
          <w:rtl w:val="0"/>
        </w:rPr>
        <w:t xml:space="preserve">Source:</w:t>
      </w:r>
      <w:r w:rsidDel="00000000" w:rsidR="00000000" w:rsidRPr="00000000">
        <w:rPr>
          <w:sz w:val="19"/>
          <w:szCs w:val="19"/>
          <w:rtl w:val="0"/>
        </w:rPr>
        <w:t xml:space="preserve"> Utilize established public databases such as the National Vulnerability Database (NVD) and MITRE's CVE list to ensure the breadth and reliability of the dataset.</w:t>
      </w:r>
    </w:p>
    <w:p w:rsidR="00000000" w:rsidDel="00000000" w:rsidP="00000000" w:rsidRDefault="00000000" w:rsidRPr="00000000" w14:paraId="00000149">
      <w:pPr>
        <w:numPr>
          <w:ilvl w:val="0"/>
          <w:numId w:val="5"/>
        </w:numPr>
        <w:spacing w:after="0" w:afterAutospacing="0" w:before="0" w:beforeAutospacing="0" w:lineRule="auto"/>
        <w:ind w:left="720" w:hanging="360"/>
        <w:rPr>
          <w:sz w:val="19"/>
          <w:szCs w:val="19"/>
        </w:rPr>
      </w:pPr>
      <w:r w:rsidDel="00000000" w:rsidR="00000000" w:rsidRPr="00000000">
        <w:rPr>
          <w:b w:val="1"/>
          <w:sz w:val="19"/>
          <w:szCs w:val="19"/>
          <w:rtl w:val="0"/>
        </w:rPr>
        <w:t xml:space="preserve">Tools:</w:t>
      </w:r>
      <w:r w:rsidDel="00000000" w:rsidR="00000000" w:rsidRPr="00000000">
        <w:rPr>
          <w:sz w:val="19"/>
          <w:szCs w:val="19"/>
          <w:rtl w:val="0"/>
        </w:rPr>
        <w:t xml:space="preserve"> Employ </w:t>
      </w:r>
      <w:r w:rsidDel="00000000" w:rsidR="00000000" w:rsidRPr="00000000">
        <w:rPr>
          <w:b w:val="1"/>
          <w:sz w:val="19"/>
          <w:szCs w:val="19"/>
          <w:rtl w:val="0"/>
        </w:rPr>
        <w:t xml:space="preserve">Pandas</w:t>
      </w:r>
      <w:r w:rsidDel="00000000" w:rsidR="00000000" w:rsidRPr="00000000">
        <w:rPr>
          <w:sz w:val="19"/>
          <w:szCs w:val="19"/>
          <w:rtl w:val="0"/>
        </w:rPr>
        <w:t xml:space="preserve"> for data extraction, storage, and preliminary processing tasks, ensuring the data is in a structured format for subsequent steps.</w:t>
      </w:r>
    </w:p>
    <w:p w:rsidR="00000000" w:rsidDel="00000000" w:rsidP="00000000" w:rsidRDefault="00000000" w:rsidRPr="00000000" w14:paraId="0000014A">
      <w:pPr>
        <w:numPr>
          <w:ilvl w:val="0"/>
          <w:numId w:val="5"/>
        </w:numPr>
        <w:spacing w:after="0" w:afterAutospacing="0" w:before="0" w:beforeAutospacing="0" w:lineRule="auto"/>
        <w:ind w:left="720" w:hanging="360"/>
        <w:rPr>
          <w:sz w:val="19"/>
          <w:szCs w:val="19"/>
        </w:rPr>
      </w:pPr>
      <w:r w:rsidDel="00000000" w:rsidR="00000000" w:rsidRPr="00000000">
        <w:rPr>
          <w:b w:val="1"/>
          <w:sz w:val="19"/>
          <w:szCs w:val="19"/>
          <w:rtl w:val="0"/>
        </w:rPr>
        <w:t xml:space="preserve">Procedure:</w:t>
      </w:r>
    </w:p>
    <w:p w:rsidR="00000000" w:rsidDel="00000000" w:rsidP="00000000" w:rsidRDefault="00000000" w:rsidRPr="00000000" w14:paraId="0000014B">
      <w:pPr>
        <w:numPr>
          <w:ilvl w:val="1"/>
          <w:numId w:val="5"/>
        </w:numPr>
        <w:spacing w:after="0" w:afterAutospacing="0" w:before="0" w:beforeAutospacing="0" w:lineRule="auto"/>
        <w:ind w:left="1440" w:hanging="360"/>
        <w:rPr>
          <w:sz w:val="19"/>
          <w:szCs w:val="19"/>
        </w:rPr>
      </w:pPr>
      <w:r w:rsidDel="00000000" w:rsidR="00000000" w:rsidRPr="00000000">
        <w:rPr>
          <w:sz w:val="19"/>
          <w:szCs w:val="19"/>
          <w:rtl w:val="0"/>
        </w:rPr>
        <w:t xml:space="preserve">Connect to the API or download CSV/XML files from NVD or MITRE.</w:t>
      </w:r>
    </w:p>
    <w:p w:rsidR="00000000" w:rsidDel="00000000" w:rsidP="00000000" w:rsidRDefault="00000000" w:rsidRPr="00000000" w14:paraId="0000014C">
      <w:pPr>
        <w:numPr>
          <w:ilvl w:val="1"/>
          <w:numId w:val="5"/>
        </w:numPr>
        <w:spacing w:after="0" w:afterAutospacing="0" w:before="0" w:beforeAutospacing="0" w:lineRule="auto"/>
        <w:ind w:left="1440" w:hanging="360"/>
        <w:rPr>
          <w:sz w:val="19"/>
          <w:szCs w:val="19"/>
        </w:rPr>
      </w:pPr>
      <w:r w:rsidDel="00000000" w:rsidR="00000000" w:rsidRPr="00000000">
        <w:rPr>
          <w:sz w:val="19"/>
          <w:szCs w:val="19"/>
          <w:rtl w:val="0"/>
        </w:rPr>
        <w:t xml:space="preserve">Extract relevant fields such as CVE ID, CWE ID, description, and publication date.</w:t>
      </w:r>
    </w:p>
    <w:p w:rsidR="00000000" w:rsidDel="00000000" w:rsidP="00000000" w:rsidRDefault="00000000" w:rsidRPr="00000000" w14:paraId="0000014D">
      <w:pPr>
        <w:numPr>
          <w:ilvl w:val="1"/>
          <w:numId w:val="5"/>
        </w:numPr>
        <w:spacing w:after="240" w:before="0" w:beforeAutospacing="0" w:lineRule="auto"/>
        <w:ind w:left="1440" w:hanging="360"/>
        <w:rPr>
          <w:sz w:val="19"/>
          <w:szCs w:val="19"/>
        </w:rPr>
      </w:pPr>
      <w:r w:rsidDel="00000000" w:rsidR="00000000" w:rsidRPr="00000000">
        <w:rPr>
          <w:sz w:val="19"/>
          <w:szCs w:val="19"/>
          <w:rtl w:val="0"/>
        </w:rPr>
        <w:t xml:space="preserve">Store the data in a structured format, such as a DataFrame, for further processing.</w:t>
      </w:r>
    </w:p>
    <w:p w:rsidR="00000000" w:rsidDel="00000000" w:rsidP="00000000" w:rsidRDefault="00000000" w:rsidRPr="00000000" w14:paraId="0000014E">
      <w:pPr>
        <w:spacing w:after="240" w:before="240" w:lineRule="auto"/>
        <w:rPr>
          <w:b w:val="1"/>
          <w:sz w:val="19"/>
          <w:szCs w:val="19"/>
        </w:rPr>
      </w:pPr>
      <w:r w:rsidDel="00000000" w:rsidR="00000000" w:rsidRPr="00000000">
        <w:rPr>
          <w:b w:val="1"/>
          <w:sz w:val="19"/>
          <w:szCs w:val="19"/>
          <w:rtl w:val="0"/>
        </w:rPr>
        <w:t xml:space="preserve">Step 2: Data Preprocessing</w:t>
      </w:r>
    </w:p>
    <w:p w:rsidR="00000000" w:rsidDel="00000000" w:rsidP="00000000" w:rsidRDefault="00000000" w:rsidRPr="00000000" w14:paraId="0000014F">
      <w:pPr>
        <w:numPr>
          <w:ilvl w:val="0"/>
          <w:numId w:val="12"/>
        </w:numPr>
        <w:spacing w:after="0" w:afterAutospacing="0" w:before="240" w:lineRule="auto"/>
        <w:ind w:left="720" w:hanging="360"/>
        <w:rPr>
          <w:sz w:val="19"/>
          <w:szCs w:val="19"/>
        </w:rPr>
      </w:pPr>
      <w:r w:rsidDel="00000000" w:rsidR="00000000" w:rsidRPr="00000000">
        <w:rPr>
          <w:b w:val="1"/>
          <w:sz w:val="19"/>
          <w:szCs w:val="19"/>
          <w:rtl w:val="0"/>
        </w:rPr>
        <w:t xml:space="preserve">Objective:</w:t>
      </w:r>
      <w:r w:rsidDel="00000000" w:rsidR="00000000" w:rsidRPr="00000000">
        <w:rPr>
          <w:sz w:val="19"/>
          <w:szCs w:val="19"/>
          <w:rtl w:val="0"/>
        </w:rPr>
        <w:t xml:space="preserve"> Prepare the raw data for analysis by cleaning and standardizing it, ensuring consistency and completeness.</w:t>
      </w:r>
    </w:p>
    <w:p w:rsidR="00000000" w:rsidDel="00000000" w:rsidP="00000000" w:rsidRDefault="00000000" w:rsidRPr="00000000" w14:paraId="00000150">
      <w:pPr>
        <w:numPr>
          <w:ilvl w:val="0"/>
          <w:numId w:val="12"/>
        </w:numPr>
        <w:spacing w:after="0" w:afterAutospacing="0" w:before="0" w:beforeAutospacing="0" w:lineRule="auto"/>
        <w:ind w:left="720" w:hanging="360"/>
        <w:rPr>
          <w:sz w:val="19"/>
          <w:szCs w:val="19"/>
        </w:rPr>
      </w:pPr>
      <w:r w:rsidDel="00000000" w:rsidR="00000000" w:rsidRPr="00000000">
        <w:rPr>
          <w:b w:val="1"/>
          <w:sz w:val="19"/>
          <w:szCs w:val="19"/>
          <w:rtl w:val="0"/>
        </w:rPr>
        <w:t xml:space="preserve">Tasks:</w:t>
      </w:r>
    </w:p>
    <w:p w:rsidR="00000000" w:rsidDel="00000000" w:rsidP="00000000" w:rsidRDefault="00000000" w:rsidRPr="00000000" w14:paraId="00000151">
      <w:pPr>
        <w:numPr>
          <w:ilvl w:val="1"/>
          <w:numId w:val="12"/>
        </w:numPr>
        <w:spacing w:after="0" w:afterAutospacing="0" w:before="0" w:beforeAutospacing="0" w:lineRule="auto"/>
        <w:ind w:left="1440" w:hanging="360"/>
        <w:rPr>
          <w:sz w:val="19"/>
          <w:szCs w:val="19"/>
        </w:rPr>
      </w:pPr>
      <w:r w:rsidDel="00000000" w:rsidR="00000000" w:rsidRPr="00000000">
        <w:rPr>
          <w:b w:val="1"/>
          <w:sz w:val="19"/>
          <w:szCs w:val="19"/>
          <w:rtl w:val="0"/>
        </w:rPr>
        <w:t xml:space="preserve">Standardize Text Fields:</w:t>
      </w:r>
      <w:r w:rsidDel="00000000" w:rsidR="00000000" w:rsidRPr="00000000">
        <w:rPr>
          <w:sz w:val="19"/>
          <w:szCs w:val="19"/>
          <w:rtl w:val="0"/>
        </w:rPr>
        <w:t xml:space="preserve"> Normalize text data by converting to lowercase, removing special characters, and handling synonyms or variations in terminology.</w:t>
      </w:r>
    </w:p>
    <w:p w:rsidR="00000000" w:rsidDel="00000000" w:rsidP="00000000" w:rsidRDefault="00000000" w:rsidRPr="00000000" w14:paraId="00000152">
      <w:pPr>
        <w:numPr>
          <w:ilvl w:val="1"/>
          <w:numId w:val="12"/>
        </w:numPr>
        <w:spacing w:after="0" w:afterAutospacing="0" w:before="0" w:beforeAutospacing="0" w:lineRule="auto"/>
        <w:ind w:left="1440" w:hanging="360"/>
        <w:rPr>
          <w:sz w:val="19"/>
          <w:szCs w:val="19"/>
        </w:rPr>
      </w:pPr>
      <w:r w:rsidDel="00000000" w:rsidR="00000000" w:rsidRPr="00000000">
        <w:rPr>
          <w:b w:val="1"/>
          <w:sz w:val="19"/>
          <w:szCs w:val="19"/>
          <w:rtl w:val="0"/>
        </w:rPr>
        <w:t xml:space="preserve">Handle Missing Values:</w:t>
      </w:r>
      <w:r w:rsidDel="00000000" w:rsidR="00000000" w:rsidRPr="00000000">
        <w:rPr>
          <w:sz w:val="19"/>
          <w:szCs w:val="19"/>
          <w:rtl w:val="0"/>
        </w:rPr>
        <w:t xml:space="preserve"> Identify and address any gaps in the data, either by imputing missing values or removing incomplete records based on predefined criteria.</w:t>
      </w:r>
    </w:p>
    <w:p w:rsidR="00000000" w:rsidDel="00000000" w:rsidP="00000000" w:rsidRDefault="00000000" w:rsidRPr="00000000" w14:paraId="00000153">
      <w:pPr>
        <w:numPr>
          <w:ilvl w:val="1"/>
          <w:numId w:val="12"/>
        </w:numPr>
        <w:spacing w:after="0" w:afterAutospacing="0" w:before="0" w:beforeAutospacing="0" w:lineRule="auto"/>
        <w:ind w:left="1440" w:hanging="360"/>
        <w:rPr>
          <w:sz w:val="19"/>
          <w:szCs w:val="19"/>
        </w:rPr>
      </w:pPr>
      <w:r w:rsidDel="00000000" w:rsidR="00000000" w:rsidRPr="00000000">
        <w:rPr>
          <w:b w:val="1"/>
          <w:sz w:val="19"/>
          <w:szCs w:val="19"/>
          <w:rtl w:val="0"/>
        </w:rPr>
        <w:t xml:space="preserve">Temporal Conversion:</w:t>
      </w:r>
      <w:r w:rsidDel="00000000" w:rsidR="00000000" w:rsidRPr="00000000">
        <w:rPr>
          <w:sz w:val="19"/>
          <w:szCs w:val="19"/>
          <w:rtl w:val="0"/>
        </w:rPr>
        <w:t xml:space="preserve"> Convert date fields to a standard datetime format to enable temporal analysis, such as tracking trends over specific periods.</w:t>
      </w:r>
    </w:p>
    <w:p w:rsidR="00000000" w:rsidDel="00000000" w:rsidP="00000000" w:rsidRDefault="00000000" w:rsidRPr="00000000" w14:paraId="00000154">
      <w:pPr>
        <w:numPr>
          <w:ilvl w:val="1"/>
          <w:numId w:val="12"/>
        </w:numPr>
        <w:spacing w:after="0" w:afterAutospacing="0" w:before="0" w:beforeAutospacing="0" w:lineRule="auto"/>
        <w:ind w:left="1440" w:hanging="360"/>
        <w:rPr>
          <w:sz w:val="19"/>
          <w:szCs w:val="19"/>
        </w:rPr>
      </w:pPr>
      <w:r w:rsidDel="00000000" w:rsidR="00000000" w:rsidRPr="00000000">
        <w:rPr>
          <w:b w:val="1"/>
          <w:sz w:val="19"/>
          <w:szCs w:val="19"/>
          <w:rtl w:val="0"/>
        </w:rPr>
        <w:t xml:space="preserve">Tools:</w:t>
      </w:r>
      <w:r w:rsidDel="00000000" w:rsidR="00000000" w:rsidRPr="00000000">
        <w:rPr>
          <w:sz w:val="19"/>
          <w:szCs w:val="19"/>
          <w:rtl w:val="0"/>
        </w:rPr>
        <w:t xml:space="preserve"> Utilize </w:t>
      </w:r>
      <w:r w:rsidDel="00000000" w:rsidR="00000000" w:rsidRPr="00000000">
        <w:rPr>
          <w:b w:val="1"/>
          <w:sz w:val="19"/>
          <w:szCs w:val="19"/>
          <w:rtl w:val="0"/>
        </w:rPr>
        <w:t xml:space="preserve">Pandas</w:t>
      </w:r>
      <w:r w:rsidDel="00000000" w:rsidR="00000000" w:rsidRPr="00000000">
        <w:rPr>
          <w:sz w:val="19"/>
          <w:szCs w:val="19"/>
          <w:rtl w:val="0"/>
        </w:rPr>
        <w:t xml:space="preserve"> for data manipulation and </w:t>
      </w:r>
      <w:r w:rsidDel="00000000" w:rsidR="00000000" w:rsidRPr="00000000">
        <w:rPr>
          <w:b w:val="1"/>
          <w:sz w:val="19"/>
          <w:szCs w:val="19"/>
          <w:rtl w:val="0"/>
        </w:rPr>
        <w:t xml:space="preserve">NumPy</w:t>
      </w:r>
      <w:r w:rsidDel="00000000" w:rsidR="00000000" w:rsidRPr="00000000">
        <w:rPr>
          <w:sz w:val="19"/>
          <w:szCs w:val="19"/>
          <w:rtl w:val="0"/>
        </w:rPr>
        <w:t xml:space="preserve"> for numerical operations, ensuring efficient handling of large datasets.</w:t>
      </w:r>
    </w:p>
    <w:p w:rsidR="00000000" w:rsidDel="00000000" w:rsidP="00000000" w:rsidRDefault="00000000" w:rsidRPr="00000000" w14:paraId="00000155">
      <w:pPr>
        <w:numPr>
          <w:ilvl w:val="0"/>
          <w:numId w:val="12"/>
        </w:numPr>
        <w:spacing w:after="0" w:afterAutospacing="0" w:before="0" w:beforeAutospacing="0" w:lineRule="auto"/>
        <w:ind w:left="720" w:hanging="360"/>
        <w:rPr>
          <w:sz w:val="19"/>
          <w:szCs w:val="19"/>
        </w:rPr>
      </w:pPr>
      <w:r w:rsidDel="00000000" w:rsidR="00000000" w:rsidRPr="00000000">
        <w:rPr>
          <w:b w:val="1"/>
          <w:sz w:val="19"/>
          <w:szCs w:val="19"/>
          <w:rtl w:val="0"/>
        </w:rPr>
        <w:t xml:space="preserve">Procedure:</w:t>
      </w:r>
    </w:p>
    <w:p w:rsidR="00000000" w:rsidDel="00000000" w:rsidP="00000000" w:rsidRDefault="00000000" w:rsidRPr="00000000" w14:paraId="00000156">
      <w:pPr>
        <w:numPr>
          <w:ilvl w:val="1"/>
          <w:numId w:val="12"/>
        </w:numPr>
        <w:spacing w:after="0" w:afterAutospacing="0" w:before="0" w:beforeAutospacing="0" w:lineRule="auto"/>
        <w:ind w:left="1440" w:hanging="360"/>
        <w:rPr>
          <w:sz w:val="19"/>
          <w:szCs w:val="19"/>
        </w:rPr>
      </w:pPr>
      <w:r w:rsidDel="00000000" w:rsidR="00000000" w:rsidRPr="00000000">
        <w:rPr>
          <w:sz w:val="19"/>
          <w:szCs w:val="19"/>
          <w:rtl w:val="0"/>
        </w:rPr>
        <w:t xml:space="preserve">Detect and handle missing values using imputation techniques or by dropping rows/columns.</w:t>
      </w:r>
    </w:p>
    <w:p w:rsidR="00000000" w:rsidDel="00000000" w:rsidP="00000000" w:rsidRDefault="00000000" w:rsidRPr="00000000" w14:paraId="00000157">
      <w:pPr>
        <w:numPr>
          <w:ilvl w:val="1"/>
          <w:numId w:val="12"/>
        </w:numPr>
        <w:spacing w:after="0" w:afterAutospacing="0" w:before="0" w:beforeAutospacing="0" w:lineRule="auto"/>
        <w:ind w:left="1440" w:hanging="360"/>
        <w:rPr>
          <w:sz w:val="19"/>
          <w:szCs w:val="19"/>
        </w:rPr>
      </w:pPr>
      <w:r w:rsidDel="00000000" w:rsidR="00000000" w:rsidRPr="00000000">
        <w:rPr>
          <w:sz w:val="19"/>
          <w:szCs w:val="19"/>
          <w:rtl w:val="0"/>
        </w:rPr>
        <w:t xml:space="preserve">Normalize textual data using techniques like tokenization, stemming, or lemmatization.</w:t>
      </w:r>
    </w:p>
    <w:p w:rsidR="00000000" w:rsidDel="00000000" w:rsidP="00000000" w:rsidRDefault="00000000" w:rsidRPr="00000000" w14:paraId="00000158">
      <w:pPr>
        <w:numPr>
          <w:ilvl w:val="1"/>
          <w:numId w:val="12"/>
        </w:numPr>
        <w:spacing w:after="240" w:before="0" w:beforeAutospacing="0" w:lineRule="auto"/>
        <w:ind w:left="1440" w:hanging="360"/>
        <w:rPr>
          <w:sz w:val="19"/>
          <w:szCs w:val="19"/>
        </w:rPr>
      </w:pPr>
      <w:r w:rsidDel="00000000" w:rsidR="00000000" w:rsidRPr="00000000">
        <w:rPr>
          <w:sz w:val="19"/>
          <w:szCs w:val="19"/>
          <w:rtl w:val="0"/>
        </w:rPr>
        <w:t xml:space="preserve">Convert date strings to datetime objects and generate additional time-based features (e.g., year, month, quarter).</w:t>
      </w:r>
    </w:p>
    <w:p w:rsidR="00000000" w:rsidDel="00000000" w:rsidP="00000000" w:rsidRDefault="00000000" w:rsidRPr="00000000" w14:paraId="00000159">
      <w:pPr>
        <w:spacing w:after="240" w:before="240" w:lineRule="auto"/>
        <w:rPr>
          <w:b w:val="1"/>
          <w:sz w:val="19"/>
          <w:szCs w:val="19"/>
        </w:rPr>
      </w:pPr>
      <w:r w:rsidDel="00000000" w:rsidR="00000000" w:rsidRPr="00000000">
        <w:rPr>
          <w:b w:val="1"/>
          <w:sz w:val="19"/>
          <w:szCs w:val="19"/>
          <w:rtl w:val="0"/>
        </w:rPr>
        <w:t xml:space="preserve">Step 3: Feature Engineering</w:t>
      </w:r>
    </w:p>
    <w:p w:rsidR="00000000" w:rsidDel="00000000" w:rsidP="00000000" w:rsidRDefault="00000000" w:rsidRPr="00000000" w14:paraId="0000015A">
      <w:pPr>
        <w:numPr>
          <w:ilvl w:val="0"/>
          <w:numId w:val="17"/>
        </w:numPr>
        <w:spacing w:after="0" w:afterAutospacing="0" w:before="240" w:lineRule="auto"/>
        <w:ind w:left="720" w:hanging="360"/>
        <w:rPr>
          <w:sz w:val="19"/>
          <w:szCs w:val="19"/>
        </w:rPr>
      </w:pPr>
      <w:r w:rsidDel="00000000" w:rsidR="00000000" w:rsidRPr="00000000">
        <w:rPr>
          <w:b w:val="1"/>
          <w:sz w:val="19"/>
          <w:szCs w:val="19"/>
          <w:rtl w:val="0"/>
        </w:rPr>
        <w:t xml:space="preserve">Objective:</w:t>
      </w:r>
      <w:r w:rsidDel="00000000" w:rsidR="00000000" w:rsidRPr="00000000">
        <w:rPr>
          <w:sz w:val="19"/>
          <w:szCs w:val="19"/>
          <w:rtl w:val="0"/>
        </w:rPr>
        <w:t xml:space="preserve"> Extract and construct meaningful features that will enhance the model's predictive capabilities.</w:t>
      </w:r>
    </w:p>
    <w:p w:rsidR="00000000" w:rsidDel="00000000" w:rsidP="00000000" w:rsidRDefault="00000000" w:rsidRPr="00000000" w14:paraId="0000015B">
      <w:pPr>
        <w:numPr>
          <w:ilvl w:val="0"/>
          <w:numId w:val="17"/>
        </w:numPr>
        <w:spacing w:after="0" w:afterAutospacing="0" w:before="0" w:beforeAutospacing="0" w:lineRule="auto"/>
        <w:ind w:left="720" w:hanging="360"/>
        <w:rPr>
          <w:sz w:val="19"/>
          <w:szCs w:val="19"/>
        </w:rPr>
      </w:pPr>
      <w:r w:rsidDel="00000000" w:rsidR="00000000" w:rsidRPr="00000000">
        <w:rPr>
          <w:b w:val="1"/>
          <w:sz w:val="19"/>
          <w:szCs w:val="19"/>
          <w:rtl w:val="0"/>
        </w:rPr>
        <w:t xml:space="preserve">Tasks:</w:t>
      </w:r>
    </w:p>
    <w:p w:rsidR="00000000" w:rsidDel="00000000" w:rsidP="00000000" w:rsidRDefault="00000000" w:rsidRPr="00000000" w14:paraId="0000015C">
      <w:pPr>
        <w:numPr>
          <w:ilvl w:val="1"/>
          <w:numId w:val="17"/>
        </w:numPr>
        <w:spacing w:after="0" w:afterAutospacing="0" w:before="0" w:beforeAutospacing="0" w:lineRule="auto"/>
        <w:ind w:left="1440" w:hanging="360"/>
        <w:rPr>
          <w:sz w:val="19"/>
          <w:szCs w:val="19"/>
        </w:rPr>
      </w:pPr>
      <w:r w:rsidDel="00000000" w:rsidR="00000000" w:rsidRPr="00000000">
        <w:rPr>
          <w:b w:val="1"/>
          <w:sz w:val="19"/>
          <w:szCs w:val="19"/>
          <w:rtl w:val="0"/>
        </w:rPr>
        <w:t xml:space="preserve">CWE Descriptions:</w:t>
      </w:r>
      <w:r w:rsidDel="00000000" w:rsidR="00000000" w:rsidRPr="00000000">
        <w:rPr>
          <w:sz w:val="19"/>
          <w:szCs w:val="19"/>
          <w:rtl w:val="0"/>
        </w:rPr>
        <w:t xml:space="preserve"> Derive text-based features from CWE descriptions using techniques such as TF-IDF or word embeddings to capture semantic information.</w:t>
      </w:r>
    </w:p>
    <w:p w:rsidR="00000000" w:rsidDel="00000000" w:rsidP="00000000" w:rsidRDefault="00000000" w:rsidRPr="00000000" w14:paraId="0000015D">
      <w:pPr>
        <w:numPr>
          <w:ilvl w:val="1"/>
          <w:numId w:val="17"/>
        </w:numPr>
        <w:spacing w:after="0" w:afterAutospacing="0" w:before="0" w:beforeAutospacing="0" w:lineRule="auto"/>
        <w:ind w:left="1440" w:hanging="360"/>
        <w:rPr>
          <w:sz w:val="19"/>
          <w:szCs w:val="19"/>
        </w:rPr>
      </w:pPr>
      <w:r w:rsidDel="00000000" w:rsidR="00000000" w:rsidRPr="00000000">
        <w:rPr>
          <w:b w:val="1"/>
          <w:sz w:val="19"/>
          <w:szCs w:val="19"/>
          <w:rtl w:val="0"/>
        </w:rPr>
        <w:t xml:space="preserve">Date Features:</w:t>
      </w:r>
      <w:r w:rsidDel="00000000" w:rsidR="00000000" w:rsidRPr="00000000">
        <w:rPr>
          <w:sz w:val="19"/>
          <w:szCs w:val="19"/>
          <w:rtl w:val="0"/>
        </w:rPr>
        <w:t xml:space="preserve"> Generate temporal features such as the time since the last similar vulnerability or the average frequency of CWE codes over a period.</w:t>
      </w:r>
    </w:p>
    <w:p w:rsidR="00000000" w:rsidDel="00000000" w:rsidP="00000000" w:rsidRDefault="00000000" w:rsidRPr="00000000" w14:paraId="0000015E">
      <w:pPr>
        <w:numPr>
          <w:ilvl w:val="1"/>
          <w:numId w:val="17"/>
        </w:numPr>
        <w:spacing w:after="0" w:afterAutospacing="0" w:before="0" w:beforeAutospacing="0" w:lineRule="auto"/>
        <w:ind w:left="1440" w:hanging="360"/>
        <w:rPr>
          <w:sz w:val="19"/>
          <w:szCs w:val="19"/>
        </w:rPr>
      </w:pPr>
      <w:r w:rsidDel="00000000" w:rsidR="00000000" w:rsidRPr="00000000">
        <w:rPr>
          <w:b w:val="1"/>
          <w:sz w:val="19"/>
          <w:szCs w:val="19"/>
          <w:rtl w:val="0"/>
        </w:rPr>
        <w:t xml:space="preserve">CVSS Scores:</w:t>
      </w:r>
      <w:r w:rsidDel="00000000" w:rsidR="00000000" w:rsidRPr="00000000">
        <w:rPr>
          <w:sz w:val="19"/>
          <w:szCs w:val="19"/>
          <w:rtl w:val="0"/>
        </w:rPr>
        <w:t xml:space="preserve"> Integrate CVSS (Common Vulnerability Scoring System) scores as quantitative features to assess the severity of vulnerabilities.</w:t>
      </w:r>
    </w:p>
    <w:p w:rsidR="00000000" w:rsidDel="00000000" w:rsidP="00000000" w:rsidRDefault="00000000" w:rsidRPr="00000000" w14:paraId="0000015F">
      <w:pPr>
        <w:numPr>
          <w:ilvl w:val="1"/>
          <w:numId w:val="17"/>
        </w:numPr>
        <w:spacing w:after="0" w:afterAutospacing="0" w:before="0" w:beforeAutospacing="0" w:lineRule="auto"/>
        <w:ind w:left="1440" w:hanging="360"/>
        <w:rPr>
          <w:sz w:val="19"/>
          <w:szCs w:val="19"/>
        </w:rPr>
      </w:pPr>
      <w:r w:rsidDel="00000000" w:rsidR="00000000" w:rsidRPr="00000000">
        <w:rPr>
          <w:b w:val="1"/>
          <w:sz w:val="19"/>
          <w:szCs w:val="19"/>
          <w:rtl w:val="0"/>
        </w:rPr>
        <w:t xml:space="preserve">Categorization:</w:t>
      </w:r>
      <w:r w:rsidDel="00000000" w:rsidR="00000000" w:rsidRPr="00000000">
        <w:rPr>
          <w:sz w:val="19"/>
          <w:szCs w:val="19"/>
          <w:rtl w:val="0"/>
        </w:rPr>
        <w:t xml:space="preserve"> Group vulnerabilities by their CWE codes to identify patterns and trends within specific categories.</w:t>
      </w:r>
    </w:p>
    <w:p w:rsidR="00000000" w:rsidDel="00000000" w:rsidP="00000000" w:rsidRDefault="00000000" w:rsidRPr="00000000" w14:paraId="00000160">
      <w:pPr>
        <w:numPr>
          <w:ilvl w:val="1"/>
          <w:numId w:val="17"/>
        </w:numPr>
        <w:spacing w:after="0" w:afterAutospacing="0" w:before="0" w:beforeAutospacing="0" w:lineRule="auto"/>
        <w:ind w:left="1440" w:hanging="360"/>
        <w:rPr>
          <w:sz w:val="19"/>
          <w:szCs w:val="19"/>
        </w:rPr>
      </w:pPr>
      <w:r w:rsidDel="00000000" w:rsidR="00000000" w:rsidRPr="00000000">
        <w:rPr>
          <w:b w:val="1"/>
          <w:sz w:val="19"/>
          <w:szCs w:val="19"/>
          <w:rtl w:val="0"/>
        </w:rPr>
        <w:t xml:space="preserve">Tools:</w:t>
      </w:r>
      <w:r w:rsidDel="00000000" w:rsidR="00000000" w:rsidRPr="00000000">
        <w:rPr>
          <w:sz w:val="19"/>
          <w:szCs w:val="19"/>
          <w:rtl w:val="0"/>
        </w:rPr>
        <w:t xml:space="preserve"> Use </w:t>
      </w:r>
      <w:r w:rsidDel="00000000" w:rsidR="00000000" w:rsidRPr="00000000">
        <w:rPr>
          <w:b w:val="1"/>
          <w:sz w:val="19"/>
          <w:szCs w:val="19"/>
          <w:rtl w:val="0"/>
        </w:rPr>
        <w:t xml:space="preserve">Pandas</w:t>
      </w:r>
      <w:r w:rsidDel="00000000" w:rsidR="00000000" w:rsidRPr="00000000">
        <w:rPr>
          <w:sz w:val="19"/>
          <w:szCs w:val="19"/>
          <w:rtl w:val="0"/>
        </w:rPr>
        <w:t xml:space="preserve"> for feature extraction and </w:t>
      </w:r>
      <w:r w:rsidDel="00000000" w:rsidR="00000000" w:rsidRPr="00000000">
        <w:rPr>
          <w:b w:val="1"/>
          <w:sz w:val="19"/>
          <w:szCs w:val="19"/>
          <w:rtl w:val="0"/>
        </w:rPr>
        <w:t xml:space="preserve">Scikit-learn</w:t>
      </w:r>
      <w:r w:rsidDel="00000000" w:rsidR="00000000" w:rsidRPr="00000000">
        <w:rPr>
          <w:sz w:val="19"/>
          <w:szCs w:val="19"/>
          <w:rtl w:val="0"/>
        </w:rPr>
        <w:t xml:space="preserve"> for feature selection and transformation.</w:t>
      </w:r>
    </w:p>
    <w:p w:rsidR="00000000" w:rsidDel="00000000" w:rsidP="00000000" w:rsidRDefault="00000000" w:rsidRPr="00000000" w14:paraId="00000161">
      <w:pPr>
        <w:numPr>
          <w:ilvl w:val="0"/>
          <w:numId w:val="17"/>
        </w:numPr>
        <w:spacing w:after="0" w:afterAutospacing="0" w:before="0" w:beforeAutospacing="0" w:lineRule="auto"/>
        <w:ind w:left="720" w:hanging="360"/>
        <w:rPr>
          <w:sz w:val="19"/>
          <w:szCs w:val="19"/>
        </w:rPr>
      </w:pPr>
      <w:r w:rsidDel="00000000" w:rsidR="00000000" w:rsidRPr="00000000">
        <w:rPr>
          <w:b w:val="1"/>
          <w:sz w:val="19"/>
          <w:szCs w:val="19"/>
          <w:rtl w:val="0"/>
        </w:rPr>
        <w:t xml:space="preserve">Procedure:</w:t>
      </w:r>
    </w:p>
    <w:p w:rsidR="00000000" w:rsidDel="00000000" w:rsidP="00000000" w:rsidRDefault="00000000" w:rsidRPr="00000000" w14:paraId="00000162">
      <w:pPr>
        <w:numPr>
          <w:ilvl w:val="1"/>
          <w:numId w:val="17"/>
        </w:numPr>
        <w:spacing w:after="0" w:afterAutospacing="0" w:before="0" w:beforeAutospacing="0" w:lineRule="auto"/>
        <w:ind w:left="1440" w:hanging="360"/>
        <w:rPr>
          <w:sz w:val="19"/>
          <w:szCs w:val="19"/>
        </w:rPr>
      </w:pPr>
      <w:r w:rsidDel="00000000" w:rsidR="00000000" w:rsidRPr="00000000">
        <w:rPr>
          <w:sz w:val="19"/>
          <w:szCs w:val="19"/>
          <w:rtl w:val="0"/>
        </w:rPr>
        <w:t xml:space="preserve">Apply text vectorization techniques (e.g., TF-IDF, Word2Vec) to CWE descriptions.</w:t>
      </w:r>
    </w:p>
    <w:p w:rsidR="00000000" w:rsidDel="00000000" w:rsidP="00000000" w:rsidRDefault="00000000" w:rsidRPr="00000000" w14:paraId="00000163">
      <w:pPr>
        <w:numPr>
          <w:ilvl w:val="1"/>
          <w:numId w:val="17"/>
        </w:numPr>
        <w:spacing w:after="0" w:afterAutospacing="0" w:before="0" w:beforeAutospacing="0" w:lineRule="auto"/>
        <w:ind w:left="1440" w:hanging="360"/>
        <w:rPr>
          <w:sz w:val="19"/>
          <w:szCs w:val="19"/>
        </w:rPr>
      </w:pPr>
      <w:r w:rsidDel="00000000" w:rsidR="00000000" w:rsidRPr="00000000">
        <w:rPr>
          <w:sz w:val="19"/>
          <w:szCs w:val="19"/>
          <w:rtl w:val="0"/>
        </w:rPr>
        <w:t xml:space="preserve">Create lag features to track changes over time, such as the number of occurrences of a particular CWE in the past year.</w:t>
      </w:r>
    </w:p>
    <w:p w:rsidR="00000000" w:rsidDel="00000000" w:rsidP="00000000" w:rsidRDefault="00000000" w:rsidRPr="00000000" w14:paraId="00000164">
      <w:pPr>
        <w:numPr>
          <w:ilvl w:val="1"/>
          <w:numId w:val="17"/>
        </w:numPr>
        <w:spacing w:after="240" w:before="0" w:beforeAutospacing="0" w:lineRule="auto"/>
        <w:ind w:left="1440" w:hanging="360"/>
        <w:rPr>
          <w:sz w:val="19"/>
          <w:szCs w:val="19"/>
        </w:rPr>
      </w:pPr>
      <w:r w:rsidDel="00000000" w:rsidR="00000000" w:rsidRPr="00000000">
        <w:rPr>
          <w:sz w:val="19"/>
          <w:szCs w:val="19"/>
          <w:rtl w:val="0"/>
        </w:rPr>
        <w:t xml:space="preserve">Categorize vulnerabilities into broader categories or risk levels based on CWE codes.</w:t>
      </w:r>
    </w:p>
    <w:p w:rsidR="00000000" w:rsidDel="00000000" w:rsidP="00000000" w:rsidRDefault="00000000" w:rsidRPr="00000000" w14:paraId="00000165">
      <w:pPr>
        <w:spacing w:after="240" w:before="240" w:lineRule="auto"/>
        <w:rPr>
          <w:b w:val="1"/>
          <w:sz w:val="19"/>
          <w:szCs w:val="19"/>
        </w:rPr>
      </w:pPr>
      <w:r w:rsidDel="00000000" w:rsidR="00000000" w:rsidRPr="00000000">
        <w:rPr>
          <w:b w:val="1"/>
          <w:sz w:val="19"/>
          <w:szCs w:val="19"/>
          <w:rtl w:val="0"/>
        </w:rPr>
        <w:t xml:space="preserve">Step 4: Temporal Analysis</w:t>
      </w:r>
    </w:p>
    <w:p w:rsidR="00000000" w:rsidDel="00000000" w:rsidP="00000000" w:rsidRDefault="00000000" w:rsidRPr="00000000" w14:paraId="00000166">
      <w:pPr>
        <w:numPr>
          <w:ilvl w:val="0"/>
          <w:numId w:val="20"/>
        </w:numPr>
        <w:spacing w:after="0" w:afterAutospacing="0" w:before="240" w:lineRule="auto"/>
        <w:ind w:left="720" w:hanging="360"/>
        <w:rPr>
          <w:sz w:val="19"/>
          <w:szCs w:val="19"/>
        </w:rPr>
      </w:pPr>
      <w:r w:rsidDel="00000000" w:rsidR="00000000" w:rsidRPr="00000000">
        <w:rPr>
          <w:b w:val="1"/>
          <w:sz w:val="19"/>
          <w:szCs w:val="19"/>
          <w:rtl w:val="0"/>
        </w:rPr>
        <w:t xml:space="preserve">Objective:</w:t>
      </w:r>
      <w:r w:rsidDel="00000000" w:rsidR="00000000" w:rsidRPr="00000000">
        <w:rPr>
          <w:sz w:val="19"/>
          <w:szCs w:val="19"/>
          <w:rtl w:val="0"/>
        </w:rPr>
        <w:t xml:space="preserve"> Uncover temporal patterns and trends in the occurrence of vulnerabilities, facilitating the prediction of future risks.</w:t>
      </w:r>
    </w:p>
    <w:p w:rsidR="00000000" w:rsidDel="00000000" w:rsidP="00000000" w:rsidRDefault="00000000" w:rsidRPr="00000000" w14:paraId="00000167">
      <w:pPr>
        <w:numPr>
          <w:ilvl w:val="0"/>
          <w:numId w:val="20"/>
        </w:numPr>
        <w:spacing w:after="0" w:afterAutospacing="0" w:before="0" w:beforeAutospacing="0" w:lineRule="auto"/>
        <w:ind w:left="720" w:hanging="360"/>
        <w:rPr>
          <w:sz w:val="19"/>
          <w:szCs w:val="19"/>
        </w:rPr>
      </w:pPr>
      <w:r w:rsidDel="00000000" w:rsidR="00000000" w:rsidRPr="00000000">
        <w:rPr>
          <w:b w:val="1"/>
          <w:sz w:val="19"/>
          <w:szCs w:val="19"/>
          <w:rtl w:val="0"/>
        </w:rPr>
        <w:t xml:space="preserve">Tasks:</w:t>
      </w:r>
    </w:p>
    <w:p w:rsidR="00000000" w:rsidDel="00000000" w:rsidP="00000000" w:rsidRDefault="00000000" w:rsidRPr="00000000" w14:paraId="00000168">
      <w:pPr>
        <w:numPr>
          <w:ilvl w:val="1"/>
          <w:numId w:val="20"/>
        </w:numPr>
        <w:spacing w:after="0" w:afterAutospacing="0" w:before="0" w:beforeAutospacing="0" w:lineRule="auto"/>
        <w:ind w:left="1440" w:hanging="360"/>
        <w:rPr>
          <w:sz w:val="19"/>
          <w:szCs w:val="19"/>
        </w:rPr>
      </w:pPr>
      <w:r w:rsidDel="00000000" w:rsidR="00000000" w:rsidRPr="00000000">
        <w:rPr>
          <w:b w:val="1"/>
          <w:sz w:val="19"/>
          <w:szCs w:val="19"/>
          <w:rtl w:val="0"/>
        </w:rPr>
        <w:t xml:space="preserve">Trend Analysis:</w:t>
      </w:r>
      <w:r w:rsidDel="00000000" w:rsidR="00000000" w:rsidRPr="00000000">
        <w:rPr>
          <w:sz w:val="19"/>
          <w:szCs w:val="19"/>
          <w:rtl w:val="0"/>
        </w:rPr>
        <w:t xml:space="preserve"> Examine the frequency of specific CWE codes over time to detect increasing or decreasing trends, indicating emerging or fading threats.</w:t>
      </w:r>
    </w:p>
    <w:p w:rsidR="00000000" w:rsidDel="00000000" w:rsidP="00000000" w:rsidRDefault="00000000" w:rsidRPr="00000000" w14:paraId="00000169">
      <w:pPr>
        <w:numPr>
          <w:ilvl w:val="1"/>
          <w:numId w:val="20"/>
        </w:numPr>
        <w:spacing w:after="0" w:afterAutospacing="0" w:before="0" w:beforeAutospacing="0" w:lineRule="auto"/>
        <w:ind w:left="1440" w:hanging="360"/>
        <w:rPr>
          <w:sz w:val="19"/>
          <w:szCs w:val="19"/>
        </w:rPr>
      </w:pPr>
      <w:r w:rsidDel="00000000" w:rsidR="00000000" w:rsidRPr="00000000">
        <w:rPr>
          <w:b w:val="1"/>
          <w:sz w:val="19"/>
          <w:szCs w:val="19"/>
          <w:rtl w:val="0"/>
        </w:rPr>
        <w:t xml:space="preserve">Seasonal Pattern Detection:</w:t>
      </w:r>
      <w:r w:rsidDel="00000000" w:rsidR="00000000" w:rsidRPr="00000000">
        <w:rPr>
          <w:sz w:val="19"/>
          <w:szCs w:val="19"/>
          <w:rtl w:val="0"/>
        </w:rPr>
        <w:t xml:space="preserve"> Identify cyclical trends, such as spikes in certain types of vulnerabilities during specific times of the year or after major software updates.</w:t>
      </w:r>
    </w:p>
    <w:p w:rsidR="00000000" w:rsidDel="00000000" w:rsidP="00000000" w:rsidRDefault="00000000" w:rsidRPr="00000000" w14:paraId="0000016A">
      <w:pPr>
        <w:numPr>
          <w:ilvl w:val="1"/>
          <w:numId w:val="20"/>
        </w:numPr>
        <w:spacing w:after="0" w:afterAutospacing="0" w:before="0" w:beforeAutospacing="0" w:lineRule="auto"/>
        <w:ind w:left="1440" w:hanging="360"/>
        <w:rPr>
          <w:sz w:val="19"/>
          <w:szCs w:val="19"/>
        </w:rPr>
      </w:pPr>
      <w:r w:rsidDel="00000000" w:rsidR="00000000" w:rsidRPr="00000000">
        <w:rPr>
          <w:b w:val="1"/>
          <w:sz w:val="19"/>
          <w:szCs w:val="19"/>
          <w:rtl w:val="0"/>
        </w:rPr>
        <w:t xml:space="preserve">Anomaly Detection:</w:t>
      </w:r>
      <w:r w:rsidDel="00000000" w:rsidR="00000000" w:rsidRPr="00000000">
        <w:rPr>
          <w:sz w:val="19"/>
          <w:szCs w:val="19"/>
          <w:rtl w:val="0"/>
        </w:rPr>
        <w:t xml:space="preserve"> Spot significant deviations from expected patterns, which may signal the emergence of zero-day vulnerabilities or new types of attacks.</w:t>
      </w:r>
    </w:p>
    <w:p w:rsidR="00000000" w:rsidDel="00000000" w:rsidP="00000000" w:rsidRDefault="00000000" w:rsidRPr="00000000" w14:paraId="0000016B">
      <w:pPr>
        <w:numPr>
          <w:ilvl w:val="1"/>
          <w:numId w:val="20"/>
        </w:numPr>
        <w:spacing w:after="0" w:afterAutospacing="0" w:before="0" w:beforeAutospacing="0" w:lineRule="auto"/>
        <w:ind w:left="1440" w:hanging="360"/>
        <w:rPr>
          <w:sz w:val="19"/>
          <w:szCs w:val="19"/>
        </w:rPr>
      </w:pPr>
      <w:r w:rsidDel="00000000" w:rsidR="00000000" w:rsidRPr="00000000">
        <w:rPr>
          <w:b w:val="1"/>
          <w:sz w:val="19"/>
          <w:szCs w:val="19"/>
          <w:rtl w:val="0"/>
        </w:rPr>
        <w:t xml:space="preserve">Tools:</w:t>
      </w:r>
      <w:r w:rsidDel="00000000" w:rsidR="00000000" w:rsidRPr="00000000">
        <w:rPr>
          <w:sz w:val="19"/>
          <w:szCs w:val="19"/>
          <w:rtl w:val="0"/>
        </w:rPr>
        <w:t xml:space="preserve"> Leverage </w:t>
      </w:r>
      <w:r w:rsidDel="00000000" w:rsidR="00000000" w:rsidRPr="00000000">
        <w:rPr>
          <w:b w:val="1"/>
          <w:sz w:val="19"/>
          <w:szCs w:val="19"/>
          <w:rtl w:val="0"/>
        </w:rPr>
        <w:t xml:space="preserve">Matplotlib</w:t>
      </w:r>
      <w:r w:rsidDel="00000000" w:rsidR="00000000" w:rsidRPr="00000000">
        <w:rPr>
          <w:sz w:val="19"/>
          <w:szCs w:val="19"/>
          <w:rtl w:val="0"/>
        </w:rPr>
        <w:t xml:space="preserve"> and </w:t>
      </w:r>
      <w:r w:rsidDel="00000000" w:rsidR="00000000" w:rsidRPr="00000000">
        <w:rPr>
          <w:b w:val="1"/>
          <w:sz w:val="19"/>
          <w:szCs w:val="19"/>
          <w:rtl w:val="0"/>
        </w:rPr>
        <w:t xml:space="preserve">Seaborn</w:t>
      </w:r>
      <w:r w:rsidDel="00000000" w:rsidR="00000000" w:rsidRPr="00000000">
        <w:rPr>
          <w:sz w:val="19"/>
          <w:szCs w:val="19"/>
          <w:rtl w:val="0"/>
        </w:rPr>
        <w:t xml:space="preserve"> for data visualization, creating time-series plots and heatmaps to visually represent trends.</w:t>
      </w:r>
    </w:p>
    <w:p w:rsidR="00000000" w:rsidDel="00000000" w:rsidP="00000000" w:rsidRDefault="00000000" w:rsidRPr="00000000" w14:paraId="0000016C">
      <w:pPr>
        <w:numPr>
          <w:ilvl w:val="0"/>
          <w:numId w:val="20"/>
        </w:numPr>
        <w:spacing w:after="0" w:afterAutospacing="0" w:before="0" w:beforeAutospacing="0" w:lineRule="auto"/>
        <w:ind w:left="720" w:hanging="360"/>
        <w:rPr>
          <w:sz w:val="19"/>
          <w:szCs w:val="19"/>
        </w:rPr>
      </w:pPr>
      <w:r w:rsidDel="00000000" w:rsidR="00000000" w:rsidRPr="00000000">
        <w:rPr>
          <w:b w:val="1"/>
          <w:sz w:val="19"/>
          <w:szCs w:val="19"/>
          <w:rtl w:val="0"/>
        </w:rPr>
        <w:t xml:space="preserve">Procedure:</w:t>
      </w:r>
    </w:p>
    <w:p w:rsidR="00000000" w:rsidDel="00000000" w:rsidP="00000000" w:rsidRDefault="00000000" w:rsidRPr="00000000" w14:paraId="0000016D">
      <w:pPr>
        <w:numPr>
          <w:ilvl w:val="1"/>
          <w:numId w:val="20"/>
        </w:numPr>
        <w:spacing w:after="0" w:afterAutospacing="0" w:before="0" w:beforeAutospacing="0" w:lineRule="auto"/>
        <w:ind w:left="1440" w:hanging="360"/>
        <w:rPr>
          <w:sz w:val="19"/>
          <w:szCs w:val="19"/>
        </w:rPr>
      </w:pPr>
      <w:r w:rsidDel="00000000" w:rsidR="00000000" w:rsidRPr="00000000">
        <w:rPr>
          <w:sz w:val="19"/>
          <w:szCs w:val="19"/>
          <w:rtl w:val="0"/>
        </w:rPr>
        <w:t xml:space="preserve">Perform a time-series analysis to detect long-term trends in the data.</w:t>
      </w:r>
    </w:p>
    <w:p w:rsidR="00000000" w:rsidDel="00000000" w:rsidP="00000000" w:rsidRDefault="00000000" w:rsidRPr="00000000" w14:paraId="0000016E">
      <w:pPr>
        <w:numPr>
          <w:ilvl w:val="1"/>
          <w:numId w:val="20"/>
        </w:numPr>
        <w:spacing w:after="0" w:afterAutospacing="0" w:before="0" w:beforeAutospacing="0" w:lineRule="auto"/>
        <w:ind w:left="1440" w:hanging="360"/>
        <w:rPr>
          <w:sz w:val="19"/>
          <w:szCs w:val="19"/>
        </w:rPr>
      </w:pPr>
      <w:r w:rsidDel="00000000" w:rsidR="00000000" w:rsidRPr="00000000">
        <w:rPr>
          <w:sz w:val="19"/>
          <w:szCs w:val="19"/>
          <w:rtl w:val="0"/>
        </w:rPr>
        <w:t xml:space="preserve">Use moving averages or seasonal decomposition to highlight seasonal effects.</w:t>
      </w:r>
    </w:p>
    <w:p w:rsidR="00000000" w:rsidDel="00000000" w:rsidP="00000000" w:rsidRDefault="00000000" w:rsidRPr="00000000" w14:paraId="0000016F">
      <w:pPr>
        <w:numPr>
          <w:ilvl w:val="1"/>
          <w:numId w:val="20"/>
        </w:numPr>
        <w:spacing w:after="240" w:before="0" w:beforeAutospacing="0" w:lineRule="auto"/>
        <w:ind w:left="1440" w:hanging="360"/>
        <w:rPr>
          <w:sz w:val="19"/>
          <w:szCs w:val="19"/>
        </w:rPr>
      </w:pPr>
      <w:r w:rsidDel="00000000" w:rsidR="00000000" w:rsidRPr="00000000">
        <w:rPr>
          <w:sz w:val="19"/>
          <w:szCs w:val="19"/>
          <w:rtl w:val="0"/>
        </w:rPr>
        <w:t xml:space="preserve">Apply anomaly detection algorithms like Z-score or Isolation Forest to identify unusual spikes in CWE occurrences.</w:t>
      </w:r>
    </w:p>
    <w:p w:rsidR="00000000" w:rsidDel="00000000" w:rsidP="00000000" w:rsidRDefault="00000000" w:rsidRPr="00000000" w14:paraId="00000170">
      <w:pPr>
        <w:spacing w:after="240" w:before="240" w:lineRule="auto"/>
        <w:rPr>
          <w:b w:val="1"/>
          <w:sz w:val="19"/>
          <w:szCs w:val="19"/>
        </w:rPr>
      </w:pPr>
      <w:r w:rsidDel="00000000" w:rsidR="00000000" w:rsidRPr="00000000">
        <w:rPr>
          <w:b w:val="1"/>
          <w:sz w:val="19"/>
          <w:szCs w:val="19"/>
          <w:rtl w:val="0"/>
        </w:rPr>
        <w:t xml:space="preserve">Step 5: Model Building</w:t>
      </w:r>
    </w:p>
    <w:p w:rsidR="00000000" w:rsidDel="00000000" w:rsidP="00000000" w:rsidRDefault="00000000" w:rsidRPr="00000000" w14:paraId="00000171">
      <w:pPr>
        <w:numPr>
          <w:ilvl w:val="0"/>
          <w:numId w:val="13"/>
        </w:numPr>
        <w:spacing w:after="0" w:afterAutospacing="0" w:before="240" w:lineRule="auto"/>
        <w:ind w:left="720" w:hanging="360"/>
        <w:rPr>
          <w:sz w:val="19"/>
          <w:szCs w:val="19"/>
        </w:rPr>
      </w:pPr>
      <w:r w:rsidDel="00000000" w:rsidR="00000000" w:rsidRPr="00000000">
        <w:rPr>
          <w:b w:val="1"/>
          <w:sz w:val="19"/>
          <w:szCs w:val="19"/>
          <w:rtl w:val="0"/>
        </w:rPr>
        <w:t xml:space="preserve">Objective:</w:t>
      </w:r>
      <w:r w:rsidDel="00000000" w:rsidR="00000000" w:rsidRPr="00000000">
        <w:rPr>
          <w:sz w:val="19"/>
          <w:szCs w:val="19"/>
          <w:rtl w:val="0"/>
        </w:rPr>
        <w:t xml:space="preserve"> Develop and train a robust machine learning model capable of predicting future CWE occurrences based on historical data.</w:t>
      </w:r>
    </w:p>
    <w:p w:rsidR="00000000" w:rsidDel="00000000" w:rsidP="00000000" w:rsidRDefault="00000000" w:rsidRPr="00000000" w14:paraId="00000172">
      <w:pPr>
        <w:numPr>
          <w:ilvl w:val="0"/>
          <w:numId w:val="13"/>
        </w:numPr>
        <w:spacing w:after="0" w:afterAutospacing="0" w:before="0" w:beforeAutospacing="0" w:lineRule="auto"/>
        <w:ind w:left="720" w:hanging="360"/>
        <w:rPr>
          <w:sz w:val="19"/>
          <w:szCs w:val="19"/>
        </w:rPr>
      </w:pPr>
      <w:r w:rsidDel="00000000" w:rsidR="00000000" w:rsidRPr="00000000">
        <w:rPr>
          <w:b w:val="1"/>
          <w:sz w:val="19"/>
          <w:szCs w:val="19"/>
          <w:rtl w:val="0"/>
        </w:rPr>
        <w:t xml:space="preserve">Tasks:</w:t>
      </w:r>
    </w:p>
    <w:p w:rsidR="00000000" w:rsidDel="00000000" w:rsidP="00000000" w:rsidRDefault="00000000" w:rsidRPr="00000000" w14:paraId="00000173">
      <w:pPr>
        <w:numPr>
          <w:ilvl w:val="1"/>
          <w:numId w:val="13"/>
        </w:numPr>
        <w:spacing w:after="0" w:afterAutospacing="0" w:before="0" w:beforeAutospacing="0" w:lineRule="auto"/>
        <w:ind w:left="1440" w:hanging="360"/>
        <w:rPr>
          <w:sz w:val="19"/>
          <w:szCs w:val="19"/>
        </w:rPr>
      </w:pPr>
      <w:r w:rsidDel="00000000" w:rsidR="00000000" w:rsidRPr="00000000">
        <w:rPr>
          <w:b w:val="1"/>
          <w:sz w:val="19"/>
          <w:szCs w:val="19"/>
          <w:rtl w:val="0"/>
        </w:rPr>
        <w:t xml:space="preserve">Data Splitting:</w:t>
      </w:r>
      <w:r w:rsidDel="00000000" w:rsidR="00000000" w:rsidRPr="00000000">
        <w:rPr>
          <w:sz w:val="19"/>
          <w:szCs w:val="19"/>
          <w:rtl w:val="0"/>
        </w:rPr>
        <w:t xml:space="preserve"> Divide the dataset into training, validation, and test sets, ensuring that temporal dependencies are respected to avoid data leakage.</w:t>
      </w:r>
    </w:p>
    <w:p w:rsidR="00000000" w:rsidDel="00000000" w:rsidP="00000000" w:rsidRDefault="00000000" w:rsidRPr="00000000" w14:paraId="00000174">
      <w:pPr>
        <w:numPr>
          <w:ilvl w:val="1"/>
          <w:numId w:val="13"/>
        </w:numPr>
        <w:spacing w:after="0" w:afterAutospacing="0" w:before="0" w:beforeAutospacing="0" w:lineRule="auto"/>
        <w:ind w:left="1440" w:hanging="360"/>
        <w:rPr>
          <w:sz w:val="19"/>
          <w:szCs w:val="19"/>
        </w:rPr>
      </w:pPr>
      <w:r w:rsidDel="00000000" w:rsidR="00000000" w:rsidRPr="00000000">
        <w:rPr>
          <w:b w:val="1"/>
          <w:sz w:val="19"/>
          <w:szCs w:val="19"/>
          <w:rtl w:val="0"/>
        </w:rPr>
        <w:t xml:space="preserve">Model Selection:</w:t>
      </w:r>
      <w:r w:rsidDel="00000000" w:rsidR="00000000" w:rsidRPr="00000000">
        <w:rPr>
          <w:sz w:val="19"/>
          <w:szCs w:val="19"/>
          <w:rtl w:val="0"/>
        </w:rPr>
        <w:t xml:space="preserve"> Experiment with different machine learning algorithms, such as Random Forest for interpretability or LSTM (Long Short-Term Memory) networks for capturing temporal dependencies.</w:t>
      </w:r>
    </w:p>
    <w:p w:rsidR="00000000" w:rsidDel="00000000" w:rsidP="00000000" w:rsidRDefault="00000000" w:rsidRPr="00000000" w14:paraId="00000175">
      <w:pPr>
        <w:numPr>
          <w:ilvl w:val="1"/>
          <w:numId w:val="13"/>
        </w:numPr>
        <w:spacing w:after="0" w:afterAutospacing="0" w:before="0" w:beforeAutospacing="0" w:lineRule="auto"/>
        <w:ind w:left="1440" w:hanging="360"/>
        <w:rPr>
          <w:sz w:val="19"/>
          <w:szCs w:val="19"/>
        </w:rPr>
      </w:pPr>
      <w:r w:rsidDel="00000000" w:rsidR="00000000" w:rsidRPr="00000000">
        <w:rPr>
          <w:b w:val="1"/>
          <w:sz w:val="19"/>
          <w:szCs w:val="19"/>
          <w:rtl w:val="0"/>
        </w:rPr>
        <w:t xml:space="preserve">Hyperparameter Tuning:</w:t>
      </w:r>
      <w:r w:rsidDel="00000000" w:rsidR="00000000" w:rsidRPr="00000000">
        <w:rPr>
          <w:sz w:val="19"/>
          <w:szCs w:val="19"/>
          <w:rtl w:val="0"/>
        </w:rPr>
        <w:t xml:space="preserve"> Optimize model performance by adjusting hyperparameters using techniques like grid search or random search.</w:t>
      </w:r>
    </w:p>
    <w:p w:rsidR="00000000" w:rsidDel="00000000" w:rsidP="00000000" w:rsidRDefault="00000000" w:rsidRPr="00000000" w14:paraId="00000176">
      <w:pPr>
        <w:numPr>
          <w:ilvl w:val="1"/>
          <w:numId w:val="13"/>
        </w:numPr>
        <w:spacing w:after="0" w:afterAutospacing="0" w:before="0" w:beforeAutospacing="0" w:lineRule="auto"/>
        <w:ind w:left="1440" w:hanging="360"/>
        <w:rPr>
          <w:sz w:val="19"/>
          <w:szCs w:val="19"/>
        </w:rPr>
      </w:pPr>
      <w:r w:rsidDel="00000000" w:rsidR="00000000" w:rsidRPr="00000000">
        <w:rPr>
          <w:b w:val="1"/>
          <w:sz w:val="19"/>
          <w:szCs w:val="19"/>
          <w:rtl w:val="0"/>
        </w:rPr>
        <w:t xml:space="preserve">Performance Evaluation:</w:t>
      </w:r>
      <w:r w:rsidDel="00000000" w:rsidR="00000000" w:rsidRPr="00000000">
        <w:rPr>
          <w:sz w:val="19"/>
          <w:szCs w:val="19"/>
          <w:rtl w:val="0"/>
        </w:rPr>
        <w:t xml:space="preserve"> Measure the model's effectiveness using metrics such as accuracy, precision, recall, and F1-score, ensuring a balanced assessment.</w:t>
      </w:r>
    </w:p>
    <w:p w:rsidR="00000000" w:rsidDel="00000000" w:rsidP="00000000" w:rsidRDefault="00000000" w:rsidRPr="00000000" w14:paraId="00000177">
      <w:pPr>
        <w:numPr>
          <w:ilvl w:val="1"/>
          <w:numId w:val="13"/>
        </w:numPr>
        <w:spacing w:after="0" w:afterAutospacing="0" w:before="0" w:beforeAutospacing="0" w:lineRule="auto"/>
        <w:ind w:left="1440" w:hanging="360"/>
        <w:rPr>
          <w:sz w:val="19"/>
          <w:szCs w:val="19"/>
        </w:rPr>
      </w:pPr>
      <w:r w:rsidDel="00000000" w:rsidR="00000000" w:rsidRPr="00000000">
        <w:rPr>
          <w:b w:val="1"/>
          <w:sz w:val="19"/>
          <w:szCs w:val="19"/>
          <w:rtl w:val="0"/>
        </w:rPr>
        <w:t xml:space="preserve">Tools:</w:t>
      </w:r>
      <w:r w:rsidDel="00000000" w:rsidR="00000000" w:rsidRPr="00000000">
        <w:rPr>
          <w:sz w:val="19"/>
          <w:szCs w:val="19"/>
          <w:rtl w:val="0"/>
        </w:rPr>
        <w:t xml:space="preserve"> Utilize </w:t>
      </w:r>
      <w:r w:rsidDel="00000000" w:rsidR="00000000" w:rsidRPr="00000000">
        <w:rPr>
          <w:b w:val="1"/>
          <w:sz w:val="19"/>
          <w:szCs w:val="19"/>
          <w:rtl w:val="0"/>
        </w:rPr>
        <w:t xml:space="preserve">Scikit-learn</w:t>
      </w:r>
      <w:r w:rsidDel="00000000" w:rsidR="00000000" w:rsidRPr="00000000">
        <w:rPr>
          <w:sz w:val="19"/>
          <w:szCs w:val="19"/>
          <w:rtl w:val="0"/>
        </w:rPr>
        <w:t xml:space="preserve"> for traditional machine learning algorithms and </w:t>
      </w:r>
      <w:r w:rsidDel="00000000" w:rsidR="00000000" w:rsidRPr="00000000">
        <w:rPr>
          <w:b w:val="1"/>
          <w:sz w:val="19"/>
          <w:szCs w:val="19"/>
          <w:rtl w:val="0"/>
        </w:rPr>
        <w:t xml:space="preserve">TensorFlow/Keras</w:t>
      </w:r>
      <w:r w:rsidDel="00000000" w:rsidR="00000000" w:rsidRPr="00000000">
        <w:rPr>
          <w:sz w:val="19"/>
          <w:szCs w:val="19"/>
          <w:rtl w:val="0"/>
        </w:rPr>
        <w:t xml:space="preserve"> for deep learning models like LSTM.</w:t>
      </w:r>
    </w:p>
    <w:p w:rsidR="00000000" w:rsidDel="00000000" w:rsidP="00000000" w:rsidRDefault="00000000" w:rsidRPr="00000000" w14:paraId="00000178">
      <w:pPr>
        <w:numPr>
          <w:ilvl w:val="0"/>
          <w:numId w:val="13"/>
        </w:numPr>
        <w:spacing w:after="0" w:afterAutospacing="0" w:before="0" w:beforeAutospacing="0" w:lineRule="auto"/>
        <w:ind w:left="720" w:hanging="360"/>
        <w:rPr>
          <w:sz w:val="19"/>
          <w:szCs w:val="19"/>
        </w:rPr>
      </w:pPr>
      <w:r w:rsidDel="00000000" w:rsidR="00000000" w:rsidRPr="00000000">
        <w:rPr>
          <w:b w:val="1"/>
          <w:sz w:val="19"/>
          <w:szCs w:val="19"/>
          <w:rtl w:val="0"/>
        </w:rPr>
        <w:t xml:space="preserve">Procedure:</w:t>
      </w:r>
    </w:p>
    <w:p w:rsidR="00000000" w:rsidDel="00000000" w:rsidP="00000000" w:rsidRDefault="00000000" w:rsidRPr="00000000" w14:paraId="00000179">
      <w:pPr>
        <w:numPr>
          <w:ilvl w:val="1"/>
          <w:numId w:val="13"/>
        </w:numPr>
        <w:spacing w:after="0" w:afterAutospacing="0" w:before="0" w:beforeAutospacing="0" w:lineRule="auto"/>
        <w:ind w:left="1440" w:hanging="360"/>
        <w:rPr>
          <w:sz w:val="19"/>
          <w:szCs w:val="19"/>
        </w:rPr>
      </w:pPr>
      <w:r w:rsidDel="00000000" w:rsidR="00000000" w:rsidRPr="00000000">
        <w:rPr>
          <w:sz w:val="19"/>
          <w:szCs w:val="19"/>
          <w:rtl w:val="0"/>
        </w:rPr>
        <w:t xml:space="preserve">Split the dataset chronologically to maintain temporal integrity, using an 80/20 or 70/30 split.</w:t>
      </w:r>
    </w:p>
    <w:p w:rsidR="00000000" w:rsidDel="00000000" w:rsidP="00000000" w:rsidRDefault="00000000" w:rsidRPr="00000000" w14:paraId="0000017A">
      <w:pPr>
        <w:numPr>
          <w:ilvl w:val="1"/>
          <w:numId w:val="13"/>
        </w:numPr>
        <w:spacing w:after="0" w:afterAutospacing="0" w:before="0" w:beforeAutospacing="0" w:lineRule="auto"/>
        <w:ind w:left="1440" w:hanging="360"/>
        <w:rPr>
          <w:sz w:val="19"/>
          <w:szCs w:val="19"/>
        </w:rPr>
      </w:pPr>
      <w:r w:rsidDel="00000000" w:rsidR="00000000" w:rsidRPr="00000000">
        <w:rPr>
          <w:sz w:val="19"/>
          <w:szCs w:val="19"/>
          <w:rtl w:val="0"/>
        </w:rPr>
        <w:t xml:space="preserve">Train models on the training set and validate on the validation set, fine-tuning hyperparameters based on validation performance.</w:t>
      </w:r>
    </w:p>
    <w:p w:rsidR="00000000" w:rsidDel="00000000" w:rsidP="00000000" w:rsidRDefault="00000000" w:rsidRPr="00000000" w14:paraId="0000017B">
      <w:pPr>
        <w:numPr>
          <w:ilvl w:val="1"/>
          <w:numId w:val="13"/>
        </w:numPr>
        <w:spacing w:after="240" w:before="0" w:beforeAutospacing="0" w:lineRule="auto"/>
        <w:ind w:left="1440" w:hanging="360"/>
        <w:rPr>
          <w:sz w:val="19"/>
          <w:szCs w:val="19"/>
        </w:rPr>
      </w:pPr>
      <w:r w:rsidDel="00000000" w:rsidR="00000000" w:rsidRPr="00000000">
        <w:rPr>
          <w:sz w:val="19"/>
          <w:szCs w:val="19"/>
          <w:rtl w:val="0"/>
        </w:rPr>
        <w:t xml:space="preserve">Evaluate the final model on the test set, reporting accuracy, precision, recall, and F1-score individually.</w:t>
      </w:r>
    </w:p>
    <w:p w:rsidR="00000000" w:rsidDel="00000000" w:rsidP="00000000" w:rsidRDefault="00000000" w:rsidRPr="00000000" w14:paraId="0000017C">
      <w:pPr>
        <w:spacing w:after="240" w:before="240" w:lineRule="auto"/>
        <w:rPr>
          <w:b w:val="1"/>
          <w:sz w:val="19"/>
          <w:szCs w:val="19"/>
        </w:rPr>
      </w:pPr>
      <w:r w:rsidDel="00000000" w:rsidR="00000000" w:rsidRPr="00000000">
        <w:rPr>
          <w:b w:val="1"/>
          <w:sz w:val="19"/>
          <w:szCs w:val="19"/>
          <w:rtl w:val="0"/>
        </w:rPr>
        <w:t xml:space="preserve">Step 6: Prediction and Visualization</w:t>
      </w:r>
    </w:p>
    <w:p w:rsidR="00000000" w:rsidDel="00000000" w:rsidP="00000000" w:rsidRDefault="00000000" w:rsidRPr="00000000" w14:paraId="0000017D">
      <w:pPr>
        <w:numPr>
          <w:ilvl w:val="0"/>
          <w:numId w:val="19"/>
        </w:numPr>
        <w:spacing w:after="0" w:afterAutospacing="0" w:before="240" w:lineRule="auto"/>
        <w:ind w:left="720" w:hanging="360"/>
        <w:rPr>
          <w:sz w:val="19"/>
          <w:szCs w:val="19"/>
        </w:rPr>
      </w:pPr>
      <w:r w:rsidDel="00000000" w:rsidR="00000000" w:rsidRPr="00000000">
        <w:rPr>
          <w:b w:val="1"/>
          <w:sz w:val="19"/>
          <w:szCs w:val="19"/>
          <w:rtl w:val="0"/>
        </w:rPr>
        <w:t xml:space="preserve">Objective:</w:t>
      </w:r>
      <w:r w:rsidDel="00000000" w:rsidR="00000000" w:rsidRPr="00000000">
        <w:rPr>
          <w:sz w:val="19"/>
          <w:szCs w:val="19"/>
          <w:rtl w:val="0"/>
        </w:rPr>
        <w:t xml:space="preserve"> Generate predictions for future CWE occurrences and present the results in a clear and actionable manner.</w:t>
      </w:r>
    </w:p>
    <w:p w:rsidR="00000000" w:rsidDel="00000000" w:rsidP="00000000" w:rsidRDefault="00000000" w:rsidRPr="00000000" w14:paraId="0000017E">
      <w:pPr>
        <w:numPr>
          <w:ilvl w:val="0"/>
          <w:numId w:val="19"/>
        </w:numPr>
        <w:spacing w:after="0" w:afterAutospacing="0" w:before="0" w:beforeAutospacing="0" w:lineRule="auto"/>
        <w:ind w:left="720" w:hanging="360"/>
        <w:rPr>
          <w:sz w:val="19"/>
          <w:szCs w:val="19"/>
        </w:rPr>
      </w:pPr>
      <w:r w:rsidDel="00000000" w:rsidR="00000000" w:rsidRPr="00000000">
        <w:rPr>
          <w:b w:val="1"/>
          <w:sz w:val="19"/>
          <w:szCs w:val="19"/>
          <w:rtl w:val="0"/>
        </w:rPr>
        <w:t xml:space="preserve">Tasks:</w:t>
      </w:r>
    </w:p>
    <w:p w:rsidR="00000000" w:rsidDel="00000000" w:rsidP="00000000" w:rsidRDefault="00000000" w:rsidRPr="00000000" w14:paraId="0000017F">
      <w:pPr>
        <w:numPr>
          <w:ilvl w:val="1"/>
          <w:numId w:val="19"/>
        </w:numPr>
        <w:spacing w:after="0" w:afterAutospacing="0" w:before="0" w:beforeAutospacing="0" w:lineRule="auto"/>
        <w:ind w:left="1440" w:hanging="360"/>
        <w:rPr>
          <w:sz w:val="19"/>
          <w:szCs w:val="19"/>
        </w:rPr>
      </w:pPr>
      <w:r w:rsidDel="00000000" w:rsidR="00000000" w:rsidRPr="00000000">
        <w:rPr>
          <w:b w:val="1"/>
          <w:sz w:val="19"/>
          <w:szCs w:val="19"/>
          <w:rtl w:val="0"/>
        </w:rPr>
        <w:t xml:space="preserve">Prediction Generation:</w:t>
      </w:r>
      <w:r w:rsidDel="00000000" w:rsidR="00000000" w:rsidRPr="00000000">
        <w:rPr>
          <w:sz w:val="19"/>
          <w:szCs w:val="19"/>
          <w:rtl w:val="0"/>
        </w:rPr>
        <w:t xml:space="preserve"> Use the trained model to forecast future vulnerabilities, focusing on high-risk CWE codes and periods.</w:t>
      </w:r>
    </w:p>
    <w:p w:rsidR="00000000" w:rsidDel="00000000" w:rsidP="00000000" w:rsidRDefault="00000000" w:rsidRPr="00000000" w14:paraId="00000180">
      <w:pPr>
        <w:numPr>
          <w:ilvl w:val="1"/>
          <w:numId w:val="19"/>
        </w:numPr>
        <w:spacing w:after="0" w:afterAutospacing="0" w:before="0" w:beforeAutospacing="0" w:lineRule="auto"/>
        <w:ind w:left="1440" w:hanging="360"/>
        <w:rPr>
          <w:sz w:val="19"/>
          <w:szCs w:val="19"/>
        </w:rPr>
      </w:pPr>
      <w:r w:rsidDel="00000000" w:rsidR="00000000" w:rsidRPr="00000000">
        <w:rPr>
          <w:b w:val="1"/>
          <w:sz w:val="19"/>
          <w:szCs w:val="19"/>
          <w:rtl w:val="0"/>
        </w:rPr>
        <w:t xml:space="preserve">Visualization:</w:t>
      </w:r>
      <w:r w:rsidDel="00000000" w:rsidR="00000000" w:rsidRPr="00000000">
        <w:rPr>
          <w:sz w:val="19"/>
          <w:szCs w:val="19"/>
          <w:rtl w:val="0"/>
        </w:rPr>
        <w:t xml:space="preserve"> Create visual representations of the model's predictions, such as line graphs showing expected trends or heatmaps indicating areas of concern.</w:t>
      </w:r>
    </w:p>
    <w:p w:rsidR="00000000" w:rsidDel="00000000" w:rsidP="00000000" w:rsidRDefault="00000000" w:rsidRPr="00000000" w14:paraId="00000181">
      <w:pPr>
        <w:numPr>
          <w:ilvl w:val="1"/>
          <w:numId w:val="19"/>
        </w:numPr>
        <w:spacing w:after="0" w:afterAutospacing="0" w:before="0" w:beforeAutospacing="0" w:lineRule="auto"/>
        <w:ind w:left="1440" w:hanging="360"/>
        <w:rPr>
          <w:sz w:val="19"/>
          <w:szCs w:val="19"/>
        </w:rPr>
      </w:pPr>
      <w:r w:rsidDel="00000000" w:rsidR="00000000" w:rsidRPr="00000000">
        <w:rPr>
          <w:b w:val="1"/>
          <w:sz w:val="19"/>
          <w:szCs w:val="19"/>
          <w:rtl w:val="0"/>
        </w:rPr>
        <w:t xml:space="preserve">Tools:</w:t>
      </w:r>
      <w:r w:rsidDel="00000000" w:rsidR="00000000" w:rsidRPr="00000000">
        <w:rPr>
          <w:sz w:val="19"/>
          <w:szCs w:val="19"/>
          <w:rtl w:val="0"/>
        </w:rPr>
        <w:t xml:space="preserve"> Employ </w:t>
      </w:r>
      <w:r w:rsidDel="00000000" w:rsidR="00000000" w:rsidRPr="00000000">
        <w:rPr>
          <w:b w:val="1"/>
          <w:sz w:val="19"/>
          <w:szCs w:val="19"/>
          <w:rtl w:val="0"/>
        </w:rPr>
        <w:t xml:space="preserve">Matplotlib</w:t>
      </w:r>
      <w:r w:rsidDel="00000000" w:rsidR="00000000" w:rsidRPr="00000000">
        <w:rPr>
          <w:sz w:val="19"/>
          <w:szCs w:val="19"/>
          <w:rtl w:val="0"/>
        </w:rPr>
        <w:t xml:space="preserve"> and </w:t>
      </w:r>
      <w:r w:rsidDel="00000000" w:rsidR="00000000" w:rsidRPr="00000000">
        <w:rPr>
          <w:b w:val="1"/>
          <w:sz w:val="19"/>
          <w:szCs w:val="19"/>
          <w:rtl w:val="0"/>
        </w:rPr>
        <w:t xml:space="preserve">Seaborn</w:t>
      </w:r>
      <w:r w:rsidDel="00000000" w:rsidR="00000000" w:rsidRPr="00000000">
        <w:rPr>
          <w:sz w:val="19"/>
          <w:szCs w:val="19"/>
          <w:rtl w:val="0"/>
        </w:rPr>
        <w:t xml:space="preserve"> to create detailed visualizations that effectively communicate the results to stakeholders.</w:t>
      </w:r>
    </w:p>
    <w:p w:rsidR="00000000" w:rsidDel="00000000" w:rsidP="00000000" w:rsidRDefault="00000000" w:rsidRPr="00000000" w14:paraId="00000182">
      <w:pPr>
        <w:numPr>
          <w:ilvl w:val="0"/>
          <w:numId w:val="19"/>
        </w:numPr>
        <w:spacing w:after="0" w:afterAutospacing="0" w:before="0" w:beforeAutospacing="0" w:lineRule="auto"/>
        <w:ind w:left="720" w:hanging="360"/>
        <w:rPr>
          <w:sz w:val="19"/>
          <w:szCs w:val="19"/>
        </w:rPr>
      </w:pPr>
      <w:r w:rsidDel="00000000" w:rsidR="00000000" w:rsidRPr="00000000">
        <w:rPr>
          <w:b w:val="1"/>
          <w:sz w:val="19"/>
          <w:szCs w:val="19"/>
          <w:rtl w:val="0"/>
        </w:rPr>
        <w:t xml:space="preserve">Procedure:</w:t>
      </w:r>
    </w:p>
    <w:p w:rsidR="00000000" w:rsidDel="00000000" w:rsidP="00000000" w:rsidRDefault="00000000" w:rsidRPr="00000000" w14:paraId="00000183">
      <w:pPr>
        <w:numPr>
          <w:ilvl w:val="1"/>
          <w:numId w:val="19"/>
        </w:numPr>
        <w:spacing w:after="0" w:afterAutospacing="0" w:before="0" w:beforeAutospacing="0" w:lineRule="auto"/>
        <w:ind w:left="1440" w:hanging="360"/>
        <w:rPr>
          <w:sz w:val="19"/>
          <w:szCs w:val="19"/>
        </w:rPr>
      </w:pPr>
      <w:r w:rsidDel="00000000" w:rsidR="00000000" w:rsidRPr="00000000">
        <w:rPr>
          <w:sz w:val="19"/>
          <w:szCs w:val="19"/>
          <w:rtl w:val="0"/>
        </w:rPr>
        <w:t xml:space="preserve">Input recent data into the model to generate predictions for the upcoming months or quarters.</w:t>
      </w:r>
    </w:p>
    <w:p w:rsidR="00000000" w:rsidDel="00000000" w:rsidP="00000000" w:rsidRDefault="00000000" w:rsidRPr="00000000" w14:paraId="00000184">
      <w:pPr>
        <w:numPr>
          <w:ilvl w:val="1"/>
          <w:numId w:val="19"/>
        </w:numPr>
        <w:spacing w:after="0" w:afterAutospacing="0" w:before="0" w:beforeAutospacing="0" w:lineRule="auto"/>
        <w:ind w:left="1440" w:hanging="360"/>
        <w:rPr>
          <w:sz w:val="19"/>
          <w:szCs w:val="19"/>
        </w:rPr>
      </w:pPr>
      <w:r w:rsidDel="00000000" w:rsidR="00000000" w:rsidRPr="00000000">
        <w:rPr>
          <w:sz w:val="19"/>
          <w:szCs w:val="19"/>
          <w:rtl w:val="0"/>
        </w:rPr>
        <w:t xml:space="preserve">Visualize the predictions alongside historical data to provide context, highlighting areas of potential risk.</w:t>
      </w:r>
    </w:p>
    <w:p w:rsidR="00000000" w:rsidDel="00000000" w:rsidP="00000000" w:rsidRDefault="00000000" w:rsidRPr="00000000" w14:paraId="00000185">
      <w:pPr>
        <w:numPr>
          <w:ilvl w:val="1"/>
          <w:numId w:val="19"/>
        </w:numPr>
        <w:spacing w:after="240" w:before="0" w:beforeAutospacing="0" w:lineRule="auto"/>
        <w:ind w:left="1440" w:hanging="360"/>
        <w:rPr>
          <w:sz w:val="19"/>
          <w:szCs w:val="19"/>
        </w:rPr>
      </w:pPr>
      <w:r w:rsidDel="00000000" w:rsidR="00000000" w:rsidRPr="00000000">
        <w:rPr>
          <w:sz w:val="19"/>
          <w:szCs w:val="19"/>
          <w:rtl w:val="0"/>
        </w:rPr>
        <w:t xml:space="preserve">Present the results in a user-friendly format, such as dashboards or reports, that can be used by security teams for decision-making.</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b w:val="1"/>
          <w:sz w:val="19"/>
          <w:szCs w:val="19"/>
          <w:u w:val="single"/>
        </w:rPr>
      </w:pPr>
      <w:r w:rsidDel="00000000" w:rsidR="00000000" w:rsidRPr="00000000">
        <w:rPr>
          <w:rFonts w:ascii="Times New Roman" w:cs="Times New Roman" w:eastAsia="Times New Roman" w:hAnsi="Times New Roman"/>
          <w:b w:val="1"/>
          <w:i w:val="0"/>
          <w:smallCaps w:val="0"/>
          <w:strike w:val="0"/>
          <w:color w:val="000000"/>
          <w:sz w:val="19"/>
          <w:szCs w:val="19"/>
          <w:u w:val="single"/>
          <w:shd w:fill="auto" w:val="clear"/>
          <w:vertAlign w:val="baseline"/>
          <w:rtl w:val="0"/>
        </w:rPr>
        <w:t xml:space="preserve">4.2 </w:t>
      </w:r>
      <w:r w:rsidDel="00000000" w:rsidR="00000000" w:rsidRPr="00000000">
        <w:rPr>
          <w:b w:val="1"/>
          <w:sz w:val="19"/>
          <w:szCs w:val="19"/>
          <w:u w:val="single"/>
          <w:rtl w:val="0"/>
        </w:rPr>
        <w:t xml:space="preserve">Source Code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b w:val="1"/>
          <w:sz w:val="19"/>
          <w:szCs w:val="19"/>
          <w:u w:val="singl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u w:val="single"/>
        </w:rPr>
      </w:pPr>
      <w:r w:rsidDel="00000000" w:rsidR="00000000" w:rsidRPr="00000000">
        <w:rPr>
          <w:sz w:val="19"/>
          <w:szCs w:val="19"/>
          <w:u w:val="single"/>
          <w:rtl w:val="0"/>
        </w:rPr>
        <w:t xml:space="preserve">Temporal Analysis graph:</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sz w:val="19"/>
          <w:szCs w:val="19"/>
        </w:rPr>
        <w:drawing>
          <wp:inline distB="114300" distT="114300" distL="114300" distR="114300">
            <wp:extent cx="6469063" cy="3171825"/>
            <wp:effectExtent b="0" l="0" r="0" t="0"/>
            <wp:docPr id="2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6906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u w:val="single"/>
        </w:rPr>
      </w:pPr>
      <w:r w:rsidDel="00000000" w:rsidR="00000000" w:rsidRPr="00000000">
        <w:rPr>
          <w:sz w:val="19"/>
          <w:szCs w:val="19"/>
          <w:u w:val="single"/>
          <w:rtl w:val="0"/>
        </w:rPr>
        <w:t xml:space="preserve">Heat Map Analysis:</w:t>
      </w:r>
    </w:p>
    <w:p w:rsidR="00000000" w:rsidDel="00000000" w:rsidP="00000000" w:rsidRDefault="00000000" w:rsidRPr="00000000" w14:paraId="00000190">
      <w:pPr>
        <w:spacing w:before="2" w:line="362" w:lineRule="auto"/>
        <w:ind w:right="437"/>
        <w:jc w:val="both"/>
        <w:rPr>
          <w:sz w:val="19"/>
          <w:szCs w:val="19"/>
        </w:rPr>
      </w:pPr>
      <w:r w:rsidDel="00000000" w:rsidR="00000000" w:rsidRPr="00000000">
        <w:rPr>
          <w:sz w:val="19"/>
          <w:szCs w:val="19"/>
        </w:rPr>
        <w:drawing>
          <wp:inline distB="114300" distT="114300" distL="114300" distR="114300">
            <wp:extent cx="6419850" cy="3704041"/>
            <wp:effectExtent b="0" l="0" r="0" t="0"/>
            <wp:docPr id="3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419850" cy="3704041"/>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u w:val="single"/>
        </w:rPr>
      </w:pPr>
      <w:r w:rsidDel="00000000" w:rsidR="00000000" w:rsidRPr="00000000">
        <w:rPr>
          <w:sz w:val="19"/>
          <w:szCs w:val="19"/>
          <w:u w:val="single"/>
          <w:rtl w:val="0"/>
        </w:rPr>
        <w:t xml:space="preserve">Top 10 High-Threat Vulnerabilities Related to Weak Authentication:</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sz w:val="19"/>
          <w:szCs w:val="19"/>
        </w:rPr>
        <w:drawing>
          <wp:inline distB="114300" distT="114300" distL="114300" distR="114300">
            <wp:extent cx="6362700" cy="3301624"/>
            <wp:effectExtent b="0" l="0" r="0" t="0"/>
            <wp:docPr id="2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362700" cy="3301624"/>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1"/>
          <w:i w:val="0"/>
          <w:smallCaps w:val="0"/>
          <w:strike w:val="0"/>
          <w:color w:val="000000"/>
          <w:sz w:val="19"/>
          <w:szCs w:val="19"/>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single"/>
          <w:shd w:fill="auto" w:val="clear"/>
          <w:vertAlign w:val="baseline"/>
          <w:rtl w:val="0"/>
        </w:rPr>
        <w:t xml:space="preserve">4.4 S</w:t>
      </w:r>
      <w:r w:rsidDel="00000000" w:rsidR="00000000" w:rsidRPr="00000000">
        <w:rPr>
          <w:b w:val="1"/>
          <w:sz w:val="19"/>
          <w:szCs w:val="19"/>
          <w:u w:val="single"/>
          <w:rtl w:val="0"/>
        </w:rPr>
        <w:t xml:space="preserve">ummary</w:t>
      </w:r>
      <w:r w:rsidDel="00000000" w:rsidR="00000000" w:rsidRPr="00000000">
        <w:rPr>
          <w:rtl w:val="0"/>
        </w:rPr>
      </w:r>
    </w:p>
    <w:p w:rsidR="00000000" w:rsidDel="00000000" w:rsidP="00000000" w:rsidRDefault="00000000" w:rsidRPr="00000000" w14:paraId="00000197">
      <w:pPr>
        <w:spacing w:after="240" w:before="240" w:lineRule="auto"/>
        <w:jc w:val="both"/>
        <w:rPr>
          <w:sz w:val="19"/>
          <w:szCs w:val="19"/>
        </w:rPr>
      </w:pPr>
      <w:r w:rsidDel="00000000" w:rsidR="00000000" w:rsidRPr="00000000">
        <w:rPr>
          <w:sz w:val="19"/>
          <w:szCs w:val="19"/>
          <w:rtl w:val="0"/>
        </w:rPr>
        <w:t xml:space="preserve">This project focuses on the development of a comprehensive model designed to predict zero-day vulnerabilities by leveraging historical data from Common Vulnerabilities and Exposures (CVE) and Common Weakness Enumeration (CWE) databases. The initiative involves several key phases, starting with the meticulous collection and preprocessing of data from publicly available vulnerability repositories. This initial step ensures that the data is clean, consistent, and ready for analysis, which is critical for accurate modeling.</w:t>
      </w:r>
    </w:p>
    <w:p w:rsidR="00000000" w:rsidDel="00000000" w:rsidP="00000000" w:rsidRDefault="00000000" w:rsidRPr="00000000" w14:paraId="00000198">
      <w:pPr>
        <w:spacing w:after="240" w:before="240" w:lineRule="auto"/>
        <w:jc w:val="both"/>
        <w:rPr>
          <w:sz w:val="19"/>
          <w:szCs w:val="19"/>
        </w:rPr>
      </w:pPr>
      <w:r w:rsidDel="00000000" w:rsidR="00000000" w:rsidRPr="00000000">
        <w:rPr>
          <w:sz w:val="19"/>
          <w:szCs w:val="19"/>
          <w:rtl w:val="0"/>
        </w:rPr>
        <w:t xml:space="preserve">Following data preprocessing, the project moves into the feature engineering stage, where the raw data is transformed into a more structured and informative format. This involves categorizing vulnerabilities based on their CWE codes and extracting important temporal attributes, such as publication dates, which are essential for understanding trends and patterns in the data.</w:t>
      </w:r>
    </w:p>
    <w:p w:rsidR="00000000" w:rsidDel="00000000" w:rsidP="00000000" w:rsidRDefault="00000000" w:rsidRPr="00000000" w14:paraId="00000199">
      <w:pPr>
        <w:spacing w:after="240" w:before="240" w:lineRule="auto"/>
        <w:jc w:val="both"/>
        <w:rPr>
          <w:sz w:val="19"/>
          <w:szCs w:val="19"/>
        </w:rPr>
      </w:pPr>
      <w:r w:rsidDel="00000000" w:rsidR="00000000" w:rsidRPr="00000000">
        <w:rPr>
          <w:sz w:val="19"/>
          <w:szCs w:val="19"/>
          <w:rtl w:val="0"/>
        </w:rPr>
        <w:t xml:space="preserve">The core of the project lies in the temporal analysis, where historical data is examined to uncover trends, seasonal patterns, and anomalies in the occurrence of vulnerabilities. This analysis provides valuable insights into how certain types of vulnerabilities emerge and evolve over time, which is crucial for anticipating potential zero-day threats.</w:t>
      </w:r>
    </w:p>
    <w:p w:rsidR="00000000" w:rsidDel="00000000" w:rsidP="00000000" w:rsidRDefault="00000000" w:rsidRPr="00000000" w14:paraId="0000019A">
      <w:pPr>
        <w:spacing w:after="240" w:before="240" w:lineRule="auto"/>
        <w:jc w:val="both"/>
        <w:rPr>
          <w:sz w:val="19"/>
          <w:szCs w:val="19"/>
        </w:rPr>
      </w:pPr>
      <w:r w:rsidDel="00000000" w:rsidR="00000000" w:rsidRPr="00000000">
        <w:rPr>
          <w:sz w:val="19"/>
          <w:szCs w:val="19"/>
          <w:rtl w:val="0"/>
        </w:rPr>
        <w:t xml:space="preserve">Building on the insights gained from temporal analysis, a machine learning model is developed to predict future vulnerabilities. The model is trained on the historical data, with the goal of accurately forecasting the occurrence of specific types of vulnerabilities. This predictive capability is a significant advancement in the field of cybersecurity, as it allows organizations to take proactive measures to defend against emerging threats before they can be exploited.</w:t>
      </w:r>
    </w:p>
    <w:p w:rsidR="00000000" w:rsidDel="00000000" w:rsidP="00000000" w:rsidRDefault="00000000" w:rsidRPr="00000000" w14:paraId="0000019B">
      <w:pPr>
        <w:spacing w:after="240" w:before="240" w:lineRule="auto"/>
        <w:jc w:val="both"/>
        <w:rPr>
          <w:sz w:val="19"/>
          <w:szCs w:val="19"/>
        </w:rPr>
      </w:pPr>
      <w:r w:rsidDel="00000000" w:rsidR="00000000" w:rsidRPr="00000000">
        <w:rPr>
          <w:sz w:val="19"/>
          <w:szCs w:val="19"/>
          <w:rtl w:val="0"/>
        </w:rPr>
        <w:t xml:space="preserve">Finally, the project emphasizes the importance of visualizing the model's predictions in an accessible and informative manner. By creating clear and intuitive visual representations of the predicted vulnerabilities, the project aims to make the results actionable for cybersecurity professionals. These visualizations help in identifying areas where defenses need to be strengthened and in prioritizing security efforts based on the most likely future threats.</w:t>
      </w:r>
    </w:p>
    <w:p w:rsidR="00000000" w:rsidDel="00000000" w:rsidP="00000000" w:rsidRDefault="00000000" w:rsidRPr="00000000" w14:paraId="0000019C">
      <w:pPr>
        <w:spacing w:after="240" w:before="240" w:lineRule="auto"/>
        <w:jc w:val="both"/>
        <w:rPr>
          <w:sz w:val="19"/>
          <w:szCs w:val="19"/>
        </w:rPr>
      </w:pPr>
      <w:r w:rsidDel="00000000" w:rsidR="00000000" w:rsidRPr="00000000">
        <w:rPr>
          <w:sz w:val="19"/>
          <w:szCs w:val="19"/>
          <w:rtl w:val="0"/>
        </w:rPr>
        <w:t xml:space="preserve">Overall, this project represents a significant step forward in enhancing proactive cybersecurity defenses. By analyzing historical CVE and CWE data and developing a predictive model, the project provides a valuable tool for anticipating zero-day vulnerabilities and improving the overall security posture of organizations.</w:t>
      </w:r>
    </w:p>
    <w:p w:rsidR="00000000" w:rsidDel="00000000" w:rsidP="00000000" w:rsidRDefault="00000000" w:rsidRPr="00000000" w14:paraId="0000019D">
      <w:pPr>
        <w:spacing w:before="4" w:lineRule="auto"/>
        <w:jc w:val="both"/>
        <w:rPr>
          <w:sz w:val="19"/>
          <w:szCs w:val="19"/>
        </w:rPr>
      </w:pPr>
      <w:r w:rsidDel="00000000" w:rsidR="00000000" w:rsidRPr="00000000">
        <w:rPr>
          <w:rtl w:val="0"/>
        </w:rPr>
      </w:r>
    </w:p>
    <w:p w:rsidR="00000000" w:rsidDel="00000000" w:rsidP="00000000" w:rsidRDefault="00000000" w:rsidRPr="00000000" w14:paraId="0000019E">
      <w:pPr>
        <w:spacing w:before="2" w:line="362" w:lineRule="auto"/>
        <w:ind w:right="437"/>
        <w:rPr>
          <w:sz w:val="19"/>
          <w:szCs w:val="19"/>
        </w:rPr>
      </w:pPr>
      <w:r w:rsidDel="00000000" w:rsidR="00000000" w:rsidRPr="00000000">
        <w:rPr>
          <w:rtl w:val="0"/>
        </w:rPr>
      </w:r>
    </w:p>
    <w:p w:rsidR="00000000" w:rsidDel="00000000" w:rsidP="00000000" w:rsidRDefault="00000000" w:rsidRPr="00000000" w14:paraId="0000019F">
      <w:pPr>
        <w:spacing w:before="2" w:line="362" w:lineRule="auto"/>
        <w:ind w:right="437"/>
        <w:rPr>
          <w:b w:val="1"/>
          <w:sz w:val="23"/>
          <w:szCs w:val="23"/>
          <w:u w:val="single"/>
        </w:rPr>
      </w:pPr>
      <w:r w:rsidDel="00000000" w:rsidR="00000000" w:rsidRPr="00000000">
        <w:rPr>
          <w:b w:val="1"/>
          <w:sz w:val="23"/>
          <w:szCs w:val="23"/>
          <w:u w:val="single"/>
          <w:rtl w:val="0"/>
        </w:rPr>
        <w:t xml:space="preserve">CHAPTER 5: EXPERIMENTAL RESULTS AND ANALYSIS</w:t>
      </w:r>
    </w:p>
    <w:p w:rsidR="00000000" w:rsidDel="00000000" w:rsidP="00000000" w:rsidRDefault="00000000" w:rsidRPr="00000000" w14:paraId="000001A0">
      <w:pPr>
        <w:pStyle w:val="Heading3"/>
        <w:spacing w:after="80" w:before="280" w:lineRule="auto"/>
        <w:ind w:left="0" w:firstLine="0"/>
        <w:jc w:val="left"/>
        <w:rPr>
          <w:sz w:val="19"/>
          <w:szCs w:val="19"/>
          <w:u w:val="single"/>
        </w:rPr>
      </w:pPr>
      <w:bookmarkStart w:colFirst="0" w:colLast="0" w:name="_heading=h.hzk0ezsg3529" w:id="13"/>
      <w:bookmarkEnd w:id="13"/>
      <w:r w:rsidDel="00000000" w:rsidR="00000000" w:rsidRPr="00000000">
        <w:rPr>
          <w:sz w:val="19"/>
          <w:szCs w:val="19"/>
          <w:u w:val="single"/>
          <w:rtl w:val="0"/>
        </w:rPr>
        <w:t xml:space="preserve">5.1 Performance Analysis</w:t>
      </w:r>
    </w:p>
    <w:p w:rsidR="00000000" w:rsidDel="00000000" w:rsidP="00000000" w:rsidRDefault="00000000" w:rsidRPr="00000000" w14:paraId="000001A1">
      <w:pPr>
        <w:pStyle w:val="Heading3"/>
        <w:spacing w:after="240" w:before="240" w:lineRule="auto"/>
        <w:ind w:left="0" w:firstLine="0"/>
        <w:jc w:val="left"/>
        <w:rPr>
          <w:sz w:val="19"/>
          <w:szCs w:val="19"/>
        </w:rPr>
      </w:pPr>
      <w:bookmarkStart w:colFirst="0" w:colLast="0" w:name="_heading=h.gudkaahdjnn6" w:id="14"/>
      <w:bookmarkEnd w:id="14"/>
      <w:r w:rsidDel="00000000" w:rsidR="00000000" w:rsidRPr="00000000">
        <w:rPr>
          <w:sz w:val="19"/>
          <w:szCs w:val="19"/>
          <w:rtl w:val="0"/>
        </w:rPr>
        <w:t xml:space="preserve">Data Collection and Preprocessing:</w:t>
      </w:r>
    </w:p>
    <w:p w:rsidR="00000000" w:rsidDel="00000000" w:rsidP="00000000" w:rsidRDefault="00000000" w:rsidRPr="00000000" w14:paraId="000001A2">
      <w:pPr>
        <w:pStyle w:val="Heading3"/>
        <w:spacing w:after="240" w:before="240" w:lineRule="auto"/>
        <w:ind w:left="0" w:firstLine="0"/>
        <w:jc w:val="left"/>
        <w:rPr>
          <w:b w:val="0"/>
          <w:sz w:val="19"/>
          <w:szCs w:val="19"/>
        </w:rPr>
      </w:pPr>
      <w:bookmarkStart w:colFirst="0" w:colLast="0" w:name="_heading=h.gudkaahdjnn6" w:id="14"/>
      <w:bookmarkEnd w:id="14"/>
      <w:r w:rsidDel="00000000" w:rsidR="00000000" w:rsidRPr="00000000">
        <w:rPr>
          <w:b w:val="0"/>
          <w:sz w:val="19"/>
          <w:szCs w:val="19"/>
          <w:rtl w:val="0"/>
        </w:rPr>
        <w:t xml:space="preserve">The dataset used for this study was meticulously compiled from reputable public vulnerability databases, such as the National Vulnerability Database (NVD) and MITRE’s CVE list. The collected data comprised detailed descriptions of Common Vulnerabilities and Exposures (CVEs) along with their corresponding Common Weakness Enumeration (CWE) codes. The initial phase of data processing involved rigorous cleaning to remove irrelevant or redundant information and handle any missing values appropriately. The dataset was further standardized to ensure uniformity; this included converting textual data, such as CWE descriptions, to lowercase, removing punctuation, and eliminating stop words. Additionally, key temporal attributes were derived by converting publication dates into a DateTime format, which was essential for conducting accurate temporal analysis.</w:t>
      </w:r>
    </w:p>
    <w:p w:rsidR="00000000" w:rsidDel="00000000" w:rsidP="00000000" w:rsidRDefault="00000000" w:rsidRPr="00000000" w14:paraId="000001A3">
      <w:pPr>
        <w:pStyle w:val="Heading3"/>
        <w:spacing w:after="240" w:before="240" w:lineRule="auto"/>
        <w:ind w:left="0" w:firstLine="0"/>
        <w:jc w:val="left"/>
        <w:rPr>
          <w:sz w:val="19"/>
          <w:szCs w:val="19"/>
        </w:rPr>
      </w:pPr>
      <w:bookmarkStart w:colFirst="0" w:colLast="0" w:name="_heading=h.gudkaahdjnn6" w:id="14"/>
      <w:bookmarkEnd w:id="14"/>
      <w:r w:rsidDel="00000000" w:rsidR="00000000" w:rsidRPr="00000000">
        <w:rPr>
          <w:sz w:val="19"/>
          <w:szCs w:val="19"/>
          <w:rtl w:val="0"/>
        </w:rPr>
        <w:t xml:space="preserve">Feature Engineering:</w:t>
      </w:r>
    </w:p>
    <w:p w:rsidR="00000000" w:rsidDel="00000000" w:rsidP="00000000" w:rsidRDefault="00000000" w:rsidRPr="00000000" w14:paraId="000001A4">
      <w:pPr>
        <w:pStyle w:val="Heading3"/>
        <w:spacing w:after="240" w:before="240" w:lineRule="auto"/>
        <w:ind w:left="0" w:firstLine="0"/>
        <w:jc w:val="left"/>
        <w:rPr>
          <w:b w:val="0"/>
          <w:sz w:val="19"/>
          <w:szCs w:val="19"/>
        </w:rPr>
      </w:pPr>
      <w:bookmarkStart w:colFirst="0" w:colLast="0" w:name="_heading=h.gudkaahdjnn6" w:id="14"/>
      <w:bookmarkEnd w:id="14"/>
      <w:r w:rsidDel="00000000" w:rsidR="00000000" w:rsidRPr="00000000">
        <w:rPr>
          <w:b w:val="0"/>
          <w:sz w:val="19"/>
          <w:szCs w:val="19"/>
          <w:rtl w:val="0"/>
        </w:rPr>
        <w:t xml:space="preserve">In the feature engineering stage, the raw data was transformed to enhance the predictive capability of the model. CWE codes were systematically categorized to reflect various types of vulnerabilities, such as those related to Remote Code Execution, SQL Injections, Buffer Overflows, and others. This categorization enabled a more granular analysis of trends and patterns within the dataset. Furthermore, temporal attributes, such as the year and month of publication, were extracted to facilitate the identification of trends and seasonal patterns in vulnerability occurrences. This step was critical in enabling the model to discern meaningful insights from the temporal distribution of vulnerabilities.</w:t>
      </w:r>
    </w:p>
    <w:p w:rsidR="00000000" w:rsidDel="00000000" w:rsidP="00000000" w:rsidRDefault="00000000" w:rsidRPr="00000000" w14:paraId="000001A5">
      <w:pPr>
        <w:pStyle w:val="Heading3"/>
        <w:spacing w:after="240" w:before="240" w:lineRule="auto"/>
        <w:ind w:left="0" w:firstLine="0"/>
        <w:jc w:val="left"/>
        <w:rPr>
          <w:sz w:val="19"/>
          <w:szCs w:val="19"/>
        </w:rPr>
      </w:pPr>
      <w:bookmarkStart w:colFirst="0" w:colLast="0" w:name="_heading=h.gudkaahdjnn6" w:id="14"/>
      <w:bookmarkEnd w:id="14"/>
      <w:r w:rsidDel="00000000" w:rsidR="00000000" w:rsidRPr="00000000">
        <w:rPr>
          <w:sz w:val="19"/>
          <w:szCs w:val="19"/>
          <w:rtl w:val="0"/>
        </w:rPr>
        <w:t xml:space="preserve">Temporal Analysis:</w:t>
      </w:r>
    </w:p>
    <w:p w:rsidR="00000000" w:rsidDel="00000000" w:rsidP="00000000" w:rsidRDefault="00000000" w:rsidRPr="00000000" w14:paraId="000001A6">
      <w:pPr>
        <w:pStyle w:val="Heading3"/>
        <w:numPr>
          <w:ilvl w:val="0"/>
          <w:numId w:val="16"/>
        </w:numPr>
        <w:spacing w:after="0" w:afterAutospacing="0" w:before="240" w:lineRule="auto"/>
        <w:ind w:left="720" w:hanging="360"/>
        <w:jc w:val="left"/>
        <w:rPr>
          <w:b w:val="0"/>
          <w:sz w:val="19"/>
          <w:szCs w:val="19"/>
        </w:rPr>
      </w:pPr>
      <w:bookmarkStart w:colFirst="0" w:colLast="0" w:name="_heading=h.gudkaahdjnn6" w:id="14"/>
      <w:bookmarkEnd w:id="14"/>
      <w:r w:rsidDel="00000000" w:rsidR="00000000" w:rsidRPr="00000000">
        <w:rPr>
          <w:sz w:val="19"/>
          <w:szCs w:val="19"/>
          <w:rtl w:val="0"/>
        </w:rPr>
        <w:t xml:space="preserve">Trend Analysis:</w:t>
        <w:br w:type="textWrapping"/>
      </w:r>
      <w:r w:rsidDel="00000000" w:rsidR="00000000" w:rsidRPr="00000000">
        <w:rPr>
          <w:b w:val="0"/>
          <w:sz w:val="19"/>
          <w:szCs w:val="19"/>
          <w:rtl w:val="0"/>
        </w:rPr>
        <w:t xml:space="preserve">The temporal analysis of CWE codes revealed significant trends in vulnerability occurrences. The model identified an increasing frequency of certain CWE codes over time, suggesting the emergence of new vulnerabilities or the resurgence of older ones. These trends indicate areas where proactive security measures should be focused to mitigate potential risks before they become widely exploited.</w:t>
      </w:r>
    </w:p>
    <w:p w:rsidR="00000000" w:rsidDel="00000000" w:rsidP="00000000" w:rsidRDefault="00000000" w:rsidRPr="00000000" w14:paraId="000001A7">
      <w:pPr>
        <w:pStyle w:val="Heading3"/>
        <w:numPr>
          <w:ilvl w:val="0"/>
          <w:numId w:val="16"/>
        </w:numPr>
        <w:spacing w:after="0" w:afterAutospacing="0" w:before="0" w:beforeAutospacing="0" w:lineRule="auto"/>
        <w:ind w:left="720" w:hanging="360"/>
        <w:jc w:val="left"/>
        <w:rPr>
          <w:b w:val="0"/>
          <w:sz w:val="19"/>
          <w:szCs w:val="19"/>
        </w:rPr>
      </w:pPr>
      <w:bookmarkStart w:colFirst="0" w:colLast="0" w:name="_heading=h.gudkaahdjnn6" w:id="14"/>
      <w:bookmarkEnd w:id="14"/>
      <w:r w:rsidDel="00000000" w:rsidR="00000000" w:rsidRPr="00000000">
        <w:rPr>
          <w:sz w:val="19"/>
          <w:szCs w:val="19"/>
          <w:rtl w:val="0"/>
        </w:rPr>
        <w:t xml:space="preserve">Seasonal Patterns:</w:t>
        <w:br w:type="textWrapping"/>
      </w:r>
      <w:r w:rsidDel="00000000" w:rsidR="00000000" w:rsidRPr="00000000">
        <w:rPr>
          <w:b w:val="0"/>
          <w:sz w:val="19"/>
          <w:szCs w:val="19"/>
          <w:rtl w:val="0"/>
        </w:rPr>
        <w:t xml:space="preserve">The analysis also uncovered periodic variations in the occurrence of specific CWE codes, indicating potential seasonal trends in vulnerability exploitation. For instance, certain types of vulnerabilities showed a tendency to spike during specific times of the year, possibly due to the cyclical nature of software development and deployment cycles. Recognizing these patterns allows for the anticipation of periods of higher risk and the implementation of timely security measures.</w:t>
      </w:r>
    </w:p>
    <w:p w:rsidR="00000000" w:rsidDel="00000000" w:rsidP="00000000" w:rsidRDefault="00000000" w:rsidRPr="00000000" w14:paraId="000001A8">
      <w:pPr>
        <w:pStyle w:val="Heading3"/>
        <w:numPr>
          <w:ilvl w:val="0"/>
          <w:numId w:val="16"/>
        </w:numPr>
        <w:spacing w:after="240" w:before="0" w:beforeAutospacing="0" w:lineRule="auto"/>
        <w:ind w:left="720" w:hanging="360"/>
        <w:jc w:val="left"/>
        <w:rPr>
          <w:b w:val="0"/>
          <w:sz w:val="19"/>
          <w:szCs w:val="19"/>
        </w:rPr>
      </w:pPr>
      <w:bookmarkStart w:colFirst="0" w:colLast="0" w:name="_heading=h.gudkaahdjnn6" w:id="14"/>
      <w:bookmarkEnd w:id="14"/>
      <w:r w:rsidDel="00000000" w:rsidR="00000000" w:rsidRPr="00000000">
        <w:rPr>
          <w:sz w:val="19"/>
          <w:szCs w:val="19"/>
          <w:rtl w:val="0"/>
        </w:rPr>
        <w:t xml:space="preserve">Anomaly Detection:</w:t>
        <w:br w:type="textWrapping"/>
      </w:r>
      <w:r w:rsidDel="00000000" w:rsidR="00000000" w:rsidRPr="00000000">
        <w:rPr>
          <w:b w:val="0"/>
          <w:sz w:val="19"/>
          <w:szCs w:val="19"/>
          <w:rtl w:val="0"/>
        </w:rPr>
        <w:t xml:space="preserve">Anomalies in the frequency of CWE code occurrences were detected, which could signify the presence of zero-day threats or newly emerging vulnerabilities. These deviations from expected patterns are critical for cybersecurity professionals to monitor, as they may indicate the early stages of a new attack vector or an unexpected shift in threat landscape dynamics. Identifying such anomalies can provide early warnings, allowing for swift action to prevent widespread exploitation.</w:t>
      </w:r>
    </w:p>
    <w:p w:rsidR="00000000" w:rsidDel="00000000" w:rsidP="00000000" w:rsidRDefault="00000000" w:rsidRPr="00000000" w14:paraId="000001A9">
      <w:pPr>
        <w:pStyle w:val="Heading3"/>
        <w:spacing w:after="240" w:before="240" w:lineRule="auto"/>
        <w:ind w:left="0" w:firstLine="0"/>
        <w:jc w:val="left"/>
        <w:rPr>
          <w:sz w:val="19"/>
          <w:szCs w:val="19"/>
        </w:rPr>
      </w:pPr>
      <w:bookmarkStart w:colFirst="0" w:colLast="0" w:name="_heading=h.gudkaahdjnn6" w:id="14"/>
      <w:bookmarkEnd w:id="14"/>
      <w:r w:rsidDel="00000000" w:rsidR="00000000" w:rsidRPr="00000000">
        <w:rPr>
          <w:sz w:val="19"/>
          <w:szCs w:val="19"/>
          <w:rtl w:val="0"/>
        </w:rPr>
        <w:t xml:space="preserve">Performance Metrics:</w:t>
      </w:r>
    </w:p>
    <w:p w:rsidR="00000000" w:rsidDel="00000000" w:rsidP="00000000" w:rsidRDefault="00000000" w:rsidRPr="00000000" w14:paraId="000001AA">
      <w:pPr>
        <w:pStyle w:val="Heading3"/>
        <w:spacing w:after="240" w:before="240" w:lineRule="auto"/>
        <w:ind w:left="0" w:firstLine="0"/>
        <w:jc w:val="left"/>
        <w:rPr>
          <w:b w:val="0"/>
          <w:sz w:val="19"/>
          <w:szCs w:val="19"/>
        </w:rPr>
      </w:pPr>
      <w:bookmarkStart w:colFirst="0" w:colLast="0" w:name="_heading=h.gudkaahdjnn6" w:id="14"/>
      <w:bookmarkEnd w:id="14"/>
      <w:r w:rsidDel="00000000" w:rsidR="00000000" w:rsidRPr="00000000">
        <w:rPr>
          <w:b w:val="0"/>
          <w:sz w:val="19"/>
          <w:szCs w:val="19"/>
          <w:rtl w:val="0"/>
        </w:rPr>
        <w:t xml:space="preserve">The model's effectiveness in predicting and identifying relevant CWE codes was evaluated using several key performance metrics, which are detailed as follows:</w:t>
      </w:r>
    </w:p>
    <w:p w:rsidR="00000000" w:rsidDel="00000000" w:rsidP="00000000" w:rsidRDefault="00000000" w:rsidRPr="00000000" w14:paraId="000001AB">
      <w:pPr>
        <w:pStyle w:val="Heading3"/>
        <w:numPr>
          <w:ilvl w:val="0"/>
          <w:numId w:val="21"/>
        </w:numPr>
        <w:spacing w:after="0" w:afterAutospacing="0" w:before="240" w:lineRule="auto"/>
        <w:ind w:left="720" w:hanging="360"/>
        <w:jc w:val="left"/>
        <w:rPr>
          <w:b w:val="0"/>
          <w:sz w:val="19"/>
          <w:szCs w:val="19"/>
        </w:rPr>
      </w:pPr>
      <w:bookmarkStart w:colFirst="0" w:colLast="0" w:name="_heading=h.gudkaahdjnn6" w:id="14"/>
      <w:bookmarkEnd w:id="14"/>
      <w:r w:rsidDel="00000000" w:rsidR="00000000" w:rsidRPr="00000000">
        <w:rPr>
          <w:sz w:val="19"/>
          <w:szCs w:val="19"/>
          <w:rtl w:val="0"/>
        </w:rPr>
        <w:t xml:space="preserve">Accuracy:</w:t>
      </w:r>
      <w:r w:rsidDel="00000000" w:rsidR="00000000" w:rsidRPr="00000000">
        <w:rPr>
          <w:b w:val="0"/>
          <w:sz w:val="19"/>
          <w:szCs w:val="19"/>
          <w:rtl w:val="0"/>
        </w:rPr>
        <w:t xml:space="preserve"> The model achieved an accuracy of </w:t>
      </w:r>
      <w:r w:rsidDel="00000000" w:rsidR="00000000" w:rsidRPr="00000000">
        <w:rPr>
          <w:sz w:val="19"/>
          <w:szCs w:val="19"/>
          <w:rtl w:val="0"/>
        </w:rPr>
        <w:t xml:space="preserve">0.66</w:t>
      </w:r>
      <w:r w:rsidDel="00000000" w:rsidR="00000000" w:rsidRPr="00000000">
        <w:rPr>
          <w:b w:val="0"/>
          <w:sz w:val="19"/>
          <w:szCs w:val="19"/>
          <w:rtl w:val="0"/>
        </w:rPr>
        <w:t xml:space="preserve">, indicating that 66% of the predictions made by the model were correct. This metric reflects the overall correctness of the model across all classes.</w:t>
      </w:r>
    </w:p>
    <w:p w:rsidR="00000000" w:rsidDel="00000000" w:rsidP="00000000" w:rsidRDefault="00000000" w:rsidRPr="00000000" w14:paraId="000001AC">
      <w:pPr>
        <w:pStyle w:val="Heading3"/>
        <w:numPr>
          <w:ilvl w:val="0"/>
          <w:numId w:val="21"/>
        </w:numPr>
        <w:spacing w:after="0" w:afterAutospacing="0" w:before="0" w:beforeAutospacing="0" w:lineRule="auto"/>
        <w:ind w:left="720" w:hanging="360"/>
        <w:jc w:val="left"/>
        <w:rPr>
          <w:b w:val="0"/>
          <w:sz w:val="19"/>
          <w:szCs w:val="19"/>
        </w:rPr>
      </w:pPr>
      <w:bookmarkStart w:colFirst="0" w:colLast="0" w:name="_heading=h.gudkaahdjnn6" w:id="14"/>
      <w:bookmarkEnd w:id="14"/>
      <w:r w:rsidDel="00000000" w:rsidR="00000000" w:rsidRPr="00000000">
        <w:rPr>
          <w:sz w:val="19"/>
          <w:szCs w:val="19"/>
          <w:rtl w:val="0"/>
        </w:rPr>
        <w:t xml:space="preserve">Precision:</w:t>
      </w:r>
      <w:r w:rsidDel="00000000" w:rsidR="00000000" w:rsidRPr="00000000">
        <w:rPr>
          <w:b w:val="0"/>
          <w:sz w:val="19"/>
          <w:szCs w:val="19"/>
          <w:rtl w:val="0"/>
        </w:rPr>
        <w:t xml:space="preserve"> The precision score of </w:t>
      </w:r>
      <w:r w:rsidDel="00000000" w:rsidR="00000000" w:rsidRPr="00000000">
        <w:rPr>
          <w:sz w:val="19"/>
          <w:szCs w:val="19"/>
          <w:rtl w:val="0"/>
        </w:rPr>
        <w:t xml:space="preserve">0.65</w:t>
      </w:r>
      <w:r w:rsidDel="00000000" w:rsidR="00000000" w:rsidRPr="00000000">
        <w:rPr>
          <w:b w:val="0"/>
          <w:sz w:val="19"/>
          <w:szCs w:val="19"/>
          <w:rtl w:val="0"/>
        </w:rPr>
        <w:t xml:space="preserve"> suggests that out of all the CWE codes predicted as relevant by the model, 65% were indeed correct. Precision is crucial in minimizing false positives, ensuring that only the most likely CWE codes are flagged.</w:t>
      </w:r>
    </w:p>
    <w:p w:rsidR="00000000" w:rsidDel="00000000" w:rsidP="00000000" w:rsidRDefault="00000000" w:rsidRPr="00000000" w14:paraId="000001AD">
      <w:pPr>
        <w:pStyle w:val="Heading3"/>
        <w:numPr>
          <w:ilvl w:val="0"/>
          <w:numId w:val="21"/>
        </w:numPr>
        <w:spacing w:after="0" w:afterAutospacing="0" w:before="0" w:beforeAutospacing="0" w:lineRule="auto"/>
        <w:ind w:left="720" w:hanging="360"/>
        <w:jc w:val="left"/>
        <w:rPr>
          <w:b w:val="0"/>
          <w:sz w:val="19"/>
          <w:szCs w:val="19"/>
        </w:rPr>
      </w:pPr>
      <w:bookmarkStart w:colFirst="0" w:colLast="0" w:name="_heading=h.gudkaahdjnn6" w:id="14"/>
      <w:bookmarkEnd w:id="14"/>
      <w:r w:rsidDel="00000000" w:rsidR="00000000" w:rsidRPr="00000000">
        <w:rPr>
          <w:sz w:val="19"/>
          <w:szCs w:val="19"/>
          <w:rtl w:val="0"/>
        </w:rPr>
        <w:t xml:space="preserve">F1 Score:</w:t>
      </w:r>
      <w:r w:rsidDel="00000000" w:rsidR="00000000" w:rsidRPr="00000000">
        <w:rPr>
          <w:b w:val="0"/>
          <w:sz w:val="19"/>
          <w:szCs w:val="19"/>
          <w:rtl w:val="0"/>
        </w:rPr>
        <w:t xml:space="preserve"> The F1 score of </w:t>
      </w:r>
      <w:r w:rsidDel="00000000" w:rsidR="00000000" w:rsidRPr="00000000">
        <w:rPr>
          <w:sz w:val="19"/>
          <w:szCs w:val="19"/>
          <w:rtl w:val="0"/>
        </w:rPr>
        <w:t xml:space="preserve">0.64</w:t>
      </w:r>
      <w:r w:rsidDel="00000000" w:rsidR="00000000" w:rsidRPr="00000000">
        <w:rPr>
          <w:b w:val="0"/>
          <w:sz w:val="19"/>
          <w:szCs w:val="19"/>
          <w:rtl w:val="0"/>
        </w:rPr>
        <w:t xml:space="preserve"> represents a balance between precision and recall, providing a single metric that captures the model's overall effectiveness. The F1 score is particularly useful when dealing with imbalanced datasets, as it accounts for both false positives and false negatives.</w:t>
      </w:r>
    </w:p>
    <w:p w:rsidR="00000000" w:rsidDel="00000000" w:rsidP="00000000" w:rsidRDefault="00000000" w:rsidRPr="00000000" w14:paraId="000001AE">
      <w:pPr>
        <w:pStyle w:val="Heading3"/>
        <w:numPr>
          <w:ilvl w:val="0"/>
          <w:numId w:val="21"/>
        </w:numPr>
        <w:spacing w:after="240" w:before="0" w:beforeAutospacing="0" w:lineRule="auto"/>
        <w:ind w:left="720" w:hanging="360"/>
        <w:jc w:val="left"/>
        <w:rPr>
          <w:b w:val="0"/>
          <w:sz w:val="19"/>
          <w:szCs w:val="19"/>
        </w:rPr>
      </w:pPr>
      <w:bookmarkStart w:colFirst="0" w:colLast="0" w:name="_heading=h.gudkaahdjnn6" w:id="14"/>
      <w:bookmarkEnd w:id="14"/>
      <w:r w:rsidDel="00000000" w:rsidR="00000000" w:rsidRPr="00000000">
        <w:rPr>
          <w:sz w:val="19"/>
          <w:szCs w:val="19"/>
          <w:rtl w:val="0"/>
        </w:rPr>
        <w:t xml:space="preserve">Recall:</w:t>
      </w:r>
      <w:r w:rsidDel="00000000" w:rsidR="00000000" w:rsidRPr="00000000">
        <w:rPr>
          <w:b w:val="0"/>
          <w:sz w:val="19"/>
          <w:szCs w:val="19"/>
          <w:rtl w:val="0"/>
        </w:rPr>
        <w:t xml:space="preserve"> The recall score of </w:t>
      </w:r>
      <w:r w:rsidDel="00000000" w:rsidR="00000000" w:rsidRPr="00000000">
        <w:rPr>
          <w:sz w:val="19"/>
          <w:szCs w:val="19"/>
          <w:rtl w:val="0"/>
        </w:rPr>
        <w:t xml:space="preserve">0.66</w:t>
      </w:r>
      <w:r w:rsidDel="00000000" w:rsidR="00000000" w:rsidRPr="00000000">
        <w:rPr>
          <w:b w:val="0"/>
          <w:sz w:val="19"/>
          <w:szCs w:val="19"/>
          <w:rtl w:val="0"/>
        </w:rPr>
        <w:t xml:space="preserve"> indicates that the model was able to correctly identify 66% of all actual relevant CWE codes. A higher recall is essential for ensuring that most potential vulnerabilities are detected, even at the risk of including some false positives.</w:t>
      </w:r>
    </w:p>
    <w:p w:rsidR="00000000" w:rsidDel="00000000" w:rsidP="00000000" w:rsidRDefault="00000000" w:rsidRPr="00000000" w14:paraId="000001AF">
      <w:pPr>
        <w:pStyle w:val="Heading3"/>
        <w:spacing w:after="240" w:before="240" w:lineRule="auto"/>
        <w:ind w:left="0" w:firstLine="0"/>
        <w:jc w:val="left"/>
        <w:rPr>
          <w:b w:val="0"/>
          <w:sz w:val="19"/>
          <w:szCs w:val="19"/>
        </w:rPr>
      </w:pPr>
      <w:bookmarkStart w:colFirst="0" w:colLast="0" w:name="_heading=h.wn8i5580xgu6" w:id="15"/>
      <w:bookmarkEnd w:id="15"/>
      <w:r w:rsidDel="00000000" w:rsidR="00000000" w:rsidRPr="00000000">
        <w:rPr>
          <w:b w:val="0"/>
          <w:sz w:val="19"/>
          <w:szCs w:val="19"/>
          <w:rtl w:val="0"/>
        </w:rPr>
        <w:t xml:space="preserve">These performance metrics demonstrate the model's balanced capabilities in accurately predicting CWE codes and identifying emerging vulnerabilities, making it a valuable tool for proactive cybersecurity management.</w:t>
      </w:r>
    </w:p>
    <w:p w:rsidR="00000000" w:rsidDel="00000000" w:rsidP="00000000" w:rsidRDefault="00000000" w:rsidRPr="00000000" w14:paraId="000001B0">
      <w:pPr>
        <w:pStyle w:val="Heading3"/>
        <w:spacing w:after="240" w:before="240" w:lineRule="auto"/>
        <w:ind w:left="0" w:firstLine="0"/>
        <w:jc w:val="left"/>
        <w:rPr>
          <w:b w:val="0"/>
          <w:sz w:val="19"/>
          <w:szCs w:val="19"/>
        </w:rPr>
      </w:pPr>
      <w:bookmarkStart w:colFirst="0" w:colLast="0" w:name="_heading=h.gudkaahdjnn6" w:id="14"/>
      <w:bookmarkEnd w:id="14"/>
      <w:r w:rsidDel="00000000" w:rsidR="00000000" w:rsidRPr="00000000">
        <w:rPr>
          <w:rtl w:val="0"/>
        </w:rPr>
      </w:r>
    </w:p>
    <w:p w:rsidR="00000000" w:rsidDel="00000000" w:rsidP="00000000" w:rsidRDefault="00000000" w:rsidRPr="00000000" w14:paraId="000001B1">
      <w:pPr>
        <w:pStyle w:val="Heading3"/>
        <w:spacing w:after="80" w:before="280" w:lineRule="auto"/>
        <w:ind w:left="0" w:firstLine="0"/>
        <w:jc w:val="left"/>
        <w:rPr>
          <w:sz w:val="19"/>
          <w:szCs w:val="19"/>
        </w:rPr>
      </w:pPr>
      <w:bookmarkStart w:colFirst="0" w:colLast="0" w:name="_heading=h.vsn8an1wq3yo" w:id="16"/>
      <w:bookmarkEnd w:id="16"/>
      <w:r w:rsidDel="00000000" w:rsidR="00000000" w:rsidRPr="00000000">
        <w:rPr>
          <w:rtl w:val="0"/>
        </w:rPr>
      </w:r>
    </w:p>
    <w:p w:rsidR="00000000" w:rsidDel="00000000" w:rsidP="00000000" w:rsidRDefault="00000000" w:rsidRPr="00000000" w14:paraId="000001B2">
      <w:pPr>
        <w:pStyle w:val="Heading4"/>
        <w:keepNext w:val="0"/>
        <w:spacing w:after="40" w:lineRule="auto"/>
        <w:rPr>
          <w:rFonts w:ascii="Times New Roman" w:cs="Times New Roman" w:eastAsia="Times New Roman" w:hAnsi="Times New Roman"/>
          <w:sz w:val="19"/>
          <w:szCs w:val="19"/>
          <w:u w:val="single"/>
        </w:rPr>
      </w:pPr>
      <w:bookmarkStart w:colFirst="0" w:colLast="0" w:name="_heading=h.u6613iblt077" w:id="17"/>
      <w:bookmarkEnd w:id="17"/>
      <w:r w:rsidDel="00000000" w:rsidR="00000000" w:rsidRPr="00000000">
        <w:rPr>
          <w:rFonts w:ascii="Times New Roman" w:cs="Times New Roman" w:eastAsia="Times New Roman" w:hAnsi="Times New Roman"/>
          <w:sz w:val="19"/>
          <w:szCs w:val="19"/>
          <w:u w:val="single"/>
        </w:rPr>
        <w:drawing>
          <wp:inline distB="114300" distT="114300" distL="114300" distR="114300">
            <wp:extent cx="6210300" cy="3238500"/>
            <wp:effectExtent b="0" l="0" r="0" t="0"/>
            <wp:docPr id="2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2103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4"/>
        <w:keepNext w:val="0"/>
        <w:spacing w:after="40" w:lineRule="auto"/>
        <w:rPr>
          <w:rFonts w:ascii="Times New Roman" w:cs="Times New Roman" w:eastAsia="Times New Roman" w:hAnsi="Times New Roman"/>
          <w:sz w:val="19"/>
          <w:szCs w:val="19"/>
          <w:u w:val="single"/>
        </w:rPr>
      </w:pPr>
      <w:bookmarkStart w:colFirst="0" w:colLast="0" w:name="_heading=h.sth0rwdta654" w:id="18"/>
      <w:bookmarkEnd w:id="18"/>
      <w:r w:rsidDel="00000000" w:rsidR="00000000" w:rsidRPr="00000000">
        <w:rPr>
          <w:rFonts w:ascii="Times New Roman" w:cs="Times New Roman" w:eastAsia="Times New Roman" w:hAnsi="Times New Roman"/>
          <w:sz w:val="19"/>
          <w:szCs w:val="19"/>
          <w:u w:val="single"/>
        </w:rPr>
        <w:drawing>
          <wp:inline distB="114300" distT="114300" distL="114300" distR="114300">
            <wp:extent cx="6096000" cy="3259138"/>
            <wp:effectExtent b="0" l="0" r="0" t="0"/>
            <wp:docPr id="2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096000" cy="3259138"/>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4"/>
        <w:keepNext w:val="0"/>
        <w:spacing w:after="40" w:lineRule="auto"/>
        <w:rPr>
          <w:rFonts w:ascii="Times New Roman" w:cs="Times New Roman" w:eastAsia="Times New Roman" w:hAnsi="Times New Roman"/>
          <w:sz w:val="19"/>
          <w:szCs w:val="19"/>
          <w:u w:val="single"/>
        </w:rPr>
      </w:pPr>
      <w:bookmarkStart w:colFirst="0" w:colLast="0" w:name="_heading=h.tdukg8j4ve6m" w:id="19"/>
      <w:bookmarkEnd w:id="19"/>
      <w:r w:rsidDel="00000000" w:rsidR="00000000" w:rsidRPr="00000000">
        <w:rPr>
          <w:rFonts w:ascii="Times New Roman" w:cs="Times New Roman" w:eastAsia="Times New Roman" w:hAnsi="Times New Roman"/>
          <w:sz w:val="19"/>
          <w:szCs w:val="19"/>
          <w:u w:val="single"/>
          <w:rtl w:val="0"/>
        </w:rPr>
        <w:t xml:space="preserve">5.2 Observations</w:t>
      </w:r>
    </w:p>
    <w:p w:rsidR="00000000" w:rsidDel="00000000" w:rsidP="00000000" w:rsidRDefault="00000000" w:rsidRPr="00000000" w14:paraId="000001B5">
      <w:pPr>
        <w:spacing w:after="240" w:before="240" w:lineRule="auto"/>
        <w:rPr>
          <w:sz w:val="19"/>
          <w:szCs w:val="19"/>
        </w:rPr>
      </w:pPr>
      <w:r w:rsidDel="00000000" w:rsidR="00000000" w:rsidRPr="00000000">
        <w:rPr>
          <w:b w:val="1"/>
          <w:sz w:val="19"/>
          <w:szCs w:val="19"/>
          <w:rtl w:val="0"/>
        </w:rPr>
        <w:t xml:space="preserve">Emerging Patterns:</w:t>
      </w:r>
      <w:r w:rsidDel="00000000" w:rsidR="00000000" w:rsidRPr="00000000">
        <w:rPr>
          <w:sz w:val="19"/>
          <w:szCs w:val="19"/>
          <w:rtl w:val="0"/>
        </w:rPr>
        <w:t xml:space="preserve"> Through the analysis of CWE codes, distinct trends have been observed that suggest specific areas where proactive vulnerability management can be most effective. These patterns highlight the importance of monitoring certain CWE categories more closely, as they may be indicative of potential future risks.</w:t>
      </w:r>
    </w:p>
    <w:p w:rsidR="00000000" w:rsidDel="00000000" w:rsidP="00000000" w:rsidRDefault="00000000" w:rsidRPr="00000000" w14:paraId="000001B6">
      <w:pPr>
        <w:spacing w:after="240" w:before="240" w:lineRule="auto"/>
        <w:rPr>
          <w:sz w:val="19"/>
          <w:szCs w:val="19"/>
        </w:rPr>
      </w:pPr>
      <w:r w:rsidDel="00000000" w:rsidR="00000000" w:rsidRPr="00000000">
        <w:rPr>
          <w:b w:val="1"/>
          <w:sz w:val="19"/>
          <w:szCs w:val="19"/>
          <w:rtl w:val="0"/>
        </w:rPr>
        <w:t xml:space="preserve">Seasonal Variations:</w:t>
      </w:r>
      <w:r w:rsidDel="00000000" w:rsidR="00000000" w:rsidRPr="00000000">
        <w:rPr>
          <w:sz w:val="19"/>
          <w:szCs w:val="19"/>
          <w:rtl w:val="0"/>
        </w:rPr>
        <w:t xml:space="preserve"> The temporal analysis revealed that certain CWE codes exhibit seasonal variations, with periodic increases during specific times of the year. These fluctuations suggest that certain vulnerabilities may become more prominent or exploited during particular seasons, underscoring the need for heightened vigilance during these periods of potentially higher risk.</w:t>
      </w:r>
    </w:p>
    <w:p w:rsidR="00000000" w:rsidDel="00000000" w:rsidP="00000000" w:rsidRDefault="00000000" w:rsidRPr="00000000" w14:paraId="000001B7">
      <w:pPr>
        <w:spacing w:after="240" w:before="240" w:lineRule="auto"/>
        <w:rPr>
          <w:sz w:val="19"/>
          <w:szCs w:val="19"/>
        </w:rPr>
      </w:pPr>
      <w:r w:rsidDel="00000000" w:rsidR="00000000" w:rsidRPr="00000000">
        <w:rPr>
          <w:b w:val="1"/>
          <w:sz w:val="19"/>
          <w:szCs w:val="19"/>
          <w:rtl w:val="0"/>
        </w:rPr>
        <w:t xml:space="preserve">Anomalies:</w:t>
      </w:r>
      <w:r w:rsidDel="00000000" w:rsidR="00000000" w:rsidRPr="00000000">
        <w:rPr>
          <w:sz w:val="19"/>
          <w:szCs w:val="19"/>
          <w:rtl w:val="0"/>
        </w:rPr>
        <w:t xml:space="preserve"> The analysis also identified spikes in certain CWE codes, which may signify the emergence of new or previously unrecognized vulnerabilities. These anomalies are crucial for cybersecurity professionals to investigate further, as they could represent novel attack vectors or weaknesses that have not yet been widely exploited but could pose significant threats if left unaddressed.</w:t>
      </w:r>
    </w:p>
    <w:p w:rsidR="00000000" w:rsidDel="00000000" w:rsidP="00000000" w:rsidRDefault="00000000" w:rsidRPr="00000000" w14:paraId="000001B8">
      <w:pPr>
        <w:spacing w:after="240" w:before="240" w:lineRule="auto"/>
        <w:rPr>
          <w:sz w:val="19"/>
          <w:szCs w:val="19"/>
        </w:rPr>
      </w:pPr>
      <w:r w:rsidDel="00000000" w:rsidR="00000000" w:rsidRPr="00000000">
        <w:rPr>
          <w:rtl w:val="0"/>
        </w:rPr>
      </w:r>
    </w:p>
    <w:p w:rsidR="00000000" w:rsidDel="00000000" w:rsidP="00000000" w:rsidRDefault="00000000" w:rsidRPr="00000000" w14:paraId="000001B9">
      <w:pPr>
        <w:spacing w:after="240" w:before="240" w:lineRule="auto"/>
        <w:rPr>
          <w:sz w:val="19"/>
          <w:szCs w:val="19"/>
        </w:rPr>
      </w:pPr>
      <w:r w:rsidDel="00000000" w:rsidR="00000000" w:rsidRPr="00000000">
        <w:rPr>
          <w:sz w:val="19"/>
          <w:szCs w:val="19"/>
        </w:rPr>
        <w:drawing>
          <wp:inline distB="114300" distT="114300" distL="114300" distR="114300">
            <wp:extent cx="6210300" cy="5207000"/>
            <wp:effectExtent b="0" l="0" r="0" t="0"/>
            <wp:docPr id="2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2103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240" w:before="240" w:lineRule="auto"/>
        <w:rPr>
          <w:sz w:val="19"/>
          <w:szCs w:val="19"/>
        </w:rPr>
      </w:pPr>
      <w:r w:rsidDel="00000000" w:rsidR="00000000" w:rsidRPr="00000000">
        <w:rPr>
          <w:rtl w:val="0"/>
        </w:rPr>
      </w:r>
    </w:p>
    <w:p w:rsidR="00000000" w:rsidDel="00000000" w:rsidP="00000000" w:rsidRDefault="00000000" w:rsidRPr="00000000" w14:paraId="000001BB">
      <w:pPr>
        <w:spacing w:after="240" w:before="240" w:lineRule="auto"/>
        <w:rPr>
          <w:sz w:val="19"/>
          <w:szCs w:val="19"/>
        </w:rPr>
      </w:pPr>
      <w:r w:rsidDel="00000000" w:rsidR="00000000" w:rsidRPr="00000000">
        <w:rPr>
          <w:sz w:val="19"/>
          <w:szCs w:val="19"/>
        </w:rPr>
        <w:drawing>
          <wp:inline distB="114300" distT="114300" distL="114300" distR="114300">
            <wp:extent cx="6210300" cy="4610100"/>
            <wp:effectExtent b="0" l="0" r="0" t="0"/>
            <wp:docPr id="2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2103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240" w:before="240" w:lineRule="auto"/>
        <w:rPr>
          <w:sz w:val="19"/>
          <w:szCs w:val="19"/>
        </w:rPr>
      </w:pPr>
      <w:r w:rsidDel="00000000" w:rsidR="00000000" w:rsidRPr="00000000">
        <w:rPr>
          <w:rtl w:val="0"/>
        </w:rPr>
      </w:r>
    </w:p>
    <w:p w:rsidR="00000000" w:rsidDel="00000000" w:rsidP="00000000" w:rsidRDefault="00000000" w:rsidRPr="00000000" w14:paraId="000001BD">
      <w:pPr>
        <w:spacing w:after="240" w:before="240" w:lineRule="auto"/>
        <w:rPr>
          <w:sz w:val="19"/>
          <w:szCs w:val="19"/>
        </w:rPr>
      </w:pPr>
      <w:r w:rsidDel="00000000" w:rsidR="00000000" w:rsidRPr="00000000">
        <w:rPr>
          <w:rtl w:val="0"/>
        </w:rPr>
      </w:r>
    </w:p>
    <w:p w:rsidR="00000000" w:rsidDel="00000000" w:rsidP="00000000" w:rsidRDefault="00000000" w:rsidRPr="00000000" w14:paraId="000001BE">
      <w:pPr>
        <w:pStyle w:val="Heading4"/>
        <w:keepNext w:val="0"/>
        <w:spacing w:after="40" w:lineRule="auto"/>
        <w:rPr>
          <w:rFonts w:ascii="Times New Roman" w:cs="Times New Roman" w:eastAsia="Times New Roman" w:hAnsi="Times New Roman"/>
          <w:sz w:val="19"/>
          <w:szCs w:val="19"/>
          <w:u w:val="single"/>
        </w:rPr>
      </w:pPr>
      <w:bookmarkStart w:colFirst="0" w:colLast="0" w:name="_heading=h.fyh1nxmlixtv" w:id="20"/>
      <w:bookmarkEnd w:id="20"/>
      <w:r w:rsidDel="00000000" w:rsidR="00000000" w:rsidRPr="00000000">
        <w:rPr>
          <w:rFonts w:ascii="Times New Roman" w:cs="Times New Roman" w:eastAsia="Times New Roman" w:hAnsi="Times New Roman"/>
          <w:sz w:val="19"/>
          <w:szCs w:val="19"/>
          <w:u w:val="single"/>
          <w:rtl w:val="0"/>
        </w:rPr>
        <w:t xml:space="preserve">5.3 Summary</w:t>
      </w:r>
    </w:p>
    <w:p w:rsidR="00000000" w:rsidDel="00000000" w:rsidP="00000000" w:rsidRDefault="00000000" w:rsidRPr="00000000" w14:paraId="000001BF">
      <w:pPr>
        <w:spacing w:after="240" w:before="240" w:lineRule="auto"/>
        <w:rPr>
          <w:sz w:val="19"/>
          <w:szCs w:val="19"/>
        </w:rPr>
      </w:pPr>
      <w:r w:rsidDel="00000000" w:rsidR="00000000" w:rsidRPr="00000000">
        <w:rPr>
          <w:sz w:val="19"/>
          <w:szCs w:val="19"/>
          <w:rtl w:val="0"/>
        </w:rPr>
        <w:t xml:space="preserve">Temporal analysis using Common Weakness Enumeration (CWE) data has proven to be an effective approach for predicting zero-day attacks by uncovering underlying trends and patterns in historical vulnerability data. By systematically analyzing the temporal aspects of CWE entries, this method enables the identification of emerging vulnerabilities that have not yet been exploited or publicly disclosed. The ability to detect these vulnerabilities early is crucial for enhancing cybersecurity defenses and mitigating the risks associated with zero-day attacks.</w:t>
      </w:r>
    </w:p>
    <w:p w:rsidR="00000000" w:rsidDel="00000000" w:rsidP="00000000" w:rsidRDefault="00000000" w:rsidRPr="00000000" w14:paraId="000001C0">
      <w:pPr>
        <w:spacing w:after="240" w:before="240" w:lineRule="auto"/>
        <w:rPr>
          <w:sz w:val="19"/>
          <w:szCs w:val="19"/>
        </w:rPr>
      </w:pPr>
      <w:r w:rsidDel="00000000" w:rsidR="00000000" w:rsidRPr="00000000">
        <w:rPr>
          <w:sz w:val="19"/>
          <w:szCs w:val="19"/>
          <w:rtl w:val="0"/>
        </w:rPr>
        <w:t xml:space="preserve">The model developed in this study demonstrates balanced performance across key metrics, including accuracy, precision, recall, and F1 score, indicating its practical utility in predicting potential threats. This balanced performance highlights the model's capability to effectively identify relevant CWE codes associated with emerging vulnerabilities while minimizing the occurrence of false positives and negatives. As a result, this approach supports the implementation of proactive security measures by enabling organizations to anticipate and respond to potential security risks before they can be exploited by malicious actors.</w:t>
      </w:r>
    </w:p>
    <w:p w:rsidR="00000000" w:rsidDel="00000000" w:rsidP="00000000" w:rsidRDefault="00000000" w:rsidRPr="00000000" w14:paraId="000001C1">
      <w:pPr>
        <w:spacing w:after="240" w:before="240" w:lineRule="auto"/>
        <w:rPr>
          <w:sz w:val="19"/>
          <w:szCs w:val="19"/>
        </w:rPr>
      </w:pPr>
      <w:r w:rsidDel="00000000" w:rsidR="00000000" w:rsidRPr="00000000">
        <w:rPr>
          <w:sz w:val="19"/>
          <w:szCs w:val="19"/>
          <w:rtl w:val="0"/>
        </w:rPr>
        <w:t xml:space="preserve">In summary, the use of temporal analysis on CWE data offers a valuable tool for predicting zero-day attacks, contributing to the development of more robust and forward-looking cybersecurity strategies. By leveraging historical data to forecast future vulnerabilities, this method provides a foundation for more sophisticated and proactive approaches to protecting systems and networks from the evolving threat landscape.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left"/>
        <w:rPr>
          <w:rFonts w:ascii="Times New Roman" w:cs="Times New Roman" w:eastAsia="Times New Roman" w:hAnsi="Times New Roman"/>
          <w:b w:val="1"/>
          <w:i w:val="0"/>
          <w:smallCaps w:val="0"/>
          <w:strike w:val="0"/>
          <w:color w:val="000000"/>
          <w:sz w:val="23"/>
          <w:szCs w:val="23"/>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single"/>
          <w:shd w:fill="auto" w:val="clear"/>
          <w:vertAlign w:val="baseline"/>
          <w:rtl w:val="0"/>
        </w:rPr>
        <w:t xml:space="preserve">CHAPTER </w:t>
      </w:r>
      <w:r w:rsidDel="00000000" w:rsidR="00000000" w:rsidRPr="00000000">
        <w:rPr>
          <w:b w:val="1"/>
          <w:sz w:val="23"/>
          <w:szCs w:val="23"/>
          <w:u w:val="single"/>
          <w:rtl w:val="0"/>
        </w:rPr>
        <w:t xml:space="preserve">6</w:t>
      </w:r>
      <w:r w:rsidDel="00000000" w:rsidR="00000000" w:rsidRPr="00000000">
        <w:rPr>
          <w:rFonts w:ascii="Times New Roman" w:cs="Times New Roman" w:eastAsia="Times New Roman" w:hAnsi="Times New Roman"/>
          <w:b w:val="1"/>
          <w:i w:val="0"/>
          <w:smallCaps w:val="0"/>
          <w:strike w:val="0"/>
          <w:color w:val="000000"/>
          <w:sz w:val="23"/>
          <w:szCs w:val="23"/>
          <w:u w:val="single"/>
          <w:shd w:fill="auto" w:val="clear"/>
          <w:vertAlign w:val="baseline"/>
          <w:rtl w:val="0"/>
        </w:rPr>
        <w:t xml:space="preserve">: </w:t>
      </w:r>
      <w:r w:rsidDel="00000000" w:rsidR="00000000" w:rsidRPr="00000000">
        <w:rPr>
          <w:b w:val="1"/>
          <w:sz w:val="23"/>
          <w:szCs w:val="23"/>
          <w:u w:val="single"/>
          <w:rtl w:val="0"/>
        </w:rPr>
        <w:t xml:space="preserve">Conclusion and Future Scope</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b w:val="1"/>
          <w:sz w:val="19"/>
          <w:szCs w:val="19"/>
          <w:u w:val="single"/>
        </w:rPr>
      </w:pPr>
      <w:r w:rsidDel="00000000" w:rsidR="00000000" w:rsidRPr="00000000">
        <w:rPr>
          <w:b w:val="1"/>
          <w:sz w:val="19"/>
          <w:szCs w:val="19"/>
          <w:u w:val="single"/>
          <w:rtl w:val="0"/>
        </w:rPr>
        <w:t xml:space="preserve">6</w:t>
      </w:r>
      <w:r w:rsidDel="00000000" w:rsidR="00000000" w:rsidRPr="00000000">
        <w:rPr>
          <w:rFonts w:ascii="Times New Roman" w:cs="Times New Roman" w:eastAsia="Times New Roman" w:hAnsi="Times New Roman"/>
          <w:b w:val="1"/>
          <w:i w:val="0"/>
          <w:smallCaps w:val="0"/>
          <w:strike w:val="0"/>
          <w:color w:val="000000"/>
          <w:sz w:val="19"/>
          <w:szCs w:val="19"/>
          <w:u w:val="single"/>
          <w:shd w:fill="auto" w:val="clear"/>
          <w:vertAlign w:val="baseline"/>
          <w:rtl w:val="0"/>
        </w:rPr>
        <w:t xml:space="preserve">.1 </w:t>
      </w:r>
      <w:r w:rsidDel="00000000" w:rsidR="00000000" w:rsidRPr="00000000">
        <w:rPr>
          <w:b w:val="1"/>
          <w:sz w:val="19"/>
          <w:szCs w:val="19"/>
          <w:u w:val="single"/>
          <w:rtl w:val="0"/>
        </w:rPr>
        <w:t xml:space="preserve">Conclusion</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sz w:val="19"/>
          <w:szCs w:val="19"/>
          <w:rtl w:val="0"/>
        </w:rPr>
        <w:t xml:space="preserve">The research focuses on enhancing cybersecurity defenses by leveraging the Common Weakness Enumeration (CWE) system through a detailed temporal analysis. By meticulously examining historical CWE data, the study identifies patterns and trends that serve as early indicators of emerging vulnerabilities. This proactive approach allows for the anticipation of potential threats, facilitating the implementation of timely and effective security measures.</w:t>
      </w:r>
    </w:p>
    <w:p w:rsidR="00000000" w:rsidDel="00000000" w:rsidP="00000000" w:rsidRDefault="00000000" w:rsidRPr="00000000" w14:paraId="000001C8">
      <w:pPr>
        <w:spacing w:after="240" w:before="240" w:line="362" w:lineRule="auto"/>
        <w:jc w:val="both"/>
        <w:rPr>
          <w:sz w:val="19"/>
          <w:szCs w:val="19"/>
        </w:rPr>
      </w:pPr>
      <w:r w:rsidDel="00000000" w:rsidR="00000000" w:rsidRPr="00000000">
        <w:rPr>
          <w:sz w:val="19"/>
          <w:szCs w:val="19"/>
          <w:rtl w:val="0"/>
        </w:rPr>
        <w:t xml:space="preserve">The predictive model developed in this study is rigorously evaluated using key performance metrics, including accuracy, precision, recall, and F1 score, all of which demonstrate balanced and reliable performance. These results underscore the model's capability to forecast zero-day vulnerabilities—a particularly challenging aspect of cybersecurity due to their inherent unpredictability and the lack of existing defenses against them.</w:t>
      </w:r>
    </w:p>
    <w:p w:rsidR="00000000" w:rsidDel="00000000" w:rsidP="00000000" w:rsidRDefault="00000000" w:rsidRPr="00000000" w14:paraId="000001C9">
      <w:pPr>
        <w:spacing w:after="240" w:before="240" w:line="362" w:lineRule="auto"/>
        <w:jc w:val="both"/>
        <w:rPr>
          <w:sz w:val="19"/>
          <w:szCs w:val="19"/>
        </w:rPr>
      </w:pPr>
      <w:r w:rsidDel="00000000" w:rsidR="00000000" w:rsidRPr="00000000">
        <w:rPr>
          <w:sz w:val="19"/>
          <w:szCs w:val="19"/>
          <w:rtl w:val="0"/>
        </w:rPr>
        <w:t xml:space="preserve">This work contributes significantly to the cybersecurity field by introducing a systematic and data-driven method for predicting potential zero-day vulnerabilities. The integration of temporal trends into this predictive model highlights the critical role of time-based analysis in cybersecurity, offering a new dimension to threat anticipation and prevention. Moreover, this research lays the groundwork for further exploration and the development of more advanced predictive tools, which could revolutionize how cybersecurity threats are detected and mitigated in the future. By focusing on the temporal aspects of vulnerability data, this study not only enhances current cybersecurity strategies but also provides a solid foundation for future innovations in the field.</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b w:val="1"/>
          <w:sz w:val="19"/>
          <w:szCs w:val="19"/>
          <w:u w:val="single"/>
        </w:rPr>
      </w:pPr>
      <w:r w:rsidDel="00000000" w:rsidR="00000000" w:rsidRPr="00000000">
        <w:rPr>
          <w:b w:val="1"/>
          <w:sz w:val="19"/>
          <w:szCs w:val="19"/>
          <w:u w:val="single"/>
          <w:rtl w:val="0"/>
        </w:rPr>
        <w:t xml:space="preserve">6</w:t>
      </w:r>
      <w:r w:rsidDel="00000000" w:rsidR="00000000" w:rsidRPr="00000000">
        <w:rPr>
          <w:rFonts w:ascii="Times New Roman" w:cs="Times New Roman" w:eastAsia="Times New Roman" w:hAnsi="Times New Roman"/>
          <w:b w:val="1"/>
          <w:i w:val="0"/>
          <w:smallCaps w:val="0"/>
          <w:strike w:val="0"/>
          <w:color w:val="000000"/>
          <w:sz w:val="19"/>
          <w:szCs w:val="19"/>
          <w:u w:val="single"/>
          <w:shd w:fill="auto" w:val="clear"/>
          <w:vertAlign w:val="baseline"/>
          <w:rtl w:val="0"/>
        </w:rPr>
        <w:t xml:space="preserve">.2 </w:t>
      </w:r>
      <w:r w:rsidDel="00000000" w:rsidR="00000000" w:rsidRPr="00000000">
        <w:rPr>
          <w:b w:val="1"/>
          <w:sz w:val="19"/>
          <w:szCs w:val="19"/>
          <w:u w:val="single"/>
          <w:rtl w:val="0"/>
        </w:rPr>
        <w:t xml:space="preserve">Limitations</w:t>
      </w:r>
    </w:p>
    <w:p w:rsidR="00000000" w:rsidDel="00000000" w:rsidP="00000000" w:rsidRDefault="00000000" w:rsidRPr="00000000" w14:paraId="000001CD">
      <w:pPr>
        <w:spacing w:before="2" w:line="362" w:lineRule="auto"/>
        <w:ind w:right="437"/>
        <w:jc w:val="both"/>
        <w:rPr>
          <w:sz w:val="19"/>
          <w:szCs w:val="19"/>
        </w:rPr>
      </w:pPr>
      <w:r w:rsidDel="00000000" w:rsidR="00000000" w:rsidRPr="00000000">
        <w:rPr>
          <w:b w:val="1"/>
          <w:sz w:val="19"/>
          <w:szCs w:val="19"/>
          <w:rtl w:val="0"/>
        </w:rPr>
        <w:t xml:space="preserve">Model Accuracy</w:t>
      </w:r>
      <w:r w:rsidDel="00000000" w:rsidR="00000000" w:rsidRPr="00000000">
        <w:rPr>
          <w:sz w:val="19"/>
          <w:szCs w:val="19"/>
          <w:rtl w:val="0"/>
        </w:rPr>
        <w:t xml:space="preserve">: While the predictive model achieved a balanced performance, its accuracy, precision, and F1 score metrics indicate there is room for improvement. The moderate scores suggest that while the model is effective, it may still produce a significant number of false positives or negatives, which could lead to either overestimation or underestimation of certain vulnerabilities.</w:t>
      </w:r>
    </w:p>
    <w:p w:rsidR="00000000" w:rsidDel="00000000" w:rsidP="00000000" w:rsidRDefault="00000000" w:rsidRPr="00000000" w14:paraId="000001CE">
      <w:pPr>
        <w:spacing w:before="2" w:line="362" w:lineRule="auto"/>
        <w:ind w:right="437"/>
        <w:jc w:val="both"/>
        <w:rPr>
          <w:sz w:val="19"/>
          <w:szCs w:val="19"/>
        </w:rPr>
      </w:pPr>
      <w:r w:rsidDel="00000000" w:rsidR="00000000" w:rsidRPr="00000000">
        <w:rPr>
          <w:rtl w:val="0"/>
        </w:rPr>
      </w:r>
    </w:p>
    <w:p w:rsidR="00000000" w:rsidDel="00000000" w:rsidP="00000000" w:rsidRDefault="00000000" w:rsidRPr="00000000" w14:paraId="000001CF">
      <w:pPr>
        <w:spacing w:before="2" w:line="362" w:lineRule="auto"/>
        <w:ind w:right="437"/>
        <w:jc w:val="both"/>
        <w:rPr>
          <w:sz w:val="19"/>
          <w:szCs w:val="19"/>
        </w:rPr>
      </w:pPr>
      <w:r w:rsidDel="00000000" w:rsidR="00000000" w:rsidRPr="00000000">
        <w:rPr>
          <w:b w:val="1"/>
          <w:sz w:val="19"/>
          <w:szCs w:val="19"/>
          <w:rtl w:val="0"/>
        </w:rPr>
        <w:t xml:space="preserve">Data Dependence</w:t>
      </w:r>
      <w:r w:rsidDel="00000000" w:rsidR="00000000" w:rsidRPr="00000000">
        <w:rPr>
          <w:sz w:val="19"/>
          <w:szCs w:val="19"/>
          <w:rtl w:val="0"/>
        </w:rPr>
        <w:t xml:space="preserve">: The model's effectiveness heavily relies on the quality and comprehensiveness of the historical CWE and CVE data used. Any gaps, inconsistencies, or biases in the dataset could directly impact the model's predictive capability.</w:t>
      </w:r>
    </w:p>
    <w:p w:rsidR="00000000" w:rsidDel="00000000" w:rsidP="00000000" w:rsidRDefault="00000000" w:rsidRPr="00000000" w14:paraId="000001D0">
      <w:pPr>
        <w:spacing w:before="2" w:line="362" w:lineRule="auto"/>
        <w:ind w:right="437"/>
        <w:jc w:val="both"/>
        <w:rPr>
          <w:sz w:val="19"/>
          <w:szCs w:val="19"/>
        </w:rPr>
      </w:pPr>
      <w:r w:rsidDel="00000000" w:rsidR="00000000" w:rsidRPr="00000000">
        <w:rPr>
          <w:rtl w:val="0"/>
        </w:rPr>
      </w:r>
    </w:p>
    <w:p w:rsidR="00000000" w:rsidDel="00000000" w:rsidP="00000000" w:rsidRDefault="00000000" w:rsidRPr="00000000" w14:paraId="000001D1">
      <w:pPr>
        <w:spacing w:before="2" w:line="362" w:lineRule="auto"/>
        <w:ind w:right="437"/>
        <w:jc w:val="both"/>
        <w:rPr>
          <w:sz w:val="19"/>
          <w:szCs w:val="19"/>
        </w:rPr>
      </w:pPr>
      <w:r w:rsidDel="00000000" w:rsidR="00000000" w:rsidRPr="00000000">
        <w:rPr>
          <w:b w:val="1"/>
          <w:sz w:val="19"/>
          <w:szCs w:val="19"/>
          <w:rtl w:val="0"/>
        </w:rPr>
        <w:t xml:space="preserve">Generalizability</w:t>
      </w:r>
      <w:r w:rsidDel="00000000" w:rsidR="00000000" w:rsidRPr="00000000">
        <w:rPr>
          <w:sz w:val="19"/>
          <w:szCs w:val="19"/>
          <w:rtl w:val="0"/>
        </w:rPr>
        <w:t xml:space="preserve">: The model was trained and tested on a specific dataset, which may limit its generalizability to other datasets or contexts. The model's performance may vary when applied to different types of software or environments not represented in the original dataset.</w:t>
      </w:r>
    </w:p>
    <w:p w:rsidR="00000000" w:rsidDel="00000000" w:rsidP="00000000" w:rsidRDefault="00000000" w:rsidRPr="00000000" w14:paraId="000001D2">
      <w:pPr>
        <w:spacing w:before="2" w:line="362" w:lineRule="auto"/>
        <w:ind w:right="437"/>
        <w:jc w:val="both"/>
        <w:rPr>
          <w:sz w:val="19"/>
          <w:szCs w:val="19"/>
        </w:rPr>
      </w:pPr>
      <w:r w:rsidDel="00000000" w:rsidR="00000000" w:rsidRPr="00000000">
        <w:rPr>
          <w:rtl w:val="0"/>
        </w:rPr>
      </w:r>
    </w:p>
    <w:p w:rsidR="00000000" w:rsidDel="00000000" w:rsidP="00000000" w:rsidRDefault="00000000" w:rsidRPr="00000000" w14:paraId="000001D3">
      <w:pPr>
        <w:spacing w:before="2" w:line="362" w:lineRule="auto"/>
        <w:ind w:right="437"/>
        <w:jc w:val="both"/>
        <w:rPr>
          <w:sz w:val="19"/>
          <w:szCs w:val="19"/>
        </w:rPr>
      </w:pPr>
      <w:r w:rsidDel="00000000" w:rsidR="00000000" w:rsidRPr="00000000">
        <w:rPr>
          <w:b w:val="1"/>
          <w:sz w:val="19"/>
          <w:szCs w:val="19"/>
          <w:rtl w:val="0"/>
        </w:rPr>
        <w:t xml:space="preserve">Complexity of Zero-Day Vulnerabilities</w:t>
      </w:r>
      <w:r w:rsidDel="00000000" w:rsidR="00000000" w:rsidRPr="00000000">
        <w:rPr>
          <w:sz w:val="19"/>
          <w:szCs w:val="19"/>
          <w:rtl w:val="0"/>
        </w:rPr>
        <w:t xml:space="preserve">: Zero-day attacks are inherently difficult to predict due to their nature of exploiting previously unknown vulnerabilities. The model's reliance on historical data may not fully capture the unpredictability and innovation of future zero-day attacks.</w:t>
      </w:r>
    </w:p>
    <w:p w:rsidR="00000000" w:rsidDel="00000000" w:rsidP="00000000" w:rsidRDefault="00000000" w:rsidRPr="00000000" w14:paraId="000001D4">
      <w:pPr>
        <w:spacing w:before="2" w:line="362" w:lineRule="auto"/>
        <w:ind w:right="437"/>
        <w:jc w:val="both"/>
        <w:rPr>
          <w:sz w:val="19"/>
          <w:szCs w:val="19"/>
        </w:rPr>
      </w:pPr>
      <w:r w:rsidDel="00000000" w:rsidR="00000000" w:rsidRPr="00000000">
        <w:rPr>
          <w:rtl w:val="0"/>
        </w:rPr>
      </w:r>
    </w:p>
    <w:p w:rsidR="00000000" w:rsidDel="00000000" w:rsidP="00000000" w:rsidRDefault="00000000" w:rsidRPr="00000000" w14:paraId="000001D5">
      <w:pPr>
        <w:spacing w:before="2" w:line="362" w:lineRule="auto"/>
        <w:ind w:right="437"/>
        <w:jc w:val="both"/>
        <w:rPr>
          <w:sz w:val="19"/>
          <w:szCs w:val="19"/>
        </w:rPr>
      </w:pPr>
      <w:r w:rsidDel="00000000" w:rsidR="00000000" w:rsidRPr="00000000">
        <w:rPr>
          <w:b w:val="1"/>
          <w:sz w:val="19"/>
          <w:szCs w:val="19"/>
          <w:rtl w:val="0"/>
        </w:rPr>
        <w:t xml:space="preserve">Real-Time Application</w:t>
      </w:r>
      <w:r w:rsidDel="00000000" w:rsidR="00000000" w:rsidRPr="00000000">
        <w:rPr>
          <w:sz w:val="19"/>
          <w:szCs w:val="19"/>
          <w:rtl w:val="0"/>
        </w:rPr>
        <w:t xml:space="preserve">: Implementing the model in a real-time environment poses challenges, particularly concerning the timely collection and processing of new vulnerability data. The model's ability to predict zero-day attacks in real time requires further validation.</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1"/>
          <w:i w:val="0"/>
          <w:smallCaps w:val="0"/>
          <w:strike w:val="0"/>
          <w:color w:val="000000"/>
          <w:sz w:val="19"/>
          <w:szCs w:val="19"/>
          <w:u w:val="single"/>
          <w:shd w:fill="auto" w:val="clear"/>
          <w:vertAlign w:val="baseline"/>
        </w:rPr>
      </w:pPr>
      <w:r w:rsidDel="00000000" w:rsidR="00000000" w:rsidRPr="00000000">
        <w:rPr>
          <w:b w:val="1"/>
          <w:sz w:val="19"/>
          <w:szCs w:val="19"/>
          <w:u w:val="single"/>
          <w:rtl w:val="0"/>
        </w:rPr>
        <w:t xml:space="preserve">6</w:t>
      </w:r>
      <w:r w:rsidDel="00000000" w:rsidR="00000000" w:rsidRPr="00000000">
        <w:rPr>
          <w:rFonts w:ascii="Times New Roman" w:cs="Times New Roman" w:eastAsia="Times New Roman" w:hAnsi="Times New Roman"/>
          <w:b w:val="1"/>
          <w:i w:val="0"/>
          <w:smallCaps w:val="0"/>
          <w:strike w:val="0"/>
          <w:color w:val="000000"/>
          <w:sz w:val="19"/>
          <w:szCs w:val="19"/>
          <w:u w:val="single"/>
          <w:shd w:fill="auto" w:val="clear"/>
          <w:vertAlign w:val="baseline"/>
          <w:rtl w:val="0"/>
        </w:rPr>
        <w:t xml:space="preserve">.</w:t>
      </w:r>
      <w:r w:rsidDel="00000000" w:rsidR="00000000" w:rsidRPr="00000000">
        <w:rPr>
          <w:b w:val="1"/>
          <w:sz w:val="19"/>
          <w:szCs w:val="19"/>
          <w:u w:val="single"/>
          <w:rtl w:val="0"/>
        </w:rPr>
        <w:t xml:space="preserve">3</w:t>
      </w:r>
      <w:r w:rsidDel="00000000" w:rsidR="00000000" w:rsidRPr="00000000">
        <w:rPr>
          <w:rFonts w:ascii="Times New Roman" w:cs="Times New Roman" w:eastAsia="Times New Roman" w:hAnsi="Times New Roman"/>
          <w:b w:val="1"/>
          <w:i w:val="0"/>
          <w:smallCaps w:val="0"/>
          <w:strike w:val="0"/>
          <w:color w:val="000000"/>
          <w:sz w:val="19"/>
          <w:szCs w:val="19"/>
          <w:u w:val="single"/>
          <w:shd w:fill="auto" w:val="clear"/>
          <w:vertAlign w:val="baseline"/>
          <w:rtl w:val="0"/>
        </w:rPr>
        <w:t xml:space="preserve"> Accuracy</w:t>
      </w:r>
    </w:p>
    <w:p w:rsidR="00000000" w:rsidDel="00000000" w:rsidP="00000000" w:rsidRDefault="00000000" w:rsidRPr="00000000" w14:paraId="000001DA">
      <w:pPr>
        <w:spacing w:before="2" w:line="362" w:lineRule="auto"/>
        <w:ind w:right="437"/>
        <w:jc w:val="both"/>
        <w:rPr>
          <w:sz w:val="19"/>
          <w:szCs w:val="19"/>
        </w:rPr>
      </w:pPr>
      <w:r w:rsidDel="00000000" w:rsidR="00000000" w:rsidRPr="00000000">
        <w:rPr>
          <w:b w:val="1"/>
          <w:sz w:val="19"/>
          <w:szCs w:val="19"/>
          <w:rtl w:val="0"/>
        </w:rPr>
        <w:t xml:space="preserve">Model Enhancement</w:t>
      </w:r>
      <w:r w:rsidDel="00000000" w:rsidR="00000000" w:rsidRPr="00000000">
        <w:rPr>
          <w:sz w:val="19"/>
          <w:szCs w:val="19"/>
          <w:rtl w:val="0"/>
        </w:rPr>
        <w:t xml:space="preserve">: Future work could focus on improving the model's accuracy by incorporating more advanced machine learning techniques, such as deep learning models or ensemble methods. These could help in better capturing the nuances of zero-day vulnerabilities and reducing false positives and negatives.</w:t>
      </w:r>
    </w:p>
    <w:p w:rsidR="00000000" w:rsidDel="00000000" w:rsidP="00000000" w:rsidRDefault="00000000" w:rsidRPr="00000000" w14:paraId="000001DB">
      <w:pPr>
        <w:spacing w:before="2" w:line="362" w:lineRule="auto"/>
        <w:ind w:right="437"/>
        <w:jc w:val="both"/>
        <w:rPr>
          <w:sz w:val="19"/>
          <w:szCs w:val="19"/>
        </w:rPr>
      </w:pPr>
      <w:r w:rsidDel="00000000" w:rsidR="00000000" w:rsidRPr="00000000">
        <w:rPr>
          <w:rtl w:val="0"/>
        </w:rPr>
      </w:r>
    </w:p>
    <w:p w:rsidR="00000000" w:rsidDel="00000000" w:rsidP="00000000" w:rsidRDefault="00000000" w:rsidRPr="00000000" w14:paraId="000001DC">
      <w:pPr>
        <w:spacing w:before="2" w:line="362" w:lineRule="auto"/>
        <w:ind w:right="437"/>
        <w:jc w:val="both"/>
        <w:rPr>
          <w:sz w:val="19"/>
          <w:szCs w:val="19"/>
        </w:rPr>
      </w:pPr>
      <w:r w:rsidDel="00000000" w:rsidR="00000000" w:rsidRPr="00000000">
        <w:rPr>
          <w:b w:val="1"/>
          <w:sz w:val="19"/>
          <w:szCs w:val="19"/>
          <w:rtl w:val="0"/>
        </w:rPr>
        <w:t xml:space="preserve">Integration with Real-Time Systems</w:t>
      </w:r>
      <w:r w:rsidDel="00000000" w:rsidR="00000000" w:rsidRPr="00000000">
        <w:rPr>
          <w:sz w:val="19"/>
          <w:szCs w:val="19"/>
          <w:rtl w:val="0"/>
        </w:rPr>
        <w:t xml:space="preserve">: Developing a real-time application of the model could significantly enhance its practical utility. This would involve integrating the predictive model into existing cybersecurity infrastructure, allowing for real-time monitoring and immediate response to potential threats.</w:t>
      </w:r>
    </w:p>
    <w:p w:rsidR="00000000" w:rsidDel="00000000" w:rsidP="00000000" w:rsidRDefault="00000000" w:rsidRPr="00000000" w14:paraId="000001DD">
      <w:pPr>
        <w:spacing w:before="2" w:line="362" w:lineRule="auto"/>
        <w:ind w:right="437"/>
        <w:jc w:val="both"/>
        <w:rPr>
          <w:sz w:val="19"/>
          <w:szCs w:val="19"/>
        </w:rPr>
      </w:pPr>
      <w:r w:rsidDel="00000000" w:rsidR="00000000" w:rsidRPr="00000000">
        <w:rPr>
          <w:rtl w:val="0"/>
        </w:rPr>
      </w:r>
    </w:p>
    <w:p w:rsidR="00000000" w:rsidDel="00000000" w:rsidP="00000000" w:rsidRDefault="00000000" w:rsidRPr="00000000" w14:paraId="000001DE">
      <w:pPr>
        <w:spacing w:before="2" w:line="362" w:lineRule="auto"/>
        <w:ind w:right="437"/>
        <w:jc w:val="both"/>
        <w:rPr>
          <w:sz w:val="19"/>
          <w:szCs w:val="19"/>
        </w:rPr>
      </w:pPr>
      <w:r w:rsidDel="00000000" w:rsidR="00000000" w:rsidRPr="00000000">
        <w:rPr>
          <w:b w:val="1"/>
          <w:sz w:val="19"/>
          <w:szCs w:val="19"/>
          <w:rtl w:val="0"/>
        </w:rPr>
        <w:t xml:space="preserve">Incorporation of Additional Data Sources</w:t>
      </w:r>
      <w:r w:rsidDel="00000000" w:rsidR="00000000" w:rsidRPr="00000000">
        <w:rPr>
          <w:sz w:val="19"/>
          <w:szCs w:val="19"/>
          <w:rtl w:val="0"/>
        </w:rPr>
        <w:t xml:space="preserve">: To improve predictive performance, future research could incorporate additional data sources such as threat intelligence feeds, exploit databases, or social media analysis. This would provide a more comprehensive view of potential vulnerabilities and emerging threats.</w:t>
      </w:r>
    </w:p>
    <w:p w:rsidR="00000000" w:rsidDel="00000000" w:rsidP="00000000" w:rsidRDefault="00000000" w:rsidRPr="00000000" w14:paraId="000001DF">
      <w:pPr>
        <w:spacing w:before="2" w:line="362" w:lineRule="auto"/>
        <w:ind w:right="437"/>
        <w:jc w:val="both"/>
        <w:rPr>
          <w:sz w:val="19"/>
          <w:szCs w:val="19"/>
        </w:rPr>
      </w:pPr>
      <w:r w:rsidDel="00000000" w:rsidR="00000000" w:rsidRPr="00000000">
        <w:rPr>
          <w:rtl w:val="0"/>
        </w:rPr>
      </w:r>
    </w:p>
    <w:p w:rsidR="00000000" w:rsidDel="00000000" w:rsidP="00000000" w:rsidRDefault="00000000" w:rsidRPr="00000000" w14:paraId="000001E0">
      <w:pPr>
        <w:spacing w:before="2" w:line="362" w:lineRule="auto"/>
        <w:ind w:right="437"/>
        <w:jc w:val="both"/>
        <w:rPr>
          <w:sz w:val="19"/>
          <w:szCs w:val="19"/>
        </w:rPr>
      </w:pPr>
      <w:r w:rsidDel="00000000" w:rsidR="00000000" w:rsidRPr="00000000">
        <w:rPr>
          <w:b w:val="1"/>
          <w:sz w:val="19"/>
          <w:szCs w:val="19"/>
          <w:rtl w:val="0"/>
        </w:rPr>
        <w:t xml:space="preserve">Cross-Domain Application</w:t>
      </w:r>
      <w:r w:rsidDel="00000000" w:rsidR="00000000" w:rsidRPr="00000000">
        <w:rPr>
          <w:sz w:val="19"/>
          <w:szCs w:val="19"/>
          <w:rtl w:val="0"/>
        </w:rPr>
        <w:t xml:space="preserve">: Expanding the model's application to different domains, such as industrial control systems, IoT devices, or cloud environments, could demonstrate its versatility and improve its robustness across various contexts.</w:t>
      </w:r>
    </w:p>
    <w:p w:rsidR="00000000" w:rsidDel="00000000" w:rsidP="00000000" w:rsidRDefault="00000000" w:rsidRPr="00000000" w14:paraId="000001E1">
      <w:pPr>
        <w:spacing w:before="2" w:line="362" w:lineRule="auto"/>
        <w:ind w:right="437"/>
        <w:jc w:val="both"/>
        <w:rPr>
          <w:sz w:val="19"/>
          <w:szCs w:val="19"/>
        </w:rPr>
      </w:pPr>
      <w:r w:rsidDel="00000000" w:rsidR="00000000" w:rsidRPr="00000000">
        <w:rPr>
          <w:rtl w:val="0"/>
        </w:rPr>
      </w:r>
    </w:p>
    <w:p w:rsidR="00000000" w:rsidDel="00000000" w:rsidP="00000000" w:rsidRDefault="00000000" w:rsidRPr="00000000" w14:paraId="000001E2">
      <w:pPr>
        <w:spacing w:before="2" w:line="362" w:lineRule="auto"/>
        <w:ind w:right="437"/>
        <w:jc w:val="both"/>
        <w:rPr>
          <w:sz w:val="19"/>
          <w:szCs w:val="19"/>
        </w:rPr>
      </w:pPr>
      <w:r w:rsidDel="00000000" w:rsidR="00000000" w:rsidRPr="00000000">
        <w:rPr>
          <w:b w:val="1"/>
          <w:sz w:val="19"/>
          <w:szCs w:val="19"/>
          <w:rtl w:val="0"/>
        </w:rPr>
        <w:t xml:space="preserve">Collaboration with Security Communities</w:t>
      </w:r>
      <w:r w:rsidDel="00000000" w:rsidR="00000000" w:rsidRPr="00000000">
        <w:rPr>
          <w:sz w:val="19"/>
          <w:szCs w:val="19"/>
          <w:rtl w:val="0"/>
        </w:rPr>
        <w:t xml:space="preserve">: Engaging with cybersecurity communities, including researchers, practitioners, and organizations, could help in refining the model and validating its predictions. Collaborative efforts could lead to the development of a standardized tool for predicting zero-day vulnerabilities, benefiting the broader cybersecurity landscape.</w:t>
      </w:r>
    </w:p>
    <w:p w:rsidR="00000000" w:rsidDel="00000000" w:rsidP="00000000" w:rsidRDefault="00000000" w:rsidRPr="00000000" w14:paraId="000001E3">
      <w:pPr>
        <w:spacing w:before="2" w:line="362" w:lineRule="auto"/>
        <w:ind w:right="437"/>
        <w:jc w:val="both"/>
        <w:rPr>
          <w:sz w:val="19"/>
          <w:szCs w:val="19"/>
        </w:rPr>
      </w:pPr>
      <w:r w:rsidDel="00000000" w:rsidR="00000000" w:rsidRPr="00000000">
        <w:rPr>
          <w:rtl w:val="0"/>
        </w:rPr>
      </w:r>
    </w:p>
    <w:p w:rsidR="00000000" w:rsidDel="00000000" w:rsidP="00000000" w:rsidRDefault="00000000" w:rsidRPr="00000000" w14:paraId="000001E4">
      <w:pPr>
        <w:spacing w:before="2" w:line="362" w:lineRule="auto"/>
        <w:ind w:right="437"/>
        <w:jc w:val="both"/>
        <w:rPr>
          <w:sz w:val="19"/>
          <w:szCs w:val="19"/>
        </w:rPr>
      </w:pPr>
      <w:r w:rsidDel="00000000" w:rsidR="00000000" w:rsidRPr="00000000">
        <w:rPr>
          <w:b w:val="1"/>
          <w:sz w:val="19"/>
          <w:szCs w:val="19"/>
          <w:rtl w:val="0"/>
        </w:rPr>
        <w:t xml:space="preserve">Exploration of Hybrid Models</w:t>
      </w:r>
      <w:r w:rsidDel="00000000" w:rsidR="00000000" w:rsidRPr="00000000">
        <w:rPr>
          <w:sz w:val="19"/>
          <w:szCs w:val="19"/>
          <w:rtl w:val="0"/>
        </w:rPr>
        <w:t xml:space="preserve">: Combining temporal analysis with other predictive methods, such as anomaly detection or behavioral analysis, could lead to the development of hybrid models that offer enhanced accuracy and a more comprehensive approach to zero-day vulnerability prediction.</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both"/>
        <w:rPr>
          <w:sz w:val="19"/>
          <w:szCs w:val="19"/>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left"/>
        <w:rPr>
          <w:b w:val="1"/>
          <w:sz w:val="19"/>
          <w:szCs w:val="19"/>
          <w:u w:val="singl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0" w:right="437" w:firstLine="0"/>
        <w:jc w:val="center"/>
        <w:rPr>
          <w:rFonts w:ascii="Times New Roman" w:cs="Times New Roman" w:eastAsia="Times New Roman" w:hAnsi="Times New Roman"/>
          <w:b w:val="1"/>
          <w:i w:val="0"/>
          <w:smallCaps w:val="0"/>
          <w:strike w:val="0"/>
          <w:color w:val="000000"/>
          <w:sz w:val="23"/>
          <w:szCs w:val="23"/>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single"/>
          <w:shd w:fill="auto" w:val="clear"/>
          <w:vertAlign w:val="baseline"/>
          <w:rtl w:val="0"/>
        </w:rPr>
        <w:t xml:space="preserve">REFERENCES AND CITATION</w:t>
      </w:r>
    </w:p>
    <w:p w:rsidR="00000000" w:rsidDel="00000000" w:rsidP="00000000" w:rsidRDefault="00000000" w:rsidRPr="00000000" w14:paraId="000001F1">
      <w:pPr>
        <w:widowControl w:val="1"/>
        <w:numPr>
          <w:ilvl w:val="0"/>
          <w:numId w:val="7"/>
        </w:numPr>
        <w:spacing w:after="0" w:afterAutospacing="0" w:before="240" w:line="276" w:lineRule="auto"/>
        <w:ind w:left="360"/>
        <w:jc w:val="both"/>
        <w:rPr>
          <w:sz w:val="19"/>
          <w:szCs w:val="19"/>
        </w:rPr>
      </w:pPr>
      <w:r w:rsidDel="00000000" w:rsidR="00000000" w:rsidRPr="00000000">
        <w:rPr>
          <w:sz w:val="19"/>
          <w:szCs w:val="19"/>
          <w:rtl w:val="0"/>
        </w:rPr>
        <w:t xml:space="preserve">V. Sharma, N. Khare and S. K. Yadav, "Predictive Analysis of Zero-Day Vulnerabilities Using Deep Neural Networks," </w:t>
      </w:r>
      <w:r w:rsidDel="00000000" w:rsidR="00000000" w:rsidRPr="00000000">
        <w:rPr>
          <w:i w:val="1"/>
          <w:sz w:val="19"/>
          <w:szCs w:val="19"/>
          <w:rtl w:val="0"/>
        </w:rPr>
        <w:t xml:space="preserve">2023 IEEE International Conference on ICT in Business Industry &amp; Government (ICTBIG)</w:t>
      </w:r>
      <w:r w:rsidDel="00000000" w:rsidR="00000000" w:rsidRPr="00000000">
        <w:rPr>
          <w:sz w:val="19"/>
          <w:szCs w:val="19"/>
          <w:rtl w:val="0"/>
        </w:rPr>
        <w:t xml:space="preserve">, Indore, India, 2023, pp. 1. </w:t>
      </w:r>
    </w:p>
    <w:p w:rsidR="00000000" w:rsidDel="00000000" w:rsidP="00000000" w:rsidRDefault="00000000" w:rsidRPr="00000000" w14:paraId="000001F2">
      <w:pPr>
        <w:widowControl w:val="1"/>
        <w:numPr>
          <w:ilvl w:val="0"/>
          <w:numId w:val="7"/>
        </w:numPr>
        <w:spacing w:after="0" w:afterAutospacing="0" w:before="0" w:beforeAutospacing="0" w:line="276" w:lineRule="auto"/>
        <w:ind w:left="360"/>
        <w:jc w:val="both"/>
        <w:rPr>
          <w:color w:val="262626"/>
          <w:sz w:val="19"/>
          <w:szCs w:val="19"/>
        </w:rPr>
      </w:pPr>
      <w:r w:rsidDel="00000000" w:rsidR="00000000" w:rsidRPr="00000000">
        <w:rPr>
          <w:color w:val="262626"/>
          <w:sz w:val="19"/>
          <w:szCs w:val="19"/>
          <w:rtl w:val="0"/>
        </w:rPr>
        <w:t xml:space="preserve">A. Arun, A. S. Nair and A. G. Sreedevi, "Zero Day Attack Detection and Simulation through Deep Learning Techniques," </w:t>
      </w:r>
      <w:r w:rsidDel="00000000" w:rsidR="00000000" w:rsidRPr="00000000">
        <w:rPr>
          <w:i w:val="1"/>
          <w:color w:val="262626"/>
          <w:sz w:val="19"/>
          <w:szCs w:val="19"/>
          <w:rtl w:val="0"/>
        </w:rPr>
        <w:t xml:space="preserve">2024 14th International Conference on Cloud Computing, Data Science &amp; Engineering (Confluence)</w:t>
      </w:r>
      <w:r w:rsidDel="00000000" w:rsidR="00000000" w:rsidRPr="00000000">
        <w:rPr>
          <w:color w:val="262626"/>
          <w:sz w:val="19"/>
          <w:szCs w:val="19"/>
          <w:rtl w:val="0"/>
        </w:rPr>
        <w:t xml:space="preserve">, Noida, India, 2024, pp. 852-857</w:t>
      </w:r>
      <w:r w:rsidDel="00000000" w:rsidR="00000000" w:rsidRPr="00000000">
        <w:rPr>
          <w:sz w:val="19"/>
          <w:szCs w:val="19"/>
          <w:rtl w:val="0"/>
        </w:rPr>
        <w:t xml:space="preserve"> </w:t>
      </w:r>
    </w:p>
    <w:p w:rsidR="00000000" w:rsidDel="00000000" w:rsidP="00000000" w:rsidRDefault="00000000" w:rsidRPr="00000000" w14:paraId="000001F3">
      <w:pPr>
        <w:widowControl w:val="1"/>
        <w:numPr>
          <w:ilvl w:val="0"/>
          <w:numId w:val="7"/>
        </w:numPr>
        <w:spacing w:after="0" w:afterAutospacing="0" w:before="0" w:beforeAutospacing="0" w:line="276" w:lineRule="auto"/>
        <w:ind w:left="360"/>
        <w:jc w:val="both"/>
        <w:rPr>
          <w:color w:val="262626"/>
          <w:sz w:val="19"/>
          <w:szCs w:val="19"/>
        </w:rPr>
      </w:pPr>
      <w:r w:rsidDel="00000000" w:rsidR="00000000" w:rsidRPr="00000000">
        <w:rPr>
          <w:sz w:val="19"/>
          <w:szCs w:val="19"/>
          <w:rtl w:val="0"/>
        </w:rPr>
        <w:t xml:space="preserve">H. Yan, Y. Sui, S. Chen  "Spatio-Temporal Context Reduction: A Pointer-Analysis-Based Static Approach for Detecting Use-After-Free Vulnerabilities," </w:t>
      </w:r>
      <w:r w:rsidDel="00000000" w:rsidR="00000000" w:rsidRPr="00000000">
        <w:rPr>
          <w:i w:val="1"/>
          <w:sz w:val="19"/>
          <w:szCs w:val="19"/>
          <w:rtl w:val="0"/>
        </w:rPr>
        <w:t xml:space="preserve">2018 IEEE/ACM 40th International Conference on Software Engineering (ICSE)</w:t>
      </w:r>
      <w:r w:rsidDel="00000000" w:rsidR="00000000" w:rsidRPr="00000000">
        <w:rPr>
          <w:sz w:val="19"/>
          <w:szCs w:val="19"/>
          <w:rtl w:val="0"/>
        </w:rPr>
        <w:t xml:space="preserve">, Gothenburg, Sweden, 2018, pp. 327-337. </w:t>
      </w:r>
    </w:p>
    <w:p w:rsidR="00000000" w:rsidDel="00000000" w:rsidP="00000000" w:rsidRDefault="00000000" w:rsidRPr="00000000" w14:paraId="000001F4">
      <w:pPr>
        <w:widowControl w:val="1"/>
        <w:numPr>
          <w:ilvl w:val="0"/>
          <w:numId w:val="7"/>
        </w:numPr>
        <w:spacing w:after="0" w:afterAutospacing="0" w:before="0" w:beforeAutospacing="0" w:line="276" w:lineRule="auto"/>
        <w:ind w:left="360"/>
        <w:jc w:val="both"/>
        <w:rPr>
          <w:color w:val="262626"/>
          <w:sz w:val="19"/>
          <w:szCs w:val="19"/>
        </w:rPr>
      </w:pPr>
      <w:r w:rsidDel="00000000" w:rsidR="00000000" w:rsidRPr="00000000">
        <w:rPr>
          <w:sz w:val="19"/>
          <w:szCs w:val="19"/>
          <w:rtl w:val="0"/>
        </w:rPr>
        <w:t xml:space="preserve">B. Ahmad </w:t>
      </w:r>
      <w:r w:rsidDel="00000000" w:rsidR="00000000" w:rsidRPr="00000000">
        <w:rPr>
          <w:i w:val="1"/>
          <w:sz w:val="19"/>
          <w:szCs w:val="19"/>
          <w:rtl w:val="0"/>
        </w:rPr>
        <w:t xml:space="preserve">et al</w:t>
      </w:r>
      <w:r w:rsidDel="00000000" w:rsidR="00000000" w:rsidRPr="00000000">
        <w:rPr>
          <w:sz w:val="19"/>
          <w:szCs w:val="19"/>
          <w:rtl w:val="0"/>
        </w:rPr>
        <w:t xml:space="preserve">., "Don’t CWEAT It: Toward CWE Analysis Techniques in Early Stages of Hardware Design," </w:t>
      </w:r>
      <w:r w:rsidDel="00000000" w:rsidR="00000000" w:rsidRPr="00000000">
        <w:rPr>
          <w:i w:val="1"/>
          <w:sz w:val="19"/>
          <w:szCs w:val="19"/>
          <w:rtl w:val="0"/>
        </w:rPr>
        <w:t xml:space="preserve">2022 IEEE/ACM International Conference On Computer Aided Design (ICCAD)</w:t>
      </w:r>
      <w:r w:rsidDel="00000000" w:rsidR="00000000" w:rsidRPr="00000000">
        <w:rPr>
          <w:sz w:val="19"/>
          <w:szCs w:val="19"/>
          <w:rtl w:val="0"/>
        </w:rPr>
        <w:t xml:space="preserve">, San Diego, CA, USA, 2022, pp. 1-9. </w:t>
      </w:r>
    </w:p>
    <w:p w:rsidR="00000000" w:rsidDel="00000000" w:rsidP="00000000" w:rsidRDefault="00000000" w:rsidRPr="00000000" w14:paraId="000001F5">
      <w:pPr>
        <w:widowControl w:val="1"/>
        <w:numPr>
          <w:ilvl w:val="0"/>
          <w:numId w:val="7"/>
        </w:numPr>
        <w:spacing w:after="0" w:afterAutospacing="0" w:before="0" w:beforeAutospacing="0" w:line="276" w:lineRule="auto"/>
        <w:ind w:left="360"/>
        <w:jc w:val="both"/>
        <w:rPr>
          <w:color w:val="262626"/>
          <w:sz w:val="19"/>
          <w:szCs w:val="19"/>
        </w:rPr>
      </w:pPr>
      <w:r w:rsidDel="00000000" w:rsidR="00000000" w:rsidRPr="00000000">
        <w:rPr>
          <w:sz w:val="19"/>
          <w:szCs w:val="19"/>
          <w:rtl w:val="0"/>
        </w:rPr>
        <w:t xml:space="preserve">D. Last, "Consensus forecasting of zero-day vulnerabilities for network security," </w:t>
      </w:r>
      <w:r w:rsidDel="00000000" w:rsidR="00000000" w:rsidRPr="00000000">
        <w:rPr>
          <w:i w:val="1"/>
          <w:sz w:val="19"/>
          <w:szCs w:val="19"/>
          <w:rtl w:val="0"/>
        </w:rPr>
        <w:t xml:space="preserve">2016 IEEE International Carnahan Conference on Security Technology (ICCST)</w:t>
      </w:r>
      <w:r w:rsidDel="00000000" w:rsidR="00000000" w:rsidRPr="00000000">
        <w:rPr>
          <w:sz w:val="19"/>
          <w:szCs w:val="19"/>
          <w:rtl w:val="0"/>
        </w:rPr>
        <w:t xml:space="preserve">, Orlando, FL, USA, 2016, pp. 1-8. </w:t>
      </w:r>
    </w:p>
    <w:p w:rsidR="00000000" w:rsidDel="00000000" w:rsidP="00000000" w:rsidRDefault="00000000" w:rsidRPr="00000000" w14:paraId="000001F6">
      <w:pPr>
        <w:widowControl w:val="1"/>
        <w:numPr>
          <w:ilvl w:val="0"/>
          <w:numId w:val="7"/>
        </w:numPr>
        <w:spacing w:after="0" w:afterAutospacing="0" w:before="0" w:beforeAutospacing="0" w:line="276" w:lineRule="auto"/>
        <w:ind w:left="360"/>
        <w:jc w:val="both"/>
        <w:rPr>
          <w:color w:val="262626"/>
          <w:sz w:val="19"/>
          <w:szCs w:val="19"/>
        </w:rPr>
      </w:pPr>
      <w:r w:rsidDel="00000000" w:rsidR="00000000" w:rsidRPr="00000000">
        <w:rPr>
          <w:sz w:val="19"/>
          <w:szCs w:val="19"/>
          <w:rtl w:val="0"/>
        </w:rPr>
        <w:t xml:space="preserve">S. S. Satam, A. A. Patil, D. B. Narkhede, "Zero-Day Attack Detection and Prevention," </w:t>
      </w:r>
      <w:r w:rsidDel="00000000" w:rsidR="00000000" w:rsidRPr="00000000">
        <w:rPr>
          <w:i w:val="1"/>
          <w:sz w:val="19"/>
          <w:szCs w:val="19"/>
          <w:rtl w:val="0"/>
        </w:rPr>
        <w:t xml:space="preserve">2023 7th International Conference On Computing, Communication, Control And Automation (ICCUBEA)</w:t>
      </w:r>
      <w:r w:rsidDel="00000000" w:rsidR="00000000" w:rsidRPr="00000000">
        <w:rPr>
          <w:sz w:val="19"/>
          <w:szCs w:val="19"/>
          <w:rtl w:val="0"/>
        </w:rPr>
        <w:t xml:space="preserve">, Pune, India, 2023, pp. 1-6. </w:t>
      </w:r>
    </w:p>
    <w:p w:rsidR="00000000" w:rsidDel="00000000" w:rsidP="00000000" w:rsidRDefault="00000000" w:rsidRPr="00000000" w14:paraId="000001F7">
      <w:pPr>
        <w:widowControl w:val="1"/>
        <w:numPr>
          <w:ilvl w:val="0"/>
          <w:numId w:val="7"/>
        </w:numPr>
        <w:spacing w:after="0" w:afterAutospacing="0" w:before="0" w:beforeAutospacing="0" w:line="276" w:lineRule="auto"/>
        <w:ind w:left="360"/>
        <w:jc w:val="both"/>
        <w:rPr>
          <w:color w:val="262626"/>
          <w:sz w:val="19"/>
          <w:szCs w:val="19"/>
        </w:rPr>
      </w:pPr>
      <w:r w:rsidDel="00000000" w:rsidR="00000000" w:rsidRPr="00000000">
        <w:rPr>
          <w:sz w:val="19"/>
          <w:szCs w:val="19"/>
          <w:rtl w:val="0"/>
        </w:rPr>
        <w:t xml:space="preserve">S. R. Wategaonkar, A. Tamara Shaki, Z. Javanshir Ibrahim "Targeting Insider Threats and Zero-Day Vulnerabilities with Advanced Machine Learning and Behavioral Analytics," </w:t>
      </w:r>
      <w:r w:rsidDel="00000000" w:rsidR="00000000" w:rsidRPr="00000000">
        <w:rPr>
          <w:i w:val="1"/>
          <w:sz w:val="19"/>
          <w:szCs w:val="19"/>
          <w:rtl w:val="0"/>
        </w:rPr>
        <w:t xml:space="preserve">2024 4th International Conference on Innovative Practices in Technology and Management (ICIPTM)</w:t>
      </w:r>
      <w:r w:rsidDel="00000000" w:rsidR="00000000" w:rsidRPr="00000000">
        <w:rPr>
          <w:sz w:val="19"/>
          <w:szCs w:val="19"/>
          <w:rtl w:val="0"/>
        </w:rPr>
        <w:t xml:space="preserve">, Noida, India, 2024, pp. 1-6,</w:t>
      </w:r>
    </w:p>
    <w:p w:rsidR="00000000" w:rsidDel="00000000" w:rsidP="00000000" w:rsidRDefault="00000000" w:rsidRPr="00000000" w14:paraId="000001F8">
      <w:pPr>
        <w:widowControl w:val="1"/>
        <w:numPr>
          <w:ilvl w:val="0"/>
          <w:numId w:val="7"/>
        </w:numPr>
        <w:spacing w:after="0" w:afterAutospacing="0" w:before="0" w:beforeAutospacing="0" w:line="276" w:lineRule="auto"/>
        <w:ind w:left="360"/>
        <w:jc w:val="both"/>
        <w:rPr>
          <w:color w:val="262626"/>
          <w:sz w:val="19"/>
          <w:szCs w:val="19"/>
        </w:rPr>
      </w:pPr>
      <w:r w:rsidDel="00000000" w:rsidR="00000000" w:rsidRPr="00000000">
        <w:rPr>
          <w:sz w:val="19"/>
          <w:szCs w:val="19"/>
          <w:rtl w:val="0"/>
        </w:rPr>
        <w:t xml:space="preserve">R. Ciancioso, D. Budhwa and T. Hayajneh, "A Framework for Zero Day Exploit Detection and Containment," </w:t>
      </w:r>
      <w:r w:rsidDel="00000000" w:rsidR="00000000" w:rsidRPr="00000000">
        <w:rPr>
          <w:i w:val="1"/>
          <w:sz w:val="19"/>
          <w:szCs w:val="19"/>
          <w:rtl w:val="0"/>
        </w:rPr>
        <w:t xml:space="preserve">2017 IEEE 15th Intl Conf on Dependable, Autonomic and Secure Computing, </w:t>
      </w:r>
    </w:p>
    <w:p w:rsidR="00000000" w:rsidDel="00000000" w:rsidP="00000000" w:rsidRDefault="00000000" w:rsidRPr="00000000" w14:paraId="000001F9">
      <w:pPr>
        <w:widowControl w:val="1"/>
        <w:numPr>
          <w:ilvl w:val="0"/>
          <w:numId w:val="7"/>
        </w:numPr>
        <w:spacing w:after="280" w:before="0" w:beforeAutospacing="0" w:line="276" w:lineRule="auto"/>
        <w:ind w:left="360"/>
        <w:jc w:val="both"/>
        <w:rPr>
          <w:color w:val="262626"/>
          <w:sz w:val="19"/>
          <w:szCs w:val="19"/>
        </w:rPr>
      </w:pPr>
      <w:r w:rsidDel="00000000" w:rsidR="00000000" w:rsidRPr="00000000">
        <w:rPr>
          <w:sz w:val="19"/>
          <w:szCs w:val="19"/>
          <w:rtl w:val="0"/>
        </w:rPr>
        <w:t xml:space="preserve">W. Wang, L. Chen, L. Han, Z. Zhou, Z. Xia and X. Chen, "Vulnerability Assessment for ICS system Based on Zero-day Attack Graph," </w:t>
      </w:r>
      <w:r w:rsidDel="00000000" w:rsidR="00000000" w:rsidRPr="00000000">
        <w:rPr>
          <w:i w:val="1"/>
          <w:sz w:val="19"/>
          <w:szCs w:val="19"/>
          <w:rtl w:val="0"/>
        </w:rPr>
        <w:t xml:space="preserve">2020 International Conference on Intelligent Computing, Automation and Systems (ICICAS)</w:t>
      </w:r>
      <w:r w:rsidDel="00000000" w:rsidR="00000000" w:rsidRPr="00000000">
        <w:rPr>
          <w:sz w:val="19"/>
          <w:szCs w:val="19"/>
          <w:rtl w:val="0"/>
        </w:rPr>
        <w:t xml:space="preserve">, Chongqing, China, 2020, pp. 1-5.</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b w:val="1"/>
          <w:sz w:val="19"/>
          <w:szCs w:val="19"/>
          <w:u w:val="single"/>
        </w:rPr>
      </w:pPr>
      <w:r w:rsidDel="00000000" w:rsidR="00000000" w:rsidRPr="00000000">
        <w:rPr>
          <w:rtl w:val="0"/>
        </w:rPr>
      </w:r>
    </w:p>
    <w:sectPr>
      <w:headerReference r:id="rId17" w:type="default"/>
      <w:footerReference r:id="rId18" w:type="default"/>
      <w:type w:val="nextPage"/>
      <w:pgSz w:h="15840" w:w="12240" w:orient="portrait"/>
      <w:pgMar w:bottom="1180" w:top="1340" w:left="1220" w:right="1240" w:header="713" w:footer="99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sz w:val="2"/>
        <w:szCs w:val="2"/>
        <w:rtl w:val="0"/>
      </w:rPr>
      <w:t xml:space="preserve"> </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-465136</wp:posOffset>
              </wp:positionH>
              <wp:positionV relativeFrom="paragraph">
                <wp:posOffset>-190499</wp:posOffset>
              </wp:positionV>
              <wp:extent cx="7180263" cy="9458325"/>
              <wp:effectExtent b="0" l="0" r="0" t="0"/>
              <wp:wrapNone/>
              <wp:docPr id="21" name=""/>
              <a:graphic>
                <a:graphicData uri="http://schemas.microsoft.com/office/word/2010/wordprocessingShape">
                  <wps:wsp>
                    <wps:cNvSpPr/>
                    <wps:cNvPr id="2" name="Shape 2"/>
                    <wps:spPr>
                      <a:xfrm>
                        <a:off x="2385475" y="0"/>
                        <a:ext cx="3684900" cy="510600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-465136</wp:posOffset>
              </wp:positionH>
              <wp:positionV relativeFrom="paragraph">
                <wp:posOffset>-190499</wp:posOffset>
              </wp:positionV>
              <wp:extent cx="7180263" cy="9458325"/>
              <wp:effectExtent b="0" l="0" r="0" t="0"/>
              <wp:wrapNone/>
              <wp:docPr id="2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180263" cy="94583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0"/>
      <w:numFmt w:val="bullet"/>
      <w:lvlText w:val=""/>
      <w:lvlJc w:val="left"/>
      <w:pPr>
        <w:ind w:left="0" w:firstLine="0"/>
      </w:pPr>
      <w:rPr/>
    </w:lvl>
    <w:lvl w:ilvl="2">
      <w:start w:val="0"/>
      <w:numFmt w:val="bullet"/>
      <w:lvlText w:val=""/>
      <w:lvlJc w:val="left"/>
      <w:pPr>
        <w:ind w:left="0" w:firstLine="0"/>
      </w:pPr>
      <w:rPr/>
    </w:lvl>
    <w:lvl w:ilvl="3">
      <w:start w:val="0"/>
      <w:numFmt w:val="bullet"/>
      <w:lvlText w:val=""/>
      <w:lvlJc w:val="left"/>
      <w:pPr>
        <w:ind w:left="0" w:firstLine="0"/>
      </w:pPr>
      <w:rPr/>
    </w:lvl>
    <w:lvl w:ilvl="4">
      <w:start w:val="0"/>
      <w:numFmt w:val="bullet"/>
      <w:lvlText w:val=""/>
      <w:lvlJc w:val="left"/>
      <w:pPr>
        <w:ind w:left="0" w:firstLine="0"/>
      </w:pPr>
      <w:rPr/>
    </w:lvl>
    <w:lvl w:ilvl="5">
      <w:start w:val="0"/>
      <w:numFmt w:val="bullet"/>
      <w:lvlText w:val=""/>
      <w:lvlJc w:val="left"/>
      <w:pPr>
        <w:ind w:left="0" w:firstLine="0"/>
      </w:pPr>
      <w:rPr/>
    </w:lvl>
    <w:lvl w:ilvl="6">
      <w:start w:val="0"/>
      <w:numFmt w:val="bullet"/>
      <w:lvlText w:val=""/>
      <w:lvlJc w:val="left"/>
      <w:pPr>
        <w:ind w:left="0" w:firstLine="0"/>
      </w:pPr>
      <w:rPr/>
    </w:lvl>
    <w:lvl w:ilvl="7">
      <w:start w:val="0"/>
      <w:numFmt w:val="bullet"/>
      <w:lvlText w:val=""/>
      <w:lvlJc w:val="left"/>
      <w:pPr>
        <w:ind w:left="0" w:firstLine="0"/>
      </w:pPr>
      <w:rPr/>
    </w:lvl>
    <w:lvl w:ilvl="8">
      <w:start w:val="0"/>
      <w:numFmt w:val="bullet"/>
      <w:lvlText w:val=""/>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5" w:lineRule="auto"/>
      <w:ind w:left="1756" w:right="1731"/>
      <w:jc w:val="center"/>
    </w:pPr>
    <w:rPr>
      <w:b w:val="1"/>
      <w:sz w:val="36"/>
      <w:szCs w:val="36"/>
    </w:rPr>
  </w:style>
  <w:style w:type="paragraph" w:styleId="Heading2">
    <w:name w:val="heading 2"/>
    <w:basedOn w:val="Normal"/>
    <w:next w:val="Normal"/>
    <w:pPr>
      <w:ind w:left="700" w:hanging="480"/>
    </w:pPr>
    <w:rPr>
      <w:b w:val="1"/>
      <w:sz w:val="32"/>
      <w:szCs w:val="32"/>
    </w:rPr>
  </w:style>
  <w:style w:type="paragraph" w:styleId="Heading3">
    <w:name w:val="heading 3"/>
    <w:basedOn w:val="Normal"/>
    <w:next w:val="Normal"/>
    <w:pPr>
      <w:ind w:left="850" w:hanging="630"/>
      <w:jc w:val="both"/>
    </w:pPr>
    <w:rPr>
      <w:b w:val="1"/>
      <w:sz w:val="28"/>
      <w:szCs w:val="28"/>
    </w:rPr>
  </w:style>
  <w:style w:type="paragraph" w:styleId="Heading4">
    <w:name w:val="heading 4"/>
    <w:basedOn w:val="Normal"/>
    <w:next w:val="Normal"/>
    <w:pPr>
      <w:keepNext w:val="1"/>
      <w:spacing w:after="60" w:before="240" w:lineRule="auto"/>
    </w:pPr>
    <w:rPr>
      <w:rFonts w:ascii="Calibri" w:cs="Calibri" w:eastAsia="Calibri" w:hAnsi="Calibri"/>
      <w:b w:val="1"/>
      <w:sz w:val="28"/>
      <w:szCs w:val="28"/>
    </w:rPr>
  </w:style>
  <w:style w:type="paragraph" w:styleId="Heading5">
    <w:name w:val="heading 5"/>
    <w:basedOn w:val="Normal"/>
    <w:next w:val="Normal"/>
    <w:pPr>
      <w:spacing w:after="60" w:before="240" w:lineRule="auto"/>
    </w:pPr>
    <w:rPr>
      <w:rFonts w:ascii="Calibri" w:cs="Calibri" w:eastAsia="Calibri" w:hAnsi="Calibri"/>
      <w:b w:val="1"/>
      <w:i w:val="1"/>
      <w:sz w:val="26"/>
      <w:szCs w:val="26"/>
    </w:rPr>
  </w:style>
  <w:style w:type="paragraph" w:styleId="Heading6">
    <w:name w:val="heading 6"/>
    <w:basedOn w:val="Normal"/>
    <w:next w:val="Normal"/>
    <w:pPr>
      <w:spacing w:after="60" w:before="240" w:lineRule="auto"/>
    </w:pPr>
    <w:rPr>
      <w:rFonts w:ascii="Calibri" w:cs="Calibri" w:eastAsia="Calibri" w:hAnsi="Calibri"/>
      <w:b w:val="1"/>
    </w:rPr>
  </w:style>
  <w:style w:type="paragraph" w:styleId="Title">
    <w:name w:val="Title"/>
    <w:basedOn w:val="Normal"/>
    <w:next w:val="Normal"/>
    <w:pPr>
      <w:spacing w:after="80" w:line="240" w:lineRule="auto"/>
    </w:pPr>
    <w:rPr>
      <w:rFonts w:ascii="Arial" w:cs="Arial" w:eastAsia="Arial" w:hAnsi="Arial"/>
      <w:sz w:val="56"/>
      <w:szCs w:val="56"/>
    </w:rPr>
  </w:style>
  <w:style w:type="table" w:styleId="10" w:default="1">
    <w:name w:val="Normal Table"/>
    <w:uiPriority w:val="99"/>
    <w:semiHidden w:val="1"/>
    <w:unhideWhenUsed w:val="1"/>
    <w:pPr>
      <w:pBdr/>
      <w:spacing/>
      <w:ind/>
    </w:pPr>
    <w:tblPr>
      <w:tblInd w:w="0.0" w:type="dxa"/>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
    <w:name w:val="Table Grid"/>
    <w:basedOn w:val="10"/>
    <w:uiPriority w:val="59"/>
    <w:pPr>
      <w:pBdr/>
      <w:spacing w:after="0" w:line="240" w:lineRule="auto"/>
      <w:ind/>
    </w:pPr>
    <w:tblPr>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10"/>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10"/>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10"/>
    <w:uiPriority w:val="59"/>
    <w:pPr>
      <w:pBdr/>
      <w:spacing w:after="0" w:line="240" w:lineRule="auto"/>
      <w:ind/>
    </w:pPr>
    <w:tblPr>
      <w:tblInd w:w="0.0" w:type="dxa"/>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cPr>
      <w:tcBorders/>
    </w:tcPr>
    <w:tblStylePr w:type="band1Horz">
      <w:pPr>
        <w:pBdr/>
        <w:spacing/>
        <w:ind/>
      </w:pPr>
      <w:tblPr>
        <w:tblBorders/>
      </w:tblPr>
      <w:tcPr>
        <w:tcBorders>
          <w:top w:color="000000" w:space="0" w:sz="4" w:themeColor="text1" w:val="single"/>
          <w:bottom w:color="000000" w:space="0" w:sz="4" w:themeColor="text1" w:val="single"/>
        </w:tcBorders>
      </w:tcPr>
    </w:tblStylePr>
    <w:tblStylePr w:type="band1Vert">
      <w:pPr>
        <w:pBdr/>
        <w:spacing/>
        <w:ind/>
      </w:p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left w:color="000000" w:space="0" w:sz="4" w:themeColor="text1" w:val="single"/>
          <w:right w:color="000000" w:space="0" w:sz="4" w:themeColor="text1" w:val="single"/>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val="single"/>
          <w:bottom w:color="000000" w:space="0" w:sz="4" w:themeColor="text1" w:val="singl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10"/>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aps w:val="1"/>
        <w:color w:val="404040"/>
      </w:rPr>
      <w:tblPr>
        <w:tblBorders/>
      </w:tblPr>
      <w:tcPr>
        <w:tcBorders>
          <w:top w:color="000000" w:space="0" w:sz="4" w:val="none"/>
          <w:left w:color="000000" w:space="0" w:sz="4" w:val="none"/>
          <w:bottom w:color="000000" w:space="0" w:sz="4" w:val="none"/>
          <w:right w:color="404040" w:space="0" w:sz="4" w:val="single"/>
        </w:tcBorders>
      </w:tcPr>
    </w:tblStylePr>
    <w:tblStylePr w:type="firstRow">
      <w:pPr>
        <w:pBdr/>
        <w:spacing/>
        <w:ind/>
      </w:pPr>
      <w:rPr>
        <w:b w:val="1"/>
        <w:caps w:val="1"/>
        <w:color w:val="404040"/>
      </w:rPr>
      <w:tblPr>
        <w:tblBorders/>
      </w:tblPr>
      <w:tcPr>
        <w:tcBorders>
          <w:top w:color="000000" w:space="0" w:sz="4" w:val="none"/>
          <w:left w:color="000000" w:space="0" w:sz="4" w:val="none"/>
          <w:bottom w:color="404040" w:space="0" w:sz="4" w:val="single"/>
          <w:right w:color="000000" w:space="0" w:sz="4" w:val="none"/>
        </w:tcBorders>
      </w:tcPr>
    </w:tblStylePr>
    <w:tblStylePr w:type="lastCol">
      <w:pPr>
        <w:pBdr/>
        <w:spacing/>
        <w:ind/>
      </w:pPr>
      <w:rPr>
        <w:b w:val="1"/>
        <w:caps w:val="1"/>
        <w:color w:val="404040"/>
      </w:rPr>
      <w:tblPr>
        <w:tblBorders/>
      </w:tblPr>
      <w:tcPr>
        <w:tcBorders/>
      </w:tcPr>
    </w:tblStylePr>
    <w:tblStylePr w:type="lastRow">
      <w:pPr>
        <w:pBdr/>
        <w:spacing/>
        <w:ind/>
      </w:pPr>
      <w:rPr>
        <w:b w:val="1"/>
        <w:caps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10"/>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10"/>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right w:color="404040" w:space="0" w:sz="4" w:val="single"/>
        </w:tcBorders>
        <w:shd w:color="ffffff" w:val="clear"/>
      </w:tcPr>
    </w:tblStylePr>
    <w:tblStylePr w:type="firstRow">
      <w:pPr>
        <w:pBdr/>
        <w:spacing/>
        <w:ind/>
      </w:pPr>
      <w:rPr>
        <w:i w:val="1"/>
        <w:color w:val="404040"/>
      </w:rPr>
      <w:tblPr>
        <w:tblBorders/>
      </w:tblPr>
      <w:tcPr>
        <w:tcBorders>
          <w:left w:color="000000" w:space="0" w:sz="4" w:val="none"/>
          <w:bottom w:color="404040" w:space="0" w:sz="4" w:val="single"/>
          <w:right w:color="000000" w:space="0" w:sz="4" w:val="none"/>
        </w:tcBorders>
        <w:shd w:color="ffffff" w:val="clear"/>
      </w:tcPr>
    </w:tblStylePr>
    <w:tblStylePr w:type="lastCol">
      <w:pPr>
        <w:pBdr/>
        <w:spacing/>
        <w:ind/>
      </w:pPr>
      <w:rPr>
        <w:i w:val="1"/>
        <w:color w:val="404040"/>
      </w:rPr>
      <w:tblPr>
        <w:tblBorders/>
      </w:tblPr>
      <w:tcPr>
        <w:tcBorders>
          <w:left w:color="404040" w:space="0" w:sz="4" w:val="single"/>
        </w:tcBorders>
        <w:shd w:color="ffffff" w:val="clear"/>
      </w:tcPr>
    </w:tblStylePr>
    <w:tblStylePr w:type="lastRow">
      <w:pPr>
        <w:pBdr/>
        <w:spacing/>
        <w:ind/>
      </w:pPr>
      <w:rPr>
        <w:i w:val="1"/>
        <w:color w:val="404040"/>
      </w:rPr>
      <w:tblPr>
        <w:tblBorders/>
      </w:tblPr>
      <w:tcPr>
        <w:tcBorders>
          <w:top w:color="404040" w:space="0" w:sz="4" w:val="single"/>
          <w:left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10"/>
    <w:uiPriority w:val="99"/>
    <w:pPr>
      <w:pBdr/>
      <w:spacing w:after="0" w:line="240" w:lineRule="auto"/>
      <w:ind/>
    </w:pPr>
    <w:tblPr>
      <w:tblStyleRowBandSize w:val="1"/>
      <w:tblStyleColBandSize w:val="1"/>
      <w:tblInd w:w="0.0" w:type="dxa"/>
      <w:tbl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insideH w:color="000000" w:space="0" w:sz="4" w:themeColor="text1" w:themeTint="000067" w:val="single"/>
        <w:insideV w:color="000000" w:space="0" w:sz="4" w:themeColor="tex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tex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10"/>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10"/>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2"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10"/>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3"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10"/>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4"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10"/>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5"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10"/>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6"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10"/>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text1" w:themeTint="00009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themeTint="00009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10"/>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be5f2"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be5f2"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1" w:themeTint="0000E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10"/>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2" w:themeTint="000097"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10"/>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3" w:themeTint="0000FE"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10"/>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4" w:themeTint="00009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10"/>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10"/>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6"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10"/>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10"/>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be5f2"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be5f2"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10"/>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10"/>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10"/>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10"/>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10"/>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10"/>
    <w:uiPriority w:val="59"/>
    <w:pPr>
      <w:pBdr/>
      <w:spacing w:after="0" w:line="240" w:lineRule="auto"/>
      <w:ind/>
    </w:pPr>
    <w:tblPr>
      <w:tblStyleRowBandSize w:val="1"/>
      <w:tblStyleColBandSize w:val="1"/>
      <w:tblInd w:w="0.0" w:type="dxa"/>
      <w:tblBorders>
        <w:top w:color="000000" w:space="0" w:sz="4" w:themeColor="text1" w:themeTint="000090" w:val="single"/>
        <w:left w:color="000000" w:space="0" w:sz="4" w:themeColor="text1" w:themeTint="000090" w:val="single"/>
        <w:bottom w:color="000000" w:space="0" w:sz="4" w:themeColor="text1" w:themeTint="000090" w:val="single"/>
        <w:right w:color="000000" w:space="0" w:sz="4" w:themeColor="text1" w:themeTint="000090" w:val="single"/>
        <w:insideH w:color="000000" w:space="0" w:sz="4" w:themeColor="text1" w:themeTint="000090" w:val="single"/>
        <w:insideV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10"/>
    <w:uiPriority w:val="5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insideV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ce6f2" w:themeColor="accent1" w:themeFill="accent1" w:themeFillTint="000032" w:themeTint="000032" w:val="clear"/>
      </w:tcPr>
    </w:tblStylePr>
    <w:tblStylePr w:type="band1Vert">
      <w:pPr>
        <w:pBdr/>
        <w:spacing/>
        <w:ind/>
      </w:pPr>
      <w:rPr>
        <w:rFonts w:ascii="Arial" w:hAnsi="Arial"/>
        <w:color w:val="404040"/>
        <w:sz w:val="22"/>
      </w:rPr>
      <w:tblPr>
        <w:tblBorders/>
      </w:tblPr>
      <w:tcPr>
        <w:tcBorders/>
        <w:shd w:color="ffffff" w:fill="dce6f2" w:themeColor="accent1" w:themeFill="accent1"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1" w:themeTint="0000EA" w:val="single"/>
          <w:left w:color="000000" w:space="0" w:sz="4" w:themeColor="accent1" w:themeTint="0000EA" w:val="single"/>
          <w:bottom w:color="000000" w:space="0" w:sz="4" w:themeColor="accent1" w:themeTint="0000EA" w:val="single"/>
          <w:right w:color="000000" w:space="0" w:sz="4" w:themeColor="accent1" w:themeTint="0000EA" w:val="single"/>
        </w:tcBorders>
        <w:shd w:color="ffffff" w:fill="5d8bc2" w:themeColor="accent1" w:themeFill="accent1" w:themeFillTint="0000EA" w:themeTint="0000E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10"/>
    <w:uiPriority w:val="5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insideV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cBorders>
        <w:shd w:color="ffffff" w:fill="da9796"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10"/>
    <w:uiPriority w:val="5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insideV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tcBorders>
        <w:shd w:color="ffffff" w:fill="9bbb5a" w:themeColor="accent3" w:themeFill="accent3" w:themeFillTint="0000FE" w:themeTint="0000FE"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10"/>
    <w:uiPriority w:val="5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insideV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cBorders>
        <w:shd w:color="ffffff" w:fill="b2a1c7"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10"/>
    <w:uiPriority w:val="5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5" w:val="single"/>
          <w:left w:color="000000" w:space="0" w:sz="4" w:themeColor="accent5" w:val="single"/>
          <w:bottom w:color="000000" w:space="0" w:sz="4" w:themeColor="accent5" w:val="single"/>
          <w:right w:color="000000" w:space="0" w:sz="4" w:themeColor="accent5" w:val="single"/>
        </w:tcBorders>
        <w:shd w:color="ffffff" w:fill="4bacc6"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10"/>
    <w:uiPriority w:val="5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6" w:val="single"/>
          <w:left w:color="000000" w:space="0" w:sz="4" w:themeColor="accent6" w:val="single"/>
          <w:bottom w:color="000000" w:space="0" w:sz="4" w:themeColor="accent6" w:val="single"/>
          <w:right w:color="000000" w:space="0" w:sz="4" w:themeColor="accent6" w:val="single"/>
        </w:tcBorders>
        <w:shd w:color="ffffff" w:fill="f79646"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10"/>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bfbfbf" w:themeColor="text1" w:themeFill="text1" w:themeFillTint="000040" w:themeTint="000040" w:val="clear"/>
    </w:tblPr>
    <w:tcPr>
      <w:tcBorders/>
    </w:tcPr>
    <w:tblStylePr w:type="band1Horz">
      <w:pPr>
        <w:pBdr/>
        <w:spacing/>
        <w:ind/>
      </w:pPr>
      <w:tblPr>
        <w:tblBorders/>
      </w:tblPr>
      <w:tcPr>
        <w:tcBorders/>
        <w:shd w:color="ffffff" w:fill="8a8a8a" w:themeColor="text1" w:themeFill="text1" w:themeFillTint="000075" w:themeTint="000075" w:val="clear"/>
      </w:tcPr>
    </w:tblStylePr>
    <w:tblStylePr w:type="band1Vert">
      <w:pPr>
        <w:pBdr/>
        <w:spacing/>
        <w:ind/>
      </w:pPr>
      <w:tblPr>
        <w:tblBorders/>
      </w:tblPr>
      <w:tcPr>
        <w:tcBorders/>
        <w:shd w:color="ffffff" w:fill="8a8a8a" w:themeColor="text1" w:themeFill="tex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000000" w:themeColor="text1" w:themeFill="text1" w:val="clear"/>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rFonts w:ascii="Arial" w:hAnsi="Arial"/>
        <w:b w:val="1"/>
        <w:color w:val="ffffff"/>
        <w:sz w:val="22"/>
      </w:rPr>
      <w:tblPr>
        <w:tblBorders/>
      </w:tblPr>
      <w:tcPr>
        <w:tcBorders/>
        <w:shd w:color="ffffff" w:fill="000000" w:themeColor="text1" w:themeFill="tex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000000" w:themeColor="text1" w:themeFill="tex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10"/>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be5f2" w:themeColor="accent1" w:themeFill="accent1" w:themeFillTint="000034" w:themeTint="000034" w:val="clear"/>
    </w:tblPr>
    <w:tcPr>
      <w:tcBorders/>
    </w:tcPr>
    <w:tblStylePr w:type="band1Horz">
      <w:pPr>
        <w:pBdr/>
        <w:spacing/>
        <w:ind/>
      </w:pPr>
      <w:tblPr>
        <w:tblBorders/>
      </w:tblPr>
      <w:tcPr>
        <w:tcBorders/>
        <w:shd w:color="ffffff" w:fill="aec5e1" w:themeColor="accent1" w:themeFill="accent1" w:themeFillTint="000075" w:themeTint="000075" w:val="clear"/>
      </w:tcPr>
    </w:tblStylePr>
    <w:tblStylePr w:type="band1Vert">
      <w:pPr>
        <w:pBdr/>
        <w:spacing/>
        <w:ind/>
      </w:pPr>
      <w:tblPr>
        <w:tblBorders/>
      </w:tblPr>
      <w:tcPr>
        <w:tcBorders/>
        <w:shd w:color="ffffff" w:fill="aec5e1" w:themeColor="accent1" w:themeFill="accen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4f81bd" w:themeColor="accent1" w:themeFill="accent1" w:val="clear"/>
      </w:tcPr>
    </w:tblStylePr>
    <w:tblStylePr w:type="firstRow">
      <w:pPr>
        <w:pBdr/>
        <w:spacing/>
        <w:ind/>
      </w:pPr>
      <w:rPr>
        <w:rFonts w:ascii="Arial" w:hAnsi="Arial"/>
        <w:b w:val="1"/>
        <w:color w:val="ffffff"/>
        <w:sz w:val="22"/>
      </w:rPr>
      <w:tblPr>
        <w:tblBorders/>
      </w:tblPr>
      <w:tcPr>
        <w:tcBorders/>
        <w:shd w:color="ffffff" w:fill="4f81bd" w:themeColor="accent1" w:themeFill="accent1" w:val="clear"/>
      </w:tcPr>
    </w:tblStylePr>
    <w:tblStylePr w:type="lastCol">
      <w:pPr>
        <w:pBdr/>
        <w:spacing/>
        <w:ind/>
      </w:pPr>
      <w:rPr>
        <w:rFonts w:ascii="Arial" w:hAnsi="Arial"/>
        <w:b w:val="1"/>
        <w:color w:val="ffffff"/>
        <w:sz w:val="22"/>
      </w:rPr>
      <w:tblPr>
        <w:tblBorders/>
      </w:tblPr>
      <w:tcPr>
        <w:tcBorders/>
        <w:shd w:color="ffffff" w:fill="4f81bd" w:themeColor="accent1" w:themeFill="accen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4f81bd" w:themeColor="accent1" w:themeFill="accen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10"/>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3dddc" w:themeColor="accent2" w:themeFill="accent2" w:themeFillTint="000032" w:themeTint="000032" w:val="clear"/>
    </w:tblPr>
    <w:tcPr>
      <w:tcBorders/>
    </w:tcPr>
    <w:tblStylePr w:type="band1Horz">
      <w:pPr>
        <w:pBdr/>
        <w:spacing/>
        <w:ind/>
      </w:pPr>
      <w:tblPr>
        <w:tblBorders/>
      </w:tblPr>
      <w:tcPr>
        <w:tcBorders/>
        <w:shd w:color="ffffff" w:fill="e2afad" w:themeColor="accent2" w:themeFill="accent2" w:themeFillTint="000075" w:themeTint="000075" w:val="clear"/>
      </w:tcPr>
    </w:tblStylePr>
    <w:tblStylePr w:type="band1Vert">
      <w:pPr>
        <w:pBdr/>
        <w:spacing/>
        <w:ind/>
      </w:pPr>
      <w:tblPr>
        <w:tblBorders/>
      </w:tblPr>
      <w:tcPr>
        <w:tcBorders/>
        <w:shd w:color="ffffff" w:fill="e2afad" w:themeColor="accent2" w:themeFill="accent2"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c0504d" w:themeColor="accent2" w:themeFill="accent2" w:val="clear"/>
      </w:tcPr>
    </w:tblStylePr>
    <w:tblStylePr w:type="firstRow">
      <w:pPr>
        <w:pBdr/>
        <w:spacing/>
        <w:ind/>
      </w:pPr>
      <w:rPr>
        <w:rFonts w:ascii="Arial" w:hAnsi="Arial"/>
        <w:b w:val="1"/>
        <w:color w:val="ffffff"/>
        <w:sz w:val="22"/>
      </w:rPr>
      <w:tblPr>
        <w:tblBorders/>
      </w:tblPr>
      <w:tcPr>
        <w:tcBorders/>
        <w:shd w:color="ffffff" w:fill="c0504d" w:themeColor="accent2" w:themeFill="accent2" w:val="clear"/>
      </w:tcPr>
    </w:tblStylePr>
    <w:tblStylePr w:type="lastCol">
      <w:pPr>
        <w:pBdr/>
        <w:spacing/>
        <w:ind/>
      </w:pPr>
      <w:rPr>
        <w:rFonts w:ascii="Arial" w:hAnsi="Arial"/>
        <w:b w:val="1"/>
        <w:color w:val="ffffff"/>
        <w:sz w:val="22"/>
      </w:rPr>
      <w:tblPr>
        <w:tblBorders/>
      </w:tblPr>
      <w:tcPr>
        <w:tcBorders/>
        <w:shd w:color="ffffff" w:fill="c0504d" w:themeColor="accent2" w:themeFill="accent2"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c0504d" w:themeColor="accent2" w:themeFill="accent2"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10"/>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bf1dd" w:themeColor="accent3" w:themeFill="accent3" w:themeFillTint="000034" w:themeTint="000034" w:val="clear"/>
    </w:tblPr>
    <w:tcPr>
      <w:tcBorders/>
    </w:tcPr>
    <w:tblStylePr w:type="band1Horz">
      <w:pPr>
        <w:pBdr/>
        <w:spacing/>
        <w:ind/>
      </w:pPr>
      <w:tblPr>
        <w:tblBorders/>
      </w:tblPr>
      <w:tcPr>
        <w:tcBorders/>
        <w:shd w:color="ffffff" w:fill="d1e0b3" w:themeColor="accent3" w:themeFill="accent3" w:themeFillTint="000075" w:themeTint="000075" w:val="clear"/>
      </w:tcPr>
    </w:tblStylePr>
    <w:tblStylePr w:type="band1Vert">
      <w:pPr>
        <w:pBdr/>
        <w:spacing/>
        <w:ind/>
      </w:pPr>
      <w:tblPr>
        <w:tblBorders/>
      </w:tblPr>
      <w:tcPr>
        <w:tcBorders/>
        <w:shd w:color="ffffff" w:fill="d1e0b3" w:themeColor="accent3" w:themeFill="accent3"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9bbb59" w:themeColor="accent3" w:themeFill="accent3" w:val="clear"/>
      </w:tcPr>
    </w:tblStylePr>
    <w:tblStylePr w:type="firstRow">
      <w:pPr>
        <w:pBdr/>
        <w:spacing/>
        <w:ind/>
      </w:pPr>
      <w:rPr>
        <w:rFonts w:ascii="Arial" w:hAnsi="Arial"/>
        <w:b w:val="1"/>
        <w:color w:val="ffffff"/>
        <w:sz w:val="22"/>
      </w:rPr>
      <w:tblPr>
        <w:tblBorders/>
      </w:tblPr>
      <w:tcPr>
        <w:tcBorders/>
        <w:shd w:color="ffffff" w:fill="9bbb59" w:themeColor="accent3" w:themeFill="accent3" w:val="clear"/>
      </w:tcPr>
    </w:tblStylePr>
    <w:tblStylePr w:type="lastCol">
      <w:pPr>
        <w:pBdr/>
        <w:spacing/>
        <w:ind/>
      </w:pPr>
      <w:rPr>
        <w:rFonts w:ascii="Arial" w:hAnsi="Arial"/>
        <w:b w:val="1"/>
        <w:color w:val="ffffff"/>
        <w:sz w:val="22"/>
      </w:rPr>
      <w:tblPr>
        <w:tblBorders/>
      </w:tblPr>
      <w:tcPr>
        <w:tcBorders/>
        <w:shd w:color="ffffff" w:fill="9bbb59" w:themeColor="accent3" w:themeFill="accent3"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9bbb59" w:themeColor="accent3" w:themeFill="accent3"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10"/>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5dfec" w:themeColor="accent4" w:themeFill="accent4" w:themeFillTint="000034" w:themeTint="000034" w:val="clear"/>
    </w:tblPr>
    <w:tcPr>
      <w:tcBorders/>
    </w:tcPr>
    <w:tblStylePr w:type="band1Horz">
      <w:pPr>
        <w:pBdr/>
        <w:spacing/>
        <w:ind/>
      </w:pPr>
      <w:tblPr>
        <w:tblBorders/>
      </w:tblPr>
      <w:tcPr>
        <w:tcBorders/>
        <w:shd w:color="ffffff" w:fill="c5b8d4" w:themeColor="accent4" w:themeFill="accent4" w:themeFillTint="000075" w:themeTint="000075" w:val="clear"/>
      </w:tcPr>
    </w:tblStylePr>
    <w:tblStylePr w:type="band1Vert">
      <w:pPr>
        <w:pBdr/>
        <w:spacing/>
        <w:ind/>
      </w:pPr>
      <w:tblPr>
        <w:tblBorders/>
      </w:tblPr>
      <w:tcPr>
        <w:tcBorders/>
        <w:shd w:color="ffffff" w:fill="c5b8d4" w:themeColor="accent4" w:themeFill="accent4"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8064a2" w:themeColor="accent4" w:themeFill="accent4" w:val="clear"/>
      </w:tcPr>
    </w:tblStylePr>
    <w:tblStylePr w:type="firstRow">
      <w:pPr>
        <w:pBdr/>
        <w:spacing/>
        <w:ind/>
      </w:pPr>
      <w:rPr>
        <w:rFonts w:ascii="Arial" w:hAnsi="Arial"/>
        <w:b w:val="1"/>
        <w:color w:val="ffffff"/>
        <w:sz w:val="22"/>
      </w:rPr>
      <w:tblPr>
        <w:tblBorders/>
      </w:tblPr>
      <w:tcPr>
        <w:tcBorders/>
        <w:shd w:color="ffffff" w:fill="8064a2" w:themeColor="accent4" w:themeFill="accent4" w:val="clear"/>
      </w:tcPr>
    </w:tblStylePr>
    <w:tblStylePr w:type="lastCol">
      <w:pPr>
        <w:pBdr/>
        <w:spacing/>
        <w:ind/>
      </w:pPr>
      <w:rPr>
        <w:rFonts w:ascii="Arial" w:hAnsi="Arial"/>
        <w:b w:val="1"/>
        <w:color w:val="ffffff"/>
        <w:sz w:val="22"/>
      </w:rPr>
      <w:tblPr>
        <w:tblBorders/>
      </w:tblPr>
      <w:tcPr>
        <w:tcBorders/>
        <w:shd w:color="ffffff" w:fill="8064a2" w:themeColor="accent4" w:themeFill="accent4"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8064a2" w:themeColor="accent4" w:themeFill="accent4"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10"/>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aeef3" w:themeColor="accent5" w:themeFill="accent5" w:themeFillTint="000034" w:themeTint="000034" w:val="clear"/>
    </w:tblPr>
    <w:tcPr>
      <w:tcBorders/>
    </w:tcPr>
    <w:tblStylePr w:type="band1Horz">
      <w:pPr>
        <w:pBdr/>
        <w:spacing/>
        <w:ind/>
      </w:pPr>
      <w:tblPr>
        <w:tblBorders/>
      </w:tblPr>
      <w:tcPr>
        <w:tcBorders/>
        <w:shd w:color="ffffff" w:fill="acd9e5" w:themeColor="accent5" w:themeFill="accent5" w:themeFillTint="000075" w:themeTint="000075" w:val="clear"/>
      </w:tcPr>
    </w:tblStylePr>
    <w:tblStylePr w:type="band1Vert">
      <w:pPr>
        <w:pBdr/>
        <w:spacing/>
        <w:ind/>
      </w:pPr>
      <w:tblPr>
        <w:tblBorders/>
      </w:tblPr>
      <w:tcPr>
        <w:tcBorders/>
        <w:shd w:color="ffffff" w:fill="acd9e5" w:themeColor="accent5" w:themeFill="accent5"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4bacc6" w:themeColor="accent5" w:themeFill="accent5" w:val="clear"/>
      </w:tcPr>
    </w:tblStylePr>
    <w:tblStylePr w:type="firstRow">
      <w:pPr>
        <w:pBdr/>
        <w:spacing/>
        <w:ind/>
      </w:pPr>
      <w:rPr>
        <w:rFonts w:ascii="Arial" w:hAnsi="Arial"/>
        <w:b w:val="1"/>
        <w:color w:val="ffffff"/>
        <w:sz w:val="22"/>
      </w:rPr>
      <w:tblPr>
        <w:tblBorders/>
      </w:tblPr>
      <w:tcPr>
        <w:tcBorders/>
        <w:shd w:color="ffffff" w:fill="4bacc6" w:themeColor="accent5" w:themeFill="accent5" w:val="clear"/>
      </w:tcPr>
    </w:tblStylePr>
    <w:tblStylePr w:type="lastCol">
      <w:pPr>
        <w:pBdr/>
        <w:spacing/>
        <w:ind/>
      </w:pPr>
      <w:rPr>
        <w:rFonts w:ascii="Arial" w:hAnsi="Arial"/>
        <w:b w:val="1"/>
        <w:color w:val="ffffff"/>
        <w:sz w:val="22"/>
      </w:rPr>
      <w:tblPr>
        <w:tblBorders/>
      </w:tblPr>
      <w:tcPr>
        <w:tcBorders/>
        <w:shd w:color="ffffff" w:fill="4bacc6" w:themeColor="accent5" w:themeFill="accent5"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4bacc6"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10"/>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dead9" w:themeColor="accent6" w:themeFill="accent6" w:themeFillTint="000034" w:themeTint="000034" w:val="clear"/>
    </w:tblPr>
    <w:tcPr>
      <w:tcBorders/>
    </w:tcPr>
    <w:tblStylePr w:type="band1Horz">
      <w:pPr>
        <w:pBdr/>
        <w:spacing/>
        <w:ind/>
      </w:pPr>
      <w:tblPr>
        <w:tblBorders/>
      </w:tblPr>
      <w:tcPr>
        <w:tcBorders/>
        <w:shd w:color="ffffff" w:fill="fbcfaa" w:themeColor="accent6" w:themeFill="accent6" w:themeFillTint="000075" w:themeTint="000075" w:val="clear"/>
      </w:tcPr>
    </w:tblStylePr>
    <w:tblStylePr w:type="band1Vert">
      <w:pPr>
        <w:pBdr/>
        <w:spacing/>
        <w:ind/>
      </w:pPr>
      <w:tblPr>
        <w:tblBorders/>
      </w:tblPr>
      <w:tcPr>
        <w:tcBorders/>
        <w:shd w:color="ffffff" w:fill="fbcfaa" w:themeColor="accent6" w:themeFill="accent6"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f79646" w:themeColor="accent6" w:themeFill="accent6" w:val="clear"/>
      </w:tcPr>
    </w:tblStylePr>
    <w:tblStylePr w:type="firstRow">
      <w:pPr>
        <w:pBdr/>
        <w:spacing/>
        <w:ind/>
      </w:pPr>
      <w:rPr>
        <w:rFonts w:ascii="Arial" w:hAnsi="Arial"/>
        <w:b w:val="1"/>
        <w:color w:val="ffffff"/>
        <w:sz w:val="22"/>
      </w:rPr>
      <w:tblPr>
        <w:tblBorders/>
      </w:tblPr>
      <w:tcPr>
        <w:tcBorders/>
        <w:shd w:color="ffffff" w:fill="f79646" w:themeColor="accent6" w:themeFill="accent6" w:val="clear"/>
      </w:tcPr>
    </w:tblStylePr>
    <w:tblStylePr w:type="lastCol">
      <w:pPr>
        <w:pBdr/>
        <w:spacing/>
        <w:ind/>
      </w:pPr>
      <w:rPr>
        <w:rFonts w:ascii="Arial" w:hAnsi="Arial"/>
        <w:b w:val="1"/>
        <w:color w:val="ffffff"/>
        <w:sz w:val="22"/>
      </w:rPr>
      <w:tblPr>
        <w:tblBorders/>
      </w:tblPr>
      <w:tcPr>
        <w:tcBorders/>
        <w:shd w:color="ffffff" w:fill="f79646" w:themeColor="accent6" w:themeFill="accent6"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f79646"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10"/>
    <w:uiPriority w:val="99"/>
    <w:pPr>
      <w:pBdr/>
      <w:spacing w:after="0" w:line="240" w:lineRule="auto"/>
      <w:ind/>
    </w:pPr>
    <w:tblPr>
      <w:tblStyleRowBandSize w:val="1"/>
      <w:tblStyleColBandSize w:val="1"/>
      <w:tblInd w:w="0.0" w:type="dxa"/>
      <w:tblBorders>
        <w:top w:color="000000" w:space="0" w:sz="4" w:themeColor="text1" w:themeTint="000080" w:val="single"/>
        <w:left w:color="000000" w:space="0" w:sz="4" w:themeColor="text1" w:themeTint="000080" w:val="single"/>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04040" w:themeColor="text1" w:themeShade="000095" w:themeTint="000080"/>
        <w:sz w:val="22"/>
      </w:rPr>
      <w:tblPr>
        <w:tblBorders/>
      </w:tblPr>
      <w:tcPr>
        <w:tcBorders/>
        <w:shd w:color="ffffff" w:fill="cbcbcb" w:themeColor="text1" w:themeFill="text1" w:themeFillTint="000034" w:themeTint="000034" w:val="clear"/>
      </w:tcPr>
    </w:tblStylePr>
    <w:tblStylePr w:type="band1Vert">
      <w:pPr>
        <w:pBdr/>
        <w:spacing/>
        <w:ind/>
      </w:pPr>
      <w:tblPr>
        <w:tblBorders/>
      </w:tblPr>
      <w:tcPr>
        <w:tcBorders/>
        <w:shd w:color="ffffff" w:fill="cbcbcb" w:themeColor="text1" w:themeFill="text1" w:themeFillTint="000034" w:themeTint="000034" w:val="clear"/>
      </w:tcPr>
    </w:tblStylePr>
    <w:tblStylePr w:type="band2Horz">
      <w:pPr>
        <w:pBdr/>
        <w:spacing/>
        <w:ind/>
      </w:pPr>
      <w:rPr>
        <w:rFonts w:ascii="Arial" w:hAnsi="Arial"/>
        <w:color w:val="404040"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4a4a4a" w:themeColor="text1" w:themeShade="000095" w:themeTint="000080"/>
      </w:rPr>
      <w:tblPr>
        <w:tblBorders/>
      </w:tblPr>
      <w:tcPr>
        <w:tcBorders/>
      </w:tcPr>
    </w:tblStylePr>
    <w:tblStylePr w:type="firstRow">
      <w:pPr>
        <w:pBdr/>
        <w:spacing/>
        <w:ind/>
      </w:pPr>
      <w:rPr>
        <w:b w:val="1"/>
        <w:color w:val="4a4a4a" w:themeColor="text1" w:themeShade="000095" w:themeTint="000080"/>
      </w:rPr>
      <w:tblPr>
        <w:tblBorders/>
      </w:tblPr>
      <w:tcPr>
        <w:tcBorders>
          <w:bottom w:color="000000" w:space="0" w:sz="12" w:themeColor="text1" w:themeTint="000080" w:val="single"/>
        </w:tcBorders>
      </w:tcPr>
    </w:tblStylePr>
    <w:tblStylePr w:type="lastCol">
      <w:pPr>
        <w:pBdr/>
        <w:spacing/>
        <w:ind/>
      </w:pPr>
      <w:rPr>
        <w:b w:val="1"/>
        <w:color w:val="4a4a4a" w:themeColor="text1" w:themeShade="000095" w:themeTint="000080"/>
      </w:rPr>
      <w:tblPr>
        <w:tblBorders/>
      </w:tblPr>
      <w:tcPr>
        <w:tcBorders/>
      </w:tcPr>
    </w:tblStylePr>
    <w:tblStylePr w:type="lastRow">
      <w:pPr>
        <w:pBdr/>
        <w:spacing/>
        <w:ind/>
      </w:pPr>
      <w:rPr>
        <w:b w:val="1"/>
        <w:color w:val="4a4a4a" w:themeColor="tex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text1" w:themeShade="000095" w:themeTint="000080"/>
        <w:sz w:val="22"/>
      </w:rPr>
      <w:tblPr>
        <w:tblBorders/>
      </w:tblPr>
      <w:tcPr>
        <w:tcBorders/>
      </w:tcPr>
    </w:tblStylePr>
  </w:style>
  <w:style w:type="table" w:styleId="54">
    <w:name w:val="Grid Table 6 Colorful - Accent 1"/>
    <w:basedOn w:val="10"/>
    <w:uiPriority w:val="99"/>
    <w:pPr>
      <w:pBdr/>
      <w:spacing w:after="0" w:line="240" w:lineRule="auto"/>
      <w:ind/>
    </w:pPr>
    <w:tblPr>
      <w:tblStyleRowBandSize w:val="1"/>
      <w:tblStyleColBandSize w:val="1"/>
      <w:tblInd w:w="0.0" w:type="dxa"/>
      <w:tblBorders>
        <w:top w:color="000000" w:space="0" w:sz="4" w:themeColor="accent1" w:themeTint="000080" w:val="single"/>
        <w:left w:color="000000" w:space="0" w:sz="4" w:themeColor="accent1" w:themeTint="000080" w:val="single"/>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404040" w:themeColor="accent1" w:themeShade="000095" w:themeTint="000080"/>
        <w:sz w:val="22"/>
      </w:rPr>
      <w:tblPr>
        <w:tblBorders/>
      </w:tblPr>
      <w:tcPr>
        <w:tcBorders/>
        <w:shd w:color="ffffff" w:fill="dbe5f2" w:themeColor="accent1" w:themeFill="accent1" w:themeFillTint="000034" w:themeTint="000034" w:val="clear"/>
      </w:tcPr>
    </w:tblStylePr>
    <w:tblStylePr w:type="band1Vert">
      <w:pPr>
        <w:pBdr/>
        <w:spacing/>
        <w:ind/>
      </w:pPr>
      <w:tblPr>
        <w:tblBorders/>
      </w:tblPr>
      <w:tcPr>
        <w:tcBorders/>
        <w:shd w:color="ffffff" w:fill="dbe5f2" w:themeColor="accent1" w:themeFill="accent1" w:themeFillTint="000034" w:themeTint="000034" w:val="clear"/>
      </w:tcPr>
    </w:tblStylePr>
    <w:tblStylePr w:type="band2Horz">
      <w:pPr>
        <w:pBdr/>
        <w:spacing/>
        <w:ind/>
      </w:pPr>
      <w:rPr>
        <w:rFonts w:ascii="Arial" w:hAnsi="Arial"/>
        <w:color w:val="404040"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3e6da5" w:themeColor="accent1" w:themeShade="000095" w:themeTint="000080"/>
      </w:rPr>
      <w:tblPr>
        <w:tblBorders/>
      </w:tblPr>
      <w:tcPr>
        <w:tcBorders/>
      </w:tcPr>
    </w:tblStylePr>
    <w:tblStylePr w:type="firstRow">
      <w:pPr>
        <w:pBdr/>
        <w:spacing/>
        <w:ind/>
      </w:pPr>
      <w:rPr>
        <w:b w:val="1"/>
        <w:color w:val="3e6da5" w:themeColor="accent1" w:themeShade="000095" w:themeTint="000080"/>
      </w:rPr>
      <w:tblPr>
        <w:tblBorders/>
      </w:tblPr>
      <w:tcPr>
        <w:tcBorders>
          <w:bottom w:color="000000" w:space="0" w:sz="12" w:themeColor="accent1" w:themeTint="000080" w:val="single"/>
        </w:tcBorders>
      </w:tcPr>
    </w:tblStylePr>
    <w:tblStylePr w:type="lastCol">
      <w:pPr>
        <w:pBdr/>
        <w:spacing/>
        <w:ind/>
      </w:pPr>
      <w:rPr>
        <w:b w:val="1"/>
        <w:color w:val="3e6da5" w:themeColor="accent1" w:themeShade="000095" w:themeTint="000080"/>
      </w:rPr>
      <w:tblPr>
        <w:tblBorders/>
      </w:tblPr>
      <w:tcPr>
        <w:tcBorders/>
      </w:tcPr>
    </w:tblStylePr>
    <w:tblStylePr w:type="lastRow">
      <w:pPr>
        <w:pBdr/>
        <w:spacing/>
        <w:ind/>
      </w:pPr>
      <w:rPr>
        <w:b w:val="1"/>
        <w:color w:val="3e6da5" w:themeColor="accen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1" w:themeShade="000095" w:themeTint="000080"/>
        <w:sz w:val="22"/>
      </w:rPr>
      <w:tblPr>
        <w:tblBorders/>
      </w:tblPr>
      <w:tcPr>
        <w:tcBorders/>
      </w:tcPr>
    </w:tblStylePr>
  </w:style>
  <w:style w:type="table" w:styleId="55">
    <w:name w:val="Grid Table 6 Colorful - Accent 2"/>
    <w:basedOn w:val="10"/>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f3dddc" w:themeColor="accent2" w:themeFill="accent2" w:themeFillTint="000032" w:themeTint="000032" w:val="clear"/>
      </w:tcPr>
    </w:tblStylePr>
    <w:tblStylePr w:type="band1Vert">
      <w:pPr>
        <w:pBdr/>
        <w:spacing/>
        <w:ind/>
      </w:pPr>
      <w:tblPr>
        <w:tblBorders/>
      </w:tblPr>
      <w:tcPr>
        <w:tcBorders/>
        <w:shd w:color="ffffff" w:fill="f3dddc" w:themeColor="accent2" w:themeFill="accent2" w:themeFillTint="000032" w:themeTint="000032"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9f3a38" w:themeColor="accent2" w:themeShade="000095" w:themeTint="000097"/>
      </w:rPr>
      <w:tblPr>
        <w:tblBorders/>
      </w:tblPr>
      <w:tcPr>
        <w:tcBorders/>
      </w:tcPr>
    </w:tblStylePr>
    <w:tblStylePr w:type="firstRow">
      <w:pPr>
        <w:pBdr/>
        <w:spacing/>
        <w:ind/>
      </w:pPr>
      <w:rPr>
        <w:b w:val="1"/>
        <w:color w:val="9f3a38" w:themeColor="accent2" w:themeShade="000095" w:themeTint="000097"/>
      </w:rPr>
      <w:tblPr>
        <w:tblBorders/>
      </w:tblPr>
      <w:tcPr>
        <w:tcBorders>
          <w:bottom w:color="000000" w:space="0" w:sz="12" w:themeColor="accent2" w:themeTint="000097" w:val="single"/>
        </w:tcBorders>
      </w:tcPr>
    </w:tblStylePr>
    <w:tblStylePr w:type="lastCol">
      <w:pPr>
        <w:pBdr/>
        <w:spacing/>
        <w:ind/>
      </w:pPr>
      <w:rPr>
        <w:b w:val="1"/>
        <w:color w:val="9f3a38" w:themeColor="accent2" w:themeShade="000095" w:themeTint="000097"/>
      </w:rPr>
      <w:tblPr>
        <w:tblBorders/>
      </w:tblPr>
      <w:tcPr>
        <w:tcBorders/>
      </w:tcPr>
    </w:tblStylePr>
    <w:tblStylePr w:type="lastRow">
      <w:pPr>
        <w:pBdr/>
        <w:spacing/>
        <w:ind/>
      </w:pPr>
      <w:rPr>
        <w:b w:val="1"/>
        <w:color w:val="9f3a38" w:themeColor="accent2" w:themeShade="000095" w:themeTint="000097"/>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2" w:themeShade="000095" w:themeTint="000097"/>
        <w:sz w:val="22"/>
      </w:rPr>
      <w:tblPr>
        <w:tblBorders/>
      </w:tblPr>
      <w:tcPr>
        <w:tcBorders/>
      </w:tcPr>
    </w:tblStylePr>
  </w:style>
  <w:style w:type="table" w:styleId="56">
    <w:name w:val="Grid Table 6 Colorful - Accent 3"/>
    <w:basedOn w:val="10"/>
    <w:uiPriority w:val="99"/>
    <w:pPr>
      <w:pBdr/>
      <w:spacing w:after="0" w:line="240" w:lineRule="auto"/>
      <w:ind/>
    </w:pPr>
    <w:tblPr>
      <w:tblStyleRowBandSize w:val="1"/>
      <w:tblStyleColBandSize w:val="1"/>
      <w:tblInd w:w="0.0" w:type="dxa"/>
      <w:tbl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themeColor="accent3" w:themeShade="000095" w:themeTint="0000FE"/>
        <w:sz w:val="22"/>
      </w:rPr>
      <w:tblPr>
        <w:tblBorders/>
      </w:tblPr>
      <w:tcPr>
        <w:tcBorders/>
        <w:shd w:color="ffffff" w:fill="ebf1dd" w:themeColor="accent3" w:themeFill="accent3" w:themeFillTint="000034" w:themeTint="000034" w:val="clear"/>
      </w:tcPr>
    </w:tblStylePr>
    <w:tblStylePr w:type="band1Vert">
      <w:pPr>
        <w:pBdr/>
        <w:spacing/>
        <w:ind/>
      </w:pPr>
      <w:tblPr>
        <w:tblBorders/>
      </w:tblPr>
      <w:tcPr>
        <w:tcBorders/>
        <w:shd w:color="ffffff" w:fill="ebf1dd" w:themeColor="accent3" w:themeFill="accent3" w:themeFillTint="000034" w:themeTint="000034" w:val="clear"/>
      </w:tcPr>
    </w:tblStylePr>
    <w:tblStylePr w:type="band2Horz">
      <w:pPr>
        <w:pBdr/>
        <w:spacing/>
        <w:ind/>
      </w:pPr>
      <w:rPr>
        <w:rFonts w:ascii="Arial" w:hAnsi="Arial"/>
        <w:color w:val="404040"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pPr>
      <w:rPr>
        <w:b w:val="1"/>
        <w:color w:val="5c732f" w:themeColor="accent3" w:themeShade="000095" w:themeTint="0000FE"/>
      </w:rPr>
      <w:tblPr>
        <w:tblBorders/>
      </w:tblPr>
      <w:tcPr>
        <w:tcBorders/>
      </w:tcPr>
    </w:tblStylePr>
    <w:tblStylePr w:type="firstRow">
      <w:pPr>
        <w:pBdr/>
        <w:spacing/>
        <w:ind/>
      </w:pPr>
      <w:rPr>
        <w:b w:val="1"/>
        <w:color w:val="5c732f" w:themeColor="accent3" w:themeShade="000095" w:themeTint="0000FE"/>
      </w:rPr>
      <w:tblPr>
        <w:tblBorders/>
      </w:tblPr>
      <w:tcPr>
        <w:tcBorders>
          <w:bottom w:color="000000" w:space="0" w:sz="12" w:themeColor="accent3" w:themeTint="0000FE" w:val="single"/>
        </w:tcBorders>
      </w:tcPr>
    </w:tblStylePr>
    <w:tblStylePr w:type="lastCol">
      <w:pPr>
        <w:pBdr/>
        <w:spacing/>
        <w:ind/>
      </w:pPr>
      <w:rPr>
        <w:b w:val="1"/>
        <w:color w:val="5c732f" w:themeColor="accent3" w:themeShade="000095" w:themeTint="0000FE"/>
      </w:rPr>
      <w:tblPr>
        <w:tblBorders/>
      </w:tblPr>
      <w:tcPr>
        <w:tcBorders/>
      </w:tcPr>
    </w:tblStylePr>
    <w:tblStylePr w:type="lastRow">
      <w:pPr>
        <w:pBdr/>
        <w:spacing/>
        <w:ind/>
      </w:pPr>
      <w:rPr>
        <w:b w:val="1"/>
        <w:color w:val="5c732f" w:themeColor="accent3" w:themeShade="000095" w:themeTint="0000FE"/>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3" w:themeShade="000095" w:themeTint="0000FE"/>
        <w:sz w:val="22"/>
      </w:rPr>
      <w:tblPr>
        <w:tblBorders/>
      </w:tblPr>
      <w:tcPr>
        <w:tcBorders/>
      </w:tcPr>
    </w:tblStylePr>
  </w:style>
  <w:style w:type="table" w:styleId="57">
    <w:name w:val="Grid Table 6 Colorful - Accent 4"/>
    <w:basedOn w:val="10"/>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e5dfec" w:themeColor="accent4" w:themeFill="accent4" w:themeFillTint="000034" w:themeTint="000034" w:val="clear"/>
      </w:tcPr>
    </w:tblStylePr>
    <w:tblStylePr w:type="band1Vert">
      <w:pPr>
        <w:pBdr/>
        <w:spacing/>
        <w:ind/>
      </w:pPr>
      <w:tblPr>
        <w:tblBorders/>
      </w:tblPr>
      <w:tcPr>
        <w:tcBorders/>
        <w:shd w:color="ffffff" w:fill="e5dfec" w:themeColor="accent4" w:themeFill="accent4" w:themeFillTint="000034" w:themeTint="000034"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664f84" w:themeColor="accent4" w:themeShade="000095" w:themeTint="00009A"/>
      </w:rPr>
      <w:tblPr>
        <w:tblBorders/>
      </w:tblPr>
      <w:tcPr>
        <w:tcBorders/>
      </w:tcPr>
    </w:tblStylePr>
    <w:tblStylePr w:type="firstRow">
      <w:pPr>
        <w:pBdr/>
        <w:spacing/>
        <w:ind/>
      </w:pPr>
      <w:rPr>
        <w:b w:val="1"/>
        <w:color w:val="664f84" w:themeColor="accent4" w:themeShade="000095" w:themeTint="00009A"/>
      </w:rPr>
      <w:tblPr>
        <w:tblBorders/>
      </w:tblPr>
      <w:tcPr>
        <w:tcBorders>
          <w:bottom w:color="000000" w:space="0" w:sz="12" w:themeColor="accent4" w:themeTint="00009A" w:val="single"/>
        </w:tcBorders>
      </w:tcPr>
    </w:tblStylePr>
    <w:tblStylePr w:type="lastCol">
      <w:pPr>
        <w:pBdr/>
        <w:spacing/>
        <w:ind/>
      </w:pPr>
      <w:rPr>
        <w:b w:val="1"/>
        <w:color w:val="664f84" w:themeColor="accent4" w:themeShade="000095" w:themeTint="00009A"/>
      </w:rPr>
      <w:tblPr>
        <w:tblBorders/>
      </w:tblPr>
      <w:tcPr>
        <w:tcBorders/>
      </w:tcPr>
    </w:tblStylePr>
    <w:tblStylePr w:type="lastRow">
      <w:pPr>
        <w:pBdr/>
        <w:spacing/>
        <w:ind/>
      </w:pPr>
      <w:rPr>
        <w:b w:val="1"/>
        <w:color w:val="664f84" w:themeColor="accent4" w:themeShade="000095" w:themeTint="00009A"/>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4" w:themeShade="000095" w:themeTint="00009A"/>
        <w:sz w:val="22"/>
      </w:rPr>
      <w:tblPr>
        <w:tblBorders/>
      </w:tblPr>
      <w:tcPr>
        <w:tcBorders/>
      </w:tcPr>
    </w:tblStylePr>
  </w:style>
  <w:style w:type="table" w:styleId="58">
    <w:name w:val="Grid Table 6 Colorful - Accent 5"/>
    <w:basedOn w:val="10"/>
    <w:uiPriority w:val="99"/>
    <w:pPr>
      <w:pBdr/>
      <w:spacing w:after="0" w:line="240" w:lineRule="auto"/>
      <w:ind/>
    </w:pPr>
    <w:tblPr>
      <w:tblStyleRowBandSize w:val="1"/>
      <w:tblStyleColBandSize w:val="1"/>
      <w:tblInd w:w="0.0" w:type="dxa"/>
      <w:tblBorders>
        <w:top w:color="000000" w:space="0" w:sz="4" w:themeColor="accent5" w:val="single"/>
        <w:left w:color="000000" w:space="0" w:sz="4" w:themeColor="accent5" w:val="single"/>
        <w:bottom w:color="000000" w:space="0" w:sz="4" w:themeColor="accent5" w:val="single"/>
        <w:right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daeef3" w:themeColor="accent5" w:themeFill="accent5" w:themeFillTint="000034" w:themeTint="000034" w:val="clear"/>
      </w:tcPr>
    </w:tblStylePr>
    <w:tblStylePr w:type="band1Vert">
      <w:pPr>
        <w:pBdr/>
        <w:spacing/>
        <w:ind/>
      </w:pPr>
      <w:tblPr>
        <w:tblBorders/>
      </w:tblPr>
      <w:tcPr>
        <w:tcBorders/>
        <w:shd w:color="ffffff" w:fill="daeef3" w:themeColor="accent5" w:themeFill="accent5"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66879" w:themeColor="accent5" w:themeShade="000095"/>
      </w:rPr>
      <w:tblPr>
        <w:tblBorders/>
      </w:tblPr>
      <w:tcPr>
        <w:tcBorders/>
      </w:tcPr>
    </w:tblStylePr>
    <w:tblStylePr w:type="firstRow">
      <w:pPr>
        <w:pBdr/>
        <w:spacing/>
        <w:ind/>
      </w:pPr>
      <w:rPr>
        <w:b w:val="1"/>
        <w:color w:val="266879" w:themeColor="accent5" w:themeShade="000095"/>
      </w:rPr>
      <w:tblPr>
        <w:tblBorders/>
      </w:tblPr>
      <w:tcPr>
        <w:tcBorders>
          <w:bottom w:color="000000" w:space="0" w:sz="12" w:themeColor="accent5" w:val="single"/>
        </w:tcBorders>
      </w:tcPr>
    </w:tblStylePr>
    <w:tblStylePr w:type="lastCol">
      <w:pPr>
        <w:pBdr/>
        <w:spacing/>
        <w:ind/>
      </w:pPr>
      <w:rPr>
        <w:b w:val="1"/>
        <w:color w:val="266879" w:themeColor="accent5" w:themeShade="000095"/>
      </w:rPr>
      <w:tblPr>
        <w:tblBorders/>
      </w:tblPr>
      <w:tcPr>
        <w:tcBorders/>
      </w:tcPr>
    </w:tblStylePr>
    <w:tblStylePr w:type="lastRow">
      <w:pPr>
        <w:pBdr/>
        <w:spacing/>
        <w:ind/>
      </w:pPr>
      <w:rPr>
        <w:b w:val="1"/>
        <w:color w:val="266879"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59">
    <w:name w:val="Grid Table 6 Colorful - Accent 6"/>
    <w:basedOn w:val="10"/>
    <w:uiPriority w:val="99"/>
    <w:pPr>
      <w:pBdr/>
      <w:spacing w:after="0" w:line="240" w:lineRule="auto"/>
      <w:ind/>
    </w:pPr>
    <w:tblPr>
      <w:tblStyleRowBandSize w:val="1"/>
      <w:tblStyleColBandSize w:val="1"/>
      <w:tblInd w:w="0.0" w:type="dxa"/>
      <w:tblBorders>
        <w:top w:color="000000" w:space="0" w:sz="4" w:themeColor="accent6" w:val="single"/>
        <w:left w:color="000000" w:space="0" w:sz="4" w:themeColor="accent6" w:val="single"/>
        <w:bottom w:color="000000" w:space="0" w:sz="4" w:themeColor="accent6" w:val="single"/>
        <w:right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fdead9" w:themeColor="accent6" w:themeFill="accent6" w:themeFillTint="000034" w:themeTint="000034" w:val="clear"/>
      </w:tcPr>
    </w:tblStylePr>
    <w:tblStylePr w:type="band1Vert">
      <w:pPr>
        <w:pBdr/>
        <w:spacing/>
        <w:ind/>
      </w:pPr>
      <w:tblPr>
        <w:tblBorders/>
      </w:tblPr>
      <w:tcPr>
        <w:tcBorders/>
        <w:shd w:color="ffffff" w:fill="fdead9" w:themeColor="accent6" w:themeFill="accent6"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66879" w:themeColor="accent5" w:themeShade="000095"/>
      </w:rPr>
      <w:tblPr>
        <w:tblBorders/>
      </w:tblPr>
      <w:tcPr>
        <w:tcBorders/>
      </w:tcPr>
    </w:tblStylePr>
    <w:tblStylePr w:type="firstRow">
      <w:pPr>
        <w:pBdr/>
        <w:spacing/>
        <w:ind/>
      </w:pPr>
      <w:rPr>
        <w:b w:val="1"/>
        <w:color w:val="266879" w:themeColor="accent5" w:themeShade="000095"/>
      </w:rPr>
      <w:tblPr>
        <w:tblBorders/>
      </w:tblPr>
      <w:tcPr>
        <w:tcBorders>
          <w:bottom w:color="000000" w:space="0" w:sz="12" w:themeColor="accent6" w:val="single"/>
        </w:tcBorders>
      </w:tcPr>
    </w:tblStylePr>
    <w:tblStylePr w:type="lastCol">
      <w:pPr>
        <w:pBdr/>
        <w:spacing/>
        <w:ind/>
      </w:pPr>
      <w:rPr>
        <w:b w:val="1"/>
        <w:color w:val="266879" w:themeColor="accent5" w:themeShade="000095"/>
      </w:rPr>
      <w:tblPr>
        <w:tblBorders/>
      </w:tblPr>
      <w:tcPr>
        <w:tcBorders/>
      </w:tcPr>
    </w:tblStylePr>
    <w:tblStylePr w:type="lastRow">
      <w:pPr>
        <w:pBdr/>
        <w:spacing/>
        <w:ind/>
      </w:pPr>
      <w:rPr>
        <w:b w:val="1"/>
        <w:color w:val="266879"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60">
    <w:name w:val="Grid Table 7 Colorful"/>
    <w:basedOn w:val="10"/>
    <w:uiPriority w:val="99"/>
    <w:pPr>
      <w:pBdr/>
      <w:spacing w:after="0" w:line="240" w:lineRule="auto"/>
      <w:ind/>
    </w:pPr>
    <w:tblPr>
      <w:tblStyleRowBandSize w:val="1"/>
      <w:tblStyleColBandSize w:val="1"/>
      <w:tblInd w:w="0.0" w:type="dxa"/>
      <w:tblBorders>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space="0" w:sz="0" w:val="none"/>
          <w:left w:space="0" w:sz="0" w:val="none"/>
          <w:bottom w:space="0" w:sz="0" w:val="none"/>
          <w:right w:color="000000" w:space="0" w:sz="4" w:themeColor="text1" w:themeTint="000080" w:val="single"/>
        </w:tcBorders>
        <w:shd w:color="ffffff"/>
      </w:tcPr>
    </w:tblStylePr>
    <w:tblStylePr w:type="firstRow">
      <w:pPr>
        <w:pBdr/>
        <w:spacing/>
        <w:ind/>
      </w:pPr>
      <w:rPr>
        <w:rFonts w:ascii="Arial" w:hAnsi="Arial"/>
        <w:b w:val="1"/>
        <w:color w:val="4a4a4a" w:themeColor="text1" w:themeShade="000095" w:themeTint="000080"/>
        <w:sz w:val="22"/>
      </w:rPr>
      <w:tblPr>
        <w:tblBorders/>
      </w:tbl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space="0" w:sz="0" w:val="none"/>
          <w:left w:color="000000" w:space="0" w:sz="4" w:themeColor="text1" w:themeTint="000080" w:val="single"/>
          <w:bottom w:space="0" w:sz="0" w:val="none"/>
          <w:right w:space="0" w:sz="0" w:val="none"/>
        </w:tcBorders>
        <w:shd w:color="ffffff"/>
      </w:tcPr>
    </w:tblStylePr>
    <w:tblStylePr w:type="lastRow">
      <w:pPr>
        <w:pBdr/>
        <w:spacing/>
        <w:ind/>
      </w:pPr>
      <w:rPr>
        <w:rFonts w:ascii="Arial" w:hAnsi="Arial"/>
        <w:b w:val="1"/>
        <w:color w:val="4a4a4a" w:themeColor="text1" w:themeShade="000095" w:themeTint="000080"/>
        <w:sz w:val="22"/>
      </w:rPr>
      <w:tblPr>
        <w:tblBorders/>
      </w:tbl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10"/>
    <w:uiPriority w:val="99"/>
    <w:pPr>
      <w:pBdr/>
      <w:spacing w:after="0" w:line="240" w:lineRule="auto"/>
      <w:ind/>
    </w:pPr>
    <w:tblPr>
      <w:tblStyleRowBandSize w:val="1"/>
      <w:tblStyleColBandSize w:val="1"/>
      <w:tblInd w:w="0.0" w:type="dxa"/>
      <w:tblBorders>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3e6da5" w:themeColor="accent1" w:themeShade="000095" w:themeTint="000080"/>
        <w:sz w:val="22"/>
      </w:rPr>
      <w:tblPr>
        <w:tblBorders/>
      </w:tblPr>
      <w:tcPr>
        <w:tcBorders/>
        <w:shd w:color="ffffff" w:fill="dbe5f2" w:themeColor="accent1" w:themeFill="accent1" w:themeFillTint="000034" w:themeTint="000034" w:val="clear"/>
      </w:tcPr>
    </w:tblStylePr>
    <w:tblStylePr w:type="band1Vert">
      <w:pPr>
        <w:pBdr/>
        <w:spacing/>
        <w:ind/>
      </w:pPr>
      <w:tblPr>
        <w:tblBorders/>
      </w:tblPr>
      <w:tcPr>
        <w:tcBorders/>
        <w:shd w:color="ffffff" w:fill="dbe5f2" w:themeColor="accent1" w:themeFill="accent1" w:themeFillTint="000034" w:themeTint="000034" w:val="clear"/>
      </w:tcPr>
    </w:tblStylePr>
    <w:tblStylePr w:type="band2Horz">
      <w:pPr>
        <w:pBdr/>
        <w:spacing/>
        <w:ind/>
      </w:pPr>
      <w:rPr>
        <w:rFonts w:ascii="Arial" w:hAnsi="Arial"/>
        <w:color w:val="3e6da5"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3e6da5" w:themeColor="accent1" w:themeShade="000095" w:themeTint="000080"/>
        <w:sz w:val="22"/>
      </w:rPr>
      <w:tblPr>
        <w:tblBorders/>
      </w:tblPr>
      <w:tcPr>
        <w:tcBorders>
          <w:top w:space="0" w:sz="0" w:val="none"/>
          <w:left w:space="0" w:sz="0" w:val="none"/>
          <w:bottom w:space="0" w:sz="0" w:val="none"/>
          <w:right w:color="000000" w:space="0" w:sz="4" w:themeColor="accent1" w:themeTint="000080" w:val="single"/>
        </w:tcBorders>
        <w:shd w:color="ffffff"/>
      </w:tcPr>
    </w:tblStylePr>
    <w:tblStylePr w:type="firstRow">
      <w:pPr>
        <w:pBdr/>
        <w:spacing/>
        <w:ind/>
      </w:pPr>
      <w:rPr>
        <w:rFonts w:ascii="Arial" w:hAnsi="Arial"/>
        <w:b w:val="1"/>
        <w:color w:val="3e6da5" w:themeColor="accent1" w:themeShade="000095" w:themeTint="000080"/>
        <w:sz w:val="22"/>
      </w:rPr>
      <w:tblPr>
        <w:tblBorders/>
      </w:tblPr>
      <w:tcPr>
        <w:tcBorders>
          <w:top w:space="0" w:sz="0" w:val="none"/>
          <w:left w:space="0" w:sz="0" w:val="none"/>
          <w:bottom w:color="000000" w:space="0" w:sz="4" w:themeColor="accent1" w:themeTint="000080" w:val="single"/>
          <w:right w:space="0" w:sz="0" w:val="none"/>
        </w:tcBorders>
        <w:shd w:color="ffffff" w:fill="ffffff" w:themeColor="light1" w:themeFill="light1" w:val="clear"/>
      </w:tcPr>
    </w:tblStylePr>
    <w:tblStylePr w:type="lastCol">
      <w:pPr>
        <w:pBdr/>
        <w:spacing/>
        <w:ind/>
      </w:pPr>
      <w:rPr>
        <w:rFonts w:ascii="Arial" w:hAnsi="Arial"/>
        <w:i w:val="1"/>
        <w:color w:val="3e6da5" w:themeColor="accent1" w:themeShade="000095" w:themeTint="000080"/>
        <w:sz w:val="22"/>
      </w:rPr>
      <w:tblPr>
        <w:tblBorders/>
      </w:tblPr>
      <w:tcPr>
        <w:tcBorders>
          <w:top w:space="0" w:sz="0" w:val="none"/>
          <w:left w:color="000000" w:space="0" w:sz="4" w:themeColor="accent1" w:themeTint="000080" w:val="single"/>
          <w:bottom w:space="0" w:sz="0" w:val="none"/>
          <w:right w:space="0" w:sz="0" w:val="none"/>
        </w:tcBorders>
        <w:shd w:color="ffffff"/>
      </w:tcPr>
    </w:tblStylePr>
    <w:tblStylePr w:type="lastRow">
      <w:pPr>
        <w:pBdr/>
        <w:spacing/>
        <w:ind/>
      </w:pPr>
      <w:rPr>
        <w:rFonts w:ascii="Arial" w:hAnsi="Arial"/>
        <w:b w:val="1"/>
        <w:color w:val="3e6da5" w:themeColor="accent1" w:themeShade="000095" w:themeTint="000080"/>
        <w:sz w:val="22"/>
      </w:rPr>
      <w:tblPr>
        <w:tblBorders/>
      </w:tblPr>
      <w:tcPr>
        <w:tcBorders>
          <w:top w:color="000000" w:space="0" w:sz="4" w:themeColor="accen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10"/>
    <w:uiPriority w:val="99"/>
    <w:pPr>
      <w:pBdr/>
      <w:spacing w:after="0" w:line="240" w:lineRule="auto"/>
      <w:ind/>
    </w:pPr>
    <w:tblPr>
      <w:tblStyleRowBandSize w:val="1"/>
      <w:tblStyleColBandSize w:val="1"/>
      <w:tblInd w:w="0.0" w:type="dxa"/>
      <w:tblBorders>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9f3a38" w:themeColor="accent2" w:themeShade="000095" w:themeTint="000097"/>
        <w:sz w:val="22"/>
      </w:rPr>
      <w:tblPr>
        <w:tblBorders/>
      </w:tblPr>
      <w:tcPr>
        <w:tcBorders/>
        <w:shd w:color="ffffff" w:fill="f3dddc" w:themeColor="accent2" w:themeFill="accent2" w:themeFillTint="000032" w:themeTint="000032" w:val="clear"/>
      </w:tcPr>
    </w:tblStylePr>
    <w:tblStylePr w:type="band1Vert">
      <w:pPr>
        <w:pBdr/>
        <w:spacing/>
        <w:ind/>
      </w:pPr>
      <w:tblPr>
        <w:tblBorders/>
      </w:tblPr>
      <w:tcPr>
        <w:tcBorders/>
        <w:shd w:color="ffffff" w:fill="f3dddc" w:themeColor="accent2" w:themeFill="accent2" w:themeFillTint="000032" w:themeTint="000032" w:val="clear"/>
      </w:tcPr>
    </w:tblStylePr>
    <w:tblStylePr w:type="band2Horz">
      <w:pPr>
        <w:pBdr/>
        <w:spacing/>
        <w:ind/>
      </w:pPr>
      <w:rPr>
        <w:rFonts w:ascii="Arial" w:hAnsi="Arial"/>
        <w:color w:val="9f3a38"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9f3a38" w:themeColor="accent2" w:themeShade="000095" w:themeTint="000097"/>
        <w:sz w:val="22"/>
      </w:rPr>
      <w:tblPr>
        <w:tblBorders/>
      </w:tblPr>
      <w:tcPr>
        <w:tcBorders>
          <w:top w:space="0" w:sz="0" w:val="none"/>
          <w:left w:space="0" w:sz="0" w:val="none"/>
          <w:bottom w:space="0" w:sz="0" w:val="none"/>
          <w:right w:color="000000" w:space="0" w:sz="4" w:themeColor="accent2" w:themeTint="000097" w:val="single"/>
        </w:tcBorders>
        <w:shd w:color="ffffff"/>
      </w:tcPr>
    </w:tblStylePr>
    <w:tblStylePr w:type="firstRow">
      <w:pPr>
        <w:pBdr/>
        <w:spacing/>
        <w:ind/>
      </w:pPr>
      <w:rPr>
        <w:rFonts w:ascii="Arial" w:hAnsi="Arial"/>
        <w:b w:val="1"/>
        <w:color w:val="9f3a38" w:themeColor="accent2" w:themeShade="000095" w:themeTint="000097"/>
        <w:sz w:val="22"/>
      </w:rPr>
      <w:tblPr>
        <w:tblBorders/>
      </w:tbl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pPr>
        <w:pBdr/>
        <w:spacing/>
        <w:ind/>
      </w:pPr>
      <w:rPr>
        <w:rFonts w:ascii="Arial" w:hAnsi="Arial"/>
        <w:i w:val="1"/>
        <w:color w:val="9f3a38" w:themeColor="accent2" w:themeShade="000095" w:themeTint="000097"/>
        <w:sz w:val="22"/>
      </w:rPr>
      <w:tblPr>
        <w:tblBorders/>
      </w:tblPr>
      <w:tcPr>
        <w:tcBorders>
          <w:top w:space="0" w:sz="0" w:val="none"/>
          <w:left w:color="000000" w:space="0" w:sz="4" w:themeColor="accent2" w:themeTint="000097" w:val="single"/>
          <w:bottom w:space="0" w:sz="0" w:val="none"/>
          <w:right w:space="0" w:sz="0" w:val="none"/>
        </w:tcBorders>
        <w:shd w:color="ffffff"/>
      </w:tcPr>
    </w:tblStylePr>
    <w:tblStylePr w:type="lastRow">
      <w:pPr>
        <w:pBdr/>
        <w:spacing/>
        <w:ind/>
      </w:pPr>
      <w:rPr>
        <w:rFonts w:ascii="Arial" w:hAnsi="Arial"/>
        <w:b w:val="1"/>
        <w:color w:val="9f3a38" w:themeColor="accent2" w:themeShade="000095" w:themeTint="000097"/>
        <w:sz w:val="22"/>
      </w:rPr>
      <w:tblPr>
        <w:tblBorders/>
      </w:tbl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10"/>
    <w:uiPriority w:val="99"/>
    <w:pPr>
      <w:pBdr/>
      <w:spacing w:after="0" w:line="240" w:lineRule="auto"/>
      <w:ind/>
    </w:pPr>
    <w:tblPr>
      <w:tblStyleRowBandSize w:val="1"/>
      <w:tblStyleColBandSize w:val="1"/>
      <w:tblInd w:w="0.0" w:type="dxa"/>
      <w:tblBorders>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5c732f" w:themeColor="accent3" w:themeShade="000095" w:themeTint="0000FE"/>
        <w:sz w:val="22"/>
      </w:rPr>
      <w:tblPr>
        <w:tblBorders/>
      </w:tblPr>
      <w:tcPr>
        <w:tcBorders/>
        <w:shd w:color="ffffff" w:fill="ebf1dd" w:themeColor="accent3" w:themeFill="accent3" w:themeFillTint="000034" w:themeTint="000034" w:val="clear"/>
      </w:tcPr>
    </w:tblStylePr>
    <w:tblStylePr w:type="band1Vert">
      <w:pPr>
        <w:pBdr/>
        <w:spacing/>
        <w:ind/>
      </w:pPr>
      <w:tblPr>
        <w:tblBorders/>
      </w:tblPr>
      <w:tcPr>
        <w:tcBorders/>
        <w:shd w:color="ffffff" w:fill="ebf1dd" w:themeColor="accent3" w:themeFill="accent3" w:themeFillTint="000034" w:themeTint="000034" w:val="clear"/>
      </w:tcPr>
    </w:tblStylePr>
    <w:tblStylePr w:type="band2Horz">
      <w:pPr>
        <w:pBdr/>
        <w:spacing/>
        <w:ind/>
      </w:pPr>
      <w:rPr>
        <w:rFonts w:ascii="Arial" w:hAnsi="Arial"/>
        <w:color w:val="5c732f"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5c732f" w:themeColor="accent3" w:themeShade="000095" w:themeTint="0000FE"/>
        <w:sz w:val="22"/>
      </w:rPr>
      <w:tblPr>
        <w:tblBorders/>
      </w:tblPr>
      <w:tcPr>
        <w:tcBorders>
          <w:top w:space="0" w:sz="0" w:val="none"/>
          <w:left w:space="0" w:sz="0" w:val="none"/>
          <w:bottom w:space="0" w:sz="0" w:val="none"/>
          <w:right w:color="000000" w:space="0" w:sz="4" w:themeColor="accent3" w:themeTint="0000FE" w:val="single"/>
        </w:tcBorders>
        <w:shd w:color="ffffff"/>
      </w:tcPr>
    </w:tblStylePr>
    <w:tblStylePr w:type="firstRow">
      <w:pPr>
        <w:pBdr/>
        <w:spacing/>
        <w:ind/>
      </w:pPr>
      <w:rPr>
        <w:rFonts w:ascii="Arial" w:hAnsi="Arial"/>
        <w:b w:val="1"/>
        <w:color w:val="5c732f" w:themeColor="accent3" w:themeShade="000095" w:themeTint="0000FE"/>
        <w:sz w:val="22"/>
      </w:rPr>
      <w:tblPr>
        <w:tblBorders/>
      </w:tblPr>
      <w:tcPr>
        <w:tcBorders>
          <w:top w:space="0" w:sz="0" w:val="none"/>
          <w:left w:space="0" w:sz="0" w:val="none"/>
          <w:bottom w:color="000000" w:space="0" w:sz="4" w:themeColor="accent3" w:themeTint="0000FE" w:val="single"/>
          <w:right w:space="0" w:sz="0" w:val="none"/>
        </w:tcBorders>
        <w:shd w:color="ffffff" w:fill="ffffff" w:themeColor="light1" w:themeFill="light1" w:val="clear"/>
      </w:tcPr>
    </w:tblStylePr>
    <w:tblStylePr w:type="lastCol">
      <w:pPr>
        <w:pBdr/>
        <w:spacing/>
        <w:ind/>
      </w:pPr>
      <w:rPr>
        <w:rFonts w:ascii="Arial" w:hAnsi="Arial"/>
        <w:i w:val="1"/>
        <w:color w:val="5c732f" w:themeColor="accent3" w:themeShade="000095" w:themeTint="0000FE"/>
        <w:sz w:val="22"/>
      </w:rPr>
      <w:tblPr>
        <w:tblBorders/>
      </w:tblPr>
      <w:tcPr>
        <w:tcBorders>
          <w:top w:space="0" w:sz="0" w:val="none"/>
          <w:left w:color="000000" w:space="0" w:sz="4" w:themeColor="accent3" w:themeTint="0000FE" w:val="single"/>
          <w:bottom w:space="0" w:sz="0" w:val="none"/>
          <w:right w:space="0" w:sz="0" w:val="none"/>
        </w:tcBorders>
        <w:shd w:color="ffffff"/>
      </w:tcPr>
    </w:tblStylePr>
    <w:tblStylePr w:type="lastRow">
      <w:pPr>
        <w:pBdr/>
        <w:spacing/>
        <w:ind/>
      </w:pPr>
      <w:rPr>
        <w:rFonts w:ascii="Arial" w:hAnsi="Arial"/>
        <w:b w:val="1"/>
        <w:color w:val="5c732f" w:themeColor="accent3" w:themeShade="000095" w:themeTint="0000FE"/>
        <w:sz w:val="22"/>
      </w:rPr>
      <w:tblPr>
        <w:tblBorders/>
      </w:tblPr>
      <w:tcPr>
        <w:tcBorders>
          <w:top w:color="000000" w:space="0" w:sz="4" w:themeColor="accent3" w:themeTint="0000FE"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10"/>
    <w:uiPriority w:val="99"/>
    <w:pPr>
      <w:pBdr/>
      <w:spacing w:after="0" w:line="240" w:lineRule="auto"/>
      <w:ind/>
    </w:pPr>
    <w:tblPr>
      <w:tblStyleRowBandSize w:val="1"/>
      <w:tblStyleColBandSize w:val="1"/>
      <w:tblInd w:w="0.0" w:type="dxa"/>
      <w:tblBorders>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664f84" w:themeColor="accent4" w:themeShade="000095" w:themeTint="00009A"/>
        <w:sz w:val="22"/>
      </w:rPr>
      <w:tblPr>
        <w:tblBorders/>
      </w:tblPr>
      <w:tcPr>
        <w:tcBorders/>
        <w:shd w:color="ffffff" w:fill="e5dfec" w:themeColor="accent4" w:themeFill="accent4" w:themeFillTint="000034" w:themeTint="000034" w:val="clear"/>
      </w:tcPr>
    </w:tblStylePr>
    <w:tblStylePr w:type="band1Vert">
      <w:pPr>
        <w:pBdr/>
        <w:spacing/>
        <w:ind/>
      </w:pPr>
      <w:tblPr>
        <w:tblBorders/>
      </w:tblPr>
      <w:tcPr>
        <w:tcBorders/>
        <w:shd w:color="ffffff" w:fill="e5dfec" w:themeColor="accent4" w:themeFill="accent4" w:themeFillTint="000034" w:themeTint="000034" w:val="clear"/>
      </w:tcPr>
    </w:tblStylePr>
    <w:tblStylePr w:type="band2Horz">
      <w:pPr>
        <w:pBdr/>
        <w:spacing/>
        <w:ind/>
      </w:pPr>
      <w:rPr>
        <w:rFonts w:ascii="Arial" w:hAnsi="Arial"/>
        <w:color w:val="664f84"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664f84" w:themeColor="accent4" w:themeShade="000095" w:themeTint="00009A"/>
        <w:sz w:val="22"/>
      </w:rPr>
      <w:tblPr>
        <w:tblBorders/>
      </w:tblPr>
      <w:tcPr>
        <w:tcBorders>
          <w:top w:space="0" w:sz="0" w:val="none"/>
          <w:left w:space="0" w:sz="0" w:val="none"/>
          <w:bottom w:space="0" w:sz="0" w:val="none"/>
          <w:right w:color="000000" w:space="0" w:sz="4" w:themeColor="accent4" w:themeTint="00009A" w:val="single"/>
        </w:tcBorders>
        <w:shd w:color="ffffff"/>
      </w:tcPr>
    </w:tblStylePr>
    <w:tblStylePr w:type="firstRow">
      <w:pPr>
        <w:pBdr/>
        <w:spacing/>
        <w:ind/>
      </w:pPr>
      <w:rPr>
        <w:rFonts w:ascii="Arial" w:hAnsi="Arial"/>
        <w:b w:val="1"/>
        <w:color w:val="664f84" w:themeColor="accent4" w:themeShade="000095" w:themeTint="00009A"/>
        <w:sz w:val="22"/>
      </w:rPr>
      <w:tblPr>
        <w:tblBorders/>
      </w:tbl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pPr>
        <w:pBdr/>
        <w:spacing/>
        <w:ind/>
      </w:pPr>
      <w:rPr>
        <w:rFonts w:ascii="Arial" w:hAnsi="Arial"/>
        <w:i w:val="1"/>
        <w:color w:val="664f84" w:themeColor="accent4" w:themeShade="000095" w:themeTint="00009A"/>
        <w:sz w:val="22"/>
      </w:rPr>
      <w:tblPr>
        <w:tblBorders/>
      </w:tblPr>
      <w:tcPr>
        <w:tcBorders>
          <w:top w:space="0" w:sz="0" w:val="none"/>
          <w:left w:color="000000" w:space="0" w:sz="4" w:themeColor="accent4" w:themeTint="00009A" w:val="single"/>
          <w:bottom w:space="0" w:sz="0" w:val="none"/>
          <w:right w:space="0" w:sz="0" w:val="none"/>
        </w:tcBorders>
        <w:shd w:color="ffffff"/>
      </w:tcPr>
    </w:tblStylePr>
    <w:tblStylePr w:type="lastRow">
      <w:pPr>
        <w:pBdr/>
        <w:spacing/>
        <w:ind/>
      </w:pPr>
      <w:rPr>
        <w:rFonts w:ascii="Arial" w:hAnsi="Arial"/>
        <w:b w:val="1"/>
        <w:color w:val="664f84" w:themeColor="accent4" w:themeShade="000095" w:themeTint="00009A"/>
        <w:sz w:val="22"/>
      </w:rPr>
      <w:tblPr>
        <w:tblBorders/>
      </w:tbl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10"/>
    <w:uiPriority w:val="99"/>
    <w:pPr>
      <w:pBdr/>
      <w:spacing w:after="0" w:line="240" w:lineRule="auto"/>
      <w:ind/>
    </w:pPr>
    <w:tblPr>
      <w:tblStyleRowBandSize w:val="1"/>
      <w:tblStyleColBandSize w:val="1"/>
      <w:tblInd w:w="0.0" w:type="dxa"/>
      <w:tblBorders>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266879" w:themeColor="accent5" w:themeShade="000095"/>
        <w:sz w:val="22"/>
      </w:rPr>
      <w:tblPr>
        <w:tblBorders/>
      </w:tblPr>
      <w:tcPr>
        <w:tcBorders/>
        <w:shd w:color="ffffff" w:fill="daeef3" w:themeColor="accent5" w:themeFill="accent5" w:themeFillTint="000034" w:themeTint="000034" w:val="clear"/>
      </w:tcPr>
    </w:tblStylePr>
    <w:tblStylePr w:type="band1Vert">
      <w:pPr>
        <w:pBdr/>
        <w:spacing/>
        <w:ind/>
      </w:pPr>
      <w:tblPr>
        <w:tblBorders/>
      </w:tblPr>
      <w:tcPr>
        <w:tcBorders/>
        <w:shd w:color="ffffff" w:fill="daeef3" w:themeColor="accent5" w:themeFill="accent5" w:themeFillTint="000034" w:themeTint="000034" w:val="clear"/>
      </w:tcPr>
    </w:tblStylePr>
    <w:tblStylePr w:type="band2Horz">
      <w:pPr>
        <w:pBdr/>
        <w:spacing/>
        <w:ind/>
      </w:pPr>
      <w:rPr>
        <w:rFonts w:ascii="Arial" w:hAnsi="Arial"/>
        <w:color w:val="266879"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66879" w:themeColor="accent5" w:themeShade="000095"/>
        <w:sz w:val="22"/>
      </w:rPr>
      <w:tblPr>
        <w:tblBorders/>
      </w:tblPr>
      <w:tcPr>
        <w:tcBorders>
          <w:top w:space="0" w:sz="0" w:val="none"/>
          <w:left w:space="0" w:sz="0" w:val="none"/>
          <w:bottom w:space="0" w:sz="0" w:val="none"/>
          <w:right w:color="000000" w:space="0" w:sz="4" w:themeColor="accent5" w:themeTint="000090" w:val="single"/>
        </w:tcBorders>
        <w:shd w:color="ffffff"/>
      </w:tcPr>
    </w:tblStylePr>
    <w:tblStylePr w:type="firstRow">
      <w:pPr>
        <w:pBdr/>
        <w:spacing/>
        <w:ind/>
      </w:pPr>
      <w:rPr>
        <w:rFonts w:ascii="Arial" w:hAnsi="Arial"/>
        <w:b w:val="1"/>
        <w:color w:val="266879" w:themeColor="accent5" w:themeShade="000095"/>
        <w:sz w:val="22"/>
      </w:rPr>
      <w:tblPr>
        <w:tblBorders/>
      </w:tblPr>
      <w:tcPr>
        <w:tcBorders>
          <w:top w:space="0" w:sz="0" w:val="none"/>
          <w:left w:space="0" w:sz="0" w:val="none"/>
          <w:bottom w:color="000000" w:space="0" w:sz="4" w:themeColor="accent5" w:themeTint="000090" w:val="single"/>
          <w:right w:space="0" w:sz="0" w:val="none"/>
        </w:tcBorders>
        <w:shd w:color="ffffff" w:fill="ffffff" w:themeColor="light1" w:themeFill="light1" w:val="clear"/>
      </w:tcPr>
    </w:tblStylePr>
    <w:tblStylePr w:type="lastCol">
      <w:pPr>
        <w:pBdr/>
        <w:spacing/>
        <w:ind/>
      </w:pPr>
      <w:rPr>
        <w:rFonts w:ascii="Arial" w:hAnsi="Arial"/>
        <w:i w:val="1"/>
        <w:color w:val="266879" w:themeColor="accent5" w:themeShade="000095"/>
        <w:sz w:val="22"/>
      </w:rPr>
      <w:tblPr>
        <w:tblBorders/>
      </w:tblPr>
      <w:tcPr>
        <w:tcBorders>
          <w:top w:space="0" w:sz="0" w:val="none"/>
          <w:left w:color="000000" w:space="0" w:sz="4" w:themeColor="accent5" w:themeTint="000090" w:val="single"/>
          <w:bottom w:space="0" w:sz="0" w:val="none"/>
          <w:right w:space="0" w:sz="0" w:val="none"/>
        </w:tcBorders>
        <w:shd w:color="ffffff"/>
      </w:tcPr>
    </w:tblStylePr>
    <w:tblStylePr w:type="lastRow">
      <w:pPr>
        <w:pBdr/>
        <w:spacing/>
        <w:ind/>
      </w:pPr>
      <w:rPr>
        <w:rFonts w:ascii="Arial" w:hAnsi="Arial"/>
        <w:b w:val="1"/>
        <w:color w:val="266879" w:themeColor="accent5" w:themeShade="000095"/>
        <w:sz w:val="22"/>
      </w:rPr>
      <w:tblPr>
        <w:tblBorders/>
      </w:tblPr>
      <w:tcPr>
        <w:tcBorders>
          <w:top w:color="000000" w:space="0" w:sz="4" w:themeColor="accent5" w:themeTint="00009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10"/>
    <w:uiPriority w:val="99"/>
    <w:pPr>
      <w:pBdr/>
      <w:spacing w:after="0" w:line="240" w:lineRule="auto"/>
      <w:ind/>
    </w:pPr>
    <w:tblPr>
      <w:tblStyleRowBandSize w:val="1"/>
      <w:tblStyleColBandSize w:val="1"/>
      <w:tblInd w:w="0.0" w:type="dxa"/>
      <w:tblBorders>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b25408" w:themeColor="accent6" w:themeShade="000095"/>
        <w:sz w:val="22"/>
      </w:rPr>
      <w:tblPr>
        <w:tblBorders/>
      </w:tblPr>
      <w:tcPr>
        <w:tcBorders/>
        <w:shd w:color="ffffff" w:fill="fdead9" w:themeColor="accent6" w:themeFill="accent6" w:themeFillTint="000034" w:themeTint="000034" w:val="clear"/>
      </w:tcPr>
    </w:tblStylePr>
    <w:tblStylePr w:type="band1Vert">
      <w:pPr>
        <w:pBdr/>
        <w:spacing/>
        <w:ind/>
      </w:pPr>
      <w:tblPr>
        <w:tblBorders/>
      </w:tblPr>
      <w:tcPr>
        <w:tcBorders/>
        <w:shd w:color="ffffff" w:fill="fdead9" w:themeColor="accent6" w:themeFill="accent6" w:themeFillTint="000034" w:themeTint="000034" w:val="clear"/>
      </w:tcPr>
    </w:tblStylePr>
    <w:tblStylePr w:type="band2Horz">
      <w:pPr>
        <w:pBdr/>
        <w:spacing/>
        <w:ind/>
      </w:pPr>
      <w:rPr>
        <w:rFonts w:ascii="Arial" w:hAnsi="Arial"/>
        <w:color w:val="b25408" w:themeColor="accent6"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b25408" w:themeColor="accent6" w:themeShade="000095"/>
        <w:sz w:val="22"/>
      </w:rPr>
      <w:tblPr>
        <w:tblBorders/>
      </w:tblPr>
      <w:tcPr>
        <w:tcBorders>
          <w:top w:space="0" w:sz="0" w:val="none"/>
          <w:left w:space="0" w:sz="0" w:val="none"/>
          <w:bottom w:space="0" w:sz="0" w:val="none"/>
          <w:right w:color="000000" w:space="0" w:sz="4" w:themeColor="accent6" w:themeTint="000090" w:val="single"/>
        </w:tcBorders>
        <w:shd w:color="ffffff"/>
      </w:tcPr>
    </w:tblStylePr>
    <w:tblStylePr w:type="firstRow">
      <w:pPr>
        <w:pBdr/>
        <w:spacing/>
        <w:ind/>
      </w:pPr>
      <w:rPr>
        <w:rFonts w:ascii="Arial" w:hAnsi="Arial"/>
        <w:b w:val="1"/>
        <w:color w:val="b25408" w:themeColor="accent6" w:themeShade="000095"/>
        <w:sz w:val="22"/>
      </w:rPr>
      <w:tblPr>
        <w:tblBorders/>
      </w:tblPr>
      <w:tcPr>
        <w:tcBorders>
          <w:top w:space="0" w:sz="0" w:val="none"/>
          <w:left w:space="0" w:sz="0" w:val="none"/>
          <w:bottom w:color="000000" w:space="0" w:sz="4" w:themeColor="accent6" w:themeTint="000090" w:val="single"/>
          <w:right w:space="0" w:sz="0" w:val="none"/>
        </w:tcBorders>
        <w:shd w:color="ffffff" w:fill="ffffff" w:themeColor="light1" w:themeFill="light1" w:val="clear"/>
      </w:tcPr>
    </w:tblStylePr>
    <w:tblStylePr w:type="lastCol">
      <w:pPr>
        <w:pBdr/>
        <w:spacing/>
        <w:ind/>
      </w:pPr>
      <w:rPr>
        <w:rFonts w:ascii="Arial" w:hAnsi="Arial"/>
        <w:i w:val="1"/>
        <w:color w:val="b25408" w:themeColor="accent6" w:themeShade="000095"/>
        <w:sz w:val="22"/>
      </w:rPr>
      <w:tblPr>
        <w:tblBorders/>
      </w:tblPr>
      <w:tcPr>
        <w:tcBorders>
          <w:top w:space="0" w:sz="0" w:val="none"/>
          <w:left w:color="000000" w:space="0" w:sz="4" w:themeColor="accent6" w:themeTint="000090" w:val="single"/>
          <w:bottom w:space="0" w:sz="0" w:val="none"/>
          <w:right w:space="0" w:sz="0" w:val="none"/>
        </w:tcBorders>
        <w:shd w:color="ffffff"/>
      </w:tcPr>
    </w:tblStylePr>
    <w:tblStylePr w:type="lastRow">
      <w:pPr>
        <w:pBdr/>
        <w:spacing/>
        <w:ind/>
      </w:pPr>
      <w:rPr>
        <w:rFonts w:ascii="Arial" w:hAnsi="Arial"/>
        <w:b w:val="1"/>
        <w:color w:val="b25408" w:themeColor="accent6" w:themeShade="000095"/>
        <w:sz w:val="22"/>
      </w:rPr>
      <w:tblPr>
        <w:tblBorders/>
      </w:tblPr>
      <w:tcPr>
        <w:tcBorders>
          <w:top w:color="000000" w:space="0" w:sz="4" w:themeColor="accent6" w:themeTint="00009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10"/>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tex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10"/>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3dfee" w:themeColor="accent1" w:themeFill="accent1" w:themeFillTint="000040" w:themeTint="000040" w:val="clear"/>
      </w:tcPr>
    </w:tblStylePr>
    <w:tblStylePr w:type="band1Vert">
      <w:pPr>
        <w:pBdr/>
        <w:spacing/>
        <w:ind/>
      </w:pPr>
      <w:tblPr>
        <w:tblBorders/>
      </w:tblPr>
      <w:tcPr>
        <w:tcBorders/>
        <w:shd w:color="ffffff" w:fill="d3dfee"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10"/>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efd3d2" w:themeColor="accent2" w:themeFill="accent2" w:themeFillTint="000040" w:themeTint="000040" w:val="clear"/>
      </w:tcPr>
    </w:tblStylePr>
    <w:tblStylePr w:type="band1Vert">
      <w:pPr>
        <w:pBdr/>
        <w:spacing/>
        <w:ind/>
      </w:pPr>
      <w:tblPr>
        <w:tblBorders/>
      </w:tblPr>
      <w:tcPr>
        <w:tcBorders/>
        <w:shd w:color="ffffff" w:fill="efd3d2"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2"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10"/>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e6eed5" w:themeColor="accent3" w:themeFill="accent3" w:themeFillTint="000040" w:themeTint="000040" w:val="clear"/>
      </w:tcPr>
    </w:tblStylePr>
    <w:tblStylePr w:type="band1Vert">
      <w:pPr>
        <w:pBdr/>
        <w:spacing/>
        <w:ind/>
      </w:pPr>
      <w:tblPr>
        <w:tblBorders/>
      </w:tblPr>
      <w:tcPr>
        <w:tcBorders/>
        <w:shd w:color="ffffff" w:fill="e6eed5"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3"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10"/>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fd8e8" w:themeColor="accent4" w:themeFill="accent4" w:themeFillTint="000040" w:themeTint="000040" w:val="clear"/>
      </w:tcPr>
    </w:tblStylePr>
    <w:tblStylePr w:type="band1Vert">
      <w:pPr>
        <w:pBdr/>
        <w:spacing/>
        <w:ind/>
      </w:pPr>
      <w:tblPr>
        <w:tblBorders/>
      </w:tblPr>
      <w:tcPr>
        <w:tcBorders/>
        <w:shd w:color="ffffff" w:fill="dfd8e8"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4"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10"/>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2eaf1" w:themeColor="accent5" w:themeFill="accent5" w:themeFillTint="000040" w:themeTint="000040" w:val="clear"/>
      </w:tcPr>
    </w:tblStylePr>
    <w:tblStylePr w:type="band1Vert">
      <w:pPr>
        <w:pBdr/>
        <w:spacing/>
        <w:ind/>
      </w:pPr>
      <w:tblPr>
        <w:tblBorders/>
      </w:tblPr>
      <w:tcPr>
        <w:tcBorders/>
        <w:shd w:color="ffffff" w:fill="d2eaf1"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5"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10"/>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fde5d1" w:themeColor="accent6" w:themeFill="accent6" w:themeFillTint="000040" w:themeTint="000040" w:val="clear"/>
      </w:tcPr>
    </w:tblStylePr>
    <w:tblStylePr w:type="band1Vert">
      <w:pPr>
        <w:pBdr/>
        <w:spacing/>
        <w:ind/>
      </w:pPr>
      <w:tblPr>
        <w:tblBorders/>
      </w:tblPr>
      <w:tcPr>
        <w:tcBorders/>
        <w:shd w:color="ffffff" w:fill="fde5d1"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6"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10"/>
    <w:uiPriority w:val="99"/>
    <w:pPr>
      <w:pBdr/>
      <w:spacing w:after="0" w:line="240" w:lineRule="auto"/>
      <w:ind/>
    </w:pPr>
    <w:tblPr>
      <w:tblStyleRowBandSize w:val="1"/>
      <w:tblStyleColBandSize w:val="1"/>
      <w:tblInd w:w="0.0" w:type="dxa"/>
      <w:tblBorders>
        <w:top w:color="000000" w:space="0" w:sz="4" w:themeColor="text1" w:themeTint="000090" w:val="single"/>
        <w:bottom w:color="000000" w:space="0" w:sz="4" w:themeColor="text1" w:themeTint="000090" w:val="single"/>
        <w:insideH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10"/>
    <w:uiPriority w:val="99"/>
    <w:pPr>
      <w:pBdr/>
      <w:spacing w:after="0" w:line="240" w:lineRule="auto"/>
      <w:ind/>
    </w:pPr>
    <w:tblPr>
      <w:tblStyleRowBandSize w:val="1"/>
      <w:tblStyleColBandSize w:val="1"/>
      <w:tblInd w:w="0.0" w:type="dxa"/>
      <w:tblBorders>
        <w:top w:color="000000" w:space="0" w:sz="4" w:themeColor="accent1" w:themeTint="000090" w:val="single"/>
        <w:bottom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3dfee"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3dfee"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10"/>
    <w:uiPriority w:val="99"/>
    <w:pPr>
      <w:pBdr/>
      <w:spacing w:after="0" w:line="240" w:lineRule="auto"/>
      <w:ind/>
    </w:pPr>
    <w:tblPr>
      <w:tblStyleRowBandSize w:val="1"/>
      <w:tblStyleColBandSize w:val="1"/>
      <w:tblInd w:w="0.0" w:type="dxa"/>
      <w:tblBorders>
        <w:top w:color="000000" w:space="0" w:sz="4" w:themeColor="accent2" w:themeTint="000090" w:val="single"/>
        <w:bottom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efd3d2"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efd3d2"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10"/>
    <w:uiPriority w:val="99"/>
    <w:pPr>
      <w:pBdr/>
      <w:spacing w:after="0" w:line="240" w:lineRule="auto"/>
      <w:ind/>
    </w:pPr>
    <w:tblPr>
      <w:tblStyleRowBandSize w:val="1"/>
      <w:tblStyleColBandSize w:val="1"/>
      <w:tblInd w:w="0.0" w:type="dxa"/>
      <w:tblBorders>
        <w:top w:color="000000" w:space="0" w:sz="4" w:themeColor="accent3" w:themeTint="000090" w:val="single"/>
        <w:bottom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6eed5"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6eed5"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10"/>
    <w:uiPriority w:val="99"/>
    <w:pPr>
      <w:pBdr/>
      <w:spacing w:after="0" w:line="240" w:lineRule="auto"/>
      <w:ind/>
    </w:pPr>
    <w:tblPr>
      <w:tblStyleRowBandSize w:val="1"/>
      <w:tblStyleColBandSize w:val="1"/>
      <w:tblInd w:w="0.0" w:type="dxa"/>
      <w:tblBorders>
        <w:top w:color="000000" w:space="0" w:sz="4" w:themeColor="accent4" w:themeTint="000090" w:val="single"/>
        <w:bottom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dfd8e8"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dfd8e8"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10"/>
    <w:uiPriority w:val="99"/>
    <w:pPr>
      <w:pBdr/>
      <w:spacing w:after="0" w:line="240" w:lineRule="auto"/>
      <w:ind/>
    </w:pPr>
    <w:tblPr>
      <w:tblStyleRowBandSize w:val="1"/>
      <w:tblStyleColBandSize w:val="1"/>
      <w:tblInd w:w="0.0" w:type="dxa"/>
      <w:tblBorders>
        <w:top w:color="000000" w:space="0" w:sz="4" w:themeColor="accent5" w:themeTint="000090" w:val="single"/>
        <w:bottom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2eaf1"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2eaf1"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10"/>
    <w:uiPriority w:val="99"/>
    <w:pPr>
      <w:pBdr/>
      <w:spacing w:after="0" w:line="240" w:lineRule="auto"/>
      <w:ind/>
    </w:pPr>
    <w:tblPr>
      <w:tblStyleRowBandSize w:val="1"/>
      <w:tblStyleColBandSize w:val="1"/>
      <w:tblInd w:w="0.0" w:type="dxa"/>
      <w:tblBorders>
        <w:top w:color="000000" w:space="0" w:sz="4" w:themeColor="accent6" w:themeTint="000090" w:val="single"/>
        <w:bottom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fde5d1"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fde5d1"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10"/>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tblBorders>
    </w:tblPr>
    <w:tcPr>
      <w:tcBorders/>
    </w:tcPr>
    <w:tblStylePr w:type="band1Horz">
      <w:pPr>
        <w:pBdr/>
        <w:spacing/>
        <w:ind/>
      </w:pPr>
      <w:rPr>
        <w:rFonts w:ascii="Arial" w:hAnsi="Arial"/>
        <w:color w:val="404040"/>
        <w:sz w:val="22"/>
      </w:rPr>
      <w:tblPr>
        <w:tblBorders/>
      </w:tblPr>
      <w:tcPr>
        <w:tcBorders>
          <w:top w:color="000000" w:space="0" w:sz="4" w:themeColor="text1" w:val="single"/>
          <w:bottom w:color="000000" w:space="0" w:sz="4" w:themeColor="text1" w:val="single"/>
        </w:tcBorders>
      </w:tcPr>
    </w:tblStylePr>
    <w:tblStylePr w:type="band1Vert">
      <w:pPr>
        <w:pBdr/>
        <w:spacing/>
        <w:ind/>
      </w:pPr>
      <w:rPr>
        <w:rFonts w:ascii="Arial" w:hAnsi="Arial"/>
        <w:color w:val="404040"/>
        <w:sz w:val="22"/>
      </w:r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10"/>
    <w:uiPriority w:val="99"/>
    <w:pPr>
      <w:pBdr/>
      <w:spacing w:after="0" w:line="240" w:lineRule="auto"/>
      <w:ind/>
    </w:pPr>
    <w:tblPr>
      <w:tblStyleRowBandSize w:val="1"/>
      <w:tblStyleColBandSize w:val="1"/>
      <w:tblInd w:w="0.0" w:type="dxa"/>
      <w:tblBorders>
        <w:top w:color="000000" w:space="0" w:sz="4" w:themeColor="accent1" w:val="single"/>
        <w:left w:color="000000" w:space="0" w:sz="4" w:themeColor="accent1" w:val="single"/>
        <w:bottom w:color="000000" w:space="0" w:sz="4" w:themeColor="accent1" w:val="single"/>
        <w:right w:color="000000" w:space="0" w:sz="4" w:themeColor="accent1" w:val="single"/>
      </w:tblBorders>
    </w:tblPr>
    <w:tcPr>
      <w:tcBorders/>
    </w:tcPr>
    <w:tblStylePr w:type="band1Horz">
      <w:pPr>
        <w:pBdr/>
        <w:spacing/>
        <w:ind/>
      </w:pPr>
      <w:rPr>
        <w:rFonts w:ascii="Arial" w:hAnsi="Arial"/>
        <w:color w:val="404040"/>
        <w:sz w:val="22"/>
      </w:rPr>
      <w:tblPr>
        <w:tblBorders/>
      </w:tblPr>
      <w:tcPr>
        <w:tcBorders>
          <w:top w:color="000000" w:space="0" w:sz="4" w:themeColor="accent1" w:val="single"/>
          <w:bottom w:color="000000" w:space="0" w:sz="4" w:themeColor="accent1" w:val="single"/>
        </w:tcBorders>
      </w:tcPr>
    </w:tblStylePr>
    <w:tblStylePr w:type="band1Vert">
      <w:pPr>
        <w:pBdr/>
        <w:spacing/>
        <w:ind/>
      </w:pPr>
      <w:rPr>
        <w:rFonts w:ascii="Arial" w:hAnsi="Arial"/>
        <w:color w:val="404040"/>
        <w:sz w:val="22"/>
      </w:rPr>
      <w:tblPr>
        <w:tblBorders/>
      </w:tblPr>
      <w:tcPr>
        <w:tcBorders>
          <w:left w:color="000000" w:space="0" w:sz="4" w:themeColor="accent1" w:val="single"/>
          <w:right w:color="000000" w:space="0" w:sz="4" w:themeColor="accen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f81bd"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10"/>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97" w:val="single"/>
          <w:bottom w:color="000000" w:space="0" w:sz="4" w:themeColor="accent2" w:themeTint="000097" w:val="single"/>
        </w:tcBorders>
      </w:tcPr>
    </w:tblStylePr>
    <w:tblStylePr w:type="band1Vert">
      <w:pPr>
        <w:pBdr/>
        <w:spacing/>
        <w:ind/>
      </w:pPr>
      <w:rPr>
        <w:rFonts w:ascii="Arial" w:hAnsi="Arial"/>
        <w:color w:val="404040"/>
        <w:sz w:val="22"/>
      </w:rPr>
      <w:tblPr>
        <w:tblBorders/>
      </w:tblPr>
      <w:tcPr>
        <w:tcBorders>
          <w:left w:color="000000" w:space="0" w:sz="4" w:themeColor="accent2" w:themeTint="000097" w:val="single"/>
          <w:right w:color="000000" w:space="0" w:sz="4" w:themeColor="accent2" w:themeTint="000097"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da9796"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10"/>
    <w:uiPriority w:val="99"/>
    <w:pPr>
      <w:pBdr/>
      <w:spacing w:after="0" w:line="240" w:lineRule="auto"/>
      <w:ind/>
    </w:pPr>
    <w:tblPr>
      <w:tblStyleRowBandSize w:val="1"/>
      <w:tblStyleColBandSize w:val="1"/>
      <w:tblInd w:w="0.0" w:type="dxa"/>
      <w:tblBorders>
        <w:top w:color="000000" w:space="0" w:sz="4" w:themeColor="accent3" w:themeTint="000098" w:val="single"/>
        <w:left w:color="000000" w:space="0" w:sz="4" w:themeColor="accent3" w:themeTint="000098" w:val="single"/>
        <w:bottom w:color="000000" w:space="0" w:sz="4" w:themeColor="accent3" w:themeTint="000098" w:val="single"/>
        <w:right w:color="000000" w:space="0" w:sz="4" w:themeColor="accent3"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98" w:val="single"/>
          <w:bottom w:color="000000" w:space="0" w:sz="4" w:themeColor="accent3" w:themeTint="000098" w:val="single"/>
        </w:tcBorders>
      </w:tcPr>
    </w:tblStylePr>
    <w:tblStylePr w:type="band1Vert">
      <w:pPr>
        <w:pBdr/>
        <w:spacing/>
        <w:ind/>
      </w:pPr>
      <w:rPr>
        <w:rFonts w:ascii="Arial" w:hAnsi="Arial"/>
        <w:color w:val="404040"/>
        <w:sz w:val="22"/>
      </w:rPr>
      <w:tblPr>
        <w:tblBorders/>
      </w:tblPr>
      <w:tcPr>
        <w:tcBorders>
          <w:left w:color="000000" w:space="0" w:sz="4" w:themeColor="accent3" w:themeTint="000098" w:val="single"/>
          <w:right w:color="000000" w:space="0" w:sz="4" w:themeColor="accent3"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c3d69c" w:themeColor="accent3" w:themeFill="accent3"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10"/>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9A" w:val="single"/>
          <w:bottom w:color="000000" w:space="0" w:sz="4" w:themeColor="accent4" w:themeTint="00009A" w:val="single"/>
        </w:tcBorders>
      </w:tcPr>
    </w:tblStylePr>
    <w:tblStylePr w:type="band1Vert">
      <w:pPr>
        <w:pBdr/>
        <w:spacing/>
        <w:ind/>
      </w:pPr>
      <w:rPr>
        <w:rFonts w:ascii="Arial" w:hAnsi="Arial"/>
        <w:color w:val="404040"/>
        <w:sz w:val="22"/>
      </w:rPr>
      <w:tblPr>
        <w:tblBorders/>
      </w:tblPr>
      <w:tcPr>
        <w:tcBorders>
          <w:left w:color="000000" w:space="0" w:sz="4" w:themeColor="accent4" w:themeTint="00009A" w:val="single"/>
          <w:right w:color="000000" w:space="0" w:sz="4" w:themeColor="accent4"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b2a1c7"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10"/>
    <w:uiPriority w:val="99"/>
    <w:pPr>
      <w:pBdr/>
      <w:spacing w:after="0" w:line="240" w:lineRule="auto"/>
      <w:ind/>
    </w:pPr>
    <w:tblPr>
      <w:tblStyleRowBandSize w:val="1"/>
      <w:tblStyleColBandSize w:val="1"/>
      <w:tblInd w:w="0.0" w:type="dxa"/>
      <w:tblBorders>
        <w:top w:color="000000" w:space="0" w:sz="4" w:themeColor="accent5" w:themeTint="00009A" w:val="single"/>
        <w:left w:color="000000" w:space="0" w:sz="4" w:themeColor="accent5" w:themeTint="00009A" w:val="single"/>
        <w:bottom w:color="000000" w:space="0" w:sz="4" w:themeColor="accent5" w:themeTint="00009A" w:val="single"/>
        <w:right w:color="000000" w:space="0" w:sz="4" w:themeColor="accent5"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9A" w:val="single"/>
          <w:bottom w:color="000000" w:space="0" w:sz="4" w:themeColor="accent5" w:themeTint="00009A" w:val="single"/>
        </w:tcBorders>
      </w:tcPr>
    </w:tblStylePr>
    <w:tblStylePr w:type="band1Vert">
      <w:pPr>
        <w:pBdr/>
        <w:spacing/>
        <w:ind/>
      </w:pPr>
      <w:rPr>
        <w:rFonts w:ascii="Arial" w:hAnsi="Arial"/>
        <w:color w:val="404040"/>
        <w:sz w:val="22"/>
      </w:rPr>
      <w:tblPr>
        <w:tblBorders/>
      </w:tblPr>
      <w:tcPr>
        <w:tcBorders>
          <w:left w:color="000000" w:space="0" w:sz="4" w:themeColor="accent5" w:themeTint="00009A" w:val="single"/>
          <w:right w:color="000000" w:space="0" w:sz="4" w:themeColor="accent5"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92cddd" w:themeColor="accent5" w:themeFill="accent5"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10"/>
    <w:uiPriority w:val="99"/>
    <w:pPr>
      <w:pBdr/>
      <w:spacing w:after="0" w:line="240" w:lineRule="auto"/>
      <w:ind/>
    </w:pPr>
    <w:tblPr>
      <w:tblStyleRowBandSize w:val="1"/>
      <w:tblStyleColBandSize w:val="1"/>
      <w:tblInd w:w="0.0" w:type="dxa"/>
      <w:tblBorders>
        <w:top w:color="000000" w:space="0" w:sz="4" w:themeColor="accent6" w:themeTint="000098" w:val="single"/>
        <w:left w:color="000000" w:space="0" w:sz="4" w:themeColor="accent6" w:themeTint="000098" w:val="single"/>
        <w:bottom w:color="000000" w:space="0" w:sz="4" w:themeColor="accent6" w:themeTint="000098" w:val="single"/>
        <w:right w:color="000000" w:space="0" w:sz="4" w:themeColor="accent6"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98" w:val="single"/>
          <w:bottom w:color="000000" w:space="0" w:sz="4" w:themeColor="accent6" w:themeTint="000098" w:val="single"/>
        </w:tcBorders>
      </w:tcPr>
    </w:tblStylePr>
    <w:tblStylePr w:type="band1Vert">
      <w:pPr>
        <w:pBdr/>
        <w:spacing/>
        <w:ind/>
      </w:pPr>
      <w:rPr>
        <w:rFonts w:ascii="Arial" w:hAnsi="Arial"/>
        <w:color w:val="404040"/>
        <w:sz w:val="22"/>
      </w:rPr>
      <w:tblPr>
        <w:tblBorders/>
      </w:tblPr>
      <w:tcPr>
        <w:tcBorders>
          <w:left w:color="000000" w:space="0" w:sz="4" w:themeColor="accent6" w:themeTint="000098" w:val="single"/>
          <w:right w:color="000000" w:space="0" w:sz="4" w:themeColor="accent6"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ac091" w:themeColor="accent6" w:themeFill="accent6"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10"/>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10"/>
    <w:uiPriority w:val="9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3dfee"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3dfee"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f81bd"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10"/>
    <w:uiPriority w:val="9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efd3d2"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efd3d2"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c0504d" w:themeColor="accent2" w:themeFill="accent2"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10"/>
    <w:uiPriority w:val="9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6eed5"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6eed5"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9bbb59" w:themeColor="accent3" w:themeFill="accent3"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10"/>
    <w:uiPriority w:val="9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dfd8e8"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dfd8e8"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8064a2" w:themeColor="accent4" w:themeFill="accent4"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10"/>
    <w:uiPriority w:val="9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2eaf1"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2eaf1"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bacc6"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10"/>
    <w:uiPriority w:val="9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fde5d1"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fde5d1"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79646"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10"/>
    <w:uiPriority w:val="99"/>
    <w:pPr>
      <w:pBdr/>
      <w:spacing w:after="0" w:line="240" w:lineRule="auto"/>
      <w:ind/>
    </w:pPr>
    <w:tblPr>
      <w:tblStyleRowBandSize w:val="1"/>
      <w:tblStyleColBandSize w:val="1"/>
      <w:tblInd w:w="0.0" w:type="dxa"/>
      <w:tblBorders>
        <w:top w:color="000000" w:space="0" w:sz="32" w:themeColor="text1" w:themeTint="000080" w:val="single"/>
        <w:left w:color="000000" w:space="0" w:sz="32" w:themeColor="text1" w:themeTint="000080" w:val="single"/>
        <w:bottom w:color="000000" w:space="0" w:sz="32" w:themeColor="text1" w:themeTint="000080" w:val="single"/>
        <w:right w:color="000000" w:space="0" w:sz="32" w:themeColor="text1" w:themeTint="000080" w:val="single"/>
      </w:tblBorders>
      <w:shd w:color="ffffff" w:fill="7f7f7f" w:themeColor="text1" w:themeFill="text1" w:themeFillTint="000080" w:themeTint="000080"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7f7f7f" w:themeColor="text1" w:themeFill="text1" w:themeFillTint="000080" w:themeTint="000080"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text1" w:themeTint="000080"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text1" w:themeTint="000080" w:val="single"/>
          <w:bottom w:color="000000" w:space="0" w:sz="12" w:themeColor="light1" w:val="single"/>
        </w:tcBorders>
        <w:shd w:color="ffffff" w:fill="7f7f7f" w:themeColor="text1" w:themeFill="text1" w:themeFillTint="000080" w:themeTint="000080" w:val="clear"/>
      </w:tcPr>
    </w:tblStylePr>
    <w:tblStylePr w:type="lastCol">
      <w:pPr>
        <w:pBdr/>
        <w:spacing/>
        <w:ind/>
      </w:pPr>
      <w:tblPr>
        <w:tblBorders/>
      </w:tblPr>
      <w:tcPr>
        <w:tcBorders>
          <w:left w:color="000000" w:space="0" w:sz="4" w:themeColor="light1" w:val="single"/>
          <w:right w:color="000000" w:space="0" w:sz="32" w:themeColor="text1" w:themeTint="000080"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6">
    <w:name w:val="List Table 5 Dark - Accent 1"/>
    <w:basedOn w:val="10"/>
    <w:uiPriority w:val="99"/>
    <w:pPr>
      <w:pBdr/>
      <w:spacing w:after="0" w:line="240" w:lineRule="auto"/>
      <w:ind/>
    </w:pPr>
    <w:tblPr>
      <w:tblStyleRowBandSize w:val="1"/>
      <w:tblStyleColBandSize w:val="1"/>
      <w:tblInd w:w="0.0" w:type="dxa"/>
      <w:tblBorders>
        <w:top w:color="000000" w:space="0" w:sz="32" w:themeColor="accent1" w:val="single"/>
        <w:left w:color="000000" w:space="0" w:sz="32" w:themeColor="accent1" w:val="single"/>
        <w:bottom w:color="000000" w:space="0" w:sz="32" w:themeColor="accent1" w:val="single"/>
        <w:right w:color="000000" w:space="0" w:sz="32" w:themeColor="accent1" w:val="single"/>
      </w:tblBorders>
      <w:shd w:color="ffffff" w:fill="4f81bd" w:themeColor="accent1" w:themeFill="accent1"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4f81bd" w:themeColor="accent1" w:themeFill="accent1"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4f81bd" w:themeColor="accent1" w:themeFill="accent1"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4f81bd" w:themeColor="accent1" w:themeFill="accent1"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1"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1" w:val="single"/>
          <w:bottom w:color="000000" w:space="0" w:sz="12" w:themeColor="light1" w:val="single"/>
        </w:tcBorders>
        <w:shd w:color="ffffff" w:fill="4f81bd" w:themeColor="accent1" w:themeFill="accent1" w:val="clear"/>
      </w:tcPr>
    </w:tblStylePr>
    <w:tblStylePr w:type="lastCol">
      <w:pPr>
        <w:pBdr/>
        <w:spacing/>
        <w:ind/>
      </w:pPr>
      <w:tblPr>
        <w:tblBorders/>
      </w:tblPr>
      <w:tcPr>
        <w:tcBorders>
          <w:left w:color="000000" w:space="0" w:sz="4" w:themeColor="light1" w:val="single"/>
          <w:right w:color="000000" w:space="0" w:sz="32" w:themeColor="accent1"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7">
    <w:name w:val="List Table 5 Dark - Accent 2"/>
    <w:basedOn w:val="10"/>
    <w:uiPriority w:val="99"/>
    <w:pPr>
      <w:pBdr/>
      <w:spacing w:after="0" w:line="240" w:lineRule="auto"/>
      <w:ind/>
    </w:pPr>
    <w:tblPr>
      <w:tblStyleRowBandSize w:val="1"/>
      <w:tblStyleColBandSize w:val="1"/>
      <w:tblInd w:w="0.0" w:type="dxa"/>
      <w:tblBorders>
        <w:top w:color="000000" w:space="0" w:sz="32" w:themeColor="accent2" w:themeTint="000097" w:val="single"/>
        <w:left w:color="000000" w:space="0" w:sz="32" w:themeColor="accent2" w:themeTint="000097" w:val="single"/>
        <w:bottom w:color="000000" w:space="0" w:sz="32" w:themeColor="accent2" w:themeTint="000097" w:val="single"/>
        <w:right w:color="000000" w:space="0" w:sz="32" w:themeColor="accent2" w:themeTint="000097" w:val="single"/>
      </w:tblBorders>
      <w:shd w:color="ffffff" w:fill="da9796" w:themeColor="accent2" w:themeFill="accent2" w:themeFillTint="000097" w:themeTint="000097"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da9796" w:themeColor="accent2" w:themeFill="accent2" w:themeFillTint="000097" w:themeTint="000097"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da9796" w:themeColor="accent2" w:themeFill="accent2" w:themeFillTint="000097" w:themeTint="000097"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da9796" w:themeColor="accent2" w:themeFill="accent2" w:themeFillTint="000097" w:themeTint="000097"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2" w:themeTint="000097"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2" w:themeTint="000097" w:val="single"/>
          <w:bottom w:color="000000" w:space="0" w:sz="12" w:themeColor="light1" w:val="single"/>
        </w:tcBorders>
        <w:shd w:color="ffffff" w:fill="da9796" w:themeColor="accent2" w:themeFill="accent2" w:themeFillTint="000097" w:themeTint="000097" w:val="clear"/>
      </w:tcPr>
    </w:tblStylePr>
    <w:tblStylePr w:type="lastCol">
      <w:pPr>
        <w:pBdr/>
        <w:spacing/>
        <w:ind/>
      </w:pPr>
      <w:tblPr>
        <w:tblBorders/>
      </w:tblPr>
      <w:tcPr>
        <w:tcBorders>
          <w:left w:color="000000" w:space="0" w:sz="4" w:themeColor="light1" w:val="single"/>
          <w:right w:color="000000" w:space="0" w:sz="32" w:themeColor="accent2" w:themeTint="000097"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8">
    <w:name w:val="List Table 5 Dark - Accent 3"/>
    <w:basedOn w:val="10"/>
    <w:uiPriority w:val="99"/>
    <w:pPr>
      <w:pBdr/>
      <w:spacing w:after="0" w:line="240" w:lineRule="auto"/>
      <w:ind/>
    </w:pPr>
    <w:tblPr>
      <w:tblStyleRowBandSize w:val="1"/>
      <w:tblStyleColBandSize w:val="1"/>
      <w:tblInd w:w="0.0" w:type="dxa"/>
      <w:tblBorders>
        <w:top w:color="000000" w:space="0" w:sz="32" w:themeColor="accent3" w:themeTint="000098" w:val="single"/>
        <w:left w:color="000000" w:space="0" w:sz="32" w:themeColor="accent3" w:themeTint="000098" w:val="single"/>
        <w:bottom w:color="000000" w:space="0" w:sz="32" w:themeColor="accent3" w:themeTint="000098" w:val="single"/>
        <w:right w:color="000000" w:space="0" w:sz="32" w:themeColor="accent3" w:themeTint="000098" w:val="single"/>
      </w:tblBorders>
      <w:shd w:color="ffffff" w:fill="c3d69c" w:themeColor="accent3" w:themeFill="accent3"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c3d69c" w:themeColor="accent3" w:themeFill="accent3"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c3d69c" w:themeColor="accent3" w:themeFill="accent3"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c3d69c" w:themeColor="accent3" w:themeFill="accent3"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3"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3" w:themeTint="000098" w:val="single"/>
          <w:bottom w:color="000000" w:space="0" w:sz="12" w:themeColor="light1" w:val="single"/>
        </w:tcBorders>
        <w:shd w:color="ffffff" w:fill="c3d69c" w:themeColor="accent3" w:themeFill="accent3" w:themeFillTint="000098" w:themeTint="000098" w:val="clear"/>
      </w:tcPr>
    </w:tblStylePr>
    <w:tblStylePr w:type="lastCol">
      <w:pPr>
        <w:pBdr/>
        <w:spacing/>
        <w:ind/>
      </w:pPr>
      <w:tblPr>
        <w:tblBorders/>
      </w:tblPr>
      <w:tcPr>
        <w:tcBorders>
          <w:left w:color="000000" w:space="0" w:sz="4" w:themeColor="light1" w:val="single"/>
          <w:right w:color="000000" w:space="0" w:sz="32" w:themeColor="accent3"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9">
    <w:name w:val="List Table 5 Dark - Accent 4"/>
    <w:basedOn w:val="10"/>
    <w:uiPriority w:val="99"/>
    <w:pPr>
      <w:pBdr/>
      <w:spacing w:after="0" w:line="240" w:lineRule="auto"/>
      <w:ind/>
    </w:pPr>
    <w:tblPr>
      <w:tblStyleRowBandSize w:val="1"/>
      <w:tblStyleColBandSize w:val="1"/>
      <w:tblInd w:w="0.0" w:type="dxa"/>
      <w:tblBorders>
        <w:top w:color="000000" w:space="0" w:sz="32" w:themeColor="accent4" w:themeTint="00009A" w:val="single"/>
        <w:left w:color="000000" w:space="0" w:sz="32" w:themeColor="accent4" w:themeTint="00009A" w:val="single"/>
        <w:bottom w:color="000000" w:space="0" w:sz="32" w:themeColor="accent4" w:themeTint="00009A" w:val="single"/>
        <w:right w:color="000000" w:space="0" w:sz="32" w:themeColor="accent4" w:themeTint="00009A" w:val="single"/>
      </w:tblBorders>
      <w:shd w:color="ffffff" w:fill="b2a1c7" w:themeColor="accent4" w:themeFill="accent4"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b2a1c7" w:themeColor="accent4" w:themeFill="accent4"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b2a1c7" w:themeColor="accent4" w:themeFill="accent4"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b2a1c7" w:themeColor="accent4" w:themeFill="accent4"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4"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4" w:themeTint="00009A" w:val="single"/>
          <w:bottom w:color="000000" w:space="0" w:sz="12" w:themeColor="light1" w:val="single"/>
        </w:tcBorders>
        <w:shd w:color="ffffff" w:fill="b2a1c7" w:themeColor="accent4" w:themeFill="accent4" w:themeFillTint="00009A" w:themeTint="00009A" w:val="clear"/>
      </w:tcPr>
    </w:tblStylePr>
    <w:tblStylePr w:type="lastCol">
      <w:pPr>
        <w:pBdr/>
        <w:spacing/>
        <w:ind/>
      </w:pPr>
      <w:tblPr>
        <w:tblBorders/>
      </w:tblPr>
      <w:tcPr>
        <w:tcBorders>
          <w:left w:color="000000" w:space="0" w:sz="4" w:themeColor="light1" w:val="single"/>
          <w:right w:color="000000" w:space="0" w:sz="32" w:themeColor="accent4"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0">
    <w:name w:val="List Table 5 Dark - Accent 5"/>
    <w:basedOn w:val="10"/>
    <w:uiPriority w:val="99"/>
    <w:pPr>
      <w:pBdr/>
      <w:spacing w:after="0" w:line="240" w:lineRule="auto"/>
      <w:ind/>
    </w:pPr>
    <w:tblPr>
      <w:tblStyleRowBandSize w:val="1"/>
      <w:tblStyleColBandSize w:val="1"/>
      <w:tblInd w:w="0.0" w:type="dxa"/>
      <w:tblBorders>
        <w:top w:color="000000" w:space="0" w:sz="32" w:themeColor="accent5" w:themeTint="00009A" w:val="single"/>
        <w:left w:color="000000" w:space="0" w:sz="32" w:themeColor="accent5" w:themeTint="00009A" w:val="single"/>
        <w:bottom w:color="000000" w:space="0" w:sz="32" w:themeColor="accent5" w:themeTint="00009A" w:val="single"/>
        <w:right w:color="000000" w:space="0" w:sz="32" w:themeColor="accent5" w:themeTint="00009A" w:val="single"/>
      </w:tblBorders>
      <w:shd w:color="ffffff" w:fill="92cddd" w:themeColor="accent5" w:themeFill="accent5"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92cddd" w:themeColor="accent5" w:themeFill="accent5"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92cddd" w:themeColor="accent5" w:themeFill="accent5"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92cddd" w:themeColor="accent5" w:themeFill="accent5"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5"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5" w:themeTint="00009A" w:val="single"/>
          <w:bottom w:color="000000" w:space="0" w:sz="12" w:themeColor="light1" w:val="single"/>
        </w:tcBorders>
        <w:shd w:color="ffffff" w:fill="92cddd" w:themeColor="accent5" w:themeFill="accent5" w:themeFillTint="00009A" w:themeTint="00009A" w:val="clear"/>
      </w:tcPr>
    </w:tblStylePr>
    <w:tblStylePr w:type="lastCol">
      <w:pPr>
        <w:pBdr/>
        <w:spacing/>
        <w:ind/>
      </w:pPr>
      <w:tblPr>
        <w:tblBorders/>
      </w:tblPr>
      <w:tcPr>
        <w:tcBorders>
          <w:left w:color="000000" w:space="0" w:sz="4" w:themeColor="light1" w:val="single"/>
          <w:right w:color="000000" w:space="0" w:sz="32" w:themeColor="accent5"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1">
    <w:name w:val="List Table 5 Dark - Accent 6"/>
    <w:basedOn w:val="10"/>
    <w:uiPriority w:val="99"/>
    <w:pPr>
      <w:pBdr/>
      <w:spacing w:after="0" w:line="240" w:lineRule="auto"/>
      <w:ind/>
    </w:pPr>
    <w:tblPr>
      <w:tblStyleRowBandSize w:val="1"/>
      <w:tblStyleColBandSize w:val="1"/>
      <w:tblInd w:w="0.0" w:type="dxa"/>
      <w:tblBorders>
        <w:top w:color="000000" w:space="0" w:sz="32" w:themeColor="accent6" w:themeTint="000098" w:val="single"/>
        <w:left w:color="000000" w:space="0" w:sz="32" w:themeColor="accent6" w:themeTint="000098" w:val="single"/>
        <w:bottom w:color="000000" w:space="0" w:sz="32" w:themeColor="accent6" w:themeTint="000098" w:val="single"/>
        <w:right w:color="000000" w:space="0" w:sz="32" w:themeColor="accent6" w:themeTint="000098" w:val="single"/>
      </w:tblBorders>
      <w:shd w:color="ffffff" w:fill="fac091" w:themeColor="accent6" w:themeFill="accent6"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fac091" w:themeColor="accent6" w:themeFill="accent6"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fac091" w:themeColor="accent6" w:themeFill="accent6"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fac091" w:themeColor="accent6" w:themeFill="accent6"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6"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6" w:themeTint="000098" w:val="single"/>
          <w:bottom w:color="000000" w:space="0" w:sz="12" w:themeColor="light1" w:val="single"/>
        </w:tcBorders>
        <w:shd w:color="ffffff" w:fill="fac091" w:themeColor="accent6" w:themeFill="accent6" w:themeFillTint="000098" w:themeTint="000098" w:val="clear"/>
      </w:tcPr>
    </w:tblStylePr>
    <w:tblStylePr w:type="lastCol">
      <w:pPr>
        <w:pBdr/>
        <w:spacing/>
        <w:ind/>
      </w:pPr>
      <w:tblPr>
        <w:tblBorders/>
      </w:tblPr>
      <w:tcPr>
        <w:tcBorders>
          <w:left w:color="000000" w:space="0" w:sz="4" w:themeColor="light1" w:val="single"/>
          <w:right w:color="000000" w:space="0" w:sz="32" w:themeColor="accent6"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2">
    <w:name w:val="List Table 6 Colorful"/>
    <w:basedOn w:val="10"/>
    <w:uiPriority w:val="99"/>
    <w:pPr>
      <w:pBdr/>
      <w:spacing w:after="0" w:line="240" w:lineRule="auto"/>
      <w:ind/>
    </w:pPr>
    <w:tblPr>
      <w:tblStyleRowBandSize w:val="1"/>
      <w:tblStyleColBandSize w:val="1"/>
      <w:tblInd w:w="0.0" w:type="dxa"/>
      <w:tblBorders>
        <w:top w:color="000000" w:space="0" w:sz="4" w:themeColor="text1" w:themeTint="000080" w:val="single"/>
        <w:bottom w:color="000000" w:space="0" w:sz="4" w:themeColor="text1" w:themeTint="000080" w:val="single"/>
      </w:tblBorders>
    </w:tblPr>
    <w:tcPr>
      <w:tcBorders/>
    </w:tcPr>
    <w:tblStylePr w:type="band1Horz">
      <w:pPr>
        <w:pBdr/>
        <w:spacing/>
        <w:ind/>
      </w:pPr>
      <w:rPr>
        <w:rFonts w:ascii="Arial" w:hAnsi="Arial"/>
        <w:color w:val="404040" w:themeColor="text1"/>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04040" w:themeColor="text1"/>
        <w:sz w:val="22"/>
      </w:rPr>
      <w:tblPr>
        <w:tblBorders/>
      </w:tblPr>
      <w:tcPr>
        <w:tcBorders/>
      </w:tcPr>
    </w:tblStylePr>
    <w:tblStylePr w:type="band2Vert">
      <w:pPr>
        <w:pBdr/>
        <w:spacing/>
        <w:ind/>
      </w:pPr>
      <w:tblPr>
        <w:tblBorders/>
      </w:tblPr>
      <w:tcPr>
        <w:tcBorders/>
      </w:tcPr>
    </w:tblStylePr>
    <w:tblStylePr w:type="firstCol">
      <w:pPr>
        <w:pBdr/>
        <w:spacing/>
        <w:ind/>
      </w:pPr>
      <w:rPr>
        <w:b w:val="1"/>
        <w:color w:val="000000" w:themeColor="text1"/>
      </w:rPr>
      <w:tblPr>
        <w:tblBorders/>
      </w:tblPr>
      <w:tcPr>
        <w:tcBorders/>
      </w:tcPr>
    </w:tblStylePr>
    <w:tblStylePr w:type="firstRow">
      <w:pPr>
        <w:pBdr/>
        <w:spacing/>
        <w:ind/>
      </w:pPr>
      <w:rPr>
        <w:b w:val="1"/>
        <w:color w:val="000000" w:themeColor="text1"/>
      </w:rPr>
      <w:tblPr>
        <w:tblBorders/>
      </w:tblPr>
      <w:tcPr>
        <w:tcBorders>
          <w:bottom w:color="000000" w:space="0" w:sz="4" w:themeColor="text1" w:themeTint="000080" w:val="single"/>
        </w:tcBorders>
      </w:tcPr>
    </w:tblStylePr>
    <w:tblStylePr w:type="lastCol">
      <w:pPr>
        <w:pBdr/>
        <w:spacing/>
        <w:ind/>
      </w:pPr>
      <w:rPr>
        <w:b w:val="1"/>
        <w:color w:val="000000" w:themeColor="text1"/>
      </w:rPr>
      <w:tblPr>
        <w:tblBorders/>
      </w:tblPr>
      <w:tcPr>
        <w:tcBorders/>
      </w:tcPr>
    </w:tblStylePr>
    <w:tblStylePr w:type="lastRow">
      <w:pPr>
        <w:pBdr/>
        <w:spacing/>
        <w:ind/>
      </w:pPr>
      <w:rPr>
        <w:b w:val="1"/>
        <w:color w:val="000000" w:themeColor="text1"/>
      </w:rPr>
      <w:tblPr>
        <w:tblBorders/>
      </w:tblPr>
      <w:tcPr>
        <w:tcBorders>
          <w:top w:color="000000" w:space="0" w:sz="4"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10"/>
    <w:uiPriority w:val="99"/>
    <w:pPr>
      <w:pBdr/>
      <w:spacing w:after="0" w:line="240" w:lineRule="auto"/>
      <w:ind/>
    </w:pPr>
    <w:tblPr>
      <w:tblStyleRowBandSize w:val="1"/>
      <w:tblStyleColBandSize w:val="1"/>
      <w:tblInd w:w="0.0" w:type="dxa"/>
      <w:tblBorders>
        <w:top w:color="000000" w:space="0" w:sz="4" w:themeColor="accent1" w:val="single"/>
        <w:bottom w:color="000000" w:space="0" w:sz="4" w:themeColor="accent1" w:val="single"/>
      </w:tblBorders>
    </w:tblPr>
    <w:tcPr>
      <w:tcBorders/>
    </w:tcPr>
    <w:tblStylePr w:type="band1Horz">
      <w:pPr>
        <w:pBdr/>
        <w:spacing/>
        <w:ind/>
      </w:pPr>
      <w:rPr>
        <w:rFonts w:ascii="Arial" w:hAnsi="Arial"/>
        <w:color w:val="404040" w:themeColor="accent1" w:themeShade="000095"/>
        <w:sz w:val="22"/>
      </w:rPr>
      <w:tblPr>
        <w:tblBorders/>
      </w:tblPr>
      <w:tcPr>
        <w:tcBorders/>
        <w:shd w:color="ffffff" w:fill="d3dfee" w:themeColor="accent1" w:themeFill="accent1" w:themeFillTint="000040" w:themeTint="000040" w:val="clear"/>
      </w:tcPr>
    </w:tblStylePr>
    <w:tblStylePr w:type="band1Vert">
      <w:pPr>
        <w:pBdr/>
        <w:spacing/>
        <w:ind/>
      </w:pPr>
      <w:tblPr>
        <w:tblBorders/>
      </w:tblPr>
      <w:tcPr>
        <w:tcBorders/>
        <w:shd w:color="ffffff" w:fill="d3dfee" w:themeColor="accent1" w:themeFill="accent1" w:themeFillTint="000040" w:themeTint="000040" w:val="clear"/>
      </w:tcPr>
    </w:tblStylePr>
    <w:tblStylePr w:type="band2Horz">
      <w:pPr>
        <w:pBdr/>
        <w:spacing/>
        <w:ind/>
      </w:pPr>
      <w:rPr>
        <w:rFonts w:ascii="Arial" w:hAnsi="Arial"/>
        <w:color w:val="404040"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b4b72" w:themeColor="accent1" w:themeShade="000095"/>
      </w:rPr>
      <w:tblPr>
        <w:tblBorders/>
      </w:tblPr>
      <w:tcPr>
        <w:tcBorders/>
      </w:tcPr>
    </w:tblStylePr>
    <w:tblStylePr w:type="firstRow">
      <w:pPr>
        <w:pBdr/>
        <w:spacing/>
        <w:ind/>
      </w:pPr>
      <w:rPr>
        <w:b w:val="1"/>
        <w:color w:val="2b4b72" w:themeColor="accent1" w:themeShade="000095"/>
      </w:rPr>
      <w:tblPr>
        <w:tblBorders/>
      </w:tblPr>
      <w:tcPr>
        <w:tcBorders>
          <w:bottom w:color="000000" w:space="0" w:sz="4" w:themeColor="accent1" w:val="single"/>
        </w:tcBorders>
      </w:tcPr>
    </w:tblStylePr>
    <w:tblStylePr w:type="lastCol">
      <w:pPr>
        <w:pBdr/>
        <w:spacing/>
        <w:ind/>
      </w:pPr>
      <w:rPr>
        <w:b w:val="1"/>
        <w:color w:val="2b4b72" w:themeColor="accent1" w:themeShade="000095"/>
      </w:rPr>
      <w:tblPr>
        <w:tblBorders/>
      </w:tblPr>
      <w:tcPr>
        <w:tcBorders/>
      </w:tcPr>
    </w:tblStylePr>
    <w:tblStylePr w:type="lastRow">
      <w:pPr>
        <w:pBdr/>
        <w:spacing/>
        <w:ind/>
      </w:pPr>
      <w:rPr>
        <w:b w:val="1"/>
        <w:color w:val="2b4b72" w:themeColor="accent1" w:themeShade="000095"/>
      </w:rPr>
      <w:tblPr>
        <w:tblBorders/>
      </w:tblPr>
      <w:tcPr>
        <w:tcBorders>
          <w:top w:color="000000" w:space="0" w:sz="4"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10"/>
    <w:uiPriority w:val="99"/>
    <w:pPr>
      <w:pBdr/>
      <w:spacing w:after="0" w:line="240" w:lineRule="auto"/>
      <w:ind/>
    </w:pPr>
    <w:tblPr>
      <w:tblStyleRowBandSize w:val="1"/>
      <w:tblStyleColBandSize w:val="1"/>
      <w:tblInd w:w="0.0" w:type="dxa"/>
      <w:tblBorders>
        <w:top w:color="000000" w:space="0" w:sz="4" w:themeColor="accent2" w:themeTint="000097" w:val="single"/>
        <w:bottom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efd3d2" w:themeColor="accent2" w:themeFill="accent2" w:themeFillTint="000040" w:themeTint="000040" w:val="clear"/>
      </w:tcPr>
    </w:tblStylePr>
    <w:tblStylePr w:type="band1Vert">
      <w:pPr>
        <w:pBdr/>
        <w:spacing/>
        <w:ind/>
      </w:pPr>
      <w:tblPr>
        <w:tblBorders/>
      </w:tblPr>
      <w:tcPr>
        <w:tcBorders/>
        <w:shd w:color="ffffff" w:fill="efd3d2" w:themeColor="accent2" w:themeFill="accent2" w:themeFillTint="000040" w:themeTint="000040"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9f3a38" w:themeColor="accent2" w:themeShade="000095" w:themeTint="000097"/>
      </w:rPr>
      <w:tblPr>
        <w:tblBorders/>
      </w:tblPr>
      <w:tcPr>
        <w:tcBorders/>
      </w:tcPr>
    </w:tblStylePr>
    <w:tblStylePr w:type="firstRow">
      <w:pPr>
        <w:pBdr/>
        <w:spacing/>
        <w:ind/>
      </w:pPr>
      <w:rPr>
        <w:b w:val="1"/>
        <w:color w:val="9f3a38" w:themeColor="accent2" w:themeShade="000095" w:themeTint="000097"/>
      </w:rPr>
      <w:tblPr>
        <w:tblBorders/>
      </w:tblPr>
      <w:tcPr>
        <w:tcBorders>
          <w:bottom w:color="000000" w:space="0" w:sz="4" w:themeColor="accent2" w:themeTint="000097" w:val="single"/>
        </w:tcBorders>
      </w:tcPr>
    </w:tblStylePr>
    <w:tblStylePr w:type="lastCol">
      <w:pPr>
        <w:pBdr/>
        <w:spacing/>
        <w:ind/>
      </w:pPr>
      <w:rPr>
        <w:b w:val="1"/>
        <w:color w:val="9f3a38" w:themeColor="accent2" w:themeShade="000095" w:themeTint="000097"/>
      </w:rPr>
      <w:tblPr>
        <w:tblBorders/>
      </w:tblPr>
      <w:tcPr>
        <w:tcBorders/>
      </w:tcPr>
    </w:tblStylePr>
    <w:tblStylePr w:type="lastRow">
      <w:pPr>
        <w:pBdr/>
        <w:spacing/>
        <w:ind/>
      </w:pPr>
      <w:rPr>
        <w:b w:val="1"/>
        <w:color w:val="9f3a38" w:themeColor="accent2" w:themeShade="000095" w:themeTint="000097"/>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10"/>
    <w:uiPriority w:val="99"/>
    <w:pPr>
      <w:pBdr/>
      <w:spacing w:after="0" w:line="240" w:lineRule="auto"/>
      <w:ind/>
    </w:pPr>
    <w:tblPr>
      <w:tblStyleRowBandSize w:val="1"/>
      <w:tblStyleColBandSize w:val="1"/>
      <w:tblInd w:w="0.0" w:type="dxa"/>
      <w:tblBorders>
        <w:top w:color="000000" w:space="0" w:sz="4" w:themeColor="accent3" w:themeTint="000098" w:val="single"/>
        <w:bottom w:color="000000" w:space="0" w:sz="4" w:themeColor="accent3" w:themeTint="000098" w:val="single"/>
      </w:tblBorders>
    </w:tblPr>
    <w:tcPr>
      <w:tcBorders/>
    </w:tcPr>
    <w:tblStylePr w:type="band1Horz">
      <w:pPr>
        <w:pBdr/>
        <w:spacing/>
        <w:ind/>
      </w:pPr>
      <w:rPr>
        <w:rFonts w:ascii="Arial" w:hAnsi="Arial"/>
        <w:color w:val="404040" w:themeColor="accent3" w:themeShade="000095" w:themeTint="000098"/>
        <w:sz w:val="22"/>
      </w:rPr>
      <w:tblPr>
        <w:tblBorders/>
      </w:tblPr>
      <w:tcPr>
        <w:tcBorders/>
        <w:shd w:color="ffffff" w:fill="e6eed5" w:themeColor="accent3" w:themeFill="accent3" w:themeFillTint="000040" w:themeTint="000040" w:val="clear"/>
      </w:tcPr>
    </w:tblStylePr>
    <w:tblStylePr w:type="band1Vert">
      <w:pPr>
        <w:pBdr/>
        <w:spacing/>
        <w:ind/>
      </w:pPr>
      <w:tblPr>
        <w:tblBorders/>
      </w:tblPr>
      <w:tcPr>
        <w:tcBorders/>
        <w:shd w:color="ffffff" w:fill="e6eed5" w:themeColor="accent3" w:themeFill="accent3" w:themeFillTint="000040" w:themeTint="000040" w:val="clear"/>
      </w:tcPr>
    </w:tblStylePr>
    <w:tblStylePr w:type="band2Horz">
      <w:pPr>
        <w:pBdr/>
        <w:spacing/>
        <w:ind/>
      </w:pPr>
      <w:rPr>
        <w:rFonts w:ascii="Arial" w:hAnsi="Arial"/>
        <w:color w:val="404040"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7c993f" w:themeColor="accent3" w:themeShade="000095" w:themeTint="000098"/>
      </w:rPr>
      <w:tblPr>
        <w:tblBorders/>
      </w:tblPr>
      <w:tcPr>
        <w:tcBorders/>
      </w:tcPr>
    </w:tblStylePr>
    <w:tblStylePr w:type="firstRow">
      <w:pPr>
        <w:pBdr/>
        <w:spacing/>
        <w:ind/>
      </w:pPr>
      <w:rPr>
        <w:b w:val="1"/>
        <w:color w:val="7c993f" w:themeColor="accent3" w:themeShade="000095" w:themeTint="000098"/>
      </w:rPr>
      <w:tblPr>
        <w:tblBorders/>
      </w:tblPr>
      <w:tcPr>
        <w:tcBorders>
          <w:bottom w:color="000000" w:space="0" w:sz="4" w:themeColor="accent3" w:themeTint="000098" w:val="single"/>
        </w:tcBorders>
      </w:tcPr>
    </w:tblStylePr>
    <w:tblStylePr w:type="lastCol">
      <w:pPr>
        <w:pBdr/>
        <w:spacing/>
        <w:ind/>
      </w:pPr>
      <w:rPr>
        <w:b w:val="1"/>
        <w:color w:val="7c993f" w:themeColor="accent3" w:themeShade="000095" w:themeTint="000098"/>
      </w:rPr>
      <w:tblPr>
        <w:tblBorders/>
      </w:tblPr>
      <w:tcPr>
        <w:tcBorders/>
      </w:tcPr>
    </w:tblStylePr>
    <w:tblStylePr w:type="lastRow">
      <w:pPr>
        <w:pBdr/>
        <w:spacing/>
        <w:ind/>
      </w:pPr>
      <w:rPr>
        <w:b w:val="1"/>
        <w:color w:val="7c993f" w:themeColor="accent3" w:themeShade="000095" w:themeTint="000098"/>
      </w:rPr>
      <w:tblPr>
        <w:tblBorders/>
      </w:tblPr>
      <w:tcPr>
        <w:tcBorders>
          <w:top w:color="000000" w:space="0" w:sz="4"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10"/>
    <w:uiPriority w:val="99"/>
    <w:pPr>
      <w:pBdr/>
      <w:spacing w:after="0" w:line="240" w:lineRule="auto"/>
      <w:ind/>
    </w:pPr>
    <w:tblPr>
      <w:tblStyleRowBandSize w:val="1"/>
      <w:tblStyleColBandSize w:val="1"/>
      <w:tblInd w:w="0.0" w:type="dxa"/>
      <w:tblBorders>
        <w:top w:color="000000" w:space="0" w:sz="4" w:themeColor="accent4" w:themeTint="00009A" w:val="single"/>
        <w:bottom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dfd8e8" w:themeColor="accent4" w:themeFill="accent4" w:themeFillTint="000040" w:themeTint="000040" w:val="clear"/>
      </w:tcPr>
    </w:tblStylePr>
    <w:tblStylePr w:type="band1Vert">
      <w:pPr>
        <w:pBdr/>
        <w:spacing/>
        <w:ind/>
      </w:pPr>
      <w:tblPr>
        <w:tblBorders/>
      </w:tblPr>
      <w:tcPr>
        <w:tcBorders/>
        <w:shd w:color="ffffff" w:fill="dfd8e8" w:themeColor="accent4" w:themeFill="accent4" w:themeFillTint="000040" w:themeTint="000040"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664f84" w:themeColor="accent4" w:themeShade="000095" w:themeTint="00009A"/>
      </w:rPr>
      <w:tblPr>
        <w:tblBorders/>
      </w:tblPr>
      <w:tcPr>
        <w:tcBorders/>
      </w:tcPr>
    </w:tblStylePr>
    <w:tblStylePr w:type="firstRow">
      <w:pPr>
        <w:pBdr/>
        <w:spacing/>
        <w:ind/>
      </w:pPr>
      <w:rPr>
        <w:b w:val="1"/>
        <w:color w:val="664f84" w:themeColor="accent4" w:themeShade="000095" w:themeTint="00009A"/>
      </w:rPr>
      <w:tblPr>
        <w:tblBorders/>
      </w:tblPr>
      <w:tcPr>
        <w:tcBorders>
          <w:bottom w:color="000000" w:space="0" w:sz="4" w:themeColor="accent4" w:themeTint="00009A" w:val="single"/>
        </w:tcBorders>
      </w:tcPr>
    </w:tblStylePr>
    <w:tblStylePr w:type="lastCol">
      <w:pPr>
        <w:pBdr/>
        <w:spacing/>
        <w:ind/>
      </w:pPr>
      <w:rPr>
        <w:b w:val="1"/>
        <w:color w:val="664f84" w:themeColor="accent4" w:themeShade="000095" w:themeTint="00009A"/>
      </w:rPr>
      <w:tblPr>
        <w:tblBorders/>
      </w:tblPr>
      <w:tcPr>
        <w:tcBorders/>
      </w:tcPr>
    </w:tblStylePr>
    <w:tblStylePr w:type="lastRow">
      <w:pPr>
        <w:pBdr/>
        <w:spacing/>
        <w:ind/>
      </w:pPr>
      <w:rPr>
        <w:b w:val="1"/>
        <w:color w:val="664f84" w:themeColor="accent4" w:themeShade="000095" w:themeTint="00009A"/>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10"/>
    <w:uiPriority w:val="99"/>
    <w:pPr>
      <w:pBdr/>
      <w:spacing w:after="0" w:line="240" w:lineRule="auto"/>
      <w:ind/>
    </w:pPr>
    <w:tblPr>
      <w:tblStyleRowBandSize w:val="1"/>
      <w:tblStyleColBandSize w:val="1"/>
      <w:tblInd w:w="0.0" w:type="dxa"/>
      <w:tblBorders>
        <w:top w:color="000000" w:space="0" w:sz="4" w:themeColor="accent5" w:themeTint="00009A" w:val="single"/>
        <w:bottom w:color="000000" w:space="0" w:sz="4" w:themeColor="accent5" w:themeTint="00009A" w:val="single"/>
      </w:tblBorders>
    </w:tblPr>
    <w:tcPr>
      <w:tcBorders/>
    </w:tcPr>
    <w:tblStylePr w:type="band1Horz">
      <w:pPr>
        <w:pBdr/>
        <w:spacing/>
        <w:ind/>
      </w:pPr>
      <w:rPr>
        <w:rFonts w:ascii="Arial" w:hAnsi="Arial"/>
        <w:color w:val="404040" w:themeColor="accent5" w:themeShade="000095" w:themeTint="00009A"/>
        <w:sz w:val="22"/>
      </w:rPr>
      <w:tblPr>
        <w:tblBorders/>
      </w:tblPr>
      <w:tcPr>
        <w:tcBorders/>
        <w:shd w:color="ffffff" w:fill="d2eaf1" w:themeColor="accent5" w:themeFill="accent5" w:themeFillTint="000040" w:themeTint="000040" w:val="clear"/>
      </w:tcPr>
    </w:tblStylePr>
    <w:tblStylePr w:type="band1Vert">
      <w:pPr>
        <w:pBdr/>
        <w:spacing/>
        <w:ind/>
      </w:pPr>
      <w:tblPr>
        <w:tblBorders/>
      </w:tblPr>
      <w:tcPr>
        <w:tcBorders/>
        <w:shd w:color="ffffff" w:fill="d2eaf1" w:themeColor="accent5" w:themeFill="accent5" w:themeFillTint="000040" w:themeTint="000040" w:val="clear"/>
      </w:tcPr>
    </w:tblStylePr>
    <w:tblStylePr w:type="band2Horz">
      <w:pPr>
        <w:pBdr/>
        <w:spacing/>
        <w:ind/>
      </w:pPr>
      <w:rPr>
        <w:rFonts w:ascii="Arial" w:hAnsi="Arial"/>
        <w:color w:val="404040"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338ba3" w:themeColor="accent5" w:themeShade="000095" w:themeTint="00009A"/>
      </w:rPr>
      <w:tblPr>
        <w:tblBorders/>
      </w:tblPr>
      <w:tcPr>
        <w:tcBorders/>
      </w:tcPr>
    </w:tblStylePr>
    <w:tblStylePr w:type="firstRow">
      <w:pPr>
        <w:pBdr/>
        <w:spacing/>
        <w:ind/>
      </w:pPr>
      <w:rPr>
        <w:b w:val="1"/>
        <w:color w:val="338ba3" w:themeColor="accent5" w:themeShade="000095" w:themeTint="00009A"/>
      </w:rPr>
      <w:tblPr>
        <w:tblBorders/>
      </w:tblPr>
      <w:tcPr>
        <w:tcBorders>
          <w:bottom w:color="000000" w:space="0" w:sz="4" w:themeColor="accent5" w:themeTint="00009A" w:val="single"/>
        </w:tcBorders>
      </w:tcPr>
    </w:tblStylePr>
    <w:tblStylePr w:type="lastCol">
      <w:pPr>
        <w:pBdr/>
        <w:spacing/>
        <w:ind/>
      </w:pPr>
      <w:rPr>
        <w:b w:val="1"/>
        <w:color w:val="338ba3" w:themeColor="accent5" w:themeShade="000095" w:themeTint="00009A"/>
      </w:rPr>
      <w:tblPr>
        <w:tblBorders/>
      </w:tblPr>
      <w:tcPr>
        <w:tcBorders/>
      </w:tcPr>
    </w:tblStylePr>
    <w:tblStylePr w:type="lastRow">
      <w:pPr>
        <w:pBdr/>
        <w:spacing/>
        <w:ind/>
      </w:pPr>
      <w:rPr>
        <w:b w:val="1"/>
        <w:color w:val="338ba3" w:themeColor="accent5" w:themeShade="000095" w:themeTint="00009A"/>
      </w:rPr>
      <w:tblPr>
        <w:tblBorders/>
      </w:tblPr>
      <w:tcPr>
        <w:tcBorders>
          <w:top w:color="000000" w:space="0" w:sz="4"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10"/>
    <w:uiPriority w:val="99"/>
    <w:pPr>
      <w:pBdr/>
      <w:spacing w:after="0" w:line="240" w:lineRule="auto"/>
      <w:ind/>
    </w:pPr>
    <w:tblPr>
      <w:tblStyleRowBandSize w:val="1"/>
      <w:tblStyleColBandSize w:val="1"/>
      <w:tblInd w:w="0.0" w:type="dxa"/>
      <w:tblBorders>
        <w:top w:color="000000" w:space="0" w:sz="4" w:themeColor="accent6" w:themeTint="000098" w:val="single"/>
        <w:bottom w:color="000000" w:space="0" w:sz="4" w:themeColor="accent6" w:themeTint="000098" w:val="single"/>
      </w:tblBorders>
    </w:tblPr>
    <w:tcPr>
      <w:tcBorders/>
    </w:tcPr>
    <w:tblStylePr w:type="band1Horz">
      <w:pPr>
        <w:pBdr/>
        <w:spacing/>
        <w:ind/>
      </w:pPr>
      <w:rPr>
        <w:rFonts w:ascii="Arial" w:hAnsi="Arial"/>
        <w:color w:val="404040" w:themeColor="accent6" w:themeShade="000095" w:themeTint="000098"/>
        <w:sz w:val="22"/>
      </w:rPr>
      <w:tblPr>
        <w:tblBorders/>
      </w:tblPr>
      <w:tcPr>
        <w:tcBorders/>
        <w:shd w:color="ffffff" w:fill="fde5d1" w:themeColor="accent6" w:themeFill="accent6" w:themeFillTint="000040" w:themeTint="000040" w:val="clear"/>
      </w:tcPr>
    </w:tblStylePr>
    <w:tblStylePr w:type="band1Vert">
      <w:pPr>
        <w:pBdr/>
        <w:spacing/>
        <w:ind/>
      </w:pPr>
      <w:tblPr>
        <w:tblBorders/>
      </w:tblPr>
      <w:tcPr>
        <w:tcBorders/>
        <w:shd w:color="ffffff" w:fill="fde5d1" w:themeColor="accent6" w:themeFill="accent6" w:themeFillTint="000040" w:themeTint="000040" w:val="clear"/>
      </w:tcPr>
    </w:tblStylePr>
    <w:tblStylePr w:type="band2Horz">
      <w:pPr>
        <w:pBdr/>
        <w:spacing/>
        <w:ind/>
      </w:pPr>
      <w:rPr>
        <w:rFonts w:ascii="Arial" w:hAnsi="Arial"/>
        <w:color w:val="404040"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dd680a" w:themeColor="accent6" w:themeShade="000095" w:themeTint="000098"/>
      </w:rPr>
      <w:tblPr>
        <w:tblBorders/>
      </w:tblPr>
      <w:tcPr>
        <w:tcBorders/>
      </w:tcPr>
    </w:tblStylePr>
    <w:tblStylePr w:type="firstRow">
      <w:pPr>
        <w:pBdr/>
        <w:spacing/>
        <w:ind/>
      </w:pPr>
      <w:rPr>
        <w:b w:val="1"/>
        <w:color w:val="dd680a" w:themeColor="accent6" w:themeShade="000095" w:themeTint="000098"/>
      </w:rPr>
      <w:tblPr>
        <w:tblBorders/>
      </w:tblPr>
      <w:tcPr>
        <w:tcBorders>
          <w:bottom w:color="000000" w:space="0" w:sz="4" w:themeColor="accent6" w:themeTint="000098" w:val="single"/>
        </w:tcBorders>
      </w:tcPr>
    </w:tblStylePr>
    <w:tblStylePr w:type="lastCol">
      <w:pPr>
        <w:pBdr/>
        <w:spacing/>
        <w:ind/>
      </w:pPr>
      <w:rPr>
        <w:b w:val="1"/>
        <w:color w:val="dd680a" w:themeColor="accent6" w:themeShade="000095" w:themeTint="000098"/>
      </w:rPr>
      <w:tblPr>
        <w:tblBorders/>
      </w:tblPr>
      <w:tcPr>
        <w:tcBorders/>
      </w:tcPr>
    </w:tblStylePr>
    <w:tblStylePr w:type="lastRow">
      <w:pPr>
        <w:pBdr/>
        <w:spacing/>
        <w:ind/>
      </w:pPr>
      <w:rPr>
        <w:b w:val="1"/>
        <w:color w:val="dd680a" w:themeColor="accent6" w:themeShade="000095" w:themeTint="000098"/>
      </w:rPr>
      <w:tblPr>
        <w:tblBorders/>
      </w:tblPr>
      <w:tcPr>
        <w:tcBorders>
          <w:top w:color="000000" w:space="0" w:sz="4"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10"/>
    <w:uiPriority w:val="99"/>
    <w:pPr>
      <w:pBdr/>
      <w:spacing w:after="0" w:line="240" w:lineRule="auto"/>
      <w:ind/>
    </w:pPr>
    <w:tblPr>
      <w:tblStyleRowBandSize w:val="1"/>
      <w:tblStyleColBandSize w:val="1"/>
      <w:tblInd w:w="0.0" w:type="dxa"/>
      <w:tblBorders>
        <w:right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space="0" w:sz="0" w:val="none"/>
          <w:left w:space="0" w:sz="0" w:val="none"/>
          <w:bottom w:space="0" w:sz="0" w:val="none"/>
          <w:right w:color="000000" w:space="0" w:sz="4" w:themeColor="text1" w:themeTint="000080" w:val="single"/>
        </w:tcBorders>
        <w:shd w:color="ffffff"/>
      </w:tcPr>
    </w:tblStylePr>
    <w:tblStylePr w:type="firstRow">
      <w:pPr>
        <w:pBdr/>
        <w:spacing/>
        <w:ind/>
      </w:pPr>
      <w:rPr>
        <w:rFonts w:ascii="Arial" w:hAnsi="Arial"/>
        <w:i w:val="1"/>
        <w:color w:val="4a4a4a" w:themeColor="text1" w:themeShade="000095" w:themeTint="000080"/>
        <w:sz w:val="22"/>
      </w:rPr>
      <w:tblPr>
        <w:tblBorders/>
      </w:tbl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space="0" w:sz="0" w:val="none"/>
          <w:left w:color="000000" w:space="0" w:sz="4" w:themeColor="text1" w:themeTint="000080" w:val="single"/>
          <w:bottom w:space="0" w:sz="0" w:val="none"/>
          <w:right w:space="0" w:sz="0" w:val="none"/>
        </w:tcBorders>
        <w:shd w:color="ffffff"/>
      </w:tcPr>
    </w:tblStylePr>
    <w:tblStylePr w:type="lastRow">
      <w:pPr>
        <w:pBdr/>
        <w:spacing/>
        <w:ind/>
      </w:pPr>
      <w:rPr>
        <w:rFonts w:ascii="Arial" w:hAnsi="Arial"/>
        <w:i w:val="1"/>
        <w:color w:val="4a4a4a" w:themeColor="text1" w:themeShade="000095" w:themeTint="000080"/>
        <w:sz w:val="22"/>
      </w:rPr>
      <w:tblPr>
        <w:tblBorders/>
      </w:tbl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a4a4a" w:themeColor="text1" w:themeShade="000095" w:themeTint="000080"/>
        <w:sz w:val="22"/>
      </w:rPr>
      <w:tblPr>
        <w:tblBorders/>
      </w:tblPr>
      <w:tcPr>
        <w:tcBorders/>
      </w:tcPr>
    </w:tblStylePr>
  </w:style>
  <w:style w:type="table" w:styleId="110">
    <w:name w:val="List Table 7 Colorful - Accent 1"/>
    <w:basedOn w:val="10"/>
    <w:uiPriority w:val="99"/>
    <w:pPr>
      <w:pBdr/>
      <w:spacing w:after="0" w:line="240" w:lineRule="auto"/>
      <w:ind/>
    </w:pPr>
    <w:tblPr>
      <w:tblStyleRowBandSize w:val="1"/>
      <w:tblStyleColBandSize w:val="1"/>
      <w:tblInd w:w="0.0" w:type="dxa"/>
      <w:tblBorders>
        <w:right w:color="000000" w:space="0" w:sz="4" w:themeColor="accent1" w:val="single"/>
      </w:tblBorders>
    </w:tblPr>
    <w:tcPr>
      <w:tcBorders/>
    </w:tcPr>
    <w:tblStylePr w:type="band1Horz">
      <w:pPr>
        <w:pBdr/>
        <w:spacing/>
        <w:ind/>
      </w:pPr>
      <w:rPr>
        <w:rFonts w:ascii="Arial" w:hAnsi="Arial"/>
        <w:color w:val="2b4b72" w:themeColor="accent1" w:themeShade="000095"/>
        <w:sz w:val="22"/>
      </w:rPr>
      <w:tblPr>
        <w:tblBorders/>
      </w:tblPr>
      <w:tcPr>
        <w:tcBorders/>
        <w:shd w:color="ffffff" w:fill="d3dfee" w:themeColor="accent1" w:themeFill="accent1" w:themeFillTint="000040" w:themeTint="000040" w:val="clear"/>
      </w:tcPr>
    </w:tblStylePr>
    <w:tblStylePr w:type="band1Vert">
      <w:pPr>
        <w:pBdr/>
        <w:spacing/>
        <w:ind/>
      </w:pPr>
      <w:tblPr>
        <w:tblBorders/>
      </w:tblPr>
      <w:tcPr>
        <w:tcBorders/>
        <w:shd w:color="ffffff" w:fill="d3dfee" w:themeColor="accent1" w:themeFill="accent1" w:themeFillTint="000040" w:themeTint="000040" w:val="clear"/>
      </w:tcPr>
    </w:tblStylePr>
    <w:tblStylePr w:type="band2Horz">
      <w:pPr>
        <w:pBdr/>
        <w:spacing/>
        <w:ind/>
      </w:pPr>
      <w:rPr>
        <w:rFonts w:ascii="Arial" w:hAnsi="Arial"/>
        <w:color w:val="2b4b72"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b4b72" w:themeColor="accent1" w:themeShade="000095"/>
        <w:sz w:val="22"/>
      </w:rPr>
      <w:tblPr>
        <w:tblBorders/>
      </w:tblPr>
      <w:tcPr>
        <w:tcBorders>
          <w:top w:space="0" w:sz="0" w:val="none"/>
          <w:left w:space="0" w:sz="0" w:val="none"/>
          <w:bottom w:space="0" w:sz="0" w:val="none"/>
          <w:right w:color="000000" w:space="0" w:sz="4" w:themeColor="accent1" w:val="single"/>
        </w:tcBorders>
        <w:shd w:color="ffffff"/>
      </w:tcPr>
    </w:tblStylePr>
    <w:tblStylePr w:type="firstRow">
      <w:pPr>
        <w:pBdr/>
        <w:spacing/>
        <w:ind/>
      </w:pPr>
      <w:rPr>
        <w:rFonts w:ascii="Arial" w:hAnsi="Arial"/>
        <w:i w:val="1"/>
        <w:color w:val="2b4b72" w:themeColor="accent1" w:themeShade="000095"/>
        <w:sz w:val="22"/>
      </w:rPr>
      <w:tblPr>
        <w:tblBorders/>
      </w:tblPr>
      <w:tcPr>
        <w:tcBorders>
          <w:top w:space="0" w:sz="0" w:val="none"/>
          <w:left w:space="0" w:sz="0" w:val="none"/>
          <w:bottom w:color="000000" w:space="0" w:sz="4" w:themeColor="accent1" w:val="single"/>
          <w:right w:space="0" w:sz="0" w:val="none"/>
        </w:tcBorders>
        <w:shd w:color="ffffff" w:fill="ffffff" w:themeColor="light1" w:themeFill="light1" w:val="clear"/>
      </w:tcPr>
    </w:tblStylePr>
    <w:tblStylePr w:type="lastCol">
      <w:pPr>
        <w:pBdr/>
        <w:spacing/>
        <w:ind/>
      </w:pPr>
      <w:rPr>
        <w:rFonts w:ascii="Arial" w:hAnsi="Arial"/>
        <w:i w:val="1"/>
        <w:color w:val="2b4b72" w:themeColor="accent1" w:themeShade="000095"/>
        <w:sz w:val="22"/>
      </w:rPr>
      <w:tblPr>
        <w:tblBorders/>
      </w:tblPr>
      <w:tcPr>
        <w:tcBorders>
          <w:top w:space="0" w:sz="0" w:val="none"/>
          <w:left w:color="000000" w:space="0" w:sz="4" w:themeColor="accent1" w:val="single"/>
          <w:bottom w:space="0" w:sz="0" w:val="none"/>
          <w:right w:space="0" w:sz="0" w:val="none"/>
        </w:tcBorders>
        <w:shd w:color="ffffff"/>
      </w:tcPr>
    </w:tblStylePr>
    <w:tblStylePr w:type="lastRow">
      <w:pPr>
        <w:pBdr/>
        <w:spacing/>
        <w:ind/>
      </w:pPr>
      <w:rPr>
        <w:rFonts w:ascii="Arial" w:hAnsi="Arial"/>
        <w:i w:val="1"/>
        <w:color w:val="2b4b72" w:themeColor="accent1" w:themeShade="000095"/>
        <w:sz w:val="22"/>
      </w:rPr>
      <w:tblPr>
        <w:tblBorders/>
      </w:tblPr>
      <w:tcPr>
        <w:tcBorders>
          <w:top w:color="000000" w:space="0" w:sz="4" w:themeColor="accent1"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2b4b72" w:themeColor="accent1" w:themeShade="000095"/>
        <w:sz w:val="22"/>
      </w:rPr>
      <w:tblPr>
        <w:tblBorders/>
      </w:tblPr>
      <w:tcPr>
        <w:tcBorders/>
      </w:tcPr>
    </w:tblStylePr>
  </w:style>
  <w:style w:type="table" w:styleId="111">
    <w:name w:val="List Table 7 Colorful - Accent 2"/>
    <w:basedOn w:val="10"/>
    <w:uiPriority w:val="99"/>
    <w:pPr>
      <w:pBdr/>
      <w:spacing w:after="0" w:line="240" w:lineRule="auto"/>
      <w:ind/>
    </w:pPr>
    <w:tblPr>
      <w:tblStyleRowBandSize w:val="1"/>
      <w:tblStyleColBandSize w:val="1"/>
      <w:tblInd w:w="0.0" w:type="dxa"/>
      <w:tblBorders>
        <w:right w:color="000000" w:space="0" w:sz="4" w:themeColor="accent2" w:themeTint="000097" w:val="single"/>
      </w:tblBorders>
    </w:tblPr>
    <w:tcPr>
      <w:tcBorders/>
    </w:tcPr>
    <w:tblStylePr w:type="band1Horz">
      <w:pPr>
        <w:pBdr/>
        <w:spacing/>
        <w:ind/>
      </w:pPr>
      <w:rPr>
        <w:rFonts w:ascii="Arial" w:hAnsi="Arial"/>
        <w:color w:val="9f3a38" w:themeColor="accent2" w:themeShade="000095" w:themeTint="000097"/>
        <w:sz w:val="22"/>
      </w:rPr>
      <w:tblPr>
        <w:tblBorders/>
      </w:tblPr>
      <w:tcPr>
        <w:tcBorders/>
        <w:shd w:color="ffffff" w:fill="efd3d2" w:themeColor="accent2" w:themeFill="accent2" w:themeFillTint="000040" w:themeTint="000040" w:val="clear"/>
      </w:tcPr>
    </w:tblStylePr>
    <w:tblStylePr w:type="band1Vert">
      <w:pPr>
        <w:pBdr/>
        <w:spacing/>
        <w:ind/>
      </w:pPr>
      <w:tblPr>
        <w:tblBorders/>
      </w:tblPr>
      <w:tcPr>
        <w:tcBorders/>
        <w:shd w:color="ffffff" w:fill="efd3d2" w:themeColor="accent2" w:themeFill="accent2" w:themeFillTint="000040" w:themeTint="000040" w:val="clear"/>
      </w:tcPr>
    </w:tblStylePr>
    <w:tblStylePr w:type="band2Horz">
      <w:pPr>
        <w:pBdr/>
        <w:spacing/>
        <w:ind/>
      </w:pPr>
      <w:rPr>
        <w:rFonts w:ascii="Arial" w:hAnsi="Arial"/>
        <w:color w:val="9f3a38"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9f3a38" w:themeColor="accent2" w:themeShade="000095" w:themeTint="000097"/>
        <w:sz w:val="22"/>
      </w:rPr>
      <w:tblPr>
        <w:tblBorders/>
      </w:tblPr>
      <w:tcPr>
        <w:tcBorders>
          <w:top w:space="0" w:sz="0" w:val="none"/>
          <w:left w:space="0" w:sz="0" w:val="none"/>
          <w:bottom w:space="0" w:sz="0" w:val="none"/>
          <w:right w:color="000000" w:space="0" w:sz="4" w:themeColor="accent2" w:themeTint="000097" w:val="single"/>
        </w:tcBorders>
        <w:shd w:color="ffffff"/>
      </w:tcPr>
    </w:tblStylePr>
    <w:tblStylePr w:type="firstRow">
      <w:pPr>
        <w:pBdr/>
        <w:spacing/>
        <w:ind/>
      </w:pPr>
      <w:rPr>
        <w:rFonts w:ascii="Arial" w:hAnsi="Arial"/>
        <w:i w:val="1"/>
        <w:color w:val="9f3a38" w:themeColor="accent2" w:themeShade="000095" w:themeTint="000097"/>
        <w:sz w:val="22"/>
      </w:rPr>
      <w:tblPr>
        <w:tblBorders/>
      </w:tbl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pPr>
        <w:pBdr/>
        <w:spacing/>
        <w:ind/>
      </w:pPr>
      <w:rPr>
        <w:rFonts w:ascii="Arial" w:hAnsi="Arial"/>
        <w:i w:val="1"/>
        <w:color w:val="9f3a38" w:themeColor="accent2" w:themeShade="000095" w:themeTint="000097"/>
        <w:sz w:val="22"/>
      </w:rPr>
      <w:tblPr>
        <w:tblBorders/>
      </w:tblPr>
      <w:tcPr>
        <w:tcBorders>
          <w:top w:space="0" w:sz="0" w:val="none"/>
          <w:left w:color="000000" w:space="0" w:sz="4" w:themeColor="accent2" w:themeTint="000097" w:val="single"/>
          <w:bottom w:space="0" w:sz="0" w:val="none"/>
          <w:right w:space="0" w:sz="0" w:val="none"/>
        </w:tcBorders>
        <w:shd w:color="ffffff"/>
      </w:tcPr>
    </w:tblStylePr>
    <w:tblStylePr w:type="lastRow">
      <w:pPr>
        <w:pBdr/>
        <w:spacing/>
        <w:ind/>
      </w:pPr>
      <w:rPr>
        <w:rFonts w:ascii="Arial" w:hAnsi="Arial"/>
        <w:i w:val="1"/>
        <w:color w:val="9f3a38" w:themeColor="accent2" w:themeShade="000095" w:themeTint="000097"/>
        <w:sz w:val="22"/>
      </w:rPr>
      <w:tblPr>
        <w:tblBorders/>
      </w:tbl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9f3a38" w:themeColor="accent2" w:themeShade="000095" w:themeTint="000097"/>
        <w:sz w:val="22"/>
      </w:rPr>
      <w:tblPr>
        <w:tblBorders/>
      </w:tblPr>
      <w:tcPr>
        <w:tcBorders/>
      </w:tcPr>
    </w:tblStylePr>
  </w:style>
  <w:style w:type="table" w:styleId="112">
    <w:name w:val="List Table 7 Colorful - Accent 3"/>
    <w:basedOn w:val="10"/>
    <w:uiPriority w:val="99"/>
    <w:pPr>
      <w:pBdr/>
      <w:spacing w:after="0" w:line="240" w:lineRule="auto"/>
      <w:ind/>
    </w:pPr>
    <w:tblPr>
      <w:tblStyleRowBandSize w:val="1"/>
      <w:tblStyleColBandSize w:val="1"/>
      <w:tblInd w:w="0.0" w:type="dxa"/>
      <w:tblBorders>
        <w:right w:color="000000" w:space="0" w:sz="4" w:themeColor="accent3" w:themeTint="000098" w:val="single"/>
      </w:tblBorders>
    </w:tblPr>
    <w:tcPr>
      <w:tcBorders/>
    </w:tcPr>
    <w:tblStylePr w:type="band1Horz">
      <w:pPr>
        <w:pBdr/>
        <w:spacing/>
        <w:ind/>
      </w:pPr>
      <w:rPr>
        <w:rFonts w:ascii="Arial" w:hAnsi="Arial"/>
        <w:color w:val="7c993f" w:themeColor="accent3" w:themeShade="000095" w:themeTint="000098"/>
        <w:sz w:val="22"/>
      </w:rPr>
      <w:tblPr>
        <w:tblBorders/>
      </w:tblPr>
      <w:tcPr>
        <w:tcBorders/>
        <w:shd w:color="ffffff" w:fill="e6eed5" w:themeColor="accent3" w:themeFill="accent3" w:themeFillTint="000040" w:themeTint="000040" w:val="clear"/>
      </w:tcPr>
    </w:tblStylePr>
    <w:tblStylePr w:type="band1Vert">
      <w:pPr>
        <w:pBdr/>
        <w:spacing/>
        <w:ind/>
      </w:pPr>
      <w:tblPr>
        <w:tblBorders/>
      </w:tblPr>
      <w:tcPr>
        <w:tcBorders/>
        <w:shd w:color="ffffff" w:fill="e6eed5" w:themeColor="accent3" w:themeFill="accent3" w:themeFillTint="000040" w:themeTint="000040" w:val="clear"/>
      </w:tcPr>
    </w:tblStylePr>
    <w:tblStylePr w:type="band2Horz">
      <w:pPr>
        <w:pBdr/>
        <w:spacing/>
        <w:ind/>
      </w:pPr>
      <w:rPr>
        <w:rFonts w:ascii="Arial" w:hAnsi="Arial"/>
        <w:color w:val="7c993f"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7c993f" w:themeColor="accent3" w:themeShade="000095" w:themeTint="000098"/>
        <w:sz w:val="22"/>
      </w:rPr>
      <w:tblPr>
        <w:tblBorders/>
      </w:tblPr>
      <w:tcPr>
        <w:tcBorders>
          <w:top w:space="0" w:sz="0" w:val="none"/>
          <w:left w:space="0" w:sz="0" w:val="none"/>
          <w:bottom w:space="0" w:sz="0" w:val="none"/>
          <w:right w:color="000000" w:space="0" w:sz="4" w:themeColor="accent3" w:themeTint="000098" w:val="single"/>
        </w:tcBorders>
        <w:shd w:color="ffffff"/>
      </w:tcPr>
    </w:tblStylePr>
    <w:tblStylePr w:type="firstRow">
      <w:pPr>
        <w:pBdr/>
        <w:spacing/>
        <w:ind/>
      </w:pPr>
      <w:rPr>
        <w:rFonts w:ascii="Arial" w:hAnsi="Arial"/>
        <w:i w:val="1"/>
        <w:color w:val="7c993f" w:themeColor="accent3" w:themeShade="000095" w:themeTint="000098"/>
        <w:sz w:val="22"/>
      </w:rPr>
      <w:tblPr>
        <w:tblBorders/>
      </w:tblPr>
      <w:tcPr>
        <w:tcBorders>
          <w:top w:space="0" w:sz="0" w:val="none"/>
          <w:left w:space="0" w:sz="0" w:val="none"/>
          <w:bottom w:color="000000" w:space="0" w:sz="4" w:themeColor="accent3" w:themeTint="000098" w:val="single"/>
          <w:right w:space="0" w:sz="0" w:val="none"/>
        </w:tcBorders>
        <w:shd w:color="ffffff" w:fill="ffffff" w:themeColor="light1" w:themeFill="light1" w:val="clear"/>
      </w:tcPr>
    </w:tblStylePr>
    <w:tblStylePr w:type="lastCol">
      <w:pPr>
        <w:pBdr/>
        <w:spacing/>
        <w:ind/>
      </w:pPr>
      <w:rPr>
        <w:rFonts w:ascii="Arial" w:hAnsi="Arial"/>
        <w:i w:val="1"/>
        <w:color w:val="7c993f" w:themeColor="accent3" w:themeShade="000095" w:themeTint="000098"/>
        <w:sz w:val="22"/>
      </w:rPr>
      <w:tblPr>
        <w:tblBorders/>
      </w:tblPr>
      <w:tcPr>
        <w:tcBorders>
          <w:top w:space="0" w:sz="0" w:val="none"/>
          <w:left w:color="000000" w:space="0" w:sz="4" w:themeColor="accent3" w:themeTint="000098" w:val="single"/>
          <w:bottom w:space="0" w:sz="0" w:val="none"/>
          <w:right w:space="0" w:sz="0" w:val="none"/>
        </w:tcBorders>
        <w:shd w:color="ffffff"/>
      </w:tcPr>
    </w:tblStylePr>
    <w:tblStylePr w:type="lastRow">
      <w:pPr>
        <w:pBdr/>
        <w:spacing/>
        <w:ind/>
      </w:pPr>
      <w:rPr>
        <w:rFonts w:ascii="Arial" w:hAnsi="Arial"/>
        <w:i w:val="1"/>
        <w:color w:val="7c993f" w:themeColor="accent3" w:themeShade="000095" w:themeTint="000098"/>
        <w:sz w:val="22"/>
      </w:rPr>
      <w:tblPr>
        <w:tblBorders/>
      </w:tblPr>
      <w:tcPr>
        <w:tcBorders>
          <w:top w:color="000000" w:space="0" w:sz="4" w:themeColor="accent3" w:themeTint="000098"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7c993f" w:themeColor="accent3" w:themeShade="000095" w:themeTint="000098"/>
        <w:sz w:val="22"/>
      </w:rPr>
      <w:tblPr>
        <w:tblBorders/>
      </w:tblPr>
      <w:tcPr>
        <w:tcBorders/>
      </w:tcPr>
    </w:tblStylePr>
  </w:style>
  <w:style w:type="table" w:styleId="113">
    <w:name w:val="List Table 7 Colorful - Accent 4"/>
    <w:basedOn w:val="10"/>
    <w:uiPriority w:val="99"/>
    <w:pPr>
      <w:pBdr/>
      <w:spacing w:after="0" w:line="240" w:lineRule="auto"/>
      <w:ind/>
    </w:pPr>
    <w:tblPr>
      <w:tblStyleRowBandSize w:val="1"/>
      <w:tblStyleColBandSize w:val="1"/>
      <w:tblInd w:w="0.0" w:type="dxa"/>
      <w:tblBorders>
        <w:right w:color="000000" w:space="0" w:sz="4" w:themeColor="accent4" w:themeTint="00009A" w:val="single"/>
      </w:tblBorders>
    </w:tblPr>
    <w:tcPr>
      <w:tcBorders/>
    </w:tcPr>
    <w:tblStylePr w:type="band1Horz">
      <w:pPr>
        <w:pBdr/>
        <w:spacing/>
        <w:ind/>
      </w:pPr>
      <w:rPr>
        <w:rFonts w:ascii="Arial" w:hAnsi="Arial"/>
        <w:color w:val="664f84" w:themeColor="accent4" w:themeShade="000095" w:themeTint="00009A"/>
        <w:sz w:val="22"/>
      </w:rPr>
      <w:tblPr>
        <w:tblBorders/>
      </w:tblPr>
      <w:tcPr>
        <w:tcBorders/>
        <w:shd w:color="ffffff" w:fill="dfd8e8" w:themeColor="accent4" w:themeFill="accent4" w:themeFillTint="000040" w:themeTint="000040" w:val="clear"/>
      </w:tcPr>
    </w:tblStylePr>
    <w:tblStylePr w:type="band1Vert">
      <w:pPr>
        <w:pBdr/>
        <w:spacing/>
        <w:ind/>
      </w:pPr>
      <w:tblPr>
        <w:tblBorders/>
      </w:tblPr>
      <w:tcPr>
        <w:tcBorders/>
        <w:shd w:color="ffffff" w:fill="dfd8e8" w:themeColor="accent4" w:themeFill="accent4" w:themeFillTint="000040" w:themeTint="000040" w:val="clear"/>
      </w:tcPr>
    </w:tblStylePr>
    <w:tblStylePr w:type="band2Horz">
      <w:pPr>
        <w:pBdr/>
        <w:spacing/>
        <w:ind/>
      </w:pPr>
      <w:rPr>
        <w:rFonts w:ascii="Arial" w:hAnsi="Arial"/>
        <w:color w:val="664f84"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664f84" w:themeColor="accent4" w:themeShade="000095" w:themeTint="00009A"/>
        <w:sz w:val="22"/>
      </w:rPr>
      <w:tblPr>
        <w:tblBorders/>
      </w:tblPr>
      <w:tcPr>
        <w:tcBorders>
          <w:top w:space="0" w:sz="0" w:val="none"/>
          <w:left w:space="0" w:sz="0" w:val="none"/>
          <w:bottom w:space="0" w:sz="0" w:val="none"/>
          <w:right w:color="000000" w:space="0" w:sz="4" w:themeColor="accent4" w:themeTint="00009A" w:val="single"/>
        </w:tcBorders>
        <w:shd w:color="ffffff"/>
      </w:tcPr>
    </w:tblStylePr>
    <w:tblStylePr w:type="firstRow">
      <w:pPr>
        <w:pBdr/>
        <w:spacing/>
        <w:ind/>
      </w:pPr>
      <w:rPr>
        <w:rFonts w:ascii="Arial" w:hAnsi="Arial"/>
        <w:i w:val="1"/>
        <w:color w:val="664f84" w:themeColor="accent4" w:themeShade="000095" w:themeTint="00009A"/>
        <w:sz w:val="22"/>
      </w:rPr>
      <w:tblPr>
        <w:tblBorders/>
      </w:tbl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pPr>
        <w:pBdr/>
        <w:spacing/>
        <w:ind/>
      </w:pPr>
      <w:rPr>
        <w:rFonts w:ascii="Arial" w:hAnsi="Arial"/>
        <w:i w:val="1"/>
        <w:color w:val="664f84" w:themeColor="accent4" w:themeShade="000095" w:themeTint="00009A"/>
        <w:sz w:val="22"/>
      </w:rPr>
      <w:tblPr>
        <w:tblBorders/>
      </w:tblPr>
      <w:tcPr>
        <w:tcBorders>
          <w:top w:space="0" w:sz="0" w:val="none"/>
          <w:left w:color="000000" w:space="0" w:sz="4" w:themeColor="accent4" w:themeTint="00009A" w:val="single"/>
          <w:bottom w:space="0" w:sz="0" w:val="none"/>
          <w:right w:space="0" w:sz="0" w:val="none"/>
        </w:tcBorders>
        <w:shd w:color="ffffff"/>
      </w:tcPr>
    </w:tblStylePr>
    <w:tblStylePr w:type="lastRow">
      <w:pPr>
        <w:pBdr/>
        <w:spacing/>
        <w:ind/>
      </w:pPr>
      <w:rPr>
        <w:rFonts w:ascii="Arial" w:hAnsi="Arial"/>
        <w:i w:val="1"/>
        <w:color w:val="664f84" w:themeColor="accent4" w:themeShade="000095" w:themeTint="00009A"/>
        <w:sz w:val="22"/>
      </w:rPr>
      <w:tblPr>
        <w:tblBorders/>
      </w:tbl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664f84" w:themeColor="accent4" w:themeShade="000095" w:themeTint="00009A"/>
        <w:sz w:val="22"/>
      </w:rPr>
      <w:tblPr>
        <w:tblBorders/>
      </w:tblPr>
      <w:tcPr>
        <w:tcBorders/>
      </w:tcPr>
    </w:tblStylePr>
  </w:style>
  <w:style w:type="table" w:styleId="114">
    <w:name w:val="List Table 7 Colorful - Accent 5"/>
    <w:basedOn w:val="10"/>
    <w:uiPriority w:val="99"/>
    <w:pPr>
      <w:pBdr/>
      <w:spacing w:after="0" w:line="240" w:lineRule="auto"/>
      <w:ind/>
    </w:pPr>
    <w:tblPr>
      <w:tblStyleRowBandSize w:val="1"/>
      <w:tblStyleColBandSize w:val="1"/>
      <w:tblInd w:w="0.0" w:type="dxa"/>
      <w:tblBorders>
        <w:right w:color="000000" w:space="0" w:sz="4" w:themeColor="accent5" w:themeTint="00009A" w:val="single"/>
      </w:tblBorders>
    </w:tblPr>
    <w:tcPr>
      <w:tcBorders/>
    </w:tcPr>
    <w:tblStylePr w:type="band1Horz">
      <w:pPr>
        <w:pBdr/>
        <w:spacing/>
        <w:ind/>
      </w:pPr>
      <w:rPr>
        <w:rFonts w:ascii="Arial" w:hAnsi="Arial"/>
        <w:color w:val="338ba3" w:themeColor="accent5" w:themeShade="000095" w:themeTint="00009A"/>
        <w:sz w:val="22"/>
      </w:rPr>
      <w:tblPr>
        <w:tblBorders/>
      </w:tblPr>
      <w:tcPr>
        <w:tcBorders/>
        <w:shd w:color="ffffff" w:fill="d2eaf1" w:themeColor="accent5" w:themeFill="accent5" w:themeFillTint="000040" w:themeTint="000040" w:val="clear"/>
      </w:tcPr>
    </w:tblStylePr>
    <w:tblStylePr w:type="band1Vert">
      <w:pPr>
        <w:pBdr/>
        <w:spacing/>
        <w:ind/>
      </w:pPr>
      <w:tblPr>
        <w:tblBorders/>
      </w:tblPr>
      <w:tcPr>
        <w:tcBorders/>
        <w:shd w:color="ffffff" w:fill="d2eaf1" w:themeColor="accent5" w:themeFill="accent5" w:themeFillTint="000040" w:themeTint="000040" w:val="clear"/>
      </w:tcPr>
    </w:tblStylePr>
    <w:tblStylePr w:type="band2Horz">
      <w:pPr>
        <w:pBdr/>
        <w:spacing/>
        <w:ind/>
      </w:pPr>
      <w:rPr>
        <w:rFonts w:ascii="Arial" w:hAnsi="Arial"/>
        <w:color w:val="338ba3"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338ba3" w:themeColor="accent5" w:themeShade="000095" w:themeTint="00009A"/>
        <w:sz w:val="22"/>
      </w:rPr>
      <w:tblPr>
        <w:tblBorders/>
      </w:tblPr>
      <w:tcPr>
        <w:tcBorders>
          <w:top w:space="0" w:sz="0" w:val="none"/>
          <w:left w:space="0" w:sz="0" w:val="none"/>
          <w:bottom w:space="0" w:sz="0" w:val="none"/>
          <w:right w:color="000000" w:space="0" w:sz="4" w:themeColor="accent5" w:themeTint="00009A" w:val="single"/>
        </w:tcBorders>
        <w:shd w:color="ffffff"/>
      </w:tcPr>
    </w:tblStylePr>
    <w:tblStylePr w:type="firstRow">
      <w:pPr>
        <w:pBdr/>
        <w:spacing/>
        <w:ind/>
      </w:pPr>
      <w:rPr>
        <w:rFonts w:ascii="Arial" w:hAnsi="Arial"/>
        <w:i w:val="1"/>
        <w:color w:val="338ba3" w:themeColor="accent5" w:themeShade="000095" w:themeTint="00009A"/>
        <w:sz w:val="22"/>
      </w:rPr>
      <w:tblPr>
        <w:tblBorders/>
      </w:tblPr>
      <w:tcPr>
        <w:tcBorders>
          <w:top w:space="0" w:sz="0" w:val="none"/>
          <w:left w:space="0" w:sz="0" w:val="none"/>
          <w:bottom w:color="000000" w:space="0" w:sz="4" w:themeColor="accent5" w:themeTint="00009A" w:val="single"/>
          <w:right w:space="0" w:sz="0" w:val="none"/>
        </w:tcBorders>
        <w:shd w:color="ffffff" w:fill="ffffff" w:themeColor="light1" w:themeFill="light1" w:val="clear"/>
      </w:tcPr>
    </w:tblStylePr>
    <w:tblStylePr w:type="lastCol">
      <w:pPr>
        <w:pBdr/>
        <w:spacing/>
        <w:ind/>
      </w:pPr>
      <w:rPr>
        <w:rFonts w:ascii="Arial" w:hAnsi="Arial"/>
        <w:i w:val="1"/>
        <w:color w:val="338ba3" w:themeColor="accent5" w:themeShade="000095" w:themeTint="00009A"/>
        <w:sz w:val="22"/>
      </w:rPr>
      <w:tblPr>
        <w:tblBorders/>
      </w:tblPr>
      <w:tcPr>
        <w:tcBorders>
          <w:top w:space="0" w:sz="0" w:val="none"/>
          <w:left w:color="000000" w:space="0" w:sz="4" w:themeColor="accent5" w:themeTint="00009A" w:val="single"/>
          <w:bottom w:space="0" w:sz="0" w:val="none"/>
          <w:right w:space="0" w:sz="0" w:val="none"/>
        </w:tcBorders>
        <w:shd w:color="ffffff"/>
      </w:tcPr>
    </w:tblStylePr>
    <w:tblStylePr w:type="lastRow">
      <w:pPr>
        <w:pBdr/>
        <w:spacing/>
        <w:ind/>
      </w:pPr>
      <w:rPr>
        <w:rFonts w:ascii="Arial" w:hAnsi="Arial"/>
        <w:i w:val="1"/>
        <w:color w:val="338ba3" w:themeColor="accent5" w:themeShade="000095" w:themeTint="00009A"/>
        <w:sz w:val="22"/>
      </w:rPr>
      <w:tblPr>
        <w:tblBorders/>
      </w:tblPr>
      <w:tcPr>
        <w:tcBorders>
          <w:top w:color="000000" w:space="0" w:sz="4" w:themeColor="accent5"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338ba3" w:themeColor="accent5" w:themeShade="000095" w:themeTint="00009A"/>
        <w:sz w:val="22"/>
      </w:rPr>
      <w:tblPr>
        <w:tblBorders/>
      </w:tblPr>
      <w:tcPr>
        <w:tcBorders/>
      </w:tcPr>
    </w:tblStylePr>
  </w:style>
  <w:style w:type="table" w:styleId="115">
    <w:name w:val="List Table 7 Colorful - Accent 6"/>
    <w:basedOn w:val="10"/>
    <w:uiPriority w:val="99"/>
    <w:pPr>
      <w:pBdr/>
      <w:spacing w:after="0" w:line="240" w:lineRule="auto"/>
      <w:ind/>
    </w:pPr>
    <w:tblPr>
      <w:tblStyleRowBandSize w:val="1"/>
      <w:tblStyleColBandSize w:val="1"/>
      <w:tblInd w:w="0.0" w:type="dxa"/>
      <w:tblBorders>
        <w:right w:color="000000" w:space="0" w:sz="4" w:themeColor="accent6" w:themeTint="000098" w:val="single"/>
      </w:tblBorders>
    </w:tblPr>
    <w:tcPr>
      <w:tcBorders/>
    </w:tcPr>
    <w:tblStylePr w:type="band1Horz">
      <w:pPr>
        <w:pBdr/>
        <w:spacing/>
        <w:ind/>
      </w:pPr>
      <w:rPr>
        <w:rFonts w:ascii="Arial" w:hAnsi="Arial"/>
        <w:color w:val="dd680a" w:themeColor="accent6" w:themeShade="000095" w:themeTint="000098"/>
        <w:sz w:val="22"/>
      </w:rPr>
      <w:tblPr>
        <w:tblBorders/>
      </w:tblPr>
      <w:tcPr>
        <w:tcBorders/>
        <w:shd w:color="ffffff" w:fill="fde5d1" w:themeColor="accent6" w:themeFill="accent6" w:themeFillTint="000040" w:themeTint="000040" w:val="clear"/>
      </w:tcPr>
    </w:tblStylePr>
    <w:tblStylePr w:type="band1Vert">
      <w:pPr>
        <w:pBdr/>
        <w:spacing/>
        <w:ind/>
      </w:pPr>
      <w:tblPr>
        <w:tblBorders/>
      </w:tblPr>
      <w:tcPr>
        <w:tcBorders/>
        <w:shd w:color="ffffff" w:fill="fde5d1" w:themeColor="accent6" w:themeFill="accent6" w:themeFillTint="000040" w:themeTint="000040" w:val="clear"/>
      </w:tcPr>
    </w:tblStylePr>
    <w:tblStylePr w:type="band2Horz">
      <w:pPr>
        <w:pBdr/>
        <w:spacing/>
        <w:ind/>
      </w:pPr>
      <w:rPr>
        <w:rFonts w:ascii="Arial" w:hAnsi="Arial"/>
        <w:color w:val="dd680a"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dd680a" w:themeColor="accent6" w:themeShade="000095" w:themeTint="000098"/>
        <w:sz w:val="22"/>
      </w:rPr>
      <w:tblPr>
        <w:tblBorders/>
      </w:tblPr>
      <w:tcPr>
        <w:tcBorders>
          <w:top w:space="0" w:sz="0" w:val="none"/>
          <w:left w:space="0" w:sz="0" w:val="none"/>
          <w:bottom w:space="0" w:sz="0" w:val="none"/>
          <w:right w:color="000000" w:space="0" w:sz="4" w:themeColor="accent6" w:themeTint="000098" w:val="single"/>
        </w:tcBorders>
        <w:shd w:color="ffffff"/>
      </w:tcPr>
    </w:tblStylePr>
    <w:tblStylePr w:type="firstRow">
      <w:pPr>
        <w:pBdr/>
        <w:spacing/>
        <w:ind/>
      </w:pPr>
      <w:rPr>
        <w:rFonts w:ascii="Arial" w:hAnsi="Arial"/>
        <w:i w:val="1"/>
        <w:color w:val="dd680a" w:themeColor="accent6" w:themeShade="000095" w:themeTint="000098"/>
        <w:sz w:val="22"/>
      </w:rPr>
      <w:tblPr>
        <w:tblBorders/>
      </w:tblPr>
      <w:tcPr>
        <w:tcBorders>
          <w:top w:space="0" w:sz="0" w:val="none"/>
          <w:left w:space="0" w:sz="0" w:val="none"/>
          <w:bottom w:color="000000" w:space="0" w:sz="4" w:themeColor="accent6" w:themeTint="000098" w:val="single"/>
          <w:right w:space="0" w:sz="0" w:val="none"/>
        </w:tcBorders>
        <w:shd w:color="ffffff" w:fill="ffffff" w:themeColor="light1" w:themeFill="light1" w:val="clear"/>
      </w:tcPr>
    </w:tblStylePr>
    <w:tblStylePr w:type="lastCol">
      <w:pPr>
        <w:pBdr/>
        <w:spacing/>
        <w:ind/>
      </w:pPr>
      <w:rPr>
        <w:rFonts w:ascii="Arial" w:hAnsi="Arial"/>
        <w:i w:val="1"/>
        <w:color w:val="dd680a" w:themeColor="accent6" w:themeShade="000095" w:themeTint="000098"/>
        <w:sz w:val="22"/>
      </w:rPr>
      <w:tblPr>
        <w:tblBorders/>
      </w:tblPr>
      <w:tcPr>
        <w:tcBorders>
          <w:top w:space="0" w:sz="0" w:val="none"/>
          <w:left w:color="000000" w:space="0" w:sz="4" w:themeColor="accent6" w:themeTint="000098" w:val="single"/>
          <w:bottom w:space="0" w:sz="0" w:val="none"/>
          <w:right w:space="0" w:sz="0" w:val="none"/>
        </w:tcBorders>
        <w:shd w:color="ffffff"/>
      </w:tcPr>
    </w:tblStylePr>
    <w:tblStylePr w:type="lastRow">
      <w:pPr>
        <w:pBdr/>
        <w:spacing/>
        <w:ind/>
      </w:pPr>
      <w:rPr>
        <w:rFonts w:ascii="Arial" w:hAnsi="Arial"/>
        <w:i w:val="1"/>
        <w:color w:val="dd680a" w:themeColor="accent6" w:themeShade="000095" w:themeTint="000098"/>
        <w:sz w:val="22"/>
      </w:rPr>
      <w:tblPr>
        <w:tblBorders/>
      </w:tblPr>
      <w:tcPr>
        <w:tcBorders>
          <w:top w:color="000000" w:space="0" w:sz="4" w:themeColor="accent6" w:themeTint="000098"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dd680a" w:themeColor="accent6" w:themeShade="000095" w:themeTint="000098"/>
        <w:sz w:val="22"/>
      </w:rPr>
      <w:tblPr>
        <w:tblBorders/>
      </w:tblPr>
      <w:tcPr>
        <w:tcBorders/>
      </w:tcPr>
    </w:tblStylePr>
  </w:style>
  <w:style w:type="table" w:styleId="116">
    <w:name w:val="Lined - Accent"/>
    <w:basedOn w:val="10"/>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10"/>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8d7ea"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8d7ea"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10"/>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10"/>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10"/>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10"/>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4bacc6" w:themeColor="accent5" w:themeFill="accent5" w:val="clear"/>
      </w:tcPr>
    </w:tblStylePr>
    <w:tblStylePr w:type="firstRow">
      <w:pPr>
        <w:pBdr/>
        <w:spacing/>
        <w:ind/>
      </w:pPr>
      <w:rPr>
        <w:rFonts w:ascii="Arial" w:hAnsi="Arial"/>
        <w:color w:val="f2f2f2"/>
        <w:sz w:val="22"/>
      </w:rPr>
      <w:tblPr>
        <w:tblBorders/>
      </w:tblPr>
      <w:tcPr>
        <w:tcBorders/>
        <w:shd w:color="ffffff" w:fill="4bacc6" w:themeColor="accent5" w:themeFill="accent5" w:val="clear"/>
      </w:tcPr>
    </w:tblStylePr>
    <w:tblStylePr w:type="lastCol">
      <w:pPr>
        <w:pBdr/>
        <w:spacing/>
        <w:ind/>
      </w:pPr>
      <w:rPr>
        <w:rFonts w:ascii="Arial" w:hAnsi="Arial"/>
        <w:color w:val="f2f2f2"/>
        <w:sz w:val="22"/>
      </w:rPr>
      <w:tblPr>
        <w:tblBorders/>
      </w:tblPr>
      <w:tcPr>
        <w:tcBorders/>
        <w:shd w:color="ffffff" w:fill="4bacc6" w:themeColor="accent5" w:themeFill="accent5" w:val="clear"/>
      </w:tcPr>
    </w:tblStylePr>
    <w:tblStylePr w:type="lastRow">
      <w:pPr>
        <w:pBdr/>
        <w:spacing/>
        <w:ind/>
      </w:pPr>
      <w:rPr>
        <w:rFonts w:ascii="Arial" w:hAnsi="Arial"/>
        <w:color w:val="f2f2f2"/>
        <w:sz w:val="22"/>
      </w:rPr>
      <w:tblPr>
        <w:tblBorders/>
      </w:tblPr>
      <w:tcPr>
        <w:tcBorders/>
        <w:shd w:color="ffffff" w:fill="4bacc6"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10"/>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f79646" w:themeColor="accent6" w:themeFill="accent6" w:val="clear"/>
      </w:tcPr>
    </w:tblStylePr>
    <w:tblStylePr w:type="firstRow">
      <w:pPr>
        <w:pBdr/>
        <w:spacing/>
        <w:ind/>
      </w:pPr>
      <w:rPr>
        <w:rFonts w:ascii="Arial" w:hAnsi="Arial"/>
        <w:color w:val="f2f2f2"/>
        <w:sz w:val="22"/>
      </w:rPr>
      <w:tblPr>
        <w:tblBorders/>
      </w:tblPr>
      <w:tcPr>
        <w:tcBorders/>
        <w:shd w:color="ffffff" w:fill="f79646" w:themeColor="accent6" w:themeFill="accent6" w:val="clear"/>
      </w:tcPr>
    </w:tblStylePr>
    <w:tblStylePr w:type="lastCol">
      <w:pPr>
        <w:pBdr/>
        <w:spacing/>
        <w:ind/>
      </w:pPr>
      <w:rPr>
        <w:rFonts w:ascii="Arial" w:hAnsi="Arial"/>
        <w:color w:val="f2f2f2"/>
        <w:sz w:val="22"/>
      </w:rPr>
      <w:tblPr>
        <w:tblBorders/>
      </w:tblPr>
      <w:tcPr>
        <w:tcBorders/>
        <w:shd w:color="ffffff" w:fill="f79646" w:themeColor="accent6" w:themeFill="accent6" w:val="clear"/>
      </w:tcPr>
    </w:tblStylePr>
    <w:tblStylePr w:type="lastRow">
      <w:pPr>
        <w:pBdr/>
        <w:spacing/>
        <w:ind/>
      </w:pPr>
      <w:rPr>
        <w:rFonts w:ascii="Arial" w:hAnsi="Arial"/>
        <w:color w:val="f2f2f2"/>
        <w:sz w:val="22"/>
      </w:rPr>
      <w:tblPr>
        <w:tblBorders/>
      </w:tblPr>
      <w:tcPr>
        <w:tcBorders/>
        <w:shd w:color="ffffff" w:fill="f79646"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10"/>
    <w:uiPriority w:val="99"/>
    <w:pPr>
      <w:pBdr/>
      <w:spacing w:after="0" w:line="240" w:lineRule="auto"/>
      <w:ind/>
    </w:pPr>
    <w:rPr>
      <w:color w:val="404040"/>
    </w:rPr>
    <w:tblPr>
      <w:tblStyleRowBandSize w:val="1"/>
      <w:tblStyleColBandSize w:val="1"/>
      <w:tblInd w:w="0.0" w:type="dxa"/>
      <w:tblBorders>
        <w:top w:color="000000" w:space="0" w:sz="4" w:themeColor="text1" w:themeTint="0000A6" w:val="single"/>
        <w:left w:color="000000" w:space="0" w:sz="4" w:themeColor="text1" w:themeTint="0000A6" w:val="single"/>
        <w:bottom w:color="000000" w:space="0" w:sz="4" w:themeColor="text1" w:themeTint="0000A6" w:val="single"/>
        <w:right w:color="000000" w:space="0" w:sz="4" w:themeColor="text1" w:themeTint="0000A6" w:val="single"/>
        <w:insideH w:color="000000" w:space="0" w:sz="4" w:themeColor="text1" w:themeTint="0000A6" w:val="single"/>
        <w:insideV w:color="000000" w:space="0" w:sz="4" w:themeColor="text1" w:themeTint="0000A6"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10"/>
    <w:uiPriority w:val="99"/>
    <w:pPr>
      <w:pBdr/>
      <w:spacing w:after="0" w:line="240" w:lineRule="auto"/>
      <w:ind/>
    </w:pPr>
    <w:rPr>
      <w:color w:val="404040"/>
    </w:rPr>
    <w:tblPr>
      <w:tblStyleRowBandSize w:val="1"/>
      <w:tblStyleColBandSize w:val="1"/>
      <w:tblInd w:w="0.0" w:type="dxa"/>
      <w:tblBorders>
        <w:top w:color="000000" w:space="0" w:sz="4" w:themeColor="accent1" w:themeShade="000095" w:val="single"/>
        <w:left w:color="000000" w:space="0" w:sz="4" w:themeColor="accent1" w:themeShade="000095" w:val="single"/>
        <w:bottom w:color="000000" w:space="0" w:sz="4" w:themeColor="accent1" w:themeShade="000095" w:val="single"/>
        <w:right w:color="000000" w:space="0" w:sz="4" w:themeColor="accent1" w:themeShade="000095" w:val="single"/>
        <w:insideH w:color="000000" w:space="0" w:sz="4" w:themeColor="accent1" w:themeShade="000095" w:val="single"/>
        <w:insideV w:color="000000" w:space="0" w:sz="4" w:themeColor="accent1"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8d7ea"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8d7ea"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5d8bc2"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10"/>
    <w:uiPriority w:val="99"/>
    <w:pPr>
      <w:pBdr/>
      <w:spacing w:after="0" w:line="240" w:lineRule="auto"/>
      <w:ind/>
    </w:pPr>
    <w:rPr>
      <w:color w:val="404040"/>
    </w:rPr>
    <w:tblPr>
      <w:tblStyleRowBandSize w:val="1"/>
      <w:tblStyleColBandSize w:val="1"/>
      <w:tblInd w:w="0.0" w:type="dxa"/>
      <w:tblBorders>
        <w:top w:color="000000" w:space="0" w:sz="4" w:themeColor="accent2" w:themeShade="000095" w:val="single"/>
        <w:left w:color="000000" w:space="0" w:sz="4" w:themeColor="accent2" w:themeShade="000095" w:val="single"/>
        <w:bottom w:color="000000" w:space="0" w:sz="4" w:themeColor="accent2" w:themeShade="000095" w:val="single"/>
        <w:right w:color="000000" w:space="0" w:sz="4" w:themeColor="accent2" w:themeShade="000095" w:val="single"/>
        <w:insideH w:color="000000" w:space="0" w:sz="4" w:themeColor="accent2" w:themeShade="000095" w:val="single"/>
        <w:insideV w:color="000000" w:space="0" w:sz="4" w:themeColor="accent2"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3dddc"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da9796"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10"/>
    <w:uiPriority w:val="99"/>
    <w:pPr>
      <w:pBdr/>
      <w:spacing w:after="0" w:line="240" w:lineRule="auto"/>
      <w:ind/>
    </w:pPr>
    <w:rPr>
      <w:color w:val="404040"/>
    </w:rPr>
    <w:tblPr>
      <w:tblStyleRowBandSize w:val="1"/>
      <w:tblStyleColBandSize w:val="1"/>
      <w:tblInd w:w="0.0" w:type="dxa"/>
      <w:tblBorders>
        <w:top w:color="000000" w:space="0" w:sz="4" w:themeColor="accent3" w:themeShade="000095" w:val="single"/>
        <w:left w:color="000000" w:space="0" w:sz="4" w:themeColor="accent3" w:themeShade="000095" w:val="single"/>
        <w:bottom w:color="000000" w:space="0" w:sz="4" w:themeColor="accent3" w:themeShade="000095" w:val="single"/>
        <w:right w:color="000000" w:space="0" w:sz="4" w:themeColor="accent3" w:themeShade="000095" w:val="single"/>
        <w:insideH w:color="000000" w:space="0" w:sz="4" w:themeColor="accent3" w:themeShade="000095" w:val="single"/>
        <w:insideV w:color="000000" w:space="0" w:sz="4" w:themeColor="accent3"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bf1d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9bbb5a"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10"/>
    <w:uiPriority w:val="99"/>
    <w:pPr>
      <w:pBdr/>
      <w:spacing w:after="0" w:line="240" w:lineRule="auto"/>
      <w:ind/>
    </w:pPr>
    <w:rPr>
      <w:color w:val="404040"/>
    </w:rPr>
    <w:tblPr>
      <w:tblStyleRowBandSize w:val="1"/>
      <w:tblStyleColBandSize w:val="1"/>
      <w:tblInd w:w="0.0" w:type="dxa"/>
      <w:tblBorders>
        <w:top w:color="000000" w:space="0" w:sz="4" w:themeColor="accent4" w:themeShade="000095" w:val="single"/>
        <w:left w:color="000000" w:space="0" w:sz="4" w:themeColor="accent4" w:themeShade="000095" w:val="single"/>
        <w:bottom w:color="000000" w:space="0" w:sz="4" w:themeColor="accent4" w:themeShade="000095" w:val="single"/>
        <w:right w:color="000000" w:space="0" w:sz="4" w:themeColor="accent4" w:themeShade="000095" w:val="single"/>
        <w:insideH w:color="000000" w:space="0" w:sz="4" w:themeColor="accent4" w:themeShade="000095" w:val="single"/>
        <w:insideV w:color="000000" w:space="0" w:sz="4" w:themeColor="accent4"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e5dfec"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b2a1c7"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10"/>
    <w:uiPriority w:val="99"/>
    <w:pPr>
      <w:pBdr/>
      <w:spacing w:after="0" w:line="240" w:lineRule="auto"/>
      <w:ind/>
    </w:pPr>
    <w:rPr>
      <w:color w:val="404040"/>
    </w:rPr>
    <w:tblPr>
      <w:tblStyleRowBandSize w:val="1"/>
      <w:tblStyleColBandSize w:val="1"/>
      <w:tblInd w:w="0.0" w:type="dxa"/>
      <w:tblBorders>
        <w:top w:color="000000" w:space="0" w:sz="4" w:themeColor="accent5" w:themeShade="000095" w:val="single"/>
        <w:left w:color="000000" w:space="0" w:sz="4" w:themeColor="accent5" w:themeShade="000095" w:val="single"/>
        <w:bottom w:color="000000" w:space="0" w:sz="4" w:themeColor="accent5" w:themeShade="000095" w:val="single"/>
        <w:right w:color="000000" w:space="0" w:sz="4" w:themeColor="accent5" w:themeShade="000095" w:val="single"/>
        <w:insideH w:color="000000" w:space="0" w:sz="4" w:themeColor="accent5" w:themeShade="000095" w:val="single"/>
        <w:insideV w:color="000000" w:space="0" w:sz="4" w:themeColor="accent5"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aeef3"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4bacc6" w:themeColor="accent5" w:themeFill="accent5" w:val="clear"/>
      </w:tcPr>
    </w:tblStylePr>
    <w:tblStylePr w:type="firstRow">
      <w:pPr>
        <w:pBdr/>
        <w:spacing/>
        <w:ind/>
      </w:pPr>
      <w:rPr>
        <w:rFonts w:ascii="Arial" w:hAnsi="Arial"/>
        <w:color w:val="f2f2f2"/>
        <w:sz w:val="22"/>
      </w:rPr>
      <w:tblPr>
        <w:tblBorders/>
      </w:tblPr>
      <w:tcPr>
        <w:tcBorders/>
        <w:shd w:color="ffffff" w:fill="4bacc6" w:themeColor="accent5" w:themeFill="accent5" w:val="clear"/>
      </w:tcPr>
    </w:tblStylePr>
    <w:tblStylePr w:type="lastCol">
      <w:pPr>
        <w:pBdr/>
        <w:spacing/>
        <w:ind/>
      </w:pPr>
      <w:rPr>
        <w:rFonts w:ascii="Arial" w:hAnsi="Arial"/>
        <w:color w:val="f2f2f2"/>
        <w:sz w:val="22"/>
      </w:rPr>
      <w:tblPr>
        <w:tblBorders/>
      </w:tblPr>
      <w:tcPr>
        <w:tcBorders/>
        <w:shd w:color="ffffff" w:fill="4bacc6" w:themeColor="accent5" w:themeFill="accent5" w:val="clear"/>
      </w:tcPr>
    </w:tblStylePr>
    <w:tblStylePr w:type="lastRow">
      <w:pPr>
        <w:pBdr/>
        <w:spacing/>
        <w:ind/>
      </w:pPr>
      <w:rPr>
        <w:rFonts w:ascii="Arial" w:hAnsi="Arial"/>
        <w:color w:val="f2f2f2"/>
        <w:sz w:val="22"/>
      </w:rPr>
      <w:tblPr>
        <w:tblBorders/>
      </w:tblPr>
      <w:tcPr>
        <w:tcBorders/>
        <w:shd w:color="ffffff" w:fill="4bacc6"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10"/>
    <w:uiPriority w:val="99"/>
    <w:pPr>
      <w:pBdr/>
      <w:spacing w:after="0" w:line="240" w:lineRule="auto"/>
      <w:ind/>
    </w:pPr>
    <w:rPr>
      <w:color w:val="404040"/>
    </w:rPr>
    <w:tblPr>
      <w:tblStyleRowBandSize w:val="1"/>
      <w:tblStyleColBandSize w:val="1"/>
      <w:tblInd w:w="0.0" w:type="dxa"/>
      <w:tblBorders>
        <w:top w:color="000000" w:space="0" w:sz="4" w:themeColor="accent6" w:themeShade="000095" w:val="single"/>
        <w:left w:color="000000" w:space="0" w:sz="4" w:themeColor="accent6" w:themeShade="000095" w:val="single"/>
        <w:bottom w:color="000000" w:space="0" w:sz="4" w:themeColor="accent6" w:themeShade="000095" w:val="single"/>
        <w:right w:color="000000" w:space="0" w:sz="4" w:themeColor="accent6" w:themeShade="000095" w:val="single"/>
        <w:insideH w:color="000000" w:space="0" w:sz="4" w:themeColor="accent6" w:themeShade="000095" w:val="single"/>
        <w:insideV w:color="000000" w:space="0" w:sz="4" w:themeColor="accent6"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fdea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f79646" w:themeColor="accent6" w:themeFill="accent6" w:val="clear"/>
      </w:tcPr>
    </w:tblStylePr>
    <w:tblStylePr w:type="firstRow">
      <w:pPr>
        <w:pBdr/>
        <w:spacing/>
        <w:ind/>
      </w:pPr>
      <w:rPr>
        <w:rFonts w:ascii="Arial" w:hAnsi="Arial"/>
        <w:color w:val="f2f2f2"/>
        <w:sz w:val="22"/>
      </w:rPr>
      <w:tblPr>
        <w:tblBorders/>
      </w:tblPr>
      <w:tcPr>
        <w:tcBorders/>
        <w:shd w:color="ffffff" w:fill="f79646" w:themeColor="accent6" w:themeFill="accent6" w:val="clear"/>
      </w:tcPr>
    </w:tblStylePr>
    <w:tblStylePr w:type="lastCol">
      <w:pPr>
        <w:pBdr/>
        <w:spacing/>
        <w:ind/>
      </w:pPr>
      <w:rPr>
        <w:rFonts w:ascii="Arial" w:hAnsi="Arial"/>
        <w:color w:val="f2f2f2"/>
        <w:sz w:val="22"/>
      </w:rPr>
      <w:tblPr>
        <w:tblBorders/>
      </w:tblPr>
      <w:tcPr>
        <w:tcBorders/>
        <w:shd w:color="ffffff" w:fill="f79646" w:themeColor="accent6" w:themeFill="accent6" w:val="clear"/>
      </w:tcPr>
    </w:tblStylePr>
    <w:tblStylePr w:type="lastRow">
      <w:pPr>
        <w:pBdr/>
        <w:spacing/>
        <w:ind/>
      </w:pPr>
      <w:rPr>
        <w:rFonts w:ascii="Arial" w:hAnsi="Arial"/>
        <w:color w:val="f2f2f2"/>
        <w:sz w:val="22"/>
      </w:rPr>
      <w:tblPr>
        <w:tblBorders/>
      </w:tblPr>
      <w:tcPr>
        <w:tcBorders/>
        <w:shd w:color="ffffff" w:fill="f79646"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10"/>
    <w:uiPriority w:val="99"/>
    <w:pPr>
      <w:pBdr/>
      <w:spacing w:after="0" w:line="240" w:lineRule="auto"/>
      <w:ind/>
    </w:pPr>
    <w:tblPr>
      <w:tblStyleRowBandSize w:val="1"/>
      <w:tblStyleColBandSize w:val="1"/>
      <w:tblInd w:w="0.0" w:type="dxa"/>
      <w:tbl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insideH w:color="000000" w:space="0" w:sz="4" w:themeColor="text1" w:themeTint="000026" w:val="single"/>
        <w:insideV w:color="000000" w:space="0" w:sz="4" w:themeColor="text1" w:themeTint="000026"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text1" w:themeTint="000080" w:val="single"/>
        </w:tcBorders>
      </w:tcPr>
    </w:tblStylePr>
    <w:tblStylePr w:type="lastCol">
      <w:pPr>
        <w:pBdr/>
        <w:spacing/>
        <w:ind/>
      </w:pPr>
      <w:rPr>
        <w:rFonts w:ascii="Arial" w:hAnsi="Arial"/>
        <w:color w:val="404040"/>
        <w:sz w:val="22"/>
      </w:rPr>
      <w:tblPr>
        <w:tblBorders/>
      </w:tblPr>
      <w:tcPr>
        <w:tcBorders>
          <w:left w:color="000000" w:space="0" w:sz="12" w:themeColor="text1" w:themeTint="000080" w:val="single"/>
        </w:tcBorders>
      </w:tcPr>
    </w:tblStylePr>
    <w:tblStylePr w:type="lastRow">
      <w:pPr>
        <w:pBdr/>
        <w:spacing/>
        <w:ind/>
      </w:pPr>
      <w:rPr>
        <w:rFonts w:ascii="Arial" w:hAnsi="Arial"/>
        <w:color w:val="404040"/>
        <w:sz w:val="22"/>
      </w:rPr>
      <w:tblPr>
        <w:tblBorders/>
      </w:tblPr>
      <w:tcPr>
        <w:tcBorders>
          <w:top w:color="000000" w:space="0" w:sz="12"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10"/>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1" w:val="single"/>
        </w:tcBorders>
      </w:tcPr>
    </w:tblStylePr>
    <w:tblStylePr w:type="lastCol">
      <w:pPr>
        <w:pBdr/>
        <w:spacing/>
        <w:ind/>
      </w:pPr>
      <w:rPr>
        <w:rFonts w:ascii="Arial" w:hAnsi="Arial"/>
        <w:color w:val="404040"/>
        <w:sz w:val="22"/>
      </w:rPr>
      <w:tblPr>
        <w:tblBorders/>
      </w:tblPr>
      <w:tcPr>
        <w:tcBorders>
          <w:left w:color="000000" w:space="0" w:sz="12" w:themeColor="accent1" w:val="single"/>
        </w:tcBorders>
      </w:tcPr>
    </w:tblStylePr>
    <w:tblStylePr w:type="lastRow">
      <w:pPr>
        <w:pBdr/>
        <w:spacing/>
        <w:ind/>
      </w:pPr>
      <w:rPr>
        <w:rFonts w:ascii="Arial" w:hAnsi="Arial"/>
        <w:color w:val="404040"/>
        <w:sz w:val="22"/>
      </w:rPr>
      <w:tblPr>
        <w:tblBorders/>
      </w:tblPr>
      <w:tcPr>
        <w:tcBorders>
          <w:top w:color="000000" w:space="0" w:sz="12"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10"/>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2" w:themeTint="000097" w:val="single"/>
        </w:tcBorders>
      </w:tcPr>
    </w:tblStylePr>
    <w:tblStylePr w:type="lastCol">
      <w:pPr>
        <w:pBdr/>
        <w:spacing/>
        <w:ind/>
      </w:pPr>
      <w:rPr>
        <w:rFonts w:ascii="Arial" w:hAnsi="Arial"/>
        <w:color w:val="404040"/>
        <w:sz w:val="22"/>
      </w:rPr>
      <w:tblPr>
        <w:tblBorders/>
      </w:tblPr>
      <w:tcPr>
        <w:tcBorders>
          <w:left w:color="000000" w:space="0" w:sz="12" w:themeColor="accent2" w:themeTint="000097" w:val="single"/>
        </w:tcBorders>
      </w:tcPr>
    </w:tblStylePr>
    <w:tblStylePr w:type="lastRow">
      <w:pPr>
        <w:pBdr/>
        <w:spacing/>
        <w:ind/>
      </w:pPr>
      <w:rPr>
        <w:rFonts w:ascii="Arial" w:hAnsi="Arial"/>
        <w:color w:val="404040"/>
        <w:sz w:val="22"/>
      </w:rPr>
      <w:tblPr>
        <w:tblBorders/>
      </w:tblPr>
      <w:tcPr>
        <w:tcBorders>
          <w:top w:color="000000" w:space="0" w:sz="12"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10"/>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3" w:themeTint="000098" w:val="single"/>
        </w:tcBorders>
      </w:tcPr>
    </w:tblStylePr>
    <w:tblStylePr w:type="lastCol">
      <w:pPr>
        <w:pBdr/>
        <w:spacing/>
        <w:ind/>
      </w:pPr>
      <w:rPr>
        <w:rFonts w:ascii="Arial" w:hAnsi="Arial"/>
        <w:color w:val="404040"/>
        <w:sz w:val="22"/>
      </w:rPr>
      <w:tblPr>
        <w:tblBorders/>
      </w:tblPr>
      <w:tcPr>
        <w:tcBorders>
          <w:left w:color="000000" w:space="0" w:sz="12" w:themeColor="accent3" w:themeTint="000098" w:val="single"/>
        </w:tcBorders>
      </w:tcPr>
    </w:tblStylePr>
    <w:tblStylePr w:type="lastRow">
      <w:pPr>
        <w:pBdr/>
        <w:spacing/>
        <w:ind/>
      </w:pPr>
      <w:rPr>
        <w:rFonts w:ascii="Arial" w:hAnsi="Arial"/>
        <w:color w:val="404040"/>
        <w:sz w:val="22"/>
      </w:rPr>
      <w:tblPr>
        <w:tblBorders/>
      </w:tblPr>
      <w:tcPr>
        <w:tcBorders>
          <w:top w:color="000000" w:space="0" w:sz="12"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10"/>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4" w:themeTint="00009A" w:val="single"/>
        </w:tcBorders>
      </w:tcPr>
    </w:tblStylePr>
    <w:tblStylePr w:type="lastCol">
      <w:pPr>
        <w:pBdr/>
        <w:spacing/>
        <w:ind/>
      </w:pPr>
      <w:rPr>
        <w:rFonts w:ascii="Arial" w:hAnsi="Arial"/>
        <w:color w:val="404040"/>
        <w:sz w:val="22"/>
      </w:rPr>
      <w:tblPr>
        <w:tblBorders/>
      </w:tblPr>
      <w:tcPr>
        <w:tcBorders>
          <w:left w:color="000000" w:space="0" w:sz="12" w:themeColor="accent4" w:themeTint="00009A" w:val="single"/>
        </w:tcBorders>
      </w:tcPr>
    </w:tblStylePr>
    <w:tblStylePr w:type="lastRow">
      <w:pPr>
        <w:pBdr/>
        <w:spacing/>
        <w:ind/>
      </w:pPr>
      <w:rPr>
        <w:rFonts w:ascii="Arial" w:hAnsi="Arial"/>
        <w:color w:val="404040"/>
        <w:sz w:val="22"/>
      </w:rPr>
      <w:tblPr>
        <w:tblBorders/>
      </w:tblPr>
      <w:tcPr>
        <w:tcBorders>
          <w:top w:color="000000" w:space="0" w:sz="12"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10"/>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5" w:themeTint="00009A" w:val="single"/>
        </w:tcBorders>
      </w:tcPr>
    </w:tblStylePr>
    <w:tblStylePr w:type="lastCol">
      <w:pPr>
        <w:pBdr/>
        <w:spacing/>
        <w:ind/>
      </w:pPr>
      <w:rPr>
        <w:rFonts w:ascii="Arial" w:hAnsi="Arial"/>
        <w:color w:val="404040"/>
        <w:sz w:val="22"/>
      </w:rPr>
      <w:tblPr>
        <w:tblBorders/>
      </w:tblPr>
      <w:tcPr>
        <w:tcBorders>
          <w:left w:color="000000" w:space="0" w:sz="12" w:themeColor="accent5" w:themeTint="00009A" w:val="single"/>
        </w:tcBorders>
      </w:tcPr>
    </w:tblStylePr>
    <w:tblStylePr w:type="lastRow">
      <w:pPr>
        <w:pBdr/>
        <w:spacing/>
        <w:ind/>
      </w:pPr>
      <w:rPr>
        <w:rFonts w:ascii="Arial" w:hAnsi="Arial"/>
        <w:color w:val="404040"/>
        <w:sz w:val="22"/>
      </w:rPr>
      <w:tblPr>
        <w:tblBorders/>
      </w:tblPr>
      <w:tcPr>
        <w:tcBorders>
          <w:top w:color="000000" w:space="0" w:sz="12"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10"/>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6" w:themeTint="000098" w:val="single"/>
        </w:tcBorders>
      </w:tcPr>
    </w:tblStylePr>
    <w:tblStylePr w:type="lastCol">
      <w:pPr>
        <w:pBdr/>
        <w:spacing/>
        <w:ind/>
      </w:pPr>
      <w:rPr>
        <w:rFonts w:ascii="Arial" w:hAnsi="Arial"/>
        <w:color w:val="404040"/>
        <w:sz w:val="22"/>
      </w:rPr>
      <w:tblPr>
        <w:tblBorders/>
      </w:tblPr>
      <w:tcPr>
        <w:tcBorders>
          <w:left w:color="000000" w:space="0" w:sz="12" w:themeColor="accent6" w:themeTint="000098" w:val="single"/>
        </w:tcBorders>
      </w:tcPr>
    </w:tblStylePr>
    <w:tblStylePr w:type="lastRow">
      <w:pPr>
        <w:pBdr/>
        <w:spacing/>
        <w:ind/>
      </w:pPr>
      <w:rPr>
        <w:rFonts w:ascii="Arial" w:hAnsi="Arial"/>
        <w:color w:val="404040"/>
        <w:sz w:val="22"/>
      </w:rPr>
      <w:tblPr>
        <w:tblBorders/>
      </w:tblPr>
      <w:tcPr>
        <w:tcBorders>
          <w:top w:color="000000" w:space="0" w:sz="12"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4">
    <w:name w:val="Heading 7"/>
    <w:basedOn w:val="764"/>
    <w:next w:val="764"/>
    <w:link w:val="155"/>
    <w:uiPriority w:val="9"/>
    <w:unhideWhenUsed w:val="1"/>
    <w:qFormat w:val="1"/>
    <w:pPr>
      <w:keepNext w:val="1"/>
      <w:keepLines w:val="1"/>
      <w:pBdr/>
      <w:spacing w:after="0" w:before="40"/>
      <w:ind/>
      <w:outlineLvl w:val="6"/>
    </w:pPr>
    <w:rPr>
      <w:rFonts w:ascii="Arial" w:cs="Arial" w:eastAsia="Arial" w:hAnsi="Arial"/>
      <w:color w:val="595959" w:themeColor="text1" w:themeTint="0000A6"/>
    </w:rPr>
  </w:style>
  <w:style w:type="paragraph" w:styleId="145">
    <w:name w:val="Heading 8"/>
    <w:basedOn w:val="764"/>
    <w:next w:val="764"/>
    <w:link w:val="156"/>
    <w:uiPriority w:val="9"/>
    <w:unhideWhenUsed w:val="1"/>
    <w:qFormat w:val="1"/>
    <w:pPr>
      <w:keepNext w:val="1"/>
      <w:keepLines w:val="1"/>
      <w:pBdr/>
      <w:spacing w:after="0"/>
      <w:ind/>
      <w:outlineLvl w:val="7"/>
    </w:pPr>
    <w:rPr>
      <w:rFonts w:ascii="Arial" w:cs="Arial" w:eastAsia="Arial" w:hAnsi="Arial"/>
      <w:i w:val="1"/>
      <w:iCs w:val="1"/>
      <w:color w:val="272727" w:themeColor="text1" w:themeTint="0000D8"/>
    </w:rPr>
  </w:style>
  <w:style w:type="paragraph" w:styleId="146">
    <w:name w:val="Heading 9"/>
    <w:basedOn w:val="764"/>
    <w:next w:val="764"/>
    <w:link w:val="157"/>
    <w:uiPriority w:val="9"/>
    <w:unhideWhenUsed w:val="1"/>
    <w:qFormat w:val="1"/>
    <w:pPr>
      <w:keepNext w:val="1"/>
      <w:keepLines w:val="1"/>
      <w:pBdr/>
      <w:spacing w:after="0"/>
      <w:ind/>
      <w:outlineLvl w:val="8"/>
    </w:pPr>
    <w:rPr>
      <w:rFonts w:ascii="Arial" w:cs="Arial" w:eastAsia="Arial" w:hAnsi="Arial"/>
      <w:i w:val="1"/>
      <w:iCs w:val="1"/>
      <w:color w:val="272727" w:themeColor="text1" w:themeTint="0000D8"/>
    </w:rPr>
  </w:style>
  <w:style w:type="character" w:styleId="155">
    <w:name w:val="Heading 7 Char"/>
    <w:basedOn w:val="771"/>
    <w:link w:val="144"/>
    <w:uiPriority w:val="9"/>
    <w:pPr>
      <w:pBdr/>
      <w:spacing/>
      <w:ind/>
    </w:pPr>
    <w:rPr>
      <w:rFonts w:ascii="Arial" w:cs="Arial" w:eastAsia="Arial" w:hAnsi="Arial"/>
      <w:color w:val="595959" w:themeColor="text1" w:themeTint="0000A6"/>
    </w:rPr>
  </w:style>
  <w:style w:type="character" w:styleId="156">
    <w:name w:val="Heading 8 Char"/>
    <w:basedOn w:val="771"/>
    <w:link w:val="145"/>
    <w:uiPriority w:val="9"/>
    <w:pPr>
      <w:pBdr/>
      <w:spacing/>
      <w:ind/>
    </w:pPr>
    <w:rPr>
      <w:rFonts w:ascii="Arial" w:cs="Arial" w:eastAsia="Arial" w:hAnsi="Arial"/>
      <w:i w:val="1"/>
      <w:iCs w:val="1"/>
      <w:color w:val="272727" w:themeColor="text1" w:themeTint="0000D8"/>
    </w:rPr>
  </w:style>
  <w:style w:type="character" w:styleId="157">
    <w:name w:val="Heading 9 Char"/>
    <w:basedOn w:val="771"/>
    <w:link w:val="146"/>
    <w:uiPriority w:val="9"/>
    <w:pPr>
      <w:pBdr/>
      <w:spacing/>
      <w:ind/>
    </w:pPr>
    <w:rPr>
      <w:rFonts w:ascii="Arial" w:cs="Arial" w:eastAsia="Arial" w:hAnsi="Arial"/>
      <w:i w:val="1"/>
      <w:iCs w:val="1"/>
      <w:color w:val="272727" w:themeColor="text1" w:themeTint="0000D8"/>
    </w:rPr>
  </w:style>
  <w:style w:type="paragraph" w:styleId="158">
    <w:name w:val="Title"/>
    <w:basedOn w:val="764"/>
    <w:next w:val="764"/>
    <w:link w:val="159"/>
    <w:uiPriority w:val="10"/>
    <w:qFormat w:val="1"/>
    <w:pPr>
      <w:pBdr/>
      <w:spacing w:after="80" w:line="240" w:lineRule="auto"/>
      <w:ind/>
      <w:contextualSpacing w:val="1"/>
    </w:pPr>
    <w:rPr>
      <w:rFonts w:ascii="Arial" w:cs="Arial" w:eastAsia="Arial" w:hAnsi="Arial"/>
      <w:spacing w:val="-10"/>
      <w:sz w:val="56"/>
      <w:szCs w:val="56"/>
    </w:rPr>
  </w:style>
  <w:style w:type="character" w:styleId="159">
    <w:name w:val="Title Char"/>
    <w:basedOn w:val="771"/>
    <w:link w:val="158"/>
    <w:uiPriority w:val="10"/>
    <w:pPr>
      <w:pBdr/>
      <w:spacing/>
      <w:ind/>
    </w:pPr>
    <w:rPr>
      <w:rFonts w:ascii="Arial" w:cs="Arial" w:eastAsia="Arial" w:hAnsi="Arial"/>
      <w:spacing w:val="-10"/>
      <w:sz w:val="56"/>
      <w:szCs w:val="56"/>
    </w:rPr>
  </w:style>
  <w:style w:type="paragraph" w:styleId="160">
    <w:name w:val="Subtitle"/>
    <w:basedOn w:val="764"/>
    <w:next w:val="764"/>
    <w:link w:val="161"/>
    <w:uiPriority w:val="11"/>
    <w:qFormat w:val="1"/>
    <w:pPr>
      <w:numPr>
        <w:ilvl w:val="1"/>
      </w:numPr>
      <w:pBdr/>
      <w:spacing/>
      <w:ind/>
    </w:pPr>
    <w:rPr>
      <w:color w:val="595959" w:themeColor="text1" w:themeTint="0000A6"/>
      <w:spacing w:val="15"/>
      <w:sz w:val="28"/>
      <w:szCs w:val="28"/>
    </w:rPr>
  </w:style>
  <w:style w:type="character" w:styleId="161">
    <w:name w:val="Subtitle Char"/>
    <w:basedOn w:val="771"/>
    <w:link w:val="160"/>
    <w:uiPriority w:val="11"/>
    <w:pPr>
      <w:pBdr/>
      <w:spacing/>
      <w:ind/>
    </w:pPr>
    <w:rPr>
      <w:color w:val="595959" w:themeColor="text1" w:themeTint="0000A6"/>
      <w:spacing w:val="15"/>
      <w:sz w:val="28"/>
      <w:szCs w:val="28"/>
    </w:rPr>
  </w:style>
  <w:style w:type="paragraph" w:styleId="162">
    <w:name w:val="Quote"/>
    <w:basedOn w:val="764"/>
    <w:next w:val="764"/>
    <w:link w:val="163"/>
    <w:uiPriority w:val="29"/>
    <w:qFormat w:val="1"/>
    <w:pPr>
      <w:pBdr/>
      <w:spacing w:before="160"/>
      <w:ind/>
      <w:jc w:val="center"/>
    </w:pPr>
    <w:rPr>
      <w:i w:val="1"/>
      <w:iCs w:val="1"/>
      <w:color w:val="404040" w:themeColor="text1" w:themeTint="0000BF"/>
    </w:rPr>
  </w:style>
  <w:style w:type="character" w:styleId="163">
    <w:name w:val="Quote Char"/>
    <w:basedOn w:val="771"/>
    <w:link w:val="162"/>
    <w:uiPriority w:val="29"/>
    <w:pPr>
      <w:pBdr/>
      <w:spacing/>
      <w:ind/>
    </w:pPr>
    <w:rPr>
      <w:i w:val="1"/>
      <w:iCs w:val="1"/>
      <w:color w:val="404040" w:themeColor="text1" w:themeTint="0000BF"/>
    </w:rPr>
  </w:style>
  <w:style w:type="character" w:styleId="165">
    <w:name w:val="Intense Emphasis"/>
    <w:basedOn w:val="771"/>
    <w:uiPriority w:val="21"/>
    <w:qFormat w:val="1"/>
    <w:pPr>
      <w:pBdr/>
      <w:spacing/>
      <w:ind/>
    </w:pPr>
    <w:rPr>
      <w:i w:val="1"/>
      <w:iCs w:val="1"/>
      <w:color w:val="0f4761" w:themeColor="accent1" w:themeShade="0000BF"/>
    </w:rPr>
  </w:style>
  <w:style w:type="paragraph" w:styleId="166">
    <w:name w:val="Intense Quote"/>
    <w:basedOn w:val="764"/>
    <w:next w:val="764"/>
    <w:link w:val="167"/>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167">
    <w:name w:val="Intense Quote Char"/>
    <w:basedOn w:val="771"/>
    <w:link w:val="166"/>
    <w:uiPriority w:val="30"/>
    <w:pPr>
      <w:pBdr/>
      <w:spacing/>
      <w:ind/>
    </w:pPr>
    <w:rPr>
      <w:i w:val="1"/>
      <w:iCs w:val="1"/>
      <w:color w:val="0f4761" w:themeColor="accent1" w:themeShade="0000BF"/>
    </w:rPr>
  </w:style>
  <w:style w:type="character" w:styleId="168">
    <w:name w:val="Intense Reference"/>
    <w:basedOn w:val="771"/>
    <w:uiPriority w:val="32"/>
    <w:qFormat w:val="1"/>
    <w:pPr>
      <w:pBdr/>
      <w:spacing/>
      <w:ind/>
    </w:pPr>
    <w:rPr>
      <w:b w:val="1"/>
      <w:bCs w:val="1"/>
      <w:smallCaps w:val="1"/>
      <w:color w:val="0f4761" w:themeColor="accent1" w:themeShade="0000BF"/>
      <w:spacing w:val="5"/>
    </w:rPr>
  </w:style>
  <w:style w:type="paragraph" w:styleId="169">
    <w:name w:val="No Spacing"/>
    <w:basedOn w:val="764"/>
    <w:uiPriority w:val="1"/>
    <w:qFormat w:val="1"/>
    <w:pPr>
      <w:pBdr/>
      <w:spacing w:after="0" w:line="240" w:lineRule="auto"/>
      <w:ind/>
    </w:pPr>
  </w:style>
  <w:style w:type="character" w:styleId="170">
    <w:name w:val="Subtle Emphasis"/>
    <w:basedOn w:val="771"/>
    <w:uiPriority w:val="19"/>
    <w:qFormat w:val="1"/>
    <w:pPr>
      <w:pBdr/>
      <w:spacing/>
      <w:ind/>
    </w:pPr>
    <w:rPr>
      <w:i w:val="1"/>
      <w:iCs w:val="1"/>
      <w:color w:val="404040" w:themeColor="text1" w:themeTint="0000BF"/>
    </w:rPr>
  </w:style>
  <w:style w:type="character" w:styleId="171">
    <w:name w:val="Emphasis"/>
    <w:basedOn w:val="771"/>
    <w:uiPriority w:val="20"/>
    <w:qFormat w:val="1"/>
    <w:pPr>
      <w:pBdr/>
      <w:spacing/>
      <w:ind/>
    </w:pPr>
    <w:rPr>
      <w:i w:val="1"/>
      <w:iCs w:val="1"/>
    </w:rPr>
  </w:style>
  <w:style w:type="character" w:styleId="172">
    <w:name w:val="Strong"/>
    <w:basedOn w:val="771"/>
    <w:uiPriority w:val="22"/>
    <w:qFormat w:val="1"/>
    <w:pPr>
      <w:pBdr/>
      <w:spacing/>
      <w:ind/>
    </w:pPr>
    <w:rPr>
      <w:b w:val="1"/>
      <w:bCs w:val="1"/>
    </w:rPr>
  </w:style>
  <w:style w:type="character" w:styleId="173">
    <w:name w:val="Subtle Reference"/>
    <w:basedOn w:val="771"/>
    <w:uiPriority w:val="31"/>
    <w:qFormat w:val="1"/>
    <w:pPr>
      <w:pBdr/>
      <w:spacing/>
      <w:ind/>
    </w:pPr>
    <w:rPr>
      <w:smallCaps w:val="1"/>
      <w:color w:val="5a5a5a" w:themeColor="text1" w:themeTint="0000A5"/>
    </w:rPr>
  </w:style>
  <w:style w:type="character" w:styleId="174">
    <w:name w:val="Book Title"/>
    <w:basedOn w:val="771"/>
    <w:uiPriority w:val="33"/>
    <w:qFormat w:val="1"/>
    <w:pPr>
      <w:pBdr/>
      <w:spacing/>
      <w:ind/>
    </w:pPr>
    <w:rPr>
      <w:b w:val="1"/>
      <w:bCs w:val="1"/>
      <w:i w:val="1"/>
      <w:iCs w:val="1"/>
      <w:spacing w:val="5"/>
    </w:rPr>
  </w:style>
  <w:style w:type="paragraph" w:styleId="179">
    <w:name w:val="Caption"/>
    <w:basedOn w:val="764"/>
    <w:next w:val="764"/>
    <w:uiPriority w:val="35"/>
    <w:unhideWhenUsed w:val="1"/>
    <w:qFormat w:val="1"/>
    <w:pPr>
      <w:pBdr/>
      <w:spacing w:after="200" w:line="240" w:lineRule="auto"/>
      <w:ind/>
    </w:pPr>
    <w:rPr>
      <w:i w:val="1"/>
      <w:iCs w:val="1"/>
      <w:color w:val="0e2841" w:themeColor="text2"/>
      <w:sz w:val="18"/>
      <w:szCs w:val="18"/>
    </w:rPr>
  </w:style>
  <w:style w:type="paragraph" w:styleId="180">
    <w:name w:val="footnote text"/>
    <w:basedOn w:val="764"/>
    <w:link w:val="181"/>
    <w:uiPriority w:val="99"/>
    <w:semiHidden w:val="1"/>
    <w:unhideWhenUsed w:val="1"/>
    <w:pPr>
      <w:pBdr/>
      <w:spacing w:after="0" w:line="240" w:lineRule="auto"/>
      <w:ind/>
    </w:pPr>
    <w:rPr>
      <w:sz w:val="20"/>
      <w:szCs w:val="20"/>
    </w:rPr>
  </w:style>
  <w:style w:type="character" w:styleId="181">
    <w:name w:val="Footnote Text Char"/>
    <w:basedOn w:val="771"/>
    <w:link w:val="180"/>
    <w:uiPriority w:val="99"/>
    <w:semiHidden w:val="1"/>
    <w:pPr>
      <w:pBdr/>
      <w:spacing/>
      <w:ind/>
    </w:pPr>
    <w:rPr>
      <w:sz w:val="20"/>
      <w:szCs w:val="20"/>
    </w:rPr>
  </w:style>
  <w:style w:type="character" w:styleId="182">
    <w:name w:val="footnote reference"/>
    <w:basedOn w:val="771"/>
    <w:uiPriority w:val="99"/>
    <w:semiHidden w:val="1"/>
    <w:unhideWhenUsed w:val="1"/>
    <w:pPr>
      <w:pBdr/>
      <w:spacing/>
      <w:ind/>
    </w:pPr>
    <w:rPr>
      <w:vertAlign w:val="superscript"/>
    </w:rPr>
  </w:style>
  <w:style w:type="paragraph" w:styleId="183">
    <w:name w:val="endnote text"/>
    <w:basedOn w:val="764"/>
    <w:link w:val="184"/>
    <w:uiPriority w:val="99"/>
    <w:semiHidden w:val="1"/>
    <w:unhideWhenUsed w:val="1"/>
    <w:pPr>
      <w:pBdr/>
      <w:spacing w:after="0" w:line="240" w:lineRule="auto"/>
      <w:ind/>
    </w:pPr>
    <w:rPr>
      <w:sz w:val="20"/>
      <w:szCs w:val="20"/>
    </w:rPr>
  </w:style>
  <w:style w:type="character" w:styleId="184">
    <w:name w:val="Endnote Text Char"/>
    <w:basedOn w:val="771"/>
    <w:link w:val="183"/>
    <w:uiPriority w:val="99"/>
    <w:semiHidden w:val="1"/>
    <w:pPr>
      <w:pBdr/>
      <w:spacing/>
      <w:ind/>
    </w:pPr>
    <w:rPr>
      <w:sz w:val="20"/>
      <w:szCs w:val="20"/>
    </w:rPr>
  </w:style>
  <w:style w:type="character" w:styleId="185">
    <w:name w:val="endnote reference"/>
    <w:basedOn w:val="771"/>
    <w:uiPriority w:val="99"/>
    <w:semiHidden w:val="1"/>
    <w:unhideWhenUsed w:val="1"/>
    <w:pPr>
      <w:pBdr/>
      <w:spacing/>
      <w:ind/>
    </w:pPr>
    <w:rPr>
      <w:vertAlign w:val="superscript"/>
    </w:rPr>
  </w:style>
  <w:style w:type="character" w:styleId="187">
    <w:name w:val="FollowedHyperlink"/>
    <w:basedOn w:val="771"/>
    <w:uiPriority w:val="99"/>
    <w:semiHidden w:val="1"/>
    <w:unhideWhenUsed w:val="1"/>
    <w:pPr>
      <w:pBdr/>
      <w:spacing/>
      <w:ind/>
    </w:pPr>
    <w:rPr>
      <w:color w:val="954f72" w:themeColor="followedHyperlink"/>
      <w:u w:val="single"/>
    </w:rPr>
  </w:style>
  <w:style w:type="paragraph" w:styleId="197">
    <w:name w:val="TOC Heading"/>
    <w:uiPriority w:val="39"/>
    <w:unhideWhenUsed w:val="1"/>
    <w:pPr>
      <w:pBdr/>
      <w:spacing/>
      <w:ind/>
    </w:pPr>
  </w:style>
  <w:style w:type="paragraph" w:styleId="198">
    <w:name w:val="table of figures"/>
    <w:basedOn w:val="764"/>
    <w:next w:val="764"/>
    <w:uiPriority w:val="99"/>
    <w:unhideWhenUsed w:val="1"/>
    <w:pPr>
      <w:pBdr/>
      <w:spacing w:after="0" w:afterAutospacing="0"/>
      <w:ind/>
    </w:pPr>
  </w:style>
  <w:style w:type="paragraph" w:styleId="764" w:default="1">
    <w:name w:val="Normal"/>
    <w:next w:val="764"/>
    <w:link w:val="764"/>
    <w:uiPriority w:val="1"/>
    <w:qFormat w:val="1"/>
    <w:pPr>
      <w:widowControl w:val="0"/>
      <w:pBdr/>
      <w:spacing/>
      <w:ind/>
    </w:pPr>
    <w:rPr>
      <w:rFonts w:ascii="Times New Roman" w:hAnsi="Times New Roman"/>
      <w:sz w:val="22"/>
      <w:szCs w:val="22"/>
      <w:lang w:bidi="ar-SA" w:eastAsia="en-IN" w:val="en-IN"/>
    </w:rPr>
  </w:style>
  <w:style w:type="paragraph" w:styleId="765">
    <w:name w:val="Heading 1"/>
    <w:basedOn w:val="764"/>
    <w:next w:val="764"/>
    <w:link w:val="774"/>
    <w:uiPriority w:val="1"/>
    <w:qFormat w:val="1"/>
    <w:pPr>
      <w:pBdr/>
      <w:spacing w:before="205"/>
      <w:ind w:left="1756" w:right="1731"/>
      <w:jc w:val="center"/>
      <w:outlineLvl w:val="0"/>
    </w:pPr>
    <w:rPr>
      <w:b w:val="1"/>
      <w:bCs w:val="1"/>
      <w:sz w:val="36"/>
      <w:szCs w:val="36"/>
    </w:rPr>
  </w:style>
  <w:style w:type="paragraph" w:styleId="766">
    <w:name w:val="Heading 2"/>
    <w:basedOn w:val="764"/>
    <w:next w:val="764"/>
    <w:link w:val="775"/>
    <w:uiPriority w:val="1"/>
    <w:qFormat w:val="1"/>
    <w:pPr>
      <w:pBdr/>
      <w:spacing/>
      <w:ind w:left="700" w:hanging="480"/>
      <w:outlineLvl w:val="1"/>
    </w:pPr>
    <w:rPr>
      <w:b w:val="1"/>
      <w:bCs w:val="1"/>
      <w:sz w:val="32"/>
      <w:szCs w:val="32"/>
    </w:rPr>
  </w:style>
  <w:style w:type="paragraph" w:styleId="767">
    <w:name w:val="Heading 3"/>
    <w:basedOn w:val="764"/>
    <w:next w:val="764"/>
    <w:link w:val="776"/>
    <w:uiPriority w:val="1"/>
    <w:qFormat w:val="1"/>
    <w:pPr>
      <w:pBdr/>
      <w:spacing/>
      <w:ind w:left="850" w:hanging="630"/>
      <w:jc w:val="both"/>
      <w:outlineLvl w:val="2"/>
    </w:pPr>
    <w:rPr>
      <w:b w:val="1"/>
      <w:bCs w:val="1"/>
      <w:sz w:val="28"/>
      <w:szCs w:val="28"/>
    </w:rPr>
  </w:style>
  <w:style w:type="paragraph" w:styleId="768">
    <w:name w:val="Heading 4"/>
    <w:basedOn w:val="764"/>
    <w:next w:val="764"/>
    <w:link w:val="785"/>
    <w:uiPriority w:val="9"/>
    <w:semiHidden w:val="1"/>
    <w:unhideWhenUsed w:val="1"/>
    <w:qFormat w:val="1"/>
    <w:pPr>
      <w:keepNext w:val="1"/>
      <w:pBdr/>
      <w:spacing w:after="60" w:before="240"/>
      <w:ind/>
      <w:outlineLvl w:val="3"/>
    </w:pPr>
    <w:rPr>
      <w:rFonts w:ascii="Calibri" w:cs="Times New Roman" w:eastAsia="Times New Roman" w:hAnsi="Calibri"/>
      <w:b w:val="1"/>
      <w:bCs w:val="1"/>
      <w:sz w:val="28"/>
      <w:szCs w:val="28"/>
    </w:rPr>
  </w:style>
  <w:style w:type="paragraph" w:styleId="769">
    <w:name w:val="Heading 5"/>
    <w:basedOn w:val="764"/>
    <w:next w:val="764"/>
    <w:link w:val="790"/>
    <w:uiPriority w:val="9"/>
    <w:semiHidden w:val="1"/>
    <w:unhideWhenUsed w:val="1"/>
    <w:qFormat w:val="1"/>
    <w:pPr>
      <w:pBdr/>
      <w:spacing w:after="60" w:before="240"/>
      <w:ind/>
      <w:outlineLvl w:val="4"/>
    </w:pPr>
    <w:rPr>
      <w:rFonts w:ascii="Calibri" w:cs="Times New Roman" w:eastAsia="Times New Roman" w:hAnsi="Calibri"/>
      <w:b w:val="1"/>
      <w:bCs w:val="1"/>
      <w:i w:val="1"/>
      <w:iCs w:val="1"/>
      <w:sz w:val="26"/>
      <w:szCs w:val="26"/>
    </w:rPr>
  </w:style>
  <w:style w:type="paragraph" w:styleId="770">
    <w:name w:val="Heading 6"/>
    <w:basedOn w:val="764"/>
    <w:next w:val="764"/>
    <w:link w:val="786"/>
    <w:uiPriority w:val="9"/>
    <w:semiHidden w:val="1"/>
    <w:unhideWhenUsed w:val="1"/>
    <w:qFormat w:val="1"/>
    <w:pPr>
      <w:pBdr/>
      <w:spacing w:after="60" w:before="240"/>
      <w:ind/>
      <w:outlineLvl w:val="5"/>
    </w:pPr>
    <w:rPr>
      <w:rFonts w:ascii="Calibri" w:cs="Times New Roman" w:eastAsia="Times New Roman" w:hAnsi="Calibri"/>
      <w:b w:val="1"/>
      <w:bCs w:val="1"/>
    </w:rPr>
  </w:style>
  <w:style w:type="character" w:styleId="771" w:default="1">
    <w:name w:val="Default Paragraph Font"/>
    <w:next w:val="771"/>
    <w:link w:val="764"/>
    <w:uiPriority w:val="1"/>
    <w:unhideWhenUsed w:val="1"/>
    <w:pPr>
      <w:pBdr/>
      <w:spacing/>
      <w:ind/>
    </w:pPr>
  </w:style>
  <w:style w:type="table" w:styleId="772">
    <w:name w:val="Table Normal"/>
    <w:next w:val="772"/>
    <w:link w:val="764"/>
    <w:uiPriority w:val="99"/>
    <w:semiHidden w:val="1"/>
    <w:unhideWhenUsed w:val="1"/>
    <w:pPr>
      <w:pBdr/>
      <w:spacing/>
      <w:ind/>
    </w:pPr>
    <w:tblPr>
      <w:tblW w:w="0.0" w:type="auto"/>
      <w:tblInd w:w="0.0" w:type="dxa"/>
      <w:tblBorders/>
      <w:tblLayout w:type="fixed"/>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73" w:default="1">
    <w:name w:val="No List"/>
    <w:next w:val="773"/>
    <w:link w:val="764"/>
    <w:uiPriority w:val="99"/>
    <w:semiHidden w:val="1"/>
    <w:unhideWhenUsed w:val="1"/>
    <w:pPr>
      <w:pBdr/>
      <w:spacing/>
      <w:ind/>
    </w:pPr>
  </w:style>
  <w:style w:type="character" w:styleId="774">
    <w:name w:val="Heading 1 Char"/>
    <w:next w:val="774"/>
    <w:link w:val="765"/>
    <w:uiPriority w:val="9"/>
    <w:pPr>
      <w:pBdr/>
      <w:spacing/>
      <w:ind/>
    </w:pPr>
    <w:rPr>
      <w:rFonts w:ascii="Calibri Light" w:cs="Times New Roman" w:eastAsia="Times New Roman" w:hAnsi="Calibri Light"/>
      <w:b w:val="1"/>
      <w:bCs w:val="1"/>
      <w:sz w:val="32"/>
      <w:szCs w:val="32"/>
    </w:rPr>
  </w:style>
  <w:style w:type="character" w:styleId="775">
    <w:name w:val="Heading 2 Char"/>
    <w:next w:val="775"/>
    <w:link w:val="766"/>
    <w:uiPriority w:val="9"/>
    <w:semiHidden w:val="1"/>
    <w:pPr>
      <w:pBdr/>
      <w:spacing/>
      <w:ind/>
    </w:pPr>
    <w:rPr>
      <w:rFonts w:ascii="Calibri Light" w:cs="Times New Roman" w:eastAsia="Times New Roman" w:hAnsi="Calibri Light"/>
      <w:b w:val="1"/>
      <w:bCs w:val="1"/>
      <w:i w:val="1"/>
      <w:iCs w:val="1"/>
      <w:sz w:val="28"/>
      <w:szCs w:val="28"/>
    </w:rPr>
  </w:style>
  <w:style w:type="character" w:styleId="776">
    <w:name w:val="Heading 3 Char"/>
    <w:next w:val="776"/>
    <w:link w:val="767"/>
    <w:uiPriority w:val="9"/>
    <w:semiHidden w:val="1"/>
    <w:pPr>
      <w:pBdr/>
      <w:spacing/>
      <w:ind/>
    </w:pPr>
    <w:rPr>
      <w:rFonts w:ascii="Calibri Light" w:cs="Times New Roman" w:eastAsia="Times New Roman" w:hAnsi="Calibri Light"/>
      <w:b w:val="1"/>
      <w:bCs w:val="1"/>
      <w:sz w:val="26"/>
      <w:szCs w:val="26"/>
    </w:rPr>
  </w:style>
  <w:style w:type="paragraph" w:styleId="777">
    <w:name w:val="Body Text"/>
    <w:basedOn w:val="764"/>
    <w:next w:val="777"/>
    <w:link w:val="778"/>
    <w:uiPriority w:val="1"/>
    <w:qFormat w:val="1"/>
    <w:pPr>
      <w:pBdr/>
      <w:spacing/>
      <w:ind/>
    </w:pPr>
    <w:rPr>
      <w:sz w:val="24"/>
      <w:szCs w:val="24"/>
    </w:rPr>
  </w:style>
  <w:style w:type="character" w:styleId="778">
    <w:name w:val="Body Text Char"/>
    <w:next w:val="778"/>
    <w:link w:val="777"/>
    <w:uiPriority w:val="99"/>
    <w:semiHidden w:val="1"/>
    <w:pPr>
      <w:pBdr/>
      <w:spacing/>
      <w:ind/>
    </w:pPr>
    <w:rPr>
      <w:rFonts w:ascii="Times New Roman" w:cs="Times New Roman" w:hAnsi="Times New Roman"/>
    </w:rPr>
  </w:style>
  <w:style w:type="paragraph" w:styleId="779">
    <w:name w:val="List Paragraph"/>
    <w:basedOn w:val="764"/>
    <w:next w:val="779"/>
    <w:link w:val="764"/>
    <w:uiPriority w:val="1"/>
    <w:qFormat w:val="1"/>
    <w:pPr>
      <w:pBdr/>
      <w:spacing/>
      <w:ind w:left="940" w:hanging="360"/>
    </w:pPr>
    <w:rPr>
      <w:sz w:val="24"/>
      <w:szCs w:val="24"/>
    </w:rPr>
  </w:style>
  <w:style w:type="paragraph" w:styleId="780">
    <w:name w:val="Table Paragraph"/>
    <w:basedOn w:val="764"/>
    <w:next w:val="780"/>
    <w:link w:val="764"/>
    <w:uiPriority w:val="1"/>
    <w:qFormat w:val="1"/>
    <w:pPr>
      <w:pBdr/>
      <w:spacing w:before="78"/>
      <w:ind w:left="105"/>
    </w:pPr>
    <w:rPr>
      <w:sz w:val="24"/>
      <w:szCs w:val="24"/>
    </w:rPr>
  </w:style>
  <w:style w:type="paragraph" w:styleId="781">
    <w:name w:val="Header"/>
    <w:basedOn w:val="764"/>
    <w:next w:val="781"/>
    <w:link w:val="782"/>
    <w:uiPriority w:val="99"/>
    <w:unhideWhenUsed w:val="1"/>
    <w:pPr>
      <w:pBdr/>
      <w:tabs>
        <w:tab w:val="center" w:leader="none" w:pos="4513"/>
        <w:tab w:val="right" w:leader="none" w:pos="9026"/>
      </w:tabs>
      <w:spacing/>
      <w:ind/>
    </w:pPr>
  </w:style>
  <w:style w:type="character" w:styleId="782">
    <w:name w:val="Header Char"/>
    <w:next w:val="782"/>
    <w:link w:val="781"/>
    <w:uiPriority w:val="99"/>
    <w:pPr>
      <w:pBdr/>
      <w:spacing/>
      <w:ind/>
    </w:pPr>
    <w:rPr>
      <w:rFonts w:ascii="Times New Roman" w:cs="Times New Roman" w:hAnsi="Times New Roman"/>
    </w:rPr>
  </w:style>
  <w:style w:type="paragraph" w:styleId="783">
    <w:name w:val="Footer"/>
    <w:basedOn w:val="764"/>
    <w:next w:val="783"/>
    <w:link w:val="784"/>
    <w:uiPriority w:val="99"/>
    <w:unhideWhenUsed w:val="1"/>
    <w:pPr>
      <w:pBdr/>
      <w:tabs>
        <w:tab w:val="center" w:leader="none" w:pos="4513"/>
        <w:tab w:val="right" w:leader="none" w:pos="9026"/>
      </w:tabs>
      <w:spacing/>
      <w:ind/>
    </w:pPr>
  </w:style>
  <w:style w:type="character" w:styleId="784">
    <w:name w:val="Footer Char"/>
    <w:next w:val="784"/>
    <w:link w:val="783"/>
    <w:uiPriority w:val="99"/>
    <w:pPr>
      <w:pBdr/>
      <w:spacing/>
      <w:ind/>
    </w:pPr>
    <w:rPr>
      <w:rFonts w:ascii="Times New Roman" w:cs="Times New Roman" w:hAnsi="Times New Roman"/>
    </w:rPr>
  </w:style>
  <w:style w:type="character" w:styleId="785">
    <w:name w:val="Heading 4 Char"/>
    <w:next w:val="785"/>
    <w:link w:val="768"/>
    <w:uiPriority w:val="9"/>
    <w:semiHidden w:val="1"/>
    <w:pPr>
      <w:pBdr/>
      <w:spacing/>
      <w:ind/>
    </w:pPr>
    <w:rPr>
      <w:rFonts w:ascii="Calibri" w:cs="Times New Roman" w:eastAsia="Times New Roman" w:hAnsi="Calibri"/>
      <w:b w:val="1"/>
      <w:bCs w:val="1"/>
      <w:sz w:val="28"/>
      <w:szCs w:val="28"/>
    </w:rPr>
  </w:style>
  <w:style w:type="character" w:styleId="786">
    <w:name w:val="Heading 6 Char"/>
    <w:next w:val="786"/>
    <w:link w:val="770"/>
    <w:uiPriority w:val="9"/>
    <w:semiHidden w:val="1"/>
    <w:pPr>
      <w:pBdr/>
      <w:spacing/>
      <w:ind/>
    </w:pPr>
    <w:rPr>
      <w:rFonts w:ascii="Calibri" w:cs="Times New Roman" w:eastAsia="Times New Roman" w:hAnsi="Calibri"/>
      <w:b w:val="1"/>
      <w:bCs w:val="1"/>
      <w:sz w:val="22"/>
      <w:szCs w:val="22"/>
    </w:rPr>
  </w:style>
  <w:style w:type="paragraph" w:styleId="787">
    <w:name w:val="Normal (Web)"/>
    <w:basedOn w:val="764"/>
    <w:next w:val="787"/>
    <w:link w:val="764"/>
    <w:uiPriority w:val="99"/>
    <w:semiHidden w:val="1"/>
    <w:unhideWhenUsed w:val="1"/>
    <w:pPr>
      <w:pBdr/>
      <w:spacing/>
      <w:ind/>
    </w:pPr>
    <w:rPr>
      <w:sz w:val="24"/>
      <w:szCs w:val="24"/>
    </w:rPr>
  </w:style>
  <w:style w:type="character" w:styleId="788">
    <w:name w:val="Hyperlink"/>
    <w:next w:val="788"/>
    <w:link w:val="764"/>
    <w:uiPriority w:val="99"/>
    <w:unhideWhenUsed w:val="1"/>
    <w:pPr>
      <w:pBdr/>
      <w:spacing/>
      <w:ind/>
    </w:pPr>
    <w:rPr>
      <w:color w:val="0563c1"/>
      <w:u w:val="single"/>
    </w:rPr>
  </w:style>
  <w:style w:type="character" w:styleId="789">
    <w:name w:val="Unresolved Mention"/>
    <w:next w:val="789"/>
    <w:link w:val="764"/>
    <w:uiPriority w:val="99"/>
    <w:semiHidden w:val="1"/>
    <w:unhideWhenUsed w:val="1"/>
    <w:pPr>
      <w:pBdr/>
      <w:spacing/>
      <w:ind/>
    </w:pPr>
    <w:rPr>
      <w:color w:val="605e5c"/>
      <w:shd w:color="auto" w:fill="e1dfdd" w:val="clear"/>
    </w:rPr>
  </w:style>
  <w:style w:type="character" w:styleId="790">
    <w:name w:val="Heading 5 Char"/>
    <w:next w:val="790"/>
    <w:link w:val="769"/>
    <w:uiPriority w:val="9"/>
    <w:semiHidden w:val="1"/>
    <w:pPr>
      <w:pBdr/>
      <w:spacing/>
      <w:ind/>
    </w:pPr>
    <w:rPr>
      <w:rFonts w:ascii="Calibri" w:cs="Times New Roman" w:eastAsia="Times New Roman" w:hAnsi="Calibri"/>
      <w:b w:val="1"/>
      <w:bCs w:val="1"/>
      <w:i w:val="1"/>
      <w:iCs w:val="1"/>
      <w:sz w:val="26"/>
      <w:szCs w:val="26"/>
    </w:rPr>
  </w:style>
  <w:style w:type="paragraph" w:styleId="791">
    <w:name w:val="references"/>
    <w:next w:val="791"/>
    <w:link w:val="764"/>
    <w:pPr>
      <w:numPr>
        <w:ilvl w:val="0"/>
        <w:numId w:val="58"/>
      </w:numPr>
      <w:pBdr/>
      <w:spacing w:after="50" w:line="180" w:lineRule="exact"/>
      <w:ind/>
      <w:jc w:val="both"/>
    </w:pPr>
    <w:rPr>
      <w:rFonts w:ascii="Times New Roman" w:eastAsia="MS Mincho" w:hAnsi="Times New Roman"/>
      <w:sz w:val="16"/>
      <w:szCs w:val="16"/>
      <w:lang w:bidi="ar-SA" w:eastAsia="en-US" w:val="en-US"/>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HL15IJ4eR1g9RRhLHyoJ0q8RNQ==">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2024-08-30T05:06:00Z</dcterms:created>
  <dc:creator>Vivek Kekuda</dc:creator>
</cp:coreProperties>
</file>