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194CA" w14:textId="77777777" w:rsidR="00DA73F7" w:rsidRDefault="00000000">
      <w:pPr>
        <w:pStyle w:val="Title"/>
      </w:pPr>
      <w:r>
        <w:t>Sample Indian Policy Texts for Simplification</w:t>
      </w:r>
    </w:p>
    <w:p w14:paraId="6665F8CD" w14:textId="77777777" w:rsidR="00DA73F7" w:rsidRDefault="00000000">
      <w:pPr>
        <w:pStyle w:val="Heading2"/>
      </w:pPr>
      <w:r>
        <w:t>IT Act, 2000 – Data Protection</w:t>
      </w:r>
    </w:p>
    <w:p w14:paraId="7106AE35" w14:textId="77777777" w:rsidR="00DA73F7" w:rsidRDefault="00000000">
      <w:r>
        <w:t>Pursuant to Section 43A of the Information Technology Act, 2000, any company engaged in handling sensitive personal data shall be liable to pay damages by way of compensation if it is negligent in implementing reasonable security practices, thereby causing wrongful loss or gain.</w:t>
      </w:r>
    </w:p>
    <w:p w14:paraId="28560A03" w14:textId="77777777" w:rsidR="00DA73F7" w:rsidRDefault="00000000">
      <w:pPr>
        <w:pStyle w:val="Heading2"/>
      </w:pPr>
      <w:r>
        <w:t>Digital Personal Data Protection (DPDP) Act, 2023</w:t>
      </w:r>
    </w:p>
    <w:p w14:paraId="07CAD828" w14:textId="77777777" w:rsidR="00DA73F7" w:rsidRDefault="00000000">
      <w:r>
        <w:t>Every data fiduciary shall obtain explicit consent from the data subject prior to processing their personal data, and such consent shall be freely given, specific, informed, and unambiguous.</w:t>
      </w:r>
    </w:p>
    <w:p w14:paraId="0BD31974" w14:textId="77777777" w:rsidR="00DA73F7" w:rsidRDefault="00000000">
      <w:pPr>
        <w:pStyle w:val="Heading2"/>
      </w:pPr>
      <w:r>
        <w:t>Insurance Claim Policy</w:t>
      </w:r>
    </w:p>
    <w:p w14:paraId="3C841CFB" w14:textId="77777777" w:rsidR="00DA73F7" w:rsidRDefault="00000000">
      <w:r>
        <w:t>The insurer shall have the right to reject a claim if the insured fails to disclose pre-existing diseases at the time of policy inception, notwithstanding any subsequent intimation.</w:t>
      </w:r>
    </w:p>
    <w:p w14:paraId="3358989C" w14:textId="77777777" w:rsidR="00DA73F7" w:rsidRDefault="00000000">
      <w:pPr>
        <w:pStyle w:val="Heading2"/>
      </w:pPr>
      <w:r>
        <w:t>Income Tax Act – TDS</w:t>
      </w:r>
    </w:p>
    <w:p w14:paraId="68E360D3" w14:textId="77777777" w:rsidR="00DA73F7" w:rsidRDefault="00000000">
      <w:r>
        <w:t>Any person responsible for paying interest (other than interest on securities) shall deduct tax at source under Section 194A, provided that the amount of interest credited or paid exceeds the threshold limit prescribed therein.</w:t>
      </w:r>
    </w:p>
    <w:p w14:paraId="76067BC8" w14:textId="77777777" w:rsidR="00DA73F7" w:rsidRDefault="00000000">
      <w:pPr>
        <w:pStyle w:val="Heading2"/>
      </w:pPr>
      <w:r>
        <w:t>GST Act – Compliance</w:t>
      </w:r>
    </w:p>
    <w:p w14:paraId="71C78E88" w14:textId="77777777" w:rsidR="00DA73F7" w:rsidRDefault="00000000">
      <w:r>
        <w:t>Every registered person shall furnish a return for every tax period, containing details of inward and outward supplies, input tax credit availed, tax payable, and tax paid, within such time and manner as may be prescribed.</w:t>
      </w:r>
    </w:p>
    <w:p w14:paraId="0FB3E062" w14:textId="77777777" w:rsidR="00DA73F7" w:rsidRDefault="00000000">
      <w:pPr>
        <w:pStyle w:val="Heading2"/>
      </w:pPr>
      <w:r>
        <w:t>Reserve Bank of India – Loan Default</w:t>
      </w:r>
    </w:p>
    <w:p w14:paraId="02B3D584" w14:textId="77777777" w:rsidR="00DA73F7" w:rsidRDefault="00000000">
      <w:r>
        <w:t>In case of loan default, the financial institution may classify the account as a non-performing asset (NPA), and such classification shall be governed by RBI guidelines, which are binding on all scheduled banks.</w:t>
      </w:r>
    </w:p>
    <w:p w14:paraId="4812C820" w14:textId="77777777" w:rsidR="00DA73F7" w:rsidRDefault="00000000">
      <w:pPr>
        <w:pStyle w:val="Heading2"/>
      </w:pPr>
      <w:r>
        <w:t>Companies Act, 2013</w:t>
      </w:r>
    </w:p>
    <w:p w14:paraId="13943CAF" w14:textId="77777777" w:rsidR="00DA73F7" w:rsidRDefault="00000000">
      <w:r>
        <w:t>The Board of Directors shall ensure compliance with statutory obligations, and any violation thereof shall render the company and its officers liable to penal provisions specified under the Act.</w:t>
      </w:r>
    </w:p>
    <w:p w14:paraId="38E8D3E0" w14:textId="77777777" w:rsidR="00DA73F7" w:rsidRDefault="00000000">
      <w:pPr>
        <w:pStyle w:val="Heading2"/>
      </w:pPr>
      <w:r>
        <w:lastRenderedPageBreak/>
        <w:t>Employment Law – Termination</w:t>
      </w:r>
    </w:p>
    <w:p w14:paraId="57150B18" w14:textId="77777777" w:rsidR="00DA73F7" w:rsidRDefault="00000000">
      <w:r>
        <w:t>An employer may terminate the employment of a worker by providing notice in accordance with the applicable state government regulations, except in cases of misconduct where immediate termination may be enforceable.</w:t>
      </w:r>
    </w:p>
    <w:p w14:paraId="5D5785F0" w14:textId="77777777" w:rsidR="00DA73F7" w:rsidRDefault="00000000">
      <w:pPr>
        <w:pStyle w:val="Heading2"/>
      </w:pPr>
      <w:r>
        <w:t>Health Insurance Policy</w:t>
      </w:r>
    </w:p>
    <w:p w14:paraId="01BA2973" w14:textId="77777777" w:rsidR="00DA73F7" w:rsidRDefault="00000000">
      <w:r>
        <w:t>The policyholder shall intimate the insurer within 24 hours of hospitalization. Failure to notify within the stipulated period may lead to rejection of the claim by the insurance company.</w:t>
      </w:r>
    </w:p>
    <w:p w14:paraId="5DD4CB69" w14:textId="77777777" w:rsidR="00DA73F7" w:rsidRDefault="00000000">
      <w:pPr>
        <w:pStyle w:val="Heading2"/>
      </w:pPr>
      <w:r>
        <w:t>Banking – KYC Norms</w:t>
      </w:r>
    </w:p>
    <w:p w14:paraId="478C628C" w14:textId="77777777" w:rsidR="00DA73F7" w:rsidRDefault="00000000">
      <w:r>
        <w:t>No financial institution shall open an account in the absence of valid Know Your Customer (KYC) documents, which include proof of identity and proof of address, as mandated by the RBI.</w:t>
      </w:r>
    </w:p>
    <w:p w14:paraId="6FAD78D0" w14:textId="77777777" w:rsidR="00DA73F7" w:rsidRDefault="00000000">
      <w:pPr>
        <w:pStyle w:val="Heading2"/>
      </w:pPr>
      <w:r>
        <w:t>Cybersecurity Policy – Incident Response</w:t>
      </w:r>
    </w:p>
    <w:p w14:paraId="6D00A93D" w14:textId="77777777" w:rsidR="00DA73F7" w:rsidRDefault="00000000">
      <w:r>
        <w:t>In the event of a cybersecurity incident, the organization shall implement its incident response plan and intimate the Indian Computer Emergency Response Team (CERT-In) within the prescribed time frame.</w:t>
      </w:r>
    </w:p>
    <w:p w14:paraId="4D6975BB" w14:textId="77777777" w:rsidR="00DA73F7" w:rsidRDefault="00000000">
      <w:pPr>
        <w:pStyle w:val="Heading2"/>
      </w:pPr>
      <w:r>
        <w:t>Mutual Fund Regulation – SEBI</w:t>
      </w:r>
    </w:p>
    <w:p w14:paraId="61D6686A" w14:textId="77777777" w:rsidR="00DA73F7" w:rsidRDefault="00000000">
      <w:r>
        <w:t>Every Asset Management Company shall ensure that mutual fund units are issued and redeemed at a price based on the net asset value (NAV), in accordance with SEBI regulations.</w:t>
      </w:r>
    </w:p>
    <w:p w14:paraId="79709068" w14:textId="77777777" w:rsidR="00DA73F7" w:rsidRDefault="00000000">
      <w:pPr>
        <w:pStyle w:val="Heading2"/>
      </w:pPr>
      <w:r>
        <w:t>Consumer Protection Act</w:t>
      </w:r>
    </w:p>
    <w:p w14:paraId="6E60E72E" w14:textId="77777777" w:rsidR="00DA73F7" w:rsidRDefault="00000000">
      <w:r>
        <w:t>A complaint may be filed before the District Consumer Disputes Redressal Commission where the value of goods or services paid as consideration does not exceed one crore rupees.</w:t>
      </w:r>
    </w:p>
    <w:p w14:paraId="1691C43A" w14:textId="77777777" w:rsidR="00DA73F7" w:rsidRDefault="00000000">
      <w:pPr>
        <w:pStyle w:val="Heading2"/>
      </w:pPr>
      <w:r>
        <w:t>Labour Welfare Policy</w:t>
      </w:r>
    </w:p>
    <w:p w14:paraId="7121A9ED" w14:textId="77777777" w:rsidR="00DA73F7" w:rsidRDefault="00000000">
      <w:r>
        <w:t>The employer shall provide maternity benefits to female employees for a period of twenty-six weeks, as per the Maternity Benefit (Amendment) Act, 2017, subject to the conditions prescribed therein.</w:t>
      </w:r>
    </w:p>
    <w:p w14:paraId="3380E687" w14:textId="77777777" w:rsidR="00DA73F7" w:rsidRDefault="00000000">
      <w:pPr>
        <w:pStyle w:val="Heading2"/>
      </w:pPr>
      <w:r>
        <w:t>Environmental Protection Act</w:t>
      </w:r>
    </w:p>
    <w:p w14:paraId="7318A594" w14:textId="77777777" w:rsidR="00DA73F7" w:rsidRDefault="00000000">
      <w:r>
        <w:t>No person shall carry out any industrial operation without obtaining prior authorization from the Central Pollution Control Board, and failure to comply shall attract penalties, including imprisonment.</w:t>
      </w:r>
    </w:p>
    <w:sectPr w:rsidR="00DA73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1"/>
    <w:family w:val="auto"/>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4093929">
    <w:abstractNumId w:val="8"/>
  </w:num>
  <w:num w:numId="2" w16cid:durableId="1385443421">
    <w:abstractNumId w:val="6"/>
  </w:num>
  <w:num w:numId="3" w16cid:durableId="1711227441">
    <w:abstractNumId w:val="5"/>
  </w:num>
  <w:num w:numId="4" w16cid:durableId="1581016948">
    <w:abstractNumId w:val="4"/>
  </w:num>
  <w:num w:numId="5" w16cid:durableId="348333142">
    <w:abstractNumId w:val="7"/>
  </w:num>
  <w:num w:numId="6" w16cid:durableId="107624272">
    <w:abstractNumId w:val="3"/>
  </w:num>
  <w:num w:numId="7" w16cid:durableId="45767100">
    <w:abstractNumId w:val="2"/>
  </w:num>
  <w:num w:numId="8" w16cid:durableId="548807506">
    <w:abstractNumId w:val="1"/>
  </w:num>
  <w:num w:numId="9" w16cid:durableId="1849712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22F5"/>
    <w:rsid w:val="00AA1D8D"/>
    <w:rsid w:val="00B47730"/>
    <w:rsid w:val="00CB0664"/>
    <w:rsid w:val="00DA73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F22E88"/>
  <w14:defaultImageDpi w14:val="300"/>
  <w15:docId w15:val="{D485EAC5-C2DE-4397-AA16-01448CFE5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528</Words>
  <Characters>2994</Characters>
  <Application>Microsoft Office Word</Application>
  <DocSecurity>0</DocSecurity>
  <Lines>62</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pradipkumar02077@gmail.com</cp:lastModifiedBy>
  <cp:revision>2</cp:revision>
  <dcterms:created xsi:type="dcterms:W3CDTF">2025-08-17T05:54:00Z</dcterms:created>
  <dcterms:modified xsi:type="dcterms:W3CDTF">2025-08-17T05:54:00Z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c923cb6d-dd77-4684-951c-4c61cbcba057</vt:lpwstr>
  </property>
</Properties>
</file>