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C4544" w14:textId="77777777" w:rsidR="007B394D" w:rsidRDefault="007B394D" w:rsidP="004B3222">
      <w:pPr>
        <w:rPr>
          <w:rFonts w:ascii="Calibri" w:hAnsi="Calibri" w:cs="Calibri"/>
          <w:b/>
          <w:bCs/>
        </w:rPr>
      </w:pPr>
    </w:p>
    <w:p w14:paraId="4F9A933A" w14:textId="77777777" w:rsidR="007B394D" w:rsidRDefault="007B394D" w:rsidP="004B3222">
      <w:pPr>
        <w:rPr>
          <w:rFonts w:ascii="Calibri" w:hAnsi="Calibri" w:cs="Calibri"/>
          <w:b/>
          <w:bCs/>
        </w:rPr>
      </w:pPr>
    </w:p>
    <w:p w14:paraId="728E105B" w14:textId="77777777" w:rsidR="007B394D" w:rsidRDefault="007B394D" w:rsidP="004B3222">
      <w:pPr>
        <w:rPr>
          <w:rFonts w:ascii="Calibri" w:hAnsi="Calibri" w:cs="Calibri"/>
          <w:b/>
          <w:bCs/>
        </w:rPr>
      </w:pPr>
    </w:p>
    <w:p w14:paraId="270C543B" w14:textId="77777777" w:rsidR="007B394D" w:rsidRDefault="007B394D" w:rsidP="004B3222">
      <w:pPr>
        <w:rPr>
          <w:rFonts w:ascii="Calibri" w:hAnsi="Calibri" w:cs="Calibri"/>
          <w:b/>
          <w:bCs/>
        </w:rPr>
      </w:pPr>
    </w:p>
    <w:p w14:paraId="18E230C0" w14:textId="77777777" w:rsidR="007B394D" w:rsidRDefault="007B394D" w:rsidP="004B3222">
      <w:pPr>
        <w:rPr>
          <w:rFonts w:ascii="Calibri" w:hAnsi="Calibri" w:cs="Calibri"/>
          <w:b/>
          <w:bCs/>
        </w:rPr>
      </w:pPr>
    </w:p>
    <w:p w14:paraId="7B2964F3" w14:textId="77777777" w:rsidR="007B394D" w:rsidRDefault="007B394D" w:rsidP="004B3222">
      <w:pPr>
        <w:rPr>
          <w:rFonts w:ascii="Calibri" w:hAnsi="Calibri" w:cs="Calibri"/>
          <w:b/>
          <w:bCs/>
        </w:rPr>
      </w:pPr>
    </w:p>
    <w:p w14:paraId="30A9606E" w14:textId="77777777" w:rsidR="007B394D" w:rsidRDefault="007B394D" w:rsidP="004B3222">
      <w:pPr>
        <w:rPr>
          <w:rFonts w:ascii="Calibri" w:hAnsi="Calibri" w:cs="Calibri"/>
          <w:b/>
          <w:bCs/>
        </w:rPr>
      </w:pPr>
    </w:p>
    <w:p w14:paraId="2C4E7930" w14:textId="2254D76D" w:rsidR="007B394D" w:rsidRDefault="007B394D" w:rsidP="007B394D">
      <w:pPr>
        <w:ind w:firstLine="720"/>
        <w:jc w:val="center"/>
        <w:rPr>
          <w:rFonts w:ascii="Calibri" w:hAnsi="Calibri" w:cs="Calibri"/>
          <w:b/>
          <w:bCs/>
        </w:rPr>
      </w:pPr>
      <w:r>
        <w:rPr>
          <w:noProof/>
        </w:rPr>
        <mc:AlternateContent>
          <mc:Choice Requires="wps">
            <w:drawing>
              <wp:anchor distT="0" distB="0" distL="114300" distR="114300" simplePos="0" relativeHeight="251659264" behindDoc="0" locked="0" layoutInCell="1" allowOverlap="1" wp14:anchorId="2BD93F59" wp14:editId="283F76FF">
                <wp:simplePos x="0" y="0"/>
                <wp:positionH relativeFrom="column">
                  <wp:posOffset>0</wp:posOffset>
                </wp:positionH>
                <wp:positionV relativeFrom="paragraph">
                  <wp:posOffset>0</wp:posOffset>
                </wp:positionV>
                <wp:extent cx="1828800" cy="1828800"/>
                <wp:effectExtent l="0" t="0" r="0" b="0"/>
                <wp:wrapSquare wrapText="bothSides"/>
                <wp:docPr id="40387747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6816E0" w14:textId="77777777" w:rsidR="007B394D" w:rsidRPr="007B394D" w:rsidRDefault="007B394D" w:rsidP="007B394D">
                            <w:pPr>
                              <w:ind w:firstLine="720"/>
                              <w:jc w:val="center"/>
                              <w:rPr>
                                <w:rFonts w:ascii="Calibri" w:hAnsi="Calibri" w:cs="Calibri"/>
                                <w:b/>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394D">
                              <w:rPr>
                                <w:rFonts w:ascii="Calibri" w:hAnsi="Calibri" w:cs="Calibri"/>
                                <w:b/>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analysis of Tesla Inc.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BD93F59"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456816E0" w14:textId="77777777" w:rsidR="007B394D" w:rsidRPr="007B394D" w:rsidRDefault="007B394D" w:rsidP="007B394D">
                      <w:pPr>
                        <w:ind w:firstLine="720"/>
                        <w:jc w:val="center"/>
                        <w:rPr>
                          <w:rFonts w:ascii="Calibri" w:hAnsi="Calibri" w:cs="Calibri"/>
                          <w:b/>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394D">
                        <w:rPr>
                          <w:rFonts w:ascii="Calibri" w:hAnsi="Calibri" w:cs="Calibri"/>
                          <w:b/>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analysis of Tesla Inc.</w:t>
                      </w:r>
                    </w:p>
                  </w:txbxContent>
                </v:textbox>
                <w10:wrap type="square"/>
              </v:shape>
            </w:pict>
          </mc:Fallback>
        </mc:AlternateContent>
      </w:r>
    </w:p>
    <w:p w14:paraId="668CA829" w14:textId="77777777" w:rsidR="007B394D" w:rsidRDefault="007B394D" w:rsidP="004B3222">
      <w:pPr>
        <w:rPr>
          <w:rFonts w:ascii="Calibri" w:hAnsi="Calibri" w:cs="Calibri"/>
          <w:b/>
          <w:bCs/>
        </w:rPr>
      </w:pPr>
    </w:p>
    <w:p w14:paraId="77CAE580" w14:textId="77777777" w:rsidR="007B394D" w:rsidRDefault="007B394D" w:rsidP="004B3222">
      <w:pPr>
        <w:rPr>
          <w:rFonts w:ascii="Calibri" w:hAnsi="Calibri" w:cs="Calibri"/>
          <w:b/>
          <w:bCs/>
        </w:rPr>
      </w:pPr>
    </w:p>
    <w:p w14:paraId="6ED7E77C" w14:textId="77777777" w:rsidR="007B394D" w:rsidRDefault="007B394D" w:rsidP="004B3222">
      <w:pPr>
        <w:rPr>
          <w:rFonts w:ascii="Calibri" w:hAnsi="Calibri" w:cs="Calibri"/>
          <w:b/>
          <w:bCs/>
        </w:rPr>
      </w:pPr>
    </w:p>
    <w:p w14:paraId="6747BC69" w14:textId="77777777" w:rsidR="007B394D" w:rsidRDefault="007B394D" w:rsidP="004B3222">
      <w:pPr>
        <w:rPr>
          <w:rFonts w:ascii="Calibri" w:hAnsi="Calibri" w:cs="Calibri"/>
          <w:b/>
          <w:bCs/>
        </w:rPr>
      </w:pPr>
    </w:p>
    <w:p w14:paraId="09911002" w14:textId="77777777" w:rsidR="007B394D" w:rsidRDefault="007B394D" w:rsidP="004B3222">
      <w:pPr>
        <w:rPr>
          <w:rFonts w:ascii="Calibri" w:hAnsi="Calibri" w:cs="Calibri"/>
          <w:b/>
          <w:bCs/>
        </w:rPr>
      </w:pPr>
    </w:p>
    <w:p w14:paraId="6871ED56" w14:textId="77777777" w:rsidR="007B394D" w:rsidRDefault="007B394D" w:rsidP="004B3222">
      <w:pPr>
        <w:rPr>
          <w:rFonts w:ascii="Calibri" w:hAnsi="Calibri" w:cs="Calibri"/>
          <w:b/>
          <w:bCs/>
        </w:rPr>
      </w:pPr>
    </w:p>
    <w:p w14:paraId="39870B66" w14:textId="77777777" w:rsidR="007B394D" w:rsidRDefault="007B394D" w:rsidP="004B3222">
      <w:pPr>
        <w:rPr>
          <w:rFonts w:ascii="Calibri" w:hAnsi="Calibri" w:cs="Calibri"/>
          <w:b/>
          <w:bCs/>
        </w:rPr>
      </w:pPr>
    </w:p>
    <w:p w14:paraId="35AE1373" w14:textId="77777777" w:rsidR="007B394D" w:rsidRDefault="007B394D" w:rsidP="004B3222">
      <w:pPr>
        <w:rPr>
          <w:rFonts w:ascii="Calibri" w:hAnsi="Calibri" w:cs="Calibri"/>
          <w:b/>
          <w:bCs/>
        </w:rPr>
      </w:pPr>
    </w:p>
    <w:p w14:paraId="4106E08A" w14:textId="77777777" w:rsidR="007B394D" w:rsidRDefault="007B394D" w:rsidP="004B3222">
      <w:pPr>
        <w:rPr>
          <w:rFonts w:ascii="Calibri" w:hAnsi="Calibri" w:cs="Calibri"/>
          <w:b/>
          <w:bCs/>
        </w:rPr>
      </w:pPr>
    </w:p>
    <w:p w14:paraId="31279907" w14:textId="77777777" w:rsidR="007B394D" w:rsidRDefault="007B394D" w:rsidP="004B3222">
      <w:pPr>
        <w:rPr>
          <w:rFonts w:ascii="Calibri" w:hAnsi="Calibri" w:cs="Calibri"/>
          <w:b/>
          <w:bCs/>
        </w:rPr>
      </w:pPr>
    </w:p>
    <w:p w14:paraId="799A78CE" w14:textId="77777777" w:rsidR="007B394D" w:rsidRDefault="007B394D" w:rsidP="004B3222">
      <w:pPr>
        <w:rPr>
          <w:rFonts w:ascii="Calibri" w:hAnsi="Calibri" w:cs="Calibri"/>
          <w:b/>
          <w:bCs/>
        </w:rPr>
      </w:pPr>
    </w:p>
    <w:p w14:paraId="0A6B8736" w14:textId="77777777" w:rsidR="007B394D" w:rsidRDefault="007B394D" w:rsidP="004B3222">
      <w:pPr>
        <w:rPr>
          <w:rFonts w:ascii="Calibri" w:hAnsi="Calibri" w:cs="Calibri"/>
          <w:b/>
          <w:bCs/>
        </w:rPr>
      </w:pPr>
    </w:p>
    <w:p w14:paraId="511D50CC" w14:textId="77777777" w:rsidR="007B394D" w:rsidRDefault="007B394D" w:rsidP="004B3222">
      <w:pPr>
        <w:rPr>
          <w:rFonts w:ascii="Calibri" w:hAnsi="Calibri" w:cs="Calibri"/>
          <w:b/>
          <w:bCs/>
        </w:rPr>
      </w:pPr>
    </w:p>
    <w:p w14:paraId="6FC1CCE3" w14:textId="77777777" w:rsidR="007B394D" w:rsidRDefault="007B394D" w:rsidP="004B3222">
      <w:pPr>
        <w:rPr>
          <w:rFonts w:ascii="Calibri" w:hAnsi="Calibri" w:cs="Calibri"/>
          <w:b/>
          <w:bCs/>
        </w:rPr>
      </w:pPr>
    </w:p>
    <w:p w14:paraId="7A4DAC3F" w14:textId="77777777" w:rsidR="007B394D" w:rsidRDefault="007B394D" w:rsidP="004B3222">
      <w:pPr>
        <w:rPr>
          <w:rFonts w:ascii="Calibri" w:hAnsi="Calibri" w:cs="Calibri"/>
          <w:b/>
          <w:bCs/>
        </w:rPr>
      </w:pPr>
    </w:p>
    <w:p w14:paraId="27FBC240" w14:textId="77777777" w:rsidR="007B394D" w:rsidRDefault="007B394D" w:rsidP="007B394D">
      <w:pPr>
        <w:tabs>
          <w:tab w:val="left" w:pos="6348"/>
        </w:tabs>
        <w:rPr>
          <w:rFonts w:ascii="Calibri" w:hAnsi="Calibri" w:cs="Calibri"/>
          <w:b/>
          <w:bCs/>
        </w:rPr>
      </w:pPr>
    </w:p>
    <w:p w14:paraId="4CB495BA" w14:textId="44831EC9" w:rsidR="007B394D" w:rsidRDefault="007B394D" w:rsidP="007B394D">
      <w:pPr>
        <w:tabs>
          <w:tab w:val="left" w:pos="6348"/>
        </w:tabs>
        <w:rPr>
          <w:rFonts w:ascii="Calibri" w:hAnsi="Calibri" w:cs="Calibri"/>
          <w:b/>
          <w:bCs/>
        </w:rPr>
      </w:pPr>
      <w:r>
        <w:rPr>
          <w:rFonts w:ascii="Calibri" w:hAnsi="Calibri" w:cs="Calibri"/>
          <w:b/>
          <w:bCs/>
        </w:rPr>
        <w:t xml:space="preserve">                                                                                                                                     By Suravi Mondal</w:t>
      </w:r>
    </w:p>
    <w:p w14:paraId="6D18977F" w14:textId="60F25BB2" w:rsidR="0014419B" w:rsidRDefault="0014419B" w:rsidP="004B3222">
      <w:pPr>
        <w:rPr>
          <w:rFonts w:ascii="Calibri" w:hAnsi="Calibri" w:cs="Calibri"/>
          <w:b/>
          <w:bCs/>
        </w:rPr>
      </w:pPr>
      <w:r w:rsidRPr="0014419B">
        <w:rPr>
          <w:rFonts w:ascii="Calibri" w:hAnsi="Calibri" w:cs="Calibri"/>
          <w:b/>
          <w:bCs/>
        </w:rPr>
        <w:lastRenderedPageBreak/>
        <w:t>Summary</w:t>
      </w:r>
    </w:p>
    <w:p w14:paraId="01A02737" w14:textId="0B63B08F" w:rsidR="0014419B" w:rsidRPr="008C7028" w:rsidRDefault="0014419B" w:rsidP="0014419B">
      <w:pPr>
        <w:rPr>
          <w:rFonts w:ascii="Calibri" w:hAnsi="Calibri" w:cs="Calibri"/>
        </w:rPr>
      </w:pPr>
      <w:r w:rsidRPr="0014419B">
        <w:rPr>
          <w:rFonts w:ascii="Calibri" w:hAnsi="Calibri" w:cs="Calibri"/>
        </w:rPr>
        <w:t xml:space="preserve">This ratio analysis report </w:t>
      </w:r>
      <w:r w:rsidR="00EB716B" w:rsidRPr="008C7028">
        <w:rPr>
          <w:rFonts w:ascii="Calibri" w:hAnsi="Calibri" w:cs="Calibri"/>
        </w:rPr>
        <w:t xml:space="preserve">analyses Tesla Inc.’s financial performance by comparing key ratios for fiscal years 2023 and 2024. The goal was to evaluate Tesla’s profitability, liquidity, efficiency, and leverage based on standard financial metrics. </w:t>
      </w:r>
    </w:p>
    <w:p w14:paraId="5F5C8E43" w14:textId="1903EDF0" w:rsidR="00EB716B" w:rsidRPr="0014419B" w:rsidRDefault="00EB716B" w:rsidP="0014419B">
      <w:pPr>
        <w:rPr>
          <w:rFonts w:ascii="Calibri" w:hAnsi="Calibri" w:cs="Calibri"/>
        </w:rPr>
      </w:pPr>
      <w:r w:rsidRPr="008C7028">
        <w:rPr>
          <w:rFonts w:ascii="Calibri" w:hAnsi="Calibri" w:cs="Calibri"/>
        </w:rPr>
        <w:t>A few key patterns stood out during this period:</w:t>
      </w:r>
    </w:p>
    <w:p w14:paraId="0E1F128A" w14:textId="77777777" w:rsidR="00EB716B" w:rsidRPr="00EB716B" w:rsidRDefault="00EB716B" w:rsidP="00EB716B">
      <w:pPr>
        <w:numPr>
          <w:ilvl w:val="0"/>
          <w:numId w:val="9"/>
        </w:numPr>
        <w:rPr>
          <w:rFonts w:ascii="Calibri" w:hAnsi="Calibri" w:cs="Calibri"/>
        </w:rPr>
      </w:pPr>
      <w:r w:rsidRPr="00EB716B">
        <w:rPr>
          <w:rFonts w:ascii="Calibri" w:hAnsi="Calibri" w:cs="Calibri"/>
          <w:b/>
          <w:bCs/>
        </w:rPr>
        <w:t>Profitability declined</w:t>
      </w:r>
      <w:r w:rsidRPr="00EB716B">
        <w:rPr>
          <w:rFonts w:ascii="Calibri" w:hAnsi="Calibri" w:cs="Calibri"/>
        </w:rPr>
        <w:t>, with shrinking margins and lower returns on equity and assets—suggesting rising cost pressures or pricing adjustments affecting the bottom line.</w:t>
      </w:r>
    </w:p>
    <w:p w14:paraId="59170169" w14:textId="77777777" w:rsidR="00EB716B" w:rsidRPr="00EB716B" w:rsidRDefault="00EB716B" w:rsidP="00EB716B">
      <w:pPr>
        <w:numPr>
          <w:ilvl w:val="0"/>
          <w:numId w:val="9"/>
        </w:numPr>
        <w:rPr>
          <w:rFonts w:ascii="Calibri" w:hAnsi="Calibri" w:cs="Calibri"/>
        </w:rPr>
      </w:pPr>
      <w:r w:rsidRPr="00EB716B">
        <w:rPr>
          <w:rFonts w:ascii="Calibri" w:hAnsi="Calibri" w:cs="Calibri"/>
          <w:b/>
          <w:bCs/>
        </w:rPr>
        <w:t>Liquidity showed modest improvement</w:t>
      </w:r>
      <w:r w:rsidRPr="00EB716B">
        <w:rPr>
          <w:rFonts w:ascii="Calibri" w:hAnsi="Calibri" w:cs="Calibri"/>
        </w:rPr>
        <w:t>, as gains in the current and quick ratios indicate a stronger short-term financial position.</w:t>
      </w:r>
    </w:p>
    <w:p w14:paraId="629E0BB5" w14:textId="77777777" w:rsidR="00EB716B" w:rsidRPr="00EB716B" w:rsidRDefault="00EB716B" w:rsidP="00EB716B">
      <w:pPr>
        <w:numPr>
          <w:ilvl w:val="0"/>
          <w:numId w:val="9"/>
        </w:numPr>
        <w:rPr>
          <w:rFonts w:ascii="Calibri" w:hAnsi="Calibri" w:cs="Calibri"/>
        </w:rPr>
      </w:pPr>
      <w:r w:rsidRPr="00EB716B">
        <w:rPr>
          <w:rFonts w:ascii="Calibri" w:hAnsi="Calibri" w:cs="Calibri"/>
          <w:b/>
          <w:bCs/>
        </w:rPr>
        <w:t>Operational efficiency presented mixed signals</w:t>
      </w:r>
      <w:r w:rsidRPr="00EB716B">
        <w:rPr>
          <w:rFonts w:ascii="Calibri" w:hAnsi="Calibri" w:cs="Calibri"/>
        </w:rPr>
        <w:t>—inventory turnover improved, reflecting better stock management, but receivables turnover declined, hinting at slower customer payments.</w:t>
      </w:r>
    </w:p>
    <w:p w14:paraId="6434148A" w14:textId="77777777" w:rsidR="00EB716B" w:rsidRPr="00EB716B" w:rsidRDefault="00EB716B" w:rsidP="00EB716B">
      <w:pPr>
        <w:numPr>
          <w:ilvl w:val="0"/>
          <w:numId w:val="9"/>
        </w:numPr>
        <w:rPr>
          <w:rFonts w:ascii="Calibri" w:hAnsi="Calibri" w:cs="Calibri"/>
        </w:rPr>
      </w:pPr>
      <w:r w:rsidRPr="00EB716B">
        <w:rPr>
          <w:rFonts w:ascii="Calibri" w:hAnsi="Calibri" w:cs="Calibri"/>
          <w:b/>
          <w:bCs/>
        </w:rPr>
        <w:t>Leverage ratios point to increased financial risk</w:t>
      </w:r>
      <w:r w:rsidRPr="00EB716B">
        <w:rPr>
          <w:rFonts w:ascii="Calibri" w:hAnsi="Calibri" w:cs="Calibri"/>
        </w:rPr>
        <w:t>, with a notable drop in the interest coverage ratio, which could signal reduced capacity to service debt if earnings weaken further.</w:t>
      </w:r>
    </w:p>
    <w:p w14:paraId="3D04E0A7" w14:textId="77777777" w:rsidR="00EB716B" w:rsidRPr="00EB716B" w:rsidRDefault="00EB716B" w:rsidP="00EB716B">
      <w:pPr>
        <w:rPr>
          <w:rFonts w:ascii="Calibri" w:hAnsi="Calibri" w:cs="Calibri"/>
        </w:rPr>
      </w:pPr>
      <w:r w:rsidRPr="00EB716B">
        <w:rPr>
          <w:rFonts w:ascii="Calibri" w:hAnsi="Calibri" w:cs="Calibri"/>
        </w:rPr>
        <w:t>Overall, this analysis offers a clear picture of how Tesla’s financial condition has shifted over the year and highlights areas of strength and concern for stakeholders and decision-makers.</w:t>
      </w:r>
    </w:p>
    <w:p w14:paraId="03F4C1DD" w14:textId="77777777" w:rsidR="0014419B" w:rsidRDefault="0014419B" w:rsidP="0014419B">
      <w:pPr>
        <w:rPr>
          <w:rFonts w:ascii="Calibri" w:hAnsi="Calibri" w:cs="Calibri"/>
        </w:rPr>
      </w:pPr>
    </w:p>
    <w:p w14:paraId="11F2794E" w14:textId="518E7F06" w:rsidR="0014419B" w:rsidRPr="0014419B" w:rsidRDefault="0014419B" w:rsidP="0014419B">
      <w:pPr>
        <w:rPr>
          <w:rFonts w:ascii="Calibri" w:hAnsi="Calibri" w:cs="Calibri"/>
          <w:b/>
          <w:bCs/>
        </w:rPr>
      </w:pPr>
      <w:r w:rsidRPr="0014419B">
        <w:rPr>
          <w:rFonts w:ascii="Calibri" w:hAnsi="Calibri" w:cs="Calibri"/>
          <w:b/>
          <w:bCs/>
        </w:rPr>
        <w:t>Background</w:t>
      </w:r>
    </w:p>
    <w:p w14:paraId="1FD93726" w14:textId="77777777" w:rsidR="00B349D8" w:rsidRPr="00B349D8" w:rsidRDefault="00B349D8" w:rsidP="00B349D8">
      <w:pPr>
        <w:rPr>
          <w:rFonts w:ascii="Calibri" w:hAnsi="Calibri" w:cs="Calibri"/>
        </w:rPr>
      </w:pPr>
      <w:r w:rsidRPr="00B349D8">
        <w:rPr>
          <w:rFonts w:ascii="Calibri" w:hAnsi="Calibri" w:cs="Calibri"/>
        </w:rPr>
        <w:t>Tesla, Inc. has established itself as a major force in the electric vehicle and renewable energy industries. While it’s widely recognized for its lineup of electric cars—like the Model 3, Y, S, and X—the company’s reach goes beyond automotive. Tesla is also heavily involved in energy storage systems, solar technology, and cutting-edge developments in AI and autonomous driving, particularly through its Full Self-Driving (FSD) platform and the Dojo supercomputer.</w:t>
      </w:r>
    </w:p>
    <w:p w14:paraId="6B2582AC" w14:textId="77777777" w:rsidR="00B349D8" w:rsidRPr="00B349D8" w:rsidRDefault="00B349D8" w:rsidP="00B349D8">
      <w:pPr>
        <w:rPr>
          <w:rFonts w:ascii="Calibri" w:hAnsi="Calibri" w:cs="Calibri"/>
        </w:rPr>
      </w:pPr>
      <w:r w:rsidRPr="00B349D8">
        <w:rPr>
          <w:rFonts w:ascii="Calibri" w:hAnsi="Calibri" w:cs="Calibri"/>
        </w:rPr>
        <w:t>In recent years, Tesla has expanded rapidly, ramping up production through its Gigafactories in Texas, Berlin, and Shanghai. This global footprint has helped the company scale manufacturing and meet growing demand. Financially, Tesla has continued to post profits, though its margins have come under pressure from strategic price reductions, growing competition, and a sharp increase in investment toward AI and robotics innovation.</w:t>
      </w:r>
    </w:p>
    <w:p w14:paraId="1912E078" w14:textId="77777777" w:rsidR="00B349D8" w:rsidRPr="00B349D8" w:rsidRDefault="00B349D8" w:rsidP="00B349D8">
      <w:pPr>
        <w:rPr>
          <w:rFonts w:ascii="Calibri" w:hAnsi="Calibri" w:cs="Calibri"/>
        </w:rPr>
      </w:pPr>
      <w:r w:rsidRPr="00B349D8">
        <w:rPr>
          <w:rFonts w:ascii="Calibri" w:hAnsi="Calibri" w:cs="Calibri"/>
        </w:rPr>
        <w:t>Overall, Tesla is positioning itself not just as a car manufacturer, but as a broader tech and energy company focused on transforming how people drive, store energy, and interact with technology.</w:t>
      </w:r>
    </w:p>
    <w:p w14:paraId="3DED4CC9" w14:textId="77777777" w:rsidR="008C7028" w:rsidRDefault="008C7028" w:rsidP="004B3222">
      <w:pPr>
        <w:rPr>
          <w:rFonts w:ascii="Calibri" w:hAnsi="Calibri" w:cs="Calibri"/>
        </w:rPr>
      </w:pPr>
    </w:p>
    <w:p w14:paraId="6FFDC90B" w14:textId="2D916570" w:rsidR="004B3222" w:rsidRPr="004B3222" w:rsidRDefault="004B3222" w:rsidP="004B3222">
      <w:pPr>
        <w:rPr>
          <w:b/>
          <w:bCs/>
        </w:rPr>
      </w:pPr>
      <w:r w:rsidRPr="004B3222">
        <w:rPr>
          <w:b/>
          <w:bCs/>
        </w:rPr>
        <w:lastRenderedPageBreak/>
        <w:t>Balance Sheet</w:t>
      </w:r>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687"/>
        <w:gridCol w:w="1508"/>
      </w:tblGrid>
      <w:tr w:rsidR="004B3222" w:rsidRPr="004B3222" w14:paraId="12DD85D0" w14:textId="77777777" w:rsidTr="008C7028">
        <w:trPr>
          <w:trHeight w:val="288"/>
        </w:trPr>
        <w:tc>
          <w:tcPr>
            <w:tcW w:w="4545" w:type="dxa"/>
            <w:shd w:val="clear" w:color="000000" w:fill="FFFFFF"/>
            <w:vAlign w:val="center"/>
            <w:hideMark/>
          </w:tcPr>
          <w:p w14:paraId="6CD57AC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687" w:type="dxa"/>
            <w:shd w:val="clear" w:color="000000" w:fill="FFFFFF"/>
            <w:vAlign w:val="bottom"/>
            <w:hideMark/>
          </w:tcPr>
          <w:p w14:paraId="54D53934" w14:textId="77777777" w:rsidR="004B3222" w:rsidRPr="004B3222" w:rsidRDefault="004B3222"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December 31,</w:t>
            </w:r>
          </w:p>
        </w:tc>
        <w:tc>
          <w:tcPr>
            <w:tcW w:w="1508" w:type="dxa"/>
            <w:shd w:val="clear" w:color="000000" w:fill="FFFFFF"/>
            <w:vAlign w:val="bottom"/>
            <w:hideMark/>
          </w:tcPr>
          <w:p w14:paraId="13007036" w14:textId="77777777" w:rsidR="004B3222" w:rsidRPr="004B3222" w:rsidRDefault="004B3222"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December 31,</w:t>
            </w:r>
          </w:p>
        </w:tc>
      </w:tr>
      <w:tr w:rsidR="004B3222" w:rsidRPr="004B3222" w14:paraId="0684C310" w14:textId="77777777" w:rsidTr="008C7028">
        <w:trPr>
          <w:trHeight w:val="312"/>
        </w:trPr>
        <w:tc>
          <w:tcPr>
            <w:tcW w:w="4545" w:type="dxa"/>
            <w:shd w:val="clear" w:color="000000" w:fill="FFFFFF"/>
            <w:vAlign w:val="center"/>
            <w:hideMark/>
          </w:tcPr>
          <w:p w14:paraId="576326E5"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687" w:type="dxa"/>
            <w:shd w:val="clear" w:color="000000" w:fill="FFFFFF"/>
            <w:vAlign w:val="bottom"/>
            <w:hideMark/>
          </w:tcPr>
          <w:p w14:paraId="11D81116" w14:textId="77777777" w:rsidR="004B3222" w:rsidRPr="004B3222" w:rsidRDefault="004B3222"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2024</w:t>
            </w:r>
          </w:p>
        </w:tc>
        <w:tc>
          <w:tcPr>
            <w:tcW w:w="1508" w:type="dxa"/>
            <w:shd w:val="clear" w:color="000000" w:fill="FFFFFF"/>
            <w:vAlign w:val="bottom"/>
            <w:hideMark/>
          </w:tcPr>
          <w:p w14:paraId="29143011" w14:textId="77777777" w:rsidR="004B3222" w:rsidRPr="004B3222" w:rsidRDefault="004B3222"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2023</w:t>
            </w:r>
          </w:p>
        </w:tc>
      </w:tr>
      <w:tr w:rsidR="004B3222" w:rsidRPr="004B3222" w14:paraId="7A6DCB9B" w14:textId="77777777" w:rsidTr="008C7028">
        <w:trPr>
          <w:trHeight w:val="312"/>
        </w:trPr>
        <w:tc>
          <w:tcPr>
            <w:tcW w:w="4545" w:type="dxa"/>
            <w:shd w:val="clear" w:color="000000" w:fill="FFFFFF"/>
            <w:vAlign w:val="bottom"/>
            <w:hideMark/>
          </w:tcPr>
          <w:p w14:paraId="2E3BE9D9" w14:textId="77777777" w:rsidR="004B3222" w:rsidRPr="004B3222" w:rsidRDefault="004B3222"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Assets</w:t>
            </w:r>
          </w:p>
        </w:tc>
        <w:tc>
          <w:tcPr>
            <w:tcW w:w="1687" w:type="dxa"/>
            <w:shd w:val="clear" w:color="auto" w:fill="auto"/>
            <w:noWrap/>
            <w:vAlign w:val="bottom"/>
            <w:hideMark/>
          </w:tcPr>
          <w:p w14:paraId="4B86E3AD"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10D94662"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5A040BFB" w14:textId="77777777" w:rsidTr="008C7028">
        <w:trPr>
          <w:trHeight w:val="288"/>
        </w:trPr>
        <w:tc>
          <w:tcPr>
            <w:tcW w:w="4545" w:type="dxa"/>
            <w:shd w:val="clear" w:color="000000" w:fill="FFFFFF"/>
            <w:vAlign w:val="bottom"/>
            <w:hideMark/>
          </w:tcPr>
          <w:p w14:paraId="6128E760"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Current assets</w:t>
            </w:r>
          </w:p>
        </w:tc>
        <w:tc>
          <w:tcPr>
            <w:tcW w:w="1687" w:type="dxa"/>
            <w:shd w:val="clear" w:color="auto" w:fill="auto"/>
            <w:noWrap/>
            <w:vAlign w:val="bottom"/>
            <w:hideMark/>
          </w:tcPr>
          <w:p w14:paraId="794147A1"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5865F20F"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3A0F5AEB" w14:textId="77777777" w:rsidTr="008C7028">
        <w:trPr>
          <w:trHeight w:val="288"/>
        </w:trPr>
        <w:tc>
          <w:tcPr>
            <w:tcW w:w="4545" w:type="dxa"/>
            <w:shd w:val="clear" w:color="000000" w:fill="FFFFFF"/>
            <w:vAlign w:val="bottom"/>
            <w:hideMark/>
          </w:tcPr>
          <w:p w14:paraId="684C708D"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and cash equivalents</w:t>
            </w:r>
          </w:p>
        </w:tc>
        <w:tc>
          <w:tcPr>
            <w:tcW w:w="1687" w:type="dxa"/>
            <w:shd w:val="clear" w:color="auto" w:fill="auto"/>
            <w:noWrap/>
            <w:vAlign w:val="bottom"/>
            <w:hideMark/>
          </w:tcPr>
          <w:p w14:paraId="5786BF4B"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16139</w:t>
            </w:r>
          </w:p>
        </w:tc>
        <w:tc>
          <w:tcPr>
            <w:tcW w:w="1508" w:type="dxa"/>
            <w:shd w:val="clear" w:color="auto" w:fill="auto"/>
            <w:noWrap/>
            <w:vAlign w:val="bottom"/>
            <w:hideMark/>
          </w:tcPr>
          <w:p w14:paraId="67657390"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16398</w:t>
            </w:r>
          </w:p>
        </w:tc>
      </w:tr>
      <w:tr w:rsidR="004B3222" w:rsidRPr="004B3222" w14:paraId="122C4663" w14:textId="77777777" w:rsidTr="008C7028">
        <w:trPr>
          <w:trHeight w:val="288"/>
        </w:trPr>
        <w:tc>
          <w:tcPr>
            <w:tcW w:w="4545" w:type="dxa"/>
            <w:shd w:val="clear" w:color="000000" w:fill="FFFFFF"/>
            <w:vAlign w:val="bottom"/>
            <w:hideMark/>
          </w:tcPr>
          <w:p w14:paraId="7A1FA9A8"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Short-term investments</w:t>
            </w:r>
          </w:p>
        </w:tc>
        <w:tc>
          <w:tcPr>
            <w:tcW w:w="1687" w:type="dxa"/>
            <w:shd w:val="clear" w:color="auto" w:fill="auto"/>
            <w:noWrap/>
            <w:vAlign w:val="bottom"/>
            <w:hideMark/>
          </w:tcPr>
          <w:p w14:paraId="2BBC8C64"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20424</w:t>
            </w:r>
          </w:p>
        </w:tc>
        <w:tc>
          <w:tcPr>
            <w:tcW w:w="1508" w:type="dxa"/>
            <w:shd w:val="clear" w:color="auto" w:fill="auto"/>
            <w:noWrap/>
            <w:vAlign w:val="bottom"/>
            <w:hideMark/>
          </w:tcPr>
          <w:p w14:paraId="7B62A3A1"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12696</w:t>
            </w:r>
          </w:p>
        </w:tc>
      </w:tr>
      <w:tr w:rsidR="004B3222" w:rsidRPr="004B3222" w14:paraId="394DC6F7" w14:textId="77777777" w:rsidTr="008C7028">
        <w:trPr>
          <w:trHeight w:val="288"/>
        </w:trPr>
        <w:tc>
          <w:tcPr>
            <w:tcW w:w="4545" w:type="dxa"/>
            <w:shd w:val="clear" w:color="000000" w:fill="FFFFFF"/>
            <w:vAlign w:val="bottom"/>
            <w:hideMark/>
          </w:tcPr>
          <w:p w14:paraId="4794F0D9"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Accounts receivable, net</w:t>
            </w:r>
          </w:p>
        </w:tc>
        <w:tc>
          <w:tcPr>
            <w:tcW w:w="1687" w:type="dxa"/>
            <w:shd w:val="clear" w:color="auto" w:fill="auto"/>
            <w:noWrap/>
            <w:vAlign w:val="bottom"/>
            <w:hideMark/>
          </w:tcPr>
          <w:p w14:paraId="37E8871B"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4418</w:t>
            </w:r>
          </w:p>
        </w:tc>
        <w:tc>
          <w:tcPr>
            <w:tcW w:w="1508" w:type="dxa"/>
            <w:shd w:val="clear" w:color="auto" w:fill="auto"/>
            <w:noWrap/>
            <w:vAlign w:val="bottom"/>
            <w:hideMark/>
          </w:tcPr>
          <w:p w14:paraId="6E93DB37"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3508</w:t>
            </w:r>
          </w:p>
        </w:tc>
      </w:tr>
      <w:tr w:rsidR="004B3222" w:rsidRPr="004B3222" w14:paraId="35A6A72F" w14:textId="77777777" w:rsidTr="008C7028">
        <w:trPr>
          <w:trHeight w:val="312"/>
        </w:trPr>
        <w:tc>
          <w:tcPr>
            <w:tcW w:w="4545" w:type="dxa"/>
            <w:shd w:val="clear" w:color="000000" w:fill="FFFFFF"/>
            <w:vAlign w:val="bottom"/>
            <w:hideMark/>
          </w:tcPr>
          <w:p w14:paraId="77D6C07A"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Inventory</w:t>
            </w:r>
          </w:p>
        </w:tc>
        <w:tc>
          <w:tcPr>
            <w:tcW w:w="1687" w:type="dxa"/>
            <w:shd w:val="clear" w:color="auto" w:fill="auto"/>
            <w:noWrap/>
            <w:vAlign w:val="bottom"/>
            <w:hideMark/>
          </w:tcPr>
          <w:p w14:paraId="04A304DB"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12017</w:t>
            </w:r>
          </w:p>
        </w:tc>
        <w:tc>
          <w:tcPr>
            <w:tcW w:w="1508" w:type="dxa"/>
            <w:shd w:val="clear" w:color="auto" w:fill="auto"/>
            <w:noWrap/>
            <w:vAlign w:val="bottom"/>
            <w:hideMark/>
          </w:tcPr>
          <w:p w14:paraId="7CFDF4D6"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13626</w:t>
            </w:r>
          </w:p>
        </w:tc>
      </w:tr>
      <w:tr w:rsidR="004B3222" w:rsidRPr="004B3222" w14:paraId="54B61BFB" w14:textId="77777777" w:rsidTr="008C7028">
        <w:trPr>
          <w:trHeight w:val="480"/>
        </w:trPr>
        <w:tc>
          <w:tcPr>
            <w:tcW w:w="4545" w:type="dxa"/>
            <w:shd w:val="clear" w:color="000000" w:fill="FFFFFF"/>
            <w:vAlign w:val="bottom"/>
            <w:hideMark/>
          </w:tcPr>
          <w:p w14:paraId="55689036"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Prepaid expenses and other current assets</w:t>
            </w:r>
          </w:p>
        </w:tc>
        <w:tc>
          <w:tcPr>
            <w:tcW w:w="1687" w:type="dxa"/>
            <w:shd w:val="clear" w:color="auto" w:fill="auto"/>
            <w:noWrap/>
            <w:vAlign w:val="bottom"/>
            <w:hideMark/>
          </w:tcPr>
          <w:p w14:paraId="2771552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5362</w:t>
            </w:r>
          </w:p>
        </w:tc>
        <w:tc>
          <w:tcPr>
            <w:tcW w:w="1508" w:type="dxa"/>
            <w:shd w:val="clear" w:color="auto" w:fill="auto"/>
            <w:noWrap/>
            <w:vAlign w:val="bottom"/>
            <w:hideMark/>
          </w:tcPr>
          <w:p w14:paraId="41DCF52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3388</w:t>
            </w:r>
          </w:p>
        </w:tc>
      </w:tr>
      <w:tr w:rsidR="004B3222" w:rsidRPr="004B3222" w14:paraId="3B2BE54B" w14:textId="77777777" w:rsidTr="008C7028">
        <w:trPr>
          <w:trHeight w:val="288"/>
        </w:trPr>
        <w:tc>
          <w:tcPr>
            <w:tcW w:w="4545" w:type="dxa"/>
            <w:shd w:val="clear" w:color="000000" w:fill="FFFFFF"/>
            <w:vAlign w:val="bottom"/>
            <w:hideMark/>
          </w:tcPr>
          <w:p w14:paraId="695C5036" w14:textId="77777777" w:rsidR="004B3222" w:rsidRPr="004B3222" w:rsidRDefault="004B3222"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current assets</w:t>
            </w:r>
          </w:p>
        </w:tc>
        <w:tc>
          <w:tcPr>
            <w:tcW w:w="1687" w:type="dxa"/>
            <w:shd w:val="clear" w:color="auto" w:fill="auto"/>
            <w:noWrap/>
            <w:vAlign w:val="bottom"/>
            <w:hideMark/>
          </w:tcPr>
          <w:p w14:paraId="157E1444"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58360</w:t>
            </w:r>
          </w:p>
        </w:tc>
        <w:tc>
          <w:tcPr>
            <w:tcW w:w="1508" w:type="dxa"/>
            <w:shd w:val="clear" w:color="auto" w:fill="auto"/>
            <w:noWrap/>
            <w:vAlign w:val="bottom"/>
            <w:hideMark/>
          </w:tcPr>
          <w:p w14:paraId="20DC36B8"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49616</w:t>
            </w:r>
          </w:p>
        </w:tc>
      </w:tr>
      <w:tr w:rsidR="004B3222" w:rsidRPr="004B3222" w14:paraId="5171A370" w14:textId="77777777" w:rsidTr="008C7028">
        <w:trPr>
          <w:trHeight w:val="288"/>
        </w:trPr>
        <w:tc>
          <w:tcPr>
            <w:tcW w:w="4545" w:type="dxa"/>
            <w:shd w:val="clear" w:color="000000" w:fill="FFFFFF"/>
            <w:vAlign w:val="bottom"/>
            <w:hideMark/>
          </w:tcPr>
          <w:p w14:paraId="1E084DC8"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Operating lease vehicles, net</w:t>
            </w:r>
          </w:p>
        </w:tc>
        <w:tc>
          <w:tcPr>
            <w:tcW w:w="1687" w:type="dxa"/>
            <w:shd w:val="clear" w:color="auto" w:fill="auto"/>
            <w:noWrap/>
            <w:vAlign w:val="bottom"/>
            <w:hideMark/>
          </w:tcPr>
          <w:p w14:paraId="3F9CBBD6"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5581</w:t>
            </w:r>
          </w:p>
        </w:tc>
        <w:tc>
          <w:tcPr>
            <w:tcW w:w="1508" w:type="dxa"/>
            <w:shd w:val="clear" w:color="auto" w:fill="auto"/>
            <w:noWrap/>
            <w:vAlign w:val="bottom"/>
            <w:hideMark/>
          </w:tcPr>
          <w:p w14:paraId="7ADED3D6"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5989</w:t>
            </w:r>
          </w:p>
        </w:tc>
      </w:tr>
      <w:tr w:rsidR="004B3222" w:rsidRPr="004B3222" w14:paraId="3884375E" w14:textId="77777777" w:rsidTr="008C7028">
        <w:trPr>
          <w:trHeight w:val="288"/>
        </w:trPr>
        <w:tc>
          <w:tcPr>
            <w:tcW w:w="4545" w:type="dxa"/>
            <w:shd w:val="clear" w:color="000000" w:fill="FFFFFF"/>
            <w:vAlign w:val="bottom"/>
            <w:hideMark/>
          </w:tcPr>
          <w:p w14:paraId="0F97F2B5"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Solar energy systems, net</w:t>
            </w:r>
          </w:p>
        </w:tc>
        <w:tc>
          <w:tcPr>
            <w:tcW w:w="1687" w:type="dxa"/>
            <w:shd w:val="clear" w:color="auto" w:fill="auto"/>
            <w:noWrap/>
            <w:vAlign w:val="bottom"/>
            <w:hideMark/>
          </w:tcPr>
          <w:p w14:paraId="5346B643"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4924</w:t>
            </w:r>
          </w:p>
        </w:tc>
        <w:tc>
          <w:tcPr>
            <w:tcW w:w="1508" w:type="dxa"/>
            <w:shd w:val="clear" w:color="auto" w:fill="auto"/>
            <w:noWrap/>
            <w:vAlign w:val="bottom"/>
            <w:hideMark/>
          </w:tcPr>
          <w:p w14:paraId="5ACAFE22"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5229</w:t>
            </w:r>
          </w:p>
        </w:tc>
      </w:tr>
      <w:tr w:rsidR="004B3222" w:rsidRPr="004B3222" w14:paraId="6498A4B7" w14:textId="77777777" w:rsidTr="008C7028">
        <w:trPr>
          <w:trHeight w:val="288"/>
        </w:trPr>
        <w:tc>
          <w:tcPr>
            <w:tcW w:w="4545" w:type="dxa"/>
            <w:shd w:val="clear" w:color="000000" w:fill="FFFFFF"/>
            <w:vAlign w:val="bottom"/>
            <w:hideMark/>
          </w:tcPr>
          <w:p w14:paraId="434CE2E5"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Property, plant and equipment, net</w:t>
            </w:r>
          </w:p>
        </w:tc>
        <w:tc>
          <w:tcPr>
            <w:tcW w:w="1687" w:type="dxa"/>
            <w:shd w:val="clear" w:color="auto" w:fill="auto"/>
            <w:noWrap/>
            <w:vAlign w:val="bottom"/>
            <w:hideMark/>
          </w:tcPr>
          <w:p w14:paraId="77A94B8C"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35836</w:t>
            </w:r>
          </w:p>
        </w:tc>
        <w:tc>
          <w:tcPr>
            <w:tcW w:w="1508" w:type="dxa"/>
            <w:shd w:val="clear" w:color="auto" w:fill="auto"/>
            <w:noWrap/>
            <w:vAlign w:val="bottom"/>
            <w:hideMark/>
          </w:tcPr>
          <w:p w14:paraId="34C42A54"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29725</w:t>
            </w:r>
          </w:p>
        </w:tc>
      </w:tr>
      <w:tr w:rsidR="004B3222" w:rsidRPr="004B3222" w14:paraId="7B476AD5" w14:textId="77777777" w:rsidTr="008C7028">
        <w:trPr>
          <w:trHeight w:val="288"/>
        </w:trPr>
        <w:tc>
          <w:tcPr>
            <w:tcW w:w="4545" w:type="dxa"/>
            <w:shd w:val="clear" w:color="000000" w:fill="FFFFFF"/>
            <w:vAlign w:val="bottom"/>
            <w:hideMark/>
          </w:tcPr>
          <w:p w14:paraId="4EF3F644"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Operating lease right-of-use assets</w:t>
            </w:r>
          </w:p>
        </w:tc>
        <w:tc>
          <w:tcPr>
            <w:tcW w:w="1687" w:type="dxa"/>
            <w:shd w:val="clear" w:color="auto" w:fill="auto"/>
            <w:noWrap/>
            <w:vAlign w:val="bottom"/>
            <w:hideMark/>
          </w:tcPr>
          <w:p w14:paraId="003B7D3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5160</w:t>
            </w:r>
          </w:p>
        </w:tc>
        <w:tc>
          <w:tcPr>
            <w:tcW w:w="1508" w:type="dxa"/>
            <w:shd w:val="clear" w:color="auto" w:fill="auto"/>
            <w:noWrap/>
            <w:vAlign w:val="bottom"/>
            <w:hideMark/>
          </w:tcPr>
          <w:p w14:paraId="053FCA7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4180</w:t>
            </w:r>
          </w:p>
        </w:tc>
      </w:tr>
      <w:tr w:rsidR="004B3222" w:rsidRPr="004B3222" w14:paraId="1C4D486F" w14:textId="77777777" w:rsidTr="008C7028">
        <w:trPr>
          <w:trHeight w:val="288"/>
        </w:trPr>
        <w:tc>
          <w:tcPr>
            <w:tcW w:w="4545" w:type="dxa"/>
            <w:shd w:val="clear" w:color="000000" w:fill="FFFFFF"/>
            <w:vAlign w:val="bottom"/>
            <w:hideMark/>
          </w:tcPr>
          <w:p w14:paraId="7DDA64A6"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Digital assets, net</w:t>
            </w:r>
          </w:p>
        </w:tc>
        <w:tc>
          <w:tcPr>
            <w:tcW w:w="1687" w:type="dxa"/>
            <w:shd w:val="clear" w:color="auto" w:fill="auto"/>
            <w:noWrap/>
            <w:vAlign w:val="bottom"/>
            <w:hideMark/>
          </w:tcPr>
          <w:p w14:paraId="3E542453"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1076</w:t>
            </w:r>
          </w:p>
        </w:tc>
        <w:tc>
          <w:tcPr>
            <w:tcW w:w="1508" w:type="dxa"/>
            <w:shd w:val="clear" w:color="auto" w:fill="auto"/>
            <w:noWrap/>
            <w:vAlign w:val="bottom"/>
            <w:hideMark/>
          </w:tcPr>
          <w:p w14:paraId="3D024CE9"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184</w:t>
            </w:r>
          </w:p>
        </w:tc>
      </w:tr>
      <w:tr w:rsidR="004B3222" w:rsidRPr="004B3222" w14:paraId="7B23EA7B" w14:textId="77777777" w:rsidTr="008C7028">
        <w:trPr>
          <w:trHeight w:val="288"/>
        </w:trPr>
        <w:tc>
          <w:tcPr>
            <w:tcW w:w="4545" w:type="dxa"/>
            <w:shd w:val="clear" w:color="000000" w:fill="FFFFFF"/>
            <w:vAlign w:val="bottom"/>
            <w:hideMark/>
          </w:tcPr>
          <w:p w14:paraId="5BE0903B"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Intangible assets, net</w:t>
            </w:r>
          </w:p>
        </w:tc>
        <w:tc>
          <w:tcPr>
            <w:tcW w:w="1687" w:type="dxa"/>
            <w:shd w:val="clear" w:color="auto" w:fill="auto"/>
            <w:noWrap/>
            <w:vAlign w:val="bottom"/>
            <w:hideMark/>
          </w:tcPr>
          <w:p w14:paraId="510A1354"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150</w:t>
            </w:r>
          </w:p>
        </w:tc>
        <w:tc>
          <w:tcPr>
            <w:tcW w:w="1508" w:type="dxa"/>
            <w:shd w:val="clear" w:color="auto" w:fill="auto"/>
            <w:noWrap/>
            <w:vAlign w:val="bottom"/>
            <w:hideMark/>
          </w:tcPr>
          <w:p w14:paraId="0A946CF0"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178</w:t>
            </w:r>
          </w:p>
        </w:tc>
      </w:tr>
      <w:tr w:rsidR="004B3222" w:rsidRPr="004B3222" w14:paraId="75035732" w14:textId="77777777" w:rsidTr="008C7028">
        <w:trPr>
          <w:trHeight w:val="312"/>
        </w:trPr>
        <w:tc>
          <w:tcPr>
            <w:tcW w:w="4545" w:type="dxa"/>
            <w:shd w:val="clear" w:color="000000" w:fill="FFFFFF"/>
            <w:vAlign w:val="bottom"/>
            <w:hideMark/>
          </w:tcPr>
          <w:p w14:paraId="2BE772D6"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Goodwill</w:t>
            </w:r>
          </w:p>
        </w:tc>
        <w:tc>
          <w:tcPr>
            <w:tcW w:w="1687" w:type="dxa"/>
            <w:shd w:val="clear" w:color="auto" w:fill="auto"/>
            <w:noWrap/>
            <w:vAlign w:val="bottom"/>
            <w:hideMark/>
          </w:tcPr>
          <w:p w14:paraId="692D42D9"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244</w:t>
            </w:r>
          </w:p>
        </w:tc>
        <w:tc>
          <w:tcPr>
            <w:tcW w:w="1508" w:type="dxa"/>
            <w:shd w:val="clear" w:color="auto" w:fill="auto"/>
            <w:noWrap/>
            <w:vAlign w:val="bottom"/>
            <w:hideMark/>
          </w:tcPr>
          <w:p w14:paraId="086A6723"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253</w:t>
            </w:r>
          </w:p>
        </w:tc>
      </w:tr>
      <w:tr w:rsidR="004B3222" w:rsidRPr="004B3222" w14:paraId="237BA0F7" w14:textId="77777777" w:rsidTr="008C7028">
        <w:trPr>
          <w:trHeight w:val="288"/>
        </w:trPr>
        <w:tc>
          <w:tcPr>
            <w:tcW w:w="4545" w:type="dxa"/>
            <w:shd w:val="clear" w:color="000000" w:fill="FFFFFF"/>
            <w:vAlign w:val="bottom"/>
            <w:hideMark/>
          </w:tcPr>
          <w:p w14:paraId="1C34FCD2"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Deferred tax assets</w:t>
            </w:r>
          </w:p>
        </w:tc>
        <w:tc>
          <w:tcPr>
            <w:tcW w:w="1687" w:type="dxa"/>
            <w:shd w:val="clear" w:color="auto" w:fill="auto"/>
            <w:noWrap/>
            <w:vAlign w:val="bottom"/>
            <w:hideMark/>
          </w:tcPr>
          <w:p w14:paraId="37D3CE3E"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6524</w:t>
            </w:r>
          </w:p>
        </w:tc>
        <w:tc>
          <w:tcPr>
            <w:tcW w:w="1508" w:type="dxa"/>
            <w:shd w:val="clear" w:color="auto" w:fill="auto"/>
            <w:noWrap/>
            <w:vAlign w:val="bottom"/>
            <w:hideMark/>
          </w:tcPr>
          <w:p w14:paraId="539C0514"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6733</w:t>
            </w:r>
          </w:p>
        </w:tc>
      </w:tr>
      <w:tr w:rsidR="004B3222" w:rsidRPr="004B3222" w14:paraId="09F468BA" w14:textId="77777777" w:rsidTr="008C7028">
        <w:trPr>
          <w:trHeight w:val="288"/>
        </w:trPr>
        <w:tc>
          <w:tcPr>
            <w:tcW w:w="4545" w:type="dxa"/>
            <w:shd w:val="clear" w:color="000000" w:fill="FFFFFF"/>
            <w:vAlign w:val="bottom"/>
            <w:hideMark/>
          </w:tcPr>
          <w:p w14:paraId="58DAEF42"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Other non-current assets</w:t>
            </w:r>
          </w:p>
        </w:tc>
        <w:tc>
          <w:tcPr>
            <w:tcW w:w="1687" w:type="dxa"/>
            <w:shd w:val="clear" w:color="auto" w:fill="auto"/>
            <w:noWrap/>
            <w:vAlign w:val="bottom"/>
            <w:hideMark/>
          </w:tcPr>
          <w:p w14:paraId="62199469"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4215</w:t>
            </w:r>
          </w:p>
        </w:tc>
        <w:tc>
          <w:tcPr>
            <w:tcW w:w="1508" w:type="dxa"/>
            <w:shd w:val="clear" w:color="auto" w:fill="auto"/>
            <w:noWrap/>
            <w:vAlign w:val="bottom"/>
            <w:hideMark/>
          </w:tcPr>
          <w:p w14:paraId="0A5F6D6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4531</w:t>
            </w:r>
          </w:p>
        </w:tc>
      </w:tr>
      <w:tr w:rsidR="004B3222" w:rsidRPr="004B3222" w14:paraId="62751274" w14:textId="77777777" w:rsidTr="008C7028">
        <w:trPr>
          <w:trHeight w:val="288"/>
        </w:trPr>
        <w:tc>
          <w:tcPr>
            <w:tcW w:w="4545" w:type="dxa"/>
            <w:shd w:val="clear" w:color="000000" w:fill="FFFFFF"/>
            <w:vAlign w:val="bottom"/>
            <w:hideMark/>
          </w:tcPr>
          <w:p w14:paraId="0062616B" w14:textId="77777777" w:rsidR="004B3222" w:rsidRPr="004B3222" w:rsidRDefault="004B3222" w:rsidP="004B3222">
            <w:pPr>
              <w:spacing w:after="0" w:line="240" w:lineRule="auto"/>
              <w:ind w:firstLineChars="200" w:firstLine="440"/>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Total assets</w:t>
            </w:r>
          </w:p>
        </w:tc>
        <w:tc>
          <w:tcPr>
            <w:tcW w:w="1687" w:type="dxa"/>
            <w:shd w:val="clear" w:color="auto" w:fill="auto"/>
            <w:noWrap/>
            <w:vAlign w:val="bottom"/>
            <w:hideMark/>
          </w:tcPr>
          <w:p w14:paraId="5940020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122070</w:t>
            </w:r>
          </w:p>
        </w:tc>
        <w:tc>
          <w:tcPr>
            <w:tcW w:w="1508" w:type="dxa"/>
            <w:shd w:val="clear" w:color="auto" w:fill="auto"/>
            <w:noWrap/>
            <w:vAlign w:val="bottom"/>
            <w:hideMark/>
          </w:tcPr>
          <w:p w14:paraId="079B0E02"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106618</w:t>
            </w:r>
          </w:p>
        </w:tc>
      </w:tr>
      <w:tr w:rsidR="004B3222" w:rsidRPr="004B3222" w14:paraId="12F04AB4" w14:textId="77777777" w:rsidTr="008C7028">
        <w:trPr>
          <w:trHeight w:val="312"/>
        </w:trPr>
        <w:tc>
          <w:tcPr>
            <w:tcW w:w="4545" w:type="dxa"/>
            <w:shd w:val="clear" w:color="000000" w:fill="FFFFFF"/>
            <w:vAlign w:val="bottom"/>
            <w:hideMark/>
          </w:tcPr>
          <w:p w14:paraId="4051E107" w14:textId="77777777" w:rsidR="004B3222" w:rsidRPr="004B3222" w:rsidRDefault="004B3222"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Liabilities</w:t>
            </w:r>
          </w:p>
        </w:tc>
        <w:tc>
          <w:tcPr>
            <w:tcW w:w="1687" w:type="dxa"/>
            <w:shd w:val="clear" w:color="auto" w:fill="auto"/>
            <w:noWrap/>
            <w:vAlign w:val="bottom"/>
            <w:hideMark/>
          </w:tcPr>
          <w:p w14:paraId="2032B12C"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53C3A07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6658B93C" w14:textId="77777777" w:rsidTr="008C7028">
        <w:trPr>
          <w:trHeight w:val="288"/>
        </w:trPr>
        <w:tc>
          <w:tcPr>
            <w:tcW w:w="4545" w:type="dxa"/>
            <w:shd w:val="clear" w:color="000000" w:fill="FFFFFF"/>
            <w:vAlign w:val="bottom"/>
            <w:hideMark/>
          </w:tcPr>
          <w:p w14:paraId="276EA1D3"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Current liabilities</w:t>
            </w:r>
          </w:p>
        </w:tc>
        <w:tc>
          <w:tcPr>
            <w:tcW w:w="1687" w:type="dxa"/>
            <w:shd w:val="clear" w:color="auto" w:fill="auto"/>
            <w:noWrap/>
            <w:vAlign w:val="bottom"/>
            <w:hideMark/>
          </w:tcPr>
          <w:p w14:paraId="5A42EB99"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54554584"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5F992D08" w14:textId="77777777" w:rsidTr="008C7028">
        <w:trPr>
          <w:trHeight w:val="288"/>
        </w:trPr>
        <w:tc>
          <w:tcPr>
            <w:tcW w:w="4545" w:type="dxa"/>
            <w:shd w:val="clear" w:color="000000" w:fill="FFFFFF"/>
            <w:vAlign w:val="bottom"/>
            <w:hideMark/>
          </w:tcPr>
          <w:p w14:paraId="74C71C4B"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Accounts payable</w:t>
            </w:r>
          </w:p>
        </w:tc>
        <w:tc>
          <w:tcPr>
            <w:tcW w:w="1687" w:type="dxa"/>
            <w:shd w:val="clear" w:color="auto" w:fill="auto"/>
            <w:noWrap/>
            <w:vAlign w:val="bottom"/>
            <w:hideMark/>
          </w:tcPr>
          <w:p w14:paraId="15955FDC"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12474</w:t>
            </w:r>
          </w:p>
        </w:tc>
        <w:tc>
          <w:tcPr>
            <w:tcW w:w="1508" w:type="dxa"/>
            <w:shd w:val="clear" w:color="auto" w:fill="auto"/>
            <w:noWrap/>
            <w:vAlign w:val="bottom"/>
            <w:hideMark/>
          </w:tcPr>
          <w:p w14:paraId="1E8B431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14431</w:t>
            </w:r>
          </w:p>
        </w:tc>
      </w:tr>
      <w:tr w:rsidR="004B3222" w:rsidRPr="004B3222" w14:paraId="57DCF39C" w14:textId="77777777" w:rsidTr="008C7028">
        <w:trPr>
          <w:trHeight w:val="288"/>
        </w:trPr>
        <w:tc>
          <w:tcPr>
            <w:tcW w:w="4545" w:type="dxa"/>
            <w:shd w:val="clear" w:color="000000" w:fill="FFFFFF"/>
            <w:vAlign w:val="bottom"/>
            <w:hideMark/>
          </w:tcPr>
          <w:p w14:paraId="126172C9"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Accrued liabilities and other</w:t>
            </w:r>
          </w:p>
        </w:tc>
        <w:tc>
          <w:tcPr>
            <w:tcW w:w="1687" w:type="dxa"/>
            <w:shd w:val="clear" w:color="auto" w:fill="auto"/>
            <w:noWrap/>
            <w:vAlign w:val="bottom"/>
            <w:hideMark/>
          </w:tcPr>
          <w:p w14:paraId="3F7D4B8E"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10723</w:t>
            </w:r>
          </w:p>
        </w:tc>
        <w:tc>
          <w:tcPr>
            <w:tcW w:w="1508" w:type="dxa"/>
            <w:shd w:val="clear" w:color="auto" w:fill="auto"/>
            <w:noWrap/>
            <w:vAlign w:val="bottom"/>
            <w:hideMark/>
          </w:tcPr>
          <w:p w14:paraId="44C86BD0"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9080</w:t>
            </w:r>
          </w:p>
        </w:tc>
      </w:tr>
      <w:tr w:rsidR="004B3222" w:rsidRPr="004B3222" w14:paraId="657AFFB1" w14:textId="77777777" w:rsidTr="008C7028">
        <w:trPr>
          <w:trHeight w:val="288"/>
        </w:trPr>
        <w:tc>
          <w:tcPr>
            <w:tcW w:w="4545" w:type="dxa"/>
            <w:shd w:val="clear" w:color="000000" w:fill="FFFFFF"/>
            <w:vAlign w:val="bottom"/>
            <w:hideMark/>
          </w:tcPr>
          <w:p w14:paraId="527A9AD6"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Deferred revenue</w:t>
            </w:r>
          </w:p>
        </w:tc>
        <w:tc>
          <w:tcPr>
            <w:tcW w:w="1687" w:type="dxa"/>
            <w:shd w:val="clear" w:color="auto" w:fill="auto"/>
            <w:noWrap/>
            <w:vAlign w:val="bottom"/>
            <w:hideMark/>
          </w:tcPr>
          <w:p w14:paraId="4492E48D"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3168</w:t>
            </w:r>
          </w:p>
        </w:tc>
        <w:tc>
          <w:tcPr>
            <w:tcW w:w="1508" w:type="dxa"/>
            <w:shd w:val="clear" w:color="auto" w:fill="auto"/>
            <w:noWrap/>
            <w:vAlign w:val="bottom"/>
            <w:hideMark/>
          </w:tcPr>
          <w:p w14:paraId="5256C2C6"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2864</w:t>
            </w:r>
          </w:p>
        </w:tc>
      </w:tr>
      <w:tr w:rsidR="004B3222" w:rsidRPr="004B3222" w14:paraId="43268A29" w14:textId="77777777" w:rsidTr="008C7028">
        <w:trPr>
          <w:trHeight w:val="480"/>
        </w:trPr>
        <w:tc>
          <w:tcPr>
            <w:tcW w:w="4545" w:type="dxa"/>
            <w:shd w:val="clear" w:color="000000" w:fill="FFFFFF"/>
            <w:vAlign w:val="bottom"/>
            <w:hideMark/>
          </w:tcPr>
          <w:p w14:paraId="3AB01A5E"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Current portion of debt and finance leases</w:t>
            </w:r>
          </w:p>
        </w:tc>
        <w:tc>
          <w:tcPr>
            <w:tcW w:w="1687" w:type="dxa"/>
            <w:shd w:val="clear" w:color="auto" w:fill="auto"/>
            <w:noWrap/>
            <w:vAlign w:val="bottom"/>
            <w:hideMark/>
          </w:tcPr>
          <w:p w14:paraId="10F065A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2456</w:t>
            </w:r>
          </w:p>
        </w:tc>
        <w:tc>
          <w:tcPr>
            <w:tcW w:w="1508" w:type="dxa"/>
            <w:shd w:val="clear" w:color="auto" w:fill="auto"/>
            <w:noWrap/>
            <w:vAlign w:val="bottom"/>
            <w:hideMark/>
          </w:tcPr>
          <w:p w14:paraId="7178D23E"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2373</w:t>
            </w:r>
          </w:p>
        </w:tc>
      </w:tr>
      <w:tr w:rsidR="004B3222" w:rsidRPr="004B3222" w14:paraId="3CEC91ED" w14:textId="77777777" w:rsidTr="008C7028">
        <w:trPr>
          <w:trHeight w:val="288"/>
        </w:trPr>
        <w:tc>
          <w:tcPr>
            <w:tcW w:w="4545" w:type="dxa"/>
            <w:shd w:val="clear" w:color="000000" w:fill="FFFFFF"/>
            <w:vAlign w:val="bottom"/>
            <w:hideMark/>
          </w:tcPr>
          <w:p w14:paraId="388F27A1" w14:textId="77777777" w:rsidR="004B3222" w:rsidRPr="004B3222" w:rsidRDefault="004B3222"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current liabilities</w:t>
            </w:r>
          </w:p>
        </w:tc>
        <w:tc>
          <w:tcPr>
            <w:tcW w:w="1687" w:type="dxa"/>
            <w:shd w:val="clear" w:color="auto" w:fill="auto"/>
            <w:noWrap/>
            <w:vAlign w:val="bottom"/>
            <w:hideMark/>
          </w:tcPr>
          <w:p w14:paraId="66F01212"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28821</w:t>
            </w:r>
          </w:p>
        </w:tc>
        <w:tc>
          <w:tcPr>
            <w:tcW w:w="1508" w:type="dxa"/>
            <w:shd w:val="clear" w:color="auto" w:fill="auto"/>
            <w:noWrap/>
            <w:vAlign w:val="bottom"/>
            <w:hideMark/>
          </w:tcPr>
          <w:p w14:paraId="22F21A6D"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28748</w:t>
            </w:r>
          </w:p>
        </w:tc>
      </w:tr>
      <w:tr w:rsidR="004B3222" w:rsidRPr="004B3222" w14:paraId="1C6A05C1" w14:textId="77777777" w:rsidTr="008C7028">
        <w:trPr>
          <w:trHeight w:val="696"/>
        </w:trPr>
        <w:tc>
          <w:tcPr>
            <w:tcW w:w="4545" w:type="dxa"/>
            <w:shd w:val="clear" w:color="000000" w:fill="FFFFFF"/>
            <w:vAlign w:val="bottom"/>
            <w:hideMark/>
          </w:tcPr>
          <w:p w14:paraId="5AA71221"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Debt and finance leases, net of current portion</w:t>
            </w:r>
          </w:p>
        </w:tc>
        <w:tc>
          <w:tcPr>
            <w:tcW w:w="1687" w:type="dxa"/>
            <w:shd w:val="clear" w:color="auto" w:fill="auto"/>
            <w:noWrap/>
            <w:vAlign w:val="bottom"/>
            <w:hideMark/>
          </w:tcPr>
          <w:p w14:paraId="566F5E71"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5757</w:t>
            </w:r>
          </w:p>
        </w:tc>
        <w:tc>
          <w:tcPr>
            <w:tcW w:w="1508" w:type="dxa"/>
            <w:shd w:val="clear" w:color="auto" w:fill="auto"/>
            <w:noWrap/>
            <w:vAlign w:val="bottom"/>
            <w:hideMark/>
          </w:tcPr>
          <w:p w14:paraId="098708D2"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2857</w:t>
            </w:r>
          </w:p>
        </w:tc>
      </w:tr>
      <w:tr w:rsidR="004B3222" w:rsidRPr="004B3222" w14:paraId="63E4FBC9" w14:textId="77777777" w:rsidTr="008C7028">
        <w:trPr>
          <w:trHeight w:val="480"/>
        </w:trPr>
        <w:tc>
          <w:tcPr>
            <w:tcW w:w="4545" w:type="dxa"/>
            <w:shd w:val="clear" w:color="000000" w:fill="FFFFFF"/>
            <w:vAlign w:val="bottom"/>
            <w:hideMark/>
          </w:tcPr>
          <w:p w14:paraId="2A6B900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Deferred revenue, net of current portion</w:t>
            </w:r>
          </w:p>
        </w:tc>
        <w:tc>
          <w:tcPr>
            <w:tcW w:w="1687" w:type="dxa"/>
            <w:shd w:val="clear" w:color="auto" w:fill="auto"/>
            <w:noWrap/>
            <w:vAlign w:val="bottom"/>
            <w:hideMark/>
          </w:tcPr>
          <w:p w14:paraId="7B826C3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3317</w:t>
            </w:r>
          </w:p>
        </w:tc>
        <w:tc>
          <w:tcPr>
            <w:tcW w:w="1508" w:type="dxa"/>
            <w:shd w:val="clear" w:color="auto" w:fill="auto"/>
            <w:noWrap/>
            <w:vAlign w:val="bottom"/>
            <w:hideMark/>
          </w:tcPr>
          <w:p w14:paraId="557E2883"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3251</w:t>
            </w:r>
          </w:p>
        </w:tc>
      </w:tr>
      <w:tr w:rsidR="004B3222" w:rsidRPr="004B3222" w14:paraId="23578DDE" w14:textId="77777777" w:rsidTr="008C7028">
        <w:trPr>
          <w:trHeight w:val="288"/>
        </w:trPr>
        <w:tc>
          <w:tcPr>
            <w:tcW w:w="4545" w:type="dxa"/>
            <w:shd w:val="clear" w:color="000000" w:fill="FFFFFF"/>
            <w:vAlign w:val="bottom"/>
            <w:hideMark/>
          </w:tcPr>
          <w:p w14:paraId="629C31D2"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Other long-term liabilities</w:t>
            </w:r>
          </w:p>
        </w:tc>
        <w:tc>
          <w:tcPr>
            <w:tcW w:w="1687" w:type="dxa"/>
            <w:shd w:val="clear" w:color="auto" w:fill="auto"/>
            <w:noWrap/>
            <w:vAlign w:val="bottom"/>
            <w:hideMark/>
          </w:tcPr>
          <w:p w14:paraId="1D30436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10495</w:t>
            </w:r>
          </w:p>
        </w:tc>
        <w:tc>
          <w:tcPr>
            <w:tcW w:w="1508" w:type="dxa"/>
            <w:shd w:val="clear" w:color="auto" w:fill="auto"/>
            <w:noWrap/>
            <w:vAlign w:val="bottom"/>
            <w:hideMark/>
          </w:tcPr>
          <w:p w14:paraId="5F964811"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8153</w:t>
            </w:r>
          </w:p>
        </w:tc>
      </w:tr>
      <w:tr w:rsidR="004B3222" w:rsidRPr="004B3222" w14:paraId="4A340D19" w14:textId="77777777" w:rsidTr="008C7028">
        <w:trPr>
          <w:trHeight w:val="288"/>
        </w:trPr>
        <w:tc>
          <w:tcPr>
            <w:tcW w:w="4545" w:type="dxa"/>
            <w:shd w:val="clear" w:color="000000" w:fill="FFFFFF"/>
            <w:vAlign w:val="bottom"/>
            <w:hideMark/>
          </w:tcPr>
          <w:p w14:paraId="70EA4162" w14:textId="77777777" w:rsidR="004B3222" w:rsidRPr="004B3222" w:rsidRDefault="004B3222" w:rsidP="004B3222">
            <w:pPr>
              <w:spacing w:after="0" w:line="240" w:lineRule="auto"/>
              <w:ind w:firstLineChars="200" w:firstLine="440"/>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Total liabilities</w:t>
            </w:r>
          </w:p>
        </w:tc>
        <w:tc>
          <w:tcPr>
            <w:tcW w:w="1687" w:type="dxa"/>
            <w:shd w:val="clear" w:color="auto" w:fill="auto"/>
            <w:noWrap/>
            <w:vAlign w:val="bottom"/>
            <w:hideMark/>
          </w:tcPr>
          <w:p w14:paraId="65DB2E3B"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48390</w:t>
            </w:r>
          </w:p>
        </w:tc>
        <w:tc>
          <w:tcPr>
            <w:tcW w:w="1508" w:type="dxa"/>
            <w:shd w:val="clear" w:color="auto" w:fill="auto"/>
            <w:noWrap/>
            <w:vAlign w:val="bottom"/>
            <w:hideMark/>
          </w:tcPr>
          <w:p w14:paraId="2489815A"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43009</w:t>
            </w:r>
          </w:p>
        </w:tc>
      </w:tr>
      <w:tr w:rsidR="004B3222" w:rsidRPr="004B3222" w14:paraId="7AFEEC3F" w14:textId="77777777" w:rsidTr="008C7028">
        <w:trPr>
          <w:trHeight w:val="480"/>
        </w:trPr>
        <w:tc>
          <w:tcPr>
            <w:tcW w:w="4545" w:type="dxa"/>
            <w:shd w:val="clear" w:color="000000" w:fill="FFFFFF"/>
            <w:vAlign w:val="bottom"/>
            <w:hideMark/>
          </w:tcPr>
          <w:p w14:paraId="49E742C9"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Commitments and contingencies (Note 14)</w:t>
            </w:r>
          </w:p>
        </w:tc>
        <w:tc>
          <w:tcPr>
            <w:tcW w:w="1687" w:type="dxa"/>
            <w:shd w:val="clear" w:color="auto" w:fill="auto"/>
            <w:noWrap/>
            <w:vAlign w:val="bottom"/>
            <w:hideMark/>
          </w:tcPr>
          <w:p w14:paraId="47F9F688"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5B738D41"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4219B130" w14:textId="77777777" w:rsidTr="008C7028">
        <w:trPr>
          <w:trHeight w:val="780"/>
        </w:trPr>
        <w:tc>
          <w:tcPr>
            <w:tcW w:w="4545" w:type="dxa"/>
            <w:shd w:val="clear" w:color="000000" w:fill="FFFFFF"/>
            <w:vAlign w:val="bottom"/>
            <w:hideMark/>
          </w:tcPr>
          <w:p w14:paraId="20BA33D6"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Redeemable noncontrolling interests in subsidiaries</w:t>
            </w:r>
          </w:p>
        </w:tc>
        <w:tc>
          <w:tcPr>
            <w:tcW w:w="1687" w:type="dxa"/>
            <w:shd w:val="clear" w:color="auto" w:fill="auto"/>
            <w:noWrap/>
            <w:vAlign w:val="bottom"/>
            <w:hideMark/>
          </w:tcPr>
          <w:p w14:paraId="22635177"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63</w:t>
            </w:r>
          </w:p>
        </w:tc>
        <w:tc>
          <w:tcPr>
            <w:tcW w:w="1508" w:type="dxa"/>
            <w:shd w:val="clear" w:color="auto" w:fill="auto"/>
            <w:noWrap/>
            <w:vAlign w:val="bottom"/>
            <w:hideMark/>
          </w:tcPr>
          <w:p w14:paraId="573908F6"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242</w:t>
            </w:r>
          </w:p>
        </w:tc>
      </w:tr>
      <w:tr w:rsidR="004B3222" w:rsidRPr="004B3222" w14:paraId="163A6466" w14:textId="77777777" w:rsidTr="008C7028">
        <w:trPr>
          <w:trHeight w:val="312"/>
        </w:trPr>
        <w:tc>
          <w:tcPr>
            <w:tcW w:w="4545" w:type="dxa"/>
            <w:shd w:val="clear" w:color="000000" w:fill="FFFFFF"/>
            <w:vAlign w:val="bottom"/>
            <w:hideMark/>
          </w:tcPr>
          <w:p w14:paraId="6EAF66E3" w14:textId="77777777" w:rsidR="004B3222" w:rsidRPr="004B3222" w:rsidRDefault="004B3222"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Equity</w:t>
            </w:r>
          </w:p>
        </w:tc>
        <w:tc>
          <w:tcPr>
            <w:tcW w:w="1687" w:type="dxa"/>
            <w:shd w:val="clear" w:color="auto" w:fill="auto"/>
            <w:noWrap/>
            <w:vAlign w:val="bottom"/>
            <w:hideMark/>
          </w:tcPr>
          <w:p w14:paraId="5A0AF43F"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7148F05F"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02674F25" w14:textId="77777777" w:rsidTr="008C7028">
        <w:trPr>
          <w:trHeight w:val="492"/>
        </w:trPr>
        <w:tc>
          <w:tcPr>
            <w:tcW w:w="4545" w:type="dxa"/>
            <w:shd w:val="clear" w:color="000000" w:fill="FFFFFF"/>
            <w:vAlign w:val="bottom"/>
            <w:hideMark/>
          </w:tcPr>
          <w:p w14:paraId="592A6882"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Stockholders’ equity</w:t>
            </w:r>
          </w:p>
        </w:tc>
        <w:tc>
          <w:tcPr>
            <w:tcW w:w="1687" w:type="dxa"/>
            <w:shd w:val="clear" w:color="auto" w:fill="auto"/>
            <w:noWrap/>
            <w:vAlign w:val="bottom"/>
            <w:hideMark/>
          </w:tcPr>
          <w:p w14:paraId="4AF819B2"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2AFE8CAB"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1C4D6041" w14:textId="77777777" w:rsidTr="008C7028">
        <w:trPr>
          <w:trHeight w:val="1608"/>
        </w:trPr>
        <w:tc>
          <w:tcPr>
            <w:tcW w:w="4545" w:type="dxa"/>
            <w:shd w:val="clear" w:color="000000" w:fill="FFFFFF"/>
            <w:vAlign w:val="center"/>
            <w:hideMark/>
          </w:tcPr>
          <w:p w14:paraId="5053FBCF" w14:textId="77777777" w:rsidR="004B3222" w:rsidRPr="004B3222" w:rsidRDefault="004B3222"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lastRenderedPageBreak/>
              <w:t>Preferred stock; $0.001 par value; 100 shares authorized; no shares issued and outstanding</w:t>
            </w:r>
          </w:p>
        </w:tc>
        <w:tc>
          <w:tcPr>
            <w:tcW w:w="1687" w:type="dxa"/>
            <w:shd w:val="clear" w:color="auto" w:fill="auto"/>
            <w:noWrap/>
            <w:vAlign w:val="bottom"/>
            <w:hideMark/>
          </w:tcPr>
          <w:p w14:paraId="40F004F9"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08" w:type="dxa"/>
            <w:shd w:val="clear" w:color="auto" w:fill="auto"/>
            <w:noWrap/>
            <w:vAlign w:val="bottom"/>
            <w:hideMark/>
          </w:tcPr>
          <w:p w14:paraId="52FBADF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4B3222" w:rsidRPr="004B3222" w14:paraId="77B1F0CF" w14:textId="77777777" w:rsidTr="008C7028">
        <w:trPr>
          <w:trHeight w:val="1440"/>
        </w:trPr>
        <w:tc>
          <w:tcPr>
            <w:tcW w:w="4545" w:type="dxa"/>
            <w:shd w:val="clear" w:color="000000" w:fill="FFFFFF"/>
            <w:vAlign w:val="center"/>
            <w:hideMark/>
          </w:tcPr>
          <w:p w14:paraId="5F7265B1" w14:textId="3F78D6E2" w:rsidR="004B3222" w:rsidRPr="004B3222" w:rsidRDefault="004B3222"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Common stock; $0.001 par value; 6,000 shares authorized; 3,216 and 3,185 shares issued and outstanding as of December 31,2024 and December 31, 2023, respectively</w:t>
            </w:r>
          </w:p>
        </w:tc>
        <w:tc>
          <w:tcPr>
            <w:tcW w:w="1687" w:type="dxa"/>
            <w:shd w:val="clear" w:color="auto" w:fill="auto"/>
            <w:noWrap/>
            <w:vAlign w:val="bottom"/>
            <w:hideMark/>
          </w:tcPr>
          <w:p w14:paraId="42B42D76"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w:t>
            </w:r>
          </w:p>
        </w:tc>
        <w:tc>
          <w:tcPr>
            <w:tcW w:w="1508" w:type="dxa"/>
            <w:shd w:val="clear" w:color="auto" w:fill="auto"/>
            <w:noWrap/>
            <w:vAlign w:val="bottom"/>
            <w:hideMark/>
          </w:tcPr>
          <w:p w14:paraId="1540F2DE"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w:t>
            </w:r>
          </w:p>
        </w:tc>
      </w:tr>
      <w:tr w:rsidR="004B3222" w:rsidRPr="004B3222" w14:paraId="2E3A8E65" w14:textId="77777777" w:rsidTr="008C7028">
        <w:trPr>
          <w:trHeight w:val="288"/>
        </w:trPr>
        <w:tc>
          <w:tcPr>
            <w:tcW w:w="4545" w:type="dxa"/>
            <w:shd w:val="clear" w:color="000000" w:fill="FFFFFF"/>
            <w:vAlign w:val="bottom"/>
            <w:hideMark/>
          </w:tcPr>
          <w:p w14:paraId="00701DF4"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Additional paid-in capital</w:t>
            </w:r>
          </w:p>
        </w:tc>
        <w:tc>
          <w:tcPr>
            <w:tcW w:w="1687" w:type="dxa"/>
            <w:shd w:val="clear" w:color="auto" w:fill="auto"/>
            <w:noWrap/>
            <w:vAlign w:val="bottom"/>
            <w:hideMark/>
          </w:tcPr>
          <w:p w14:paraId="6839CAB7"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38371</w:t>
            </w:r>
          </w:p>
        </w:tc>
        <w:tc>
          <w:tcPr>
            <w:tcW w:w="1508" w:type="dxa"/>
            <w:shd w:val="clear" w:color="auto" w:fill="auto"/>
            <w:noWrap/>
            <w:vAlign w:val="bottom"/>
            <w:hideMark/>
          </w:tcPr>
          <w:p w14:paraId="0C22CDB7"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34892</w:t>
            </w:r>
          </w:p>
        </w:tc>
      </w:tr>
      <w:tr w:rsidR="004B3222" w:rsidRPr="004B3222" w14:paraId="5C3F22B0" w14:textId="77777777" w:rsidTr="008C7028">
        <w:trPr>
          <w:trHeight w:val="288"/>
        </w:trPr>
        <w:tc>
          <w:tcPr>
            <w:tcW w:w="4545" w:type="dxa"/>
            <w:shd w:val="clear" w:color="000000" w:fill="FFFFFF"/>
            <w:vAlign w:val="bottom"/>
            <w:hideMark/>
          </w:tcPr>
          <w:p w14:paraId="177572EA"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Accumulated other comprehensive loss</w:t>
            </w:r>
          </w:p>
        </w:tc>
        <w:tc>
          <w:tcPr>
            <w:tcW w:w="1687" w:type="dxa"/>
            <w:shd w:val="clear" w:color="auto" w:fill="auto"/>
            <w:noWrap/>
            <w:vAlign w:val="bottom"/>
            <w:hideMark/>
          </w:tcPr>
          <w:p w14:paraId="0FC633A8"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-670</w:t>
            </w:r>
          </w:p>
        </w:tc>
        <w:tc>
          <w:tcPr>
            <w:tcW w:w="1508" w:type="dxa"/>
            <w:shd w:val="clear" w:color="auto" w:fill="auto"/>
            <w:noWrap/>
            <w:vAlign w:val="bottom"/>
            <w:hideMark/>
          </w:tcPr>
          <w:p w14:paraId="41B873CC"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-143</w:t>
            </w:r>
          </w:p>
        </w:tc>
      </w:tr>
      <w:tr w:rsidR="004B3222" w:rsidRPr="004B3222" w14:paraId="5EF61D03" w14:textId="77777777" w:rsidTr="008C7028">
        <w:trPr>
          <w:trHeight w:val="288"/>
        </w:trPr>
        <w:tc>
          <w:tcPr>
            <w:tcW w:w="4545" w:type="dxa"/>
            <w:shd w:val="clear" w:color="000000" w:fill="FFFFFF"/>
            <w:vAlign w:val="bottom"/>
            <w:hideMark/>
          </w:tcPr>
          <w:p w14:paraId="7D22A202" w14:textId="77777777" w:rsidR="004B3222" w:rsidRPr="004B3222" w:rsidRDefault="004B3222"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Retained earnings</w:t>
            </w:r>
          </w:p>
        </w:tc>
        <w:tc>
          <w:tcPr>
            <w:tcW w:w="1687" w:type="dxa"/>
            <w:shd w:val="clear" w:color="auto" w:fill="auto"/>
            <w:noWrap/>
            <w:vAlign w:val="bottom"/>
            <w:hideMark/>
          </w:tcPr>
          <w:p w14:paraId="34AE326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35209</w:t>
            </w:r>
          </w:p>
        </w:tc>
        <w:tc>
          <w:tcPr>
            <w:tcW w:w="1508" w:type="dxa"/>
            <w:shd w:val="clear" w:color="auto" w:fill="auto"/>
            <w:noWrap/>
            <w:vAlign w:val="bottom"/>
            <w:hideMark/>
          </w:tcPr>
          <w:p w14:paraId="19D01659"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27882</w:t>
            </w:r>
          </w:p>
        </w:tc>
      </w:tr>
      <w:tr w:rsidR="004B3222" w:rsidRPr="004B3222" w14:paraId="41830D1F" w14:textId="77777777" w:rsidTr="008C7028">
        <w:trPr>
          <w:trHeight w:val="468"/>
        </w:trPr>
        <w:tc>
          <w:tcPr>
            <w:tcW w:w="4545" w:type="dxa"/>
            <w:shd w:val="clear" w:color="000000" w:fill="FFFFFF"/>
            <w:vAlign w:val="bottom"/>
            <w:hideMark/>
          </w:tcPr>
          <w:p w14:paraId="22C3DD46" w14:textId="77777777" w:rsidR="004B3222" w:rsidRPr="004B3222" w:rsidRDefault="004B3222"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stockholders’ equity</w:t>
            </w:r>
          </w:p>
        </w:tc>
        <w:tc>
          <w:tcPr>
            <w:tcW w:w="1687" w:type="dxa"/>
            <w:shd w:val="clear" w:color="auto" w:fill="auto"/>
            <w:noWrap/>
            <w:vAlign w:val="bottom"/>
            <w:hideMark/>
          </w:tcPr>
          <w:p w14:paraId="4F0C9075"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72913</w:t>
            </w:r>
          </w:p>
        </w:tc>
        <w:tc>
          <w:tcPr>
            <w:tcW w:w="1508" w:type="dxa"/>
            <w:shd w:val="clear" w:color="auto" w:fill="auto"/>
            <w:noWrap/>
            <w:vAlign w:val="bottom"/>
            <w:hideMark/>
          </w:tcPr>
          <w:p w14:paraId="300EC407"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62634</w:t>
            </w:r>
          </w:p>
        </w:tc>
      </w:tr>
      <w:tr w:rsidR="004B3222" w:rsidRPr="004B3222" w14:paraId="74055E64" w14:textId="77777777" w:rsidTr="008C7028">
        <w:trPr>
          <w:trHeight w:val="288"/>
        </w:trPr>
        <w:tc>
          <w:tcPr>
            <w:tcW w:w="4545" w:type="dxa"/>
            <w:shd w:val="clear" w:color="000000" w:fill="FFFFFF"/>
            <w:vAlign w:val="bottom"/>
            <w:hideMark/>
          </w:tcPr>
          <w:p w14:paraId="5B9B2A2A"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Noncontrolling interests in subsidiaries</w:t>
            </w:r>
          </w:p>
        </w:tc>
        <w:tc>
          <w:tcPr>
            <w:tcW w:w="1687" w:type="dxa"/>
            <w:shd w:val="clear" w:color="auto" w:fill="auto"/>
            <w:noWrap/>
            <w:vAlign w:val="bottom"/>
            <w:hideMark/>
          </w:tcPr>
          <w:p w14:paraId="6AAD672B"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704</w:t>
            </w:r>
          </w:p>
        </w:tc>
        <w:tc>
          <w:tcPr>
            <w:tcW w:w="1508" w:type="dxa"/>
            <w:shd w:val="clear" w:color="auto" w:fill="auto"/>
            <w:noWrap/>
            <w:vAlign w:val="bottom"/>
            <w:hideMark/>
          </w:tcPr>
          <w:p w14:paraId="195BDBA1"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733</w:t>
            </w:r>
          </w:p>
        </w:tc>
      </w:tr>
      <w:tr w:rsidR="004B3222" w:rsidRPr="004B3222" w14:paraId="5FDE93BB" w14:textId="77777777" w:rsidTr="008C7028">
        <w:trPr>
          <w:trHeight w:val="288"/>
        </w:trPr>
        <w:tc>
          <w:tcPr>
            <w:tcW w:w="4545" w:type="dxa"/>
            <w:shd w:val="clear" w:color="000000" w:fill="FFFFFF"/>
            <w:vAlign w:val="bottom"/>
            <w:hideMark/>
          </w:tcPr>
          <w:p w14:paraId="0D03174B" w14:textId="77777777" w:rsidR="004B3222" w:rsidRPr="004B3222" w:rsidRDefault="004B3222" w:rsidP="004B3222">
            <w:pPr>
              <w:spacing w:after="0" w:line="240" w:lineRule="auto"/>
              <w:ind w:firstLineChars="200" w:firstLine="440"/>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Total liabilities and equity</w:t>
            </w:r>
          </w:p>
        </w:tc>
        <w:tc>
          <w:tcPr>
            <w:tcW w:w="1687" w:type="dxa"/>
            <w:shd w:val="clear" w:color="auto" w:fill="auto"/>
            <w:noWrap/>
            <w:vAlign w:val="bottom"/>
            <w:hideMark/>
          </w:tcPr>
          <w:p w14:paraId="4AA1608D"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122070</w:t>
            </w:r>
          </w:p>
        </w:tc>
        <w:tc>
          <w:tcPr>
            <w:tcW w:w="1508" w:type="dxa"/>
            <w:shd w:val="clear" w:color="auto" w:fill="auto"/>
            <w:noWrap/>
            <w:vAlign w:val="bottom"/>
            <w:hideMark/>
          </w:tcPr>
          <w:p w14:paraId="2C01E5EE" w14:textId="77777777" w:rsidR="004B3222" w:rsidRPr="004B3222" w:rsidRDefault="004B3222"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106618</w:t>
            </w:r>
          </w:p>
        </w:tc>
      </w:tr>
    </w:tbl>
    <w:p w14:paraId="4EE07497" w14:textId="77777777" w:rsidR="004B3222" w:rsidRDefault="004B3222" w:rsidP="004B3222"/>
    <w:p w14:paraId="5236C68A" w14:textId="5E3C9E3D" w:rsidR="004B3222" w:rsidRDefault="004B3222" w:rsidP="004B3222">
      <w:pPr>
        <w:rPr>
          <w:b/>
          <w:bCs/>
        </w:rPr>
      </w:pPr>
      <w:r w:rsidRPr="004B3222">
        <w:rPr>
          <w:b/>
          <w:bCs/>
        </w:rPr>
        <w:t>P&amp;L Statement</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1849"/>
        <w:gridCol w:w="1553"/>
      </w:tblGrid>
      <w:tr w:rsidR="008C7028" w:rsidRPr="004B3222" w14:paraId="35E99E5A" w14:textId="77777777" w:rsidTr="008C7028">
        <w:trPr>
          <w:trHeight w:val="408"/>
        </w:trPr>
        <w:tc>
          <w:tcPr>
            <w:tcW w:w="4531" w:type="dxa"/>
            <w:shd w:val="clear" w:color="000000" w:fill="FFFFFF"/>
            <w:vAlign w:val="center"/>
            <w:hideMark/>
          </w:tcPr>
          <w:p w14:paraId="7F19A376" w14:textId="597A96B8" w:rsidR="008C7028" w:rsidRPr="004B3222" w:rsidRDefault="008C7028" w:rsidP="004B3222">
            <w:pPr>
              <w:spacing w:after="0" w:line="240" w:lineRule="auto"/>
              <w:jc w:val="center"/>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9" w:type="dxa"/>
            <w:shd w:val="clear" w:color="000000" w:fill="FFFFFF"/>
            <w:noWrap/>
            <w:vAlign w:val="bottom"/>
            <w:hideMark/>
          </w:tcPr>
          <w:p w14:paraId="15A0EBEB" w14:textId="4322E0E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December 31,</w:t>
            </w:r>
          </w:p>
        </w:tc>
        <w:tc>
          <w:tcPr>
            <w:tcW w:w="1553" w:type="dxa"/>
            <w:shd w:val="clear" w:color="000000" w:fill="FFFFFF"/>
            <w:noWrap/>
            <w:vAlign w:val="bottom"/>
            <w:hideMark/>
          </w:tcPr>
          <w:p w14:paraId="59874832" w14:textId="5FE312B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December</w:t>
            </w:r>
            <w:r>
              <w:rPr>
                <w:rFonts w:ascii="Calibri" w:eastAsia="Times New Roman" w:hAnsi="Calibri" w:cs="Calibri"/>
                <w:b/>
                <w:bCs/>
                <w:color w:val="000000"/>
                <w:kern w:val="0"/>
                <w:sz w:val="22"/>
                <w:szCs w:val="22"/>
                <w:lang w:eastAsia="en-IN"/>
                <w14:ligatures w14:val="none"/>
              </w:rPr>
              <w:t xml:space="preserve"> </w:t>
            </w:r>
            <w:r w:rsidRPr="004B3222">
              <w:rPr>
                <w:rFonts w:ascii="Calibri" w:eastAsia="Times New Roman" w:hAnsi="Calibri" w:cs="Calibri"/>
                <w:b/>
                <w:bCs/>
                <w:color w:val="000000"/>
                <w:kern w:val="0"/>
                <w:sz w:val="22"/>
                <w:szCs w:val="22"/>
                <w:lang w:eastAsia="en-IN"/>
                <w14:ligatures w14:val="none"/>
              </w:rPr>
              <w:t>31,</w:t>
            </w:r>
          </w:p>
        </w:tc>
      </w:tr>
      <w:tr w:rsidR="008C7028" w:rsidRPr="004B3222" w14:paraId="2B8AEEF6" w14:textId="77777777" w:rsidTr="008C7028">
        <w:trPr>
          <w:trHeight w:val="300"/>
        </w:trPr>
        <w:tc>
          <w:tcPr>
            <w:tcW w:w="4531" w:type="dxa"/>
            <w:shd w:val="clear" w:color="000000" w:fill="FFFFFF"/>
            <w:vAlign w:val="center"/>
            <w:hideMark/>
          </w:tcPr>
          <w:p w14:paraId="5E6CA3A8" w14:textId="5DC81917"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9" w:type="dxa"/>
            <w:shd w:val="clear" w:color="000000" w:fill="FFFFFF"/>
            <w:vAlign w:val="bottom"/>
            <w:hideMark/>
          </w:tcPr>
          <w:p w14:paraId="08CF5062" w14:textId="5E76D13B"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2024</w:t>
            </w:r>
          </w:p>
        </w:tc>
        <w:tc>
          <w:tcPr>
            <w:tcW w:w="1553" w:type="dxa"/>
            <w:shd w:val="clear" w:color="000000" w:fill="FFFFFF"/>
            <w:vAlign w:val="bottom"/>
            <w:hideMark/>
          </w:tcPr>
          <w:p w14:paraId="144B65BE" w14:textId="00848AB0"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2023</w:t>
            </w:r>
          </w:p>
        </w:tc>
      </w:tr>
      <w:tr w:rsidR="008C7028" w:rsidRPr="004B3222" w14:paraId="0435A92E" w14:textId="77777777" w:rsidTr="008C7028">
        <w:trPr>
          <w:trHeight w:val="312"/>
        </w:trPr>
        <w:tc>
          <w:tcPr>
            <w:tcW w:w="4531" w:type="dxa"/>
            <w:shd w:val="clear" w:color="000000" w:fill="FFFFFF"/>
            <w:hideMark/>
          </w:tcPr>
          <w:p w14:paraId="0BFE0B0B" w14:textId="7BA8C579"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Revenues</w:t>
            </w:r>
          </w:p>
        </w:tc>
        <w:tc>
          <w:tcPr>
            <w:tcW w:w="1849" w:type="dxa"/>
            <w:shd w:val="clear" w:color="auto" w:fill="auto"/>
            <w:vAlign w:val="bottom"/>
            <w:hideMark/>
          </w:tcPr>
          <w:p w14:paraId="2BFA56E6" w14:textId="3F5F4948"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3" w:type="dxa"/>
            <w:shd w:val="clear" w:color="auto" w:fill="auto"/>
            <w:vAlign w:val="bottom"/>
            <w:hideMark/>
          </w:tcPr>
          <w:p w14:paraId="3DE48E58" w14:textId="05C1FB0C"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295138D2" w14:textId="77777777" w:rsidTr="008C7028">
        <w:trPr>
          <w:trHeight w:val="312"/>
        </w:trPr>
        <w:tc>
          <w:tcPr>
            <w:tcW w:w="4531" w:type="dxa"/>
            <w:shd w:val="clear" w:color="000000" w:fill="FFFFFF"/>
            <w:hideMark/>
          </w:tcPr>
          <w:p w14:paraId="19A7E9B5" w14:textId="165B3FC1"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Automotive sales</w:t>
            </w:r>
          </w:p>
        </w:tc>
        <w:tc>
          <w:tcPr>
            <w:tcW w:w="1849" w:type="dxa"/>
            <w:shd w:val="clear" w:color="auto" w:fill="auto"/>
            <w:noWrap/>
            <w:vAlign w:val="bottom"/>
            <w:hideMark/>
          </w:tcPr>
          <w:p w14:paraId="59BD8DBC" w14:textId="14795BB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72480</w:t>
            </w:r>
          </w:p>
        </w:tc>
        <w:tc>
          <w:tcPr>
            <w:tcW w:w="1553" w:type="dxa"/>
            <w:shd w:val="clear" w:color="auto" w:fill="auto"/>
            <w:noWrap/>
            <w:vAlign w:val="bottom"/>
            <w:hideMark/>
          </w:tcPr>
          <w:p w14:paraId="57F33BFD" w14:textId="03B87AE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78509</w:t>
            </w:r>
          </w:p>
        </w:tc>
      </w:tr>
      <w:tr w:rsidR="008C7028" w:rsidRPr="004B3222" w14:paraId="57EE2256" w14:textId="77777777" w:rsidTr="008C7028">
        <w:trPr>
          <w:trHeight w:val="288"/>
        </w:trPr>
        <w:tc>
          <w:tcPr>
            <w:tcW w:w="4531" w:type="dxa"/>
            <w:shd w:val="clear" w:color="000000" w:fill="FFFFFF"/>
            <w:hideMark/>
          </w:tcPr>
          <w:p w14:paraId="2BFD96F3" w14:textId="34C0B8A3"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Automotive regulatory credits</w:t>
            </w:r>
          </w:p>
        </w:tc>
        <w:tc>
          <w:tcPr>
            <w:tcW w:w="1849" w:type="dxa"/>
            <w:shd w:val="clear" w:color="auto" w:fill="auto"/>
            <w:noWrap/>
            <w:vAlign w:val="bottom"/>
            <w:hideMark/>
          </w:tcPr>
          <w:p w14:paraId="3A94A6C5" w14:textId="789A4CC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2763</w:t>
            </w:r>
          </w:p>
        </w:tc>
        <w:tc>
          <w:tcPr>
            <w:tcW w:w="1553" w:type="dxa"/>
            <w:shd w:val="clear" w:color="auto" w:fill="auto"/>
            <w:noWrap/>
            <w:vAlign w:val="bottom"/>
            <w:hideMark/>
          </w:tcPr>
          <w:p w14:paraId="73CE99C5" w14:textId="39C7964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1790</w:t>
            </w:r>
          </w:p>
        </w:tc>
      </w:tr>
      <w:tr w:rsidR="008C7028" w:rsidRPr="004B3222" w14:paraId="071264E1" w14:textId="77777777" w:rsidTr="008C7028">
        <w:trPr>
          <w:trHeight w:val="288"/>
        </w:trPr>
        <w:tc>
          <w:tcPr>
            <w:tcW w:w="4531" w:type="dxa"/>
            <w:shd w:val="clear" w:color="000000" w:fill="FFFFFF"/>
            <w:hideMark/>
          </w:tcPr>
          <w:p w14:paraId="65A81C2D" w14:textId="1B4AAD50"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Automotive leasing</w:t>
            </w:r>
          </w:p>
        </w:tc>
        <w:tc>
          <w:tcPr>
            <w:tcW w:w="1849" w:type="dxa"/>
            <w:shd w:val="clear" w:color="auto" w:fill="auto"/>
            <w:noWrap/>
            <w:vAlign w:val="bottom"/>
            <w:hideMark/>
          </w:tcPr>
          <w:p w14:paraId="7D4DC981" w14:textId="424EC56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1827</w:t>
            </w:r>
          </w:p>
        </w:tc>
        <w:tc>
          <w:tcPr>
            <w:tcW w:w="1553" w:type="dxa"/>
            <w:shd w:val="clear" w:color="auto" w:fill="auto"/>
            <w:noWrap/>
            <w:vAlign w:val="bottom"/>
            <w:hideMark/>
          </w:tcPr>
          <w:p w14:paraId="2C384DEE" w14:textId="3654DC9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2120</w:t>
            </w:r>
          </w:p>
        </w:tc>
      </w:tr>
      <w:tr w:rsidR="008C7028" w:rsidRPr="004B3222" w14:paraId="6E245344" w14:textId="77777777" w:rsidTr="008C7028">
        <w:trPr>
          <w:trHeight w:val="288"/>
        </w:trPr>
        <w:tc>
          <w:tcPr>
            <w:tcW w:w="4531" w:type="dxa"/>
            <w:shd w:val="clear" w:color="000000" w:fill="FFFFFF"/>
            <w:hideMark/>
          </w:tcPr>
          <w:p w14:paraId="67B4AECD" w14:textId="0D952408"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automotive revenues</w:t>
            </w:r>
          </w:p>
        </w:tc>
        <w:tc>
          <w:tcPr>
            <w:tcW w:w="1849" w:type="dxa"/>
            <w:shd w:val="clear" w:color="auto" w:fill="auto"/>
            <w:noWrap/>
            <w:vAlign w:val="bottom"/>
            <w:hideMark/>
          </w:tcPr>
          <w:p w14:paraId="19A2EEFA" w14:textId="21440FE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77070</w:t>
            </w:r>
          </w:p>
        </w:tc>
        <w:tc>
          <w:tcPr>
            <w:tcW w:w="1553" w:type="dxa"/>
            <w:shd w:val="clear" w:color="auto" w:fill="auto"/>
            <w:noWrap/>
            <w:vAlign w:val="bottom"/>
            <w:hideMark/>
          </w:tcPr>
          <w:p w14:paraId="1AB6B401" w14:textId="2233D4C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82419</w:t>
            </w:r>
          </w:p>
        </w:tc>
      </w:tr>
      <w:tr w:rsidR="008C7028" w:rsidRPr="004B3222" w14:paraId="56DCFEC3" w14:textId="77777777" w:rsidTr="008C7028">
        <w:trPr>
          <w:trHeight w:val="288"/>
        </w:trPr>
        <w:tc>
          <w:tcPr>
            <w:tcW w:w="4531" w:type="dxa"/>
            <w:shd w:val="clear" w:color="000000" w:fill="FFFFFF"/>
            <w:hideMark/>
          </w:tcPr>
          <w:p w14:paraId="029B4DCB" w14:textId="2639854D"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Energy generation and storage</w:t>
            </w:r>
          </w:p>
        </w:tc>
        <w:tc>
          <w:tcPr>
            <w:tcW w:w="1849" w:type="dxa"/>
            <w:shd w:val="clear" w:color="auto" w:fill="auto"/>
            <w:noWrap/>
            <w:vAlign w:val="bottom"/>
            <w:hideMark/>
          </w:tcPr>
          <w:p w14:paraId="1B04226A" w14:textId="43EF857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10086</w:t>
            </w:r>
          </w:p>
        </w:tc>
        <w:tc>
          <w:tcPr>
            <w:tcW w:w="1553" w:type="dxa"/>
            <w:shd w:val="clear" w:color="auto" w:fill="auto"/>
            <w:noWrap/>
            <w:vAlign w:val="bottom"/>
            <w:hideMark/>
          </w:tcPr>
          <w:p w14:paraId="08A902CC" w14:textId="4E128AE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6035</w:t>
            </w:r>
          </w:p>
        </w:tc>
      </w:tr>
      <w:tr w:rsidR="008C7028" w:rsidRPr="004B3222" w14:paraId="7A72D0D7" w14:textId="77777777" w:rsidTr="008C7028">
        <w:trPr>
          <w:trHeight w:val="288"/>
        </w:trPr>
        <w:tc>
          <w:tcPr>
            <w:tcW w:w="4531" w:type="dxa"/>
            <w:shd w:val="clear" w:color="000000" w:fill="FFFFFF"/>
            <w:hideMark/>
          </w:tcPr>
          <w:p w14:paraId="77265095" w14:textId="6471EBC3"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Services and other</w:t>
            </w:r>
          </w:p>
        </w:tc>
        <w:tc>
          <w:tcPr>
            <w:tcW w:w="1849" w:type="dxa"/>
            <w:shd w:val="clear" w:color="auto" w:fill="auto"/>
            <w:noWrap/>
            <w:vAlign w:val="bottom"/>
            <w:hideMark/>
          </w:tcPr>
          <w:p w14:paraId="13EE6ADA" w14:textId="07FD100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10534</w:t>
            </w:r>
          </w:p>
        </w:tc>
        <w:tc>
          <w:tcPr>
            <w:tcW w:w="1553" w:type="dxa"/>
            <w:shd w:val="clear" w:color="auto" w:fill="auto"/>
            <w:noWrap/>
            <w:vAlign w:val="bottom"/>
            <w:hideMark/>
          </w:tcPr>
          <w:p w14:paraId="3C85F773" w14:textId="60A984A0"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8319</w:t>
            </w:r>
          </w:p>
        </w:tc>
      </w:tr>
      <w:tr w:rsidR="008C7028" w:rsidRPr="004B3222" w14:paraId="7EE921AF" w14:textId="77777777" w:rsidTr="008C7028">
        <w:trPr>
          <w:trHeight w:val="288"/>
        </w:trPr>
        <w:tc>
          <w:tcPr>
            <w:tcW w:w="4531" w:type="dxa"/>
            <w:shd w:val="clear" w:color="000000" w:fill="FFFFFF"/>
            <w:hideMark/>
          </w:tcPr>
          <w:p w14:paraId="21C2AEAF" w14:textId="763BF2D4"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revenues</w:t>
            </w:r>
          </w:p>
        </w:tc>
        <w:tc>
          <w:tcPr>
            <w:tcW w:w="1849" w:type="dxa"/>
            <w:shd w:val="clear" w:color="auto" w:fill="auto"/>
            <w:noWrap/>
            <w:vAlign w:val="bottom"/>
            <w:hideMark/>
          </w:tcPr>
          <w:p w14:paraId="44B43CAD" w14:textId="44B384B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97690</w:t>
            </w:r>
          </w:p>
        </w:tc>
        <w:tc>
          <w:tcPr>
            <w:tcW w:w="1553" w:type="dxa"/>
            <w:shd w:val="clear" w:color="auto" w:fill="auto"/>
            <w:noWrap/>
            <w:vAlign w:val="bottom"/>
            <w:hideMark/>
          </w:tcPr>
          <w:p w14:paraId="51888F2A" w14:textId="4903585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96773</w:t>
            </w:r>
          </w:p>
        </w:tc>
      </w:tr>
      <w:tr w:rsidR="008C7028" w:rsidRPr="004B3222" w14:paraId="19EB8D20" w14:textId="77777777" w:rsidTr="008C7028">
        <w:trPr>
          <w:trHeight w:val="288"/>
        </w:trPr>
        <w:tc>
          <w:tcPr>
            <w:tcW w:w="4531" w:type="dxa"/>
            <w:shd w:val="clear" w:color="000000" w:fill="FFFFFF"/>
            <w:hideMark/>
          </w:tcPr>
          <w:p w14:paraId="50BE3833" w14:textId="4CB0563D"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Cost of revenues</w:t>
            </w:r>
          </w:p>
        </w:tc>
        <w:tc>
          <w:tcPr>
            <w:tcW w:w="1849" w:type="dxa"/>
            <w:shd w:val="clear" w:color="auto" w:fill="auto"/>
            <w:noWrap/>
            <w:vAlign w:val="bottom"/>
            <w:hideMark/>
          </w:tcPr>
          <w:p w14:paraId="2C7EDFA9" w14:textId="46EBCF7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3" w:type="dxa"/>
            <w:shd w:val="clear" w:color="auto" w:fill="auto"/>
            <w:noWrap/>
            <w:vAlign w:val="bottom"/>
            <w:hideMark/>
          </w:tcPr>
          <w:p w14:paraId="1A5715C9" w14:textId="1F65DDE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77484A85" w14:textId="77777777" w:rsidTr="008C7028">
        <w:trPr>
          <w:trHeight w:val="288"/>
        </w:trPr>
        <w:tc>
          <w:tcPr>
            <w:tcW w:w="4531" w:type="dxa"/>
            <w:shd w:val="clear" w:color="000000" w:fill="FFFFFF"/>
            <w:hideMark/>
          </w:tcPr>
          <w:p w14:paraId="7C91B493" w14:textId="484940B7"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Automotive sales</w:t>
            </w:r>
          </w:p>
        </w:tc>
        <w:tc>
          <w:tcPr>
            <w:tcW w:w="1849" w:type="dxa"/>
            <w:shd w:val="clear" w:color="auto" w:fill="auto"/>
            <w:noWrap/>
            <w:vAlign w:val="bottom"/>
            <w:hideMark/>
          </w:tcPr>
          <w:p w14:paraId="7CC97531" w14:textId="065266F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61870</w:t>
            </w:r>
          </w:p>
        </w:tc>
        <w:tc>
          <w:tcPr>
            <w:tcW w:w="1553" w:type="dxa"/>
            <w:shd w:val="clear" w:color="auto" w:fill="auto"/>
            <w:noWrap/>
            <w:vAlign w:val="bottom"/>
            <w:hideMark/>
          </w:tcPr>
          <w:p w14:paraId="57A1DA80" w14:textId="2F127CF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65121</w:t>
            </w:r>
          </w:p>
        </w:tc>
      </w:tr>
      <w:tr w:rsidR="008C7028" w:rsidRPr="004B3222" w14:paraId="24677C36" w14:textId="77777777" w:rsidTr="008C7028">
        <w:trPr>
          <w:trHeight w:val="288"/>
        </w:trPr>
        <w:tc>
          <w:tcPr>
            <w:tcW w:w="4531" w:type="dxa"/>
            <w:shd w:val="clear" w:color="000000" w:fill="FFFFFF"/>
            <w:hideMark/>
          </w:tcPr>
          <w:p w14:paraId="2B5FD158" w14:textId="0B18F041"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Automotive leasing</w:t>
            </w:r>
          </w:p>
        </w:tc>
        <w:tc>
          <w:tcPr>
            <w:tcW w:w="1849" w:type="dxa"/>
            <w:shd w:val="clear" w:color="auto" w:fill="auto"/>
            <w:noWrap/>
            <w:vAlign w:val="bottom"/>
            <w:hideMark/>
          </w:tcPr>
          <w:p w14:paraId="15EEEEB8" w14:textId="77123D6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1003</w:t>
            </w:r>
          </w:p>
        </w:tc>
        <w:tc>
          <w:tcPr>
            <w:tcW w:w="1553" w:type="dxa"/>
            <w:shd w:val="clear" w:color="auto" w:fill="auto"/>
            <w:noWrap/>
            <w:vAlign w:val="bottom"/>
            <w:hideMark/>
          </w:tcPr>
          <w:p w14:paraId="0A48C2D8" w14:textId="24311EC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1268</w:t>
            </w:r>
          </w:p>
        </w:tc>
      </w:tr>
      <w:tr w:rsidR="008C7028" w:rsidRPr="004B3222" w14:paraId="397B41C8" w14:textId="77777777" w:rsidTr="008C7028">
        <w:trPr>
          <w:trHeight w:val="288"/>
        </w:trPr>
        <w:tc>
          <w:tcPr>
            <w:tcW w:w="4531" w:type="dxa"/>
            <w:shd w:val="clear" w:color="000000" w:fill="FFFFFF"/>
            <w:hideMark/>
          </w:tcPr>
          <w:p w14:paraId="3114EFBF" w14:textId="02B6B693"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automotive cost of revenues</w:t>
            </w:r>
          </w:p>
        </w:tc>
        <w:tc>
          <w:tcPr>
            <w:tcW w:w="1849" w:type="dxa"/>
            <w:shd w:val="clear" w:color="auto" w:fill="auto"/>
            <w:noWrap/>
            <w:vAlign w:val="bottom"/>
            <w:hideMark/>
          </w:tcPr>
          <w:p w14:paraId="0B3E3AD9" w14:textId="6BB43E8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62873</w:t>
            </w:r>
          </w:p>
        </w:tc>
        <w:tc>
          <w:tcPr>
            <w:tcW w:w="1553" w:type="dxa"/>
            <w:shd w:val="clear" w:color="auto" w:fill="auto"/>
            <w:noWrap/>
            <w:vAlign w:val="bottom"/>
            <w:hideMark/>
          </w:tcPr>
          <w:p w14:paraId="6D643CBE" w14:textId="2B123ABF"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66389</w:t>
            </w:r>
          </w:p>
        </w:tc>
      </w:tr>
      <w:tr w:rsidR="008C7028" w:rsidRPr="004B3222" w14:paraId="2D77C65B" w14:textId="77777777" w:rsidTr="008C7028">
        <w:trPr>
          <w:trHeight w:val="288"/>
        </w:trPr>
        <w:tc>
          <w:tcPr>
            <w:tcW w:w="4531" w:type="dxa"/>
            <w:shd w:val="clear" w:color="000000" w:fill="FFFFFF"/>
            <w:hideMark/>
          </w:tcPr>
          <w:p w14:paraId="489759C4" w14:textId="2A52A35E"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Energy generation and storage</w:t>
            </w:r>
          </w:p>
        </w:tc>
        <w:tc>
          <w:tcPr>
            <w:tcW w:w="1849" w:type="dxa"/>
            <w:shd w:val="clear" w:color="auto" w:fill="auto"/>
            <w:noWrap/>
            <w:vAlign w:val="bottom"/>
            <w:hideMark/>
          </w:tcPr>
          <w:p w14:paraId="715B924F" w14:textId="4D3B8EC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7446</w:t>
            </w:r>
          </w:p>
        </w:tc>
        <w:tc>
          <w:tcPr>
            <w:tcW w:w="1553" w:type="dxa"/>
            <w:shd w:val="clear" w:color="auto" w:fill="auto"/>
            <w:noWrap/>
            <w:vAlign w:val="bottom"/>
            <w:hideMark/>
          </w:tcPr>
          <w:p w14:paraId="6108E64B" w14:textId="3BD81E6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4894</w:t>
            </w:r>
          </w:p>
        </w:tc>
      </w:tr>
      <w:tr w:rsidR="008C7028" w:rsidRPr="004B3222" w14:paraId="1F23777F" w14:textId="77777777" w:rsidTr="008C7028">
        <w:trPr>
          <w:trHeight w:val="288"/>
        </w:trPr>
        <w:tc>
          <w:tcPr>
            <w:tcW w:w="4531" w:type="dxa"/>
            <w:shd w:val="clear" w:color="000000" w:fill="FFFFFF"/>
            <w:hideMark/>
          </w:tcPr>
          <w:p w14:paraId="6701553E" w14:textId="3E07706F"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Services and other</w:t>
            </w:r>
          </w:p>
        </w:tc>
        <w:tc>
          <w:tcPr>
            <w:tcW w:w="1849" w:type="dxa"/>
            <w:shd w:val="clear" w:color="auto" w:fill="auto"/>
            <w:noWrap/>
            <w:vAlign w:val="bottom"/>
            <w:hideMark/>
          </w:tcPr>
          <w:p w14:paraId="3930109A" w14:textId="16DA976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9921</w:t>
            </w:r>
          </w:p>
        </w:tc>
        <w:tc>
          <w:tcPr>
            <w:tcW w:w="1553" w:type="dxa"/>
            <w:shd w:val="clear" w:color="auto" w:fill="auto"/>
            <w:noWrap/>
            <w:vAlign w:val="bottom"/>
            <w:hideMark/>
          </w:tcPr>
          <w:p w14:paraId="03F9BF10" w14:textId="7F15AAD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7830</w:t>
            </w:r>
          </w:p>
        </w:tc>
      </w:tr>
      <w:tr w:rsidR="008C7028" w:rsidRPr="004B3222" w14:paraId="4958B57F" w14:textId="77777777" w:rsidTr="008C7028">
        <w:trPr>
          <w:trHeight w:val="288"/>
        </w:trPr>
        <w:tc>
          <w:tcPr>
            <w:tcW w:w="4531" w:type="dxa"/>
            <w:shd w:val="clear" w:color="000000" w:fill="FFFFFF"/>
            <w:hideMark/>
          </w:tcPr>
          <w:p w14:paraId="2EABFCD5" w14:textId="5BE7D2D7"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cost of revenues</w:t>
            </w:r>
          </w:p>
        </w:tc>
        <w:tc>
          <w:tcPr>
            <w:tcW w:w="1849" w:type="dxa"/>
            <w:shd w:val="clear" w:color="auto" w:fill="auto"/>
            <w:noWrap/>
            <w:vAlign w:val="bottom"/>
            <w:hideMark/>
          </w:tcPr>
          <w:p w14:paraId="170F4BFA" w14:textId="27DF27B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80240</w:t>
            </w:r>
          </w:p>
        </w:tc>
        <w:tc>
          <w:tcPr>
            <w:tcW w:w="1553" w:type="dxa"/>
            <w:shd w:val="clear" w:color="auto" w:fill="auto"/>
            <w:noWrap/>
            <w:vAlign w:val="bottom"/>
            <w:hideMark/>
          </w:tcPr>
          <w:p w14:paraId="40E26C12" w14:textId="7522927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79113</w:t>
            </w:r>
          </w:p>
        </w:tc>
      </w:tr>
      <w:tr w:rsidR="008C7028" w:rsidRPr="004B3222" w14:paraId="08BDCBC7" w14:textId="77777777" w:rsidTr="008C7028">
        <w:trPr>
          <w:trHeight w:val="288"/>
        </w:trPr>
        <w:tc>
          <w:tcPr>
            <w:tcW w:w="4531" w:type="dxa"/>
            <w:shd w:val="clear" w:color="000000" w:fill="FFFFFF"/>
            <w:hideMark/>
          </w:tcPr>
          <w:p w14:paraId="6B37A37F" w14:textId="686C865D"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Gross profit</w:t>
            </w:r>
          </w:p>
        </w:tc>
        <w:tc>
          <w:tcPr>
            <w:tcW w:w="1849" w:type="dxa"/>
            <w:shd w:val="clear" w:color="auto" w:fill="auto"/>
            <w:noWrap/>
            <w:vAlign w:val="bottom"/>
            <w:hideMark/>
          </w:tcPr>
          <w:p w14:paraId="50884196" w14:textId="04F599FF"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17450</w:t>
            </w:r>
          </w:p>
        </w:tc>
        <w:tc>
          <w:tcPr>
            <w:tcW w:w="1553" w:type="dxa"/>
            <w:shd w:val="clear" w:color="auto" w:fill="auto"/>
            <w:noWrap/>
            <w:vAlign w:val="bottom"/>
            <w:hideMark/>
          </w:tcPr>
          <w:p w14:paraId="1648FA7A" w14:textId="6B1E95C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17660</w:t>
            </w:r>
          </w:p>
        </w:tc>
      </w:tr>
      <w:tr w:rsidR="008C7028" w:rsidRPr="004B3222" w14:paraId="2DA56F06" w14:textId="77777777" w:rsidTr="008C7028">
        <w:trPr>
          <w:trHeight w:val="288"/>
        </w:trPr>
        <w:tc>
          <w:tcPr>
            <w:tcW w:w="4531" w:type="dxa"/>
            <w:shd w:val="clear" w:color="000000" w:fill="FFFFFF"/>
            <w:hideMark/>
          </w:tcPr>
          <w:p w14:paraId="743F4045" w14:textId="48FF1404"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Operating expenses</w:t>
            </w:r>
          </w:p>
        </w:tc>
        <w:tc>
          <w:tcPr>
            <w:tcW w:w="1849" w:type="dxa"/>
            <w:shd w:val="clear" w:color="auto" w:fill="auto"/>
            <w:noWrap/>
            <w:vAlign w:val="bottom"/>
            <w:hideMark/>
          </w:tcPr>
          <w:p w14:paraId="39919300" w14:textId="7E4810B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3" w:type="dxa"/>
            <w:shd w:val="clear" w:color="auto" w:fill="auto"/>
            <w:noWrap/>
            <w:vAlign w:val="bottom"/>
            <w:hideMark/>
          </w:tcPr>
          <w:p w14:paraId="20C12B43" w14:textId="26C35F8D"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51F99AFE" w14:textId="77777777" w:rsidTr="008C7028">
        <w:trPr>
          <w:trHeight w:val="288"/>
        </w:trPr>
        <w:tc>
          <w:tcPr>
            <w:tcW w:w="4531" w:type="dxa"/>
            <w:shd w:val="clear" w:color="000000" w:fill="FFFFFF"/>
            <w:hideMark/>
          </w:tcPr>
          <w:p w14:paraId="3EA1102C" w14:textId="0E156A4A"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Research and development</w:t>
            </w:r>
          </w:p>
        </w:tc>
        <w:tc>
          <w:tcPr>
            <w:tcW w:w="1849" w:type="dxa"/>
            <w:shd w:val="clear" w:color="auto" w:fill="auto"/>
            <w:noWrap/>
            <w:vAlign w:val="bottom"/>
            <w:hideMark/>
          </w:tcPr>
          <w:p w14:paraId="43F63D67" w14:textId="72622DD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4540</w:t>
            </w:r>
          </w:p>
        </w:tc>
        <w:tc>
          <w:tcPr>
            <w:tcW w:w="1553" w:type="dxa"/>
            <w:shd w:val="clear" w:color="auto" w:fill="auto"/>
            <w:noWrap/>
            <w:vAlign w:val="bottom"/>
            <w:hideMark/>
          </w:tcPr>
          <w:p w14:paraId="589E74F4" w14:textId="06C98A1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3969</w:t>
            </w:r>
          </w:p>
        </w:tc>
      </w:tr>
      <w:tr w:rsidR="008C7028" w:rsidRPr="004B3222" w14:paraId="5D319CBD" w14:textId="77777777" w:rsidTr="008C7028">
        <w:trPr>
          <w:trHeight w:val="288"/>
        </w:trPr>
        <w:tc>
          <w:tcPr>
            <w:tcW w:w="4531" w:type="dxa"/>
            <w:shd w:val="clear" w:color="000000" w:fill="FFFFFF"/>
            <w:hideMark/>
          </w:tcPr>
          <w:p w14:paraId="6FBBE0C1" w14:textId="612A9554"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Selling, general and administrative</w:t>
            </w:r>
          </w:p>
        </w:tc>
        <w:tc>
          <w:tcPr>
            <w:tcW w:w="1849" w:type="dxa"/>
            <w:shd w:val="clear" w:color="auto" w:fill="auto"/>
            <w:noWrap/>
            <w:vAlign w:val="bottom"/>
            <w:hideMark/>
          </w:tcPr>
          <w:p w14:paraId="15AA4E31" w14:textId="23C92F4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5150</w:t>
            </w:r>
          </w:p>
        </w:tc>
        <w:tc>
          <w:tcPr>
            <w:tcW w:w="1553" w:type="dxa"/>
            <w:shd w:val="clear" w:color="auto" w:fill="auto"/>
            <w:noWrap/>
            <w:vAlign w:val="bottom"/>
            <w:hideMark/>
          </w:tcPr>
          <w:p w14:paraId="41866DDD" w14:textId="386D597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4800</w:t>
            </w:r>
          </w:p>
        </w:tc>
      </w:tr>
      <w:tr w:rsidR="008C7028" w:rsidRPr="004B3222" w14:paraId="5E921004" w14:textId="77777777" w:rsidTr="008C7028">
        <w:trPr>
          <w:trHeight w:val="288"/>
        </w:trPr>
        <w:tc>
          <w:tcPr>
            <w:tcW w:w="4531" w:type="dxa"/>
            <w:shd w:val="clear" w:color="000000" w:fill="FFFFFF"/>
            <w:hideMark/>
          </w:tcPr>
          <w:p w14:paraId="5356D640" w14:textId="664E0780"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Restructuring and other</w:t>
            </w:r>
          </w:p>
        </w:tc>
        <w:tc>
          <w:tcPr>
            <w:tcW w:w="1849" w:type="dxa"/>
            <w:shd w:val="clear" w:color="auto" w:fill="auto"/>
            <w:noWrap/>
            <w:vAlign w:val="bottom"/>
            <w:hideMark/>
          </w:tcPr>
          <w:p w14:paraId="45663C0D" w14:textId="642C3F4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684</w:t>
            </w:r>
          </w:p>
        </w:tc>
        <w:tc>
          <w:tcPr>
            <w:tcW w:w="1553" w:type="dxa"/>
            <w:shd w:val="clear" w:color="auto" w:fill="auto"/>
            <w:noWrap/>
            <w:vAlign w:val="bottom"/>
            <w:hideMark/>
          </w:tcPr>
          <w:p w14:paraId="7E1AA0A7" w14:textId="4EF55D5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w:t>
            </w:r>
          </w:p>
        </w:tc>
      </w:tr>
      <w:tr w:rsidR="008C7028" w:rsidRPr="004B3222" w14:paraId="77A1CCB1" w14:textId="77777777" w:rsidTr="008C7028">
        <w:trPr>
          <w:trHeight w:val="288"/>
        </w:trPr>
        <w:tc>
          <w:tcPr>
            <w:tcW w:w="4531" w:type="dxa"/>
            <w:shd w:val="clear" w:color="000000" w:fill="FFFFFF"/>
            <w:hideMark/>
          </w:tcPr>
          <w:p w14:paraId="247D5248" w14:textId="477FA215"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Total operating expenses</w:t>
            </w:r>
          </w:p>
        </w:tc>
        <w:tc>
          <w:tcPr>
            <w:tcW w:w="1849" w:type="dxa"/>
            <w:shd w:val="clear" w:color="auto" w:fill="auto"/>
            <w:noWrap/>
            <w:vAlign w:val="bottom"/>
            <w:hideMark/>
          </w:tcPr>
          <w:p w14:paraId="76CA4C0D" w14:textId="0E5602B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10374</w:t>
            </w:r>
          </w:p>
        </w:tc>
        <w:tc>
          <w:tcPr>
            <w:tcW w:w="1553" w:type="dxa"/>
            <w:shd w:val="clear" w:color="auto" w:fill="auto"/>
            <w:noWrap/>
            <w:vAlign w:val="bottom"/>
            <w:hideMark/>
          </w:tcPr>
          <w:p w14:paraId="49D47BE5" w14:textId="2B18AC6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8769</w:t>
            </w:r>
          </w:p>
        </w:tc>
      </w:tr>
      <w:tr w:rsidR="008C7028" w:rsidRPr="004B3222" w14:paraId="535AC78C" w14:textId="77777777" w:rsidTr="008C7028">
        <w:trPr>
          <w:trHeight w:val="288"/>
        </w:trPr>
        <w:tc>
          <w:tcPr>
            <w:tcW w:w="4531" w:type="dxa"/>
            <w:shd w:val="clear" w:color="000000" w:fill="FFFFFF"/>
            <w:vAlign w:val="bottom"/>
            <w:hideMark/>
          </w:tcPr>
          <w:p w14:paraId="15368D9A" w14:textId="20E62E46"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Income from operations</w:t>
            </w:r>
          </w:p>
        </w:tc>
        <w:tc>
          <w:tcPr>
            <w:tcW w:w="1849" w:type="dxa"/>
            <w:shd w:val="clear" w:color="auto" w:fill="auto"/>
            <w:noWrap/>
            <w:vAlign w:val="bottom"/>
            <w:hideMark/>
          </w:tcPr>
          <w:p w14:paraId="68E3049D" w14:textId="7B019D3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7076</w:t>
            </w:r>
          </w:p>
        </w:tc>
        <w:tc>
          <w:tcPr>
            <w:tcW w:w="1553" w:type="dxa"/>
            <w:shd w:val="clear" w:color="auto" w:fill="auto"/>
            <w:noWrap/>
            <w:vAlign w:val="bottom"/>
            <w:hideMark/>
          </w:tcPr>
          <w:p w14:paraId="6834F9A9" w14:textId="0EFC48C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8891</w:t>
            </w:r>
          </w:p>
        </w:tc>
      </w:tr>
      <w:tr w:rsidR="008C7028" w:rsidRPr="004B3222" w14:paraId="0EFBDB98" w14:textId="77777777" w:rsidTr="008C7028">
        <w:trPr>
          <w:trHeight w:val="288"/>
        </w:trPr>
        <w:tc>
          <w:tcPr>
            <w:tcW w:w="4531" w:type="dxa"/>
            <w:shd w:val="clear" w:color="000000" w:fill="FFFFFF"/>
            <w:hideMark/>
          </w:tcPr>
          <w:p w14:paraId="5CA62910" w14:textId="64551ACF"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Interest income</w:t>
            </w:r>
          </w:p>
        </w:tc>
        <w:tc>
          <w:tcPr>
            <w:tcW w:w="1849" w:type="dxa"/>
            <w:shd w:val="clear" w:color="auto" w:fill="auto"/>
            <w:noWrap/>
            <w:vAlign w:val="bottom"/>
            <w:hideMark/>
          </w:tcPr>
          <w:p w14:paraId="6D823788" w14:textId="02548DAF"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1569</w:t>
            </w:r>
          </w:p>
        </w:tc>
        <w:tc>
          <w:tcPr>
            <w:tcW w:w="1553" w:type="dxa"/>
            <w:shd w:val="clear" w:color="auto" w:fill="auto"/>
            <w:noWrap/>
            <w:vAlign w:val="bottom"/>
            <w:hideMark/>
          </w:tcPr>
          <w:p w14:paraId="37994BC0" w14:textId="308C6D0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1066</w:t>
            </w:r>
          </w:p>
        </w:tc>
      </w:tr>
      <w:tr w:rsidR="008C7028" w:rsidRPr="004B3222" w14:paraId="6FC50215" w14:textId="77777777" w:rsidTr="008C7028">
        <w:trPr>
          <w:trHeight w:val="288"/>
        </w:trPr>
        <w:tc>
          <w:tcPr>
            <w:tcW w:w="4531" w:type="dxa"/>
            <w:shd w:val="clear" w:color="000000" w:fill="FFFFFF"/>
            <w:hideMark/>
          </w:tcPr>
          <w:p w14:paraId="6F241DB3" w14:textId="2CA4D6E0"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lastRenderedPageBreak/>
              <w:t>Interest expense</w:t>
            </w:r>
          </w:p>
        </w:tc>
        <w:tc>
          <w:tcPr>
            <w:tcW w:w="1849" w:type="dxa"/>
            <w:shd w:val="clear" w:color="auto" w:fill="auto"/>
            <w:noWrap/>
            <w:vAlign w:val="bottom"/>
            <w:hideMark/>
          </w:tcPr>
          <w:p w14:paraId="579440CE" w14:textId="46429B7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-350</w:t>
            </w:r>
          </w:p>
        </w:tc>
        <w:tc>
          <w:tcPr>
            <w:tcW w:w="1553" w:type="dxa"/>
            <w:shd w:val="clear" w:color="auto" w:fill="auto"/>
            <w:noWrap/>
            <w:vAlign w:val="bottom"/>
            <w:hideMark/>
          </w:tcPr>
          <w:p w14:paraId="6D870483" w14:textId="12BB45F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-156</w:t>
            </w:r>
          </w:p>
        </w:tc>
      </w:tr>
      <w:tr w:rsidR="008C7028" w:rsidRPr="004B3222" w14:paraId="71EBCE24" w14:textId="77777777" w:rsidTr="008C7028">
        <w:trPr>
          <w:trHeight w:val="288"/>
        </w:trPr>
        <w:tc>
          <w:tcPr>
            <w:tcW w:w="4531" w:type="dxa"/>
            <w:shd w:val="clear" w:color="000000" w:fill="FFFFFF"/>
            <w:vAlign w:val="bottom"/>
            <w:hideMark/>
          </w:tcPr>
          <w:p w14:paraId="73EDE06E" w14:textId="404537D6"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Other income (expense), net</w:t>
            </w:r>
          </w:p>
        </w:tc>
        <w:tc>
          <w:tcPr>
            <w:tcW w:w="1849" w:type="dxa"/>
            <w:shd w:val="clear" w:color="auto" w:fill="auto"/>
            <w:noWrap/>
            <w:vAlign w:val="bottom"/>
            <w:hideMark/>
          </w:tcPr>
          <w:p w14:paraId="07C7BF18" w14:textId="3C0DAD8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695</w:t>
            </w:r>
          </w:p>
        </w:tc>
        <w:tc>
          <w:tcPr>
            <w:tcW w:w="1553" w:type="dxa"/>
            <w:shd w:val="clear" w:color="auto" w:fill="auto"/>
            <w:noWrap/>
            <w:vAlign w:val="bottom"/>
            <w:hideMark/>
          </w:tcPr>
          <w:p w14:paraId="14FABB30" w14:textId="3F39CC2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172</w:t>
            </w:r>
          </w:p>
        </w:tc>
      </w:tr>
      <w:tr w:rsidR="008C7028" w:rsidRPr="004B3222" w14:paraId="5647F916" w14:textId="77777777" w:rsidTr="008C7028">
        <w:trPr>
          <w:trHeight w:val="288"/>
        </w:trPr>
        <w:tc>
          <w:tcPr>
            <w:tcW w:w="4531" w:type="dxa"/>
            <w:shd w:val="clear" w:color="000000" w:fill="FFFFFF"/>
            <w:vAlign w:val="bottom"/>
            <w:hideMark/>
          </w:tcPr>
          <w:p w14:paraId="7E5033A2" w14:textId="4630B66F"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Income before income taxes</w:t>
            </w:r>
          </w:p>
        </w:tc>
        <w:tc>
          <w:tcPr>
            <w:tcW w:w="1849" w:type="dxa"/>
            <w:shd w:val="clear" w:color="auto" w:fill="auto"/>
            <w:noWrap/>
            <w:vAlign w:val="bottom"/>
            <w:hideMark/>
          </w:tcPr>
          <w:p w14:paraId="65D9D818" w14:textId="33DEF72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8990</w:t>
            </w:r>
          </w:p>
        </w:tc>
        <w:tc>
          <w:tcPr>
            <w:tcW w:w="1553" w:type="dxa"/>
            <w:shd w:val="clear" w:color="auto" w:fill="auto"/>
            <w:noWrap/>
            <w:vAlign w:val="bottom"/>
            <w:hideMark/>
          </w:tcPr>
          <w:p w14:paraId="7143EF80" w14:textId="3B37B3B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9973</w:t>
            </w:r>
          </w:p>
        </w:tc>
      </w:tr>
      <w:tr w:rsidR="008C7028" w:rsidRPr="004B3222" w14:paraId="000C5F4C" w14:textId="77777777" w:rsidTr="008C7028">
        <w:trPr>
          <w:trHeight w:val="288"/>
        </w:trPr>
        <w:tc>
          <w:tcPr>
            <w:tcW w:w="4531" w:type="dxa"/>
            <w:shd w:val="clear" w:color="000000" w:fill="FFFFFF"/>
            <w:vAlign w:val="bottom"/>
            <w:hideMark/>
          </w:tcPr>
          <w:p w14:paraId="222B96F0" w14:textId="33849CAC"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Provision for (benefit from) income taxes</w:t>
            </w:r>
          </w:p>
        </w:tc>
        <w:tc>
          <w:tcPr>
            <w:tcW w:w="1849" w:type="dxa"/>
            <w:shd w:val="clear" w:color="auto" w:fill="auto"/>
            <w:noWrap/>
            <w:vAlign w:val="bottom"/>
            <w:hideMark/>
          </w:tcPr>
          <w:p w14:paraId="7D4A35C6" w14:textId="732312B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1837</w:t>
            </w:r>
          </w:p>
        </w:tc>
        <w:tc>
          <w:tcPr>
            <w:tcW w:w="1553" w:type="dxa"/>
            <w:shd w:val="clear" w:color="auto" w:fill="auto"/>
            <w:noWrap/>
            <w:vAlign w:val="bottom"/>
            <w:hideMark/>
          </w:tcPr>
          <w:p w14:paraId="22FDDCCD" w14:textId="19428E4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5001</w:t>
            </w:r>
          </w:p>
        </w:tc>
      </w:tr>
      <w:tr w:rsidR="008C7028" w:rsidRPr="004B3222" w14:paraId="6D4B5B94" w14:textId="77777777" w:rsidTr="008C7028">
        <w:trPr>
          <w:trHeight w:val="480"/>
        </w:trPr>
        <w:tc>
          <w:tcPr>
            <w:tcW w:w="4531" w:type="dxa"/>
            <w:shd w:val="clear" w:color="000000" w:fill="FFFFFF"/>
            <w:vAlign w:val="bottom"/>
            <w:hideMark/>
          </w:tcPr>
          <w:p w14:paraId="75B08A46" w14:textId="52F528DA"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Net income</w:t>
            </w:r>
          </w:p>
        </w:tc>
        <w:tc>
          <w:tcPr>
            <w:tcW w:w="1849" w:type="dxa"/>
            <w:shd w:val="clear" w:color="auto" w:fill="auto"/>
            <w:noWrap/>
            <w:vAlign w:val="bottom"/>
            <w:hideMark/>
          </w:tcPr>
          <w:p w14:paraId="10B58AF5" w14:textId="34C18AC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7153</w:t>
            </w:r>
          </w:p>
        </w:tc>
        <w:tc>
          <w:tcPr>
            <w:tcW w:w="1553" w:type="dxa"/>
            <w:shd w:val="clear" w:color="auto" w:fill="auto"/>
            <w:noWrap/>
            <w:vAlign w:val="bottom"/>
            <w:hideMark/>
          </w:tcPr>
          <w:p w14:paraId="1FA08CEE" w14:textId="2EDBEA0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14974</w:t>
            </w:r>
          </w:p>
        </w:tc>
      </w:tr>
      <w:tr w:rsidR="008C7028" w:rsidRPr="004B3222" w14:paraId="63713214" w14:textId="77777777" w:rsidTr="008C7028">
        <w:trPr>
          <w:trHeight w:val="288"/>
        </w:trPr>
        <w:tc>
          <w:tcPr>
            <w:tcW w:w="4531" w:type="dxa"/>
            <w:shd w:val="clear" w:color="000000" w:fill="FFFFFF"/>
            <w:hideMark/>
          </w:tcPr>
          <w:p w14:paraId="7F0523CA" w14:textId="3E98A82B"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Net income (loss) attributable to noncontrolling interests and redeemable noncontrolling interests in subsidiaries</w:t>
            </w:r>
          </w:p>
        </w:tc>
        <w:tc>
          <w:tcPr>
            <w:tcW w:w="1849" w:type="dxa"/>
            <w:shd w:val="clear" w:color="auto" w:fill="auto"/>
            <w:noWrap/>
            <w:vAlign w:val="bottom"/>
            <w:hideMark/>
          </w:tcPr>
          <w:p w14:paraId="033AF34C" w14:textId="7D35896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62</w:t>
            </w:r>
          </w:p>
        </w:tc>
        <w:tc>
          <w:tcPr>
            <w:tcW w:w="1553" w:type="dxa"/>
            <w:shd w:val="clear" w:color="auto" w:fill="auto"/>
            <w:noWrap/>
            <w:vAlign w:val="bottom"/>
            <w:hideMark/>
          </w:tcPr>
          <w:p w14:paraId="07946847" w14:textId="50E3036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-23</w:t>
            </w:r>
          </w:p>
        </w:tc>
      </w:tr>
      <w:tr w:rsidR="008C7028" w:rsidRPr="004B3222" w14:paraId="50D6FF29" w14:textId="77777777" w:rsidTr="008C7028">
        <w:trPr>
          <w:trHeight w:val="996"/>
        </w:trPr>
        <w:tc>
          <w:tcPr>
            <w:tcW w:w="4531" w:type="dxa"/>
            <w:shd w:val="clear" w:color="000000" w:fill="FFFFFF"/>
            <w:vAlign w:val="bottom"/>
            <w:hideMark/>
          </w:tcPr>
          <w:p w14:paraId="089B0246" w14:textId="733984CF"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Net income attributable to common stockholders</w:t>
            </w:r>
          </w:p>
        </w:tc>
        <w:tc>
          <w:tcPr>
            <w:tcW w:w="1849" w:type="dxa"/>
            <w:shd w:val="clear" w:color="auto" w:fill="auto"/>
            <w:noWrap/>
            <w:vAlign w:val="bottom"/>
            <w:hideMark/>
          </w:tcPr>
          <w:p w14:paraId="3DB2F9E4" w14:textId="6CE7DC9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7091</w:t>
            </w:r>
          </w:p>
        </w:tc>
        <w:tc>
          <w:tcPr>
            <w:tcW w:w="1553" w:type="dxa"/>
            <w:shd w:val="clear" w:color="auto" w:fill="auto"/>
            <w:noWrap/>
            <w:vAlign w:val="bottom"/>
            <w:hideMark/>
          </w:tcPr>
          <w:p w14:paraId="16297E17" w14:textId="7B2917F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14997</w:t>
            </w:r>
          </w:p>
        </w:tc>
      </w:tr>
      <w:tr w:rsidR="008C7028" w:rsidRPr="004B3222" w14:paraId="23E697CC" w14:textId="77777777" w:rsidTr="008C7028">
        <w:trPr>
          <w:trHeight w:val="456"/>
        </w:trPr>
        <w:tc>
          <w:tcPr>
            <w:tcW w:w="4531" w:type="dxa"/>
            <w:shd w:val="clear" w:color="000000" w:fill="FFFFFF"/>
            <w:vAlign w:val="bottom"/>
            <w:hideMark/>
          </w:tcPr>
          <w:p w14:paraId="6307BAAF" w14:textId="43FF10FF"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9" w:type="dxa"/>
            <w:shd w:val="clear" w:color="auto" w:fill="auto"/>
            <w:noWrap/>
            <w:vAlign w:val="bottom"/>
            <w:hideMark/>
          </w:tcPr>
          <w:p w14:paraId="3A91AFE7" w14:textId="30BE156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3" w:type="dxa"/>
            <w:shd w:val="clear" w:color="auto" w:fill="auto"/>
            <w:noWrap/>
            <w:vAlign w:val="bottom"/>
            <w:hideMark/>
          </w:tcPr>
          <w:p w14:paraId="02161314" w14:textId="771382F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304E61BB" w14:textId="77777777" w:rsidTr="008C7028">
        <w:trPr>
          <w:trHeight w:val="312"/>
        </w:trPr>
        <w:tc>
          <w:tcPr>
            <w:tcW w:w="4531" w:type="dxa"/>
            <w:shd w:val="clear" w:color="000000" w:fill="FFFFFF"/>
            <w:hideMark/>
          </w:tcPr>
          <w:p w14:paraId="605A230F" w14:textId="74E0F5DB"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Net income per share of common stock attributable to common stockholders</w:t>
            </w:r>
          </w:p>
        </w:tc>
        <w:tc>
          <w:tcPr>
            <w:tcW w:w="1849" w:type="dxa"/>
            <w:shd w:val="clear" w:color="auto" w:fill="auto"/>
            <w:noWrap/>
            <w:vAlign w:val="bottom"/>
            <w:hideMark/>
          </w:tcPr>
          <w:p w14:paraId="7CFFDEE5" w14:textId="6C6A73C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3" w:type="dxa"/>
            <w:shd w:val="clear" w:color="auto" w:fill="auto"/>
            <w:noWrap/>
            <w:vAlign w:val="bottom"/>
            <w:hideMark/>
          </w:tcPr>
          <w:p w14:paraId="7F16FF55" w14:textId="338C968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3338052A" w14:textId="77777777" w:rsidTr="008C7028">
        <w:trPr>
          <w:trHeight w:val="888"/>
        </w:trPr>
        <w:tc>
          <w:tcPr>
            <w:tcW w:w="4531" w:type="dxa"/>
            <w:shd w:val="clear" w:color="000000" w:fill="FFFFFF"/>
            <w:hideMark/>
          </w:tcPr>
          <w:p w14:paraId="4A081488" w14:textId="360484B6"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Basic</w:t>
            </w:r>
          </w:p>
        </w:tc>
        <w:tc>
          <w:tcPr>
            <w:tcW w:w="1849" w:type="dxa"/>
            <w:shd w:val="clear" w:color="auto" w:fill="auto"/>
            <w:noWrap/>
            <w:vAlign w:val="bottom"/>
            <w:hideMark/>
          </w:tcPr>
          <w:p w14:paraId="330877D4" w14:textId="24BDF97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2.23</w:t>
            </w:r>
          </w:p>
        </w:tc>
        <w:tc>
          <w:tcPr>
            <w:tcW w:w="1553" w:type="dxa"/>
            <w:shd w:val="clear" w:color="auto" w:fill="auto"/>
            <w:noWrap/>
            <w:vAlign w:val="bottom"/>
            <w:hideMark/>
          </w:tcPr>
          <w:p w14:paraId="66E9D25C" w14:textId="4B5ED5E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4.73</w:t>
            </w:r>
          </w:p>
        </w:tc>
      </w:tr>
      <w:tr w:rsidR="008C7028" w:rsidRPr="004B3222" w14:paraId="45BF561B" w14:textId="77777777" w:rsidTr="008C7028">
        <w:trPr>
          <w:trHeight w:val="312"/>
        </w:trPr>
        <w:tc>
          <w:tcPr>
            <w:tcW w:w="4531" w:type="dxa"/>
            <w:shd w:val="clear" w:color="000000" w:fill="FFFFFF"/>
            <w:hideMark/>
          </w:tcPr>
          <w:p w14:paraId="072AEBC3" w14:textId="1329F00B"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Diluted</w:t>
            </w:r>
          </w:p>
        </w:tc>
        <w:tc>
          <w:tcPr>
            <w:tcW w:w="1849" w:type="dxa"/>
            <w:shd w:val="clear" w:color="auto" w:fill="auto"/>
            <w:noWrap/>
            <w:vAlign w:val="bottom"/>
            <w:hideMark/>
          </w:tcPr>
          <w:p w14:paraId="14A3409B" w14:textId="25073D5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2.04</w:t>
            </w:r>
          </w:p>
        </w:tc>
        <w:tc>
          <w:tcPr>
            <w:tcW w:w="1553" w:type="dxa"/>
            <w:shd w:val="clear" w:color="auto" w:fill="auto"/>
            <w:noWrap/>
            <w:vAlign w:val="bottom"/>
            <w:hideMark/>
          </w:tcPr>
          <w:p w14:paraId="55F22697" w14:textId="3AC98DBF"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4.3</w:t>
            </w:r>
          </w:p>
        </w:tc>
      </w:tr>
      <w:tr w:rsidR="008C7028" w:rsidRPr="004B3222" w14:paraId="4974DD11" w14:textId="77777777" w:rsidTr="008C7028">
        <w:trPr>
          <w:trHeight w:val="312"/>
        </w:trPr>
        <w:tc>
          <w:tcPr>
            <w:tcW w:w="4531" w:type="dxa"/>
            <w:shd w:val="clear" w:color="000000" w:fill="FFFFFF"/>
            <w:hideMark/>
          </w:tcPr>
          <w:p w14:paraId="58572F2F" w14:textId="4AF93B48"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Weighted average shares used in computing net income per share of common stock</w:t>
            </w:r>
          </w:p>
        </w:tc>
        <w:tc>
          <w:tcPr>
            <w:tcW w:w="1849" w:type="dxa"/>
            <w:shd w:val="clear" w:color="auto" w:fill="auto"/>
            <w:noWrap/>
            <w:vAlign w:val="bottom"/>
            <w:hideMark/>
          </w:tcPr>
          <w:p w14:paraId="23BA1510" w14:textId="5B05521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3" w:type="dxa"/>
            <w:shd w:val="clear" w:color="auto" w:fill="auto"/>
            <w:noWrap/>
            <w:vAlign w:val="bottom"/>
            <w:hideMark/>
          </w:tcPr>
          <w:p w14:paraId="34C6CB5F" w14:textId="065FD51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0D845A2F" w14:textId="77777777" w:rsidTr="008C7028">
        <w:trPr>
          <w:trHeight w:val="720"/>
        </w:trPr>
        <w:tc>
          <w:tcPr>
            <w:tcW w:w="4531" w:type="dxa"/>
            <w:shd w:val="clear" w:color="000000" w:fill="FFFFFF"/>
            <w:hideMark/>
          </w:tcPr>
          <w:p w14:paraId="2351C20C" w14:textId="69C0C2A7"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Basic</w:t>
            </w:r>
          </w:p>
        </w:tc>
        <w:tc>
          <w:tcPr>
            <w:tcW w:w="1849" w:type="dxa"/>
            <w:shd w:val="clear" w:color="auto" w:fill="auto"/>
            <w:noWrap/>
            <w:vAlign w:val="bottom"/>
            <w:hideMark/>
          </w:tcPr>
          <w:p w14:paraId="128E1D47" w14:textId="2E0DEF6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3197</w:t>
            </w:r>
          </w:p>
        </w:tc>
        <w:tc>
          <w:tcPr>
            <w:tcW w:w="1553" w:type="dxa"/>
            <w:shd w:val="clear" w:color="auto" w:fill="auto"/>
            <w:noWrap/>
            <w:vAlign w:val="bottom"/>
            <w:hideMark/>
          </w:tcPr>
          <w:p w14:paraId="7105FB3D" w14:textId="48A8287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3174</w:t>
            </w:r>
          </w:p>
        </w:tc>
      </w:tr>
      <w:tr w:rsidR="008C7028" w:rsidRPr="004B3222" w14:paraId="1ACBF79C" w14:textId="77777777" w:rsidTr="008C7028">
        <w:trPr>
          <w:trHeight w:val="312"/>
        </w:trPr>
        <w:tc>
          <w:tcPr>
            <w:tcW w:w="4531" w:type="dxa"/>
            <w:shd w:val="clear" w:color="000000" w:fill="FFFFFF"/>
            <w:hideMark/>
          </w:tcPr>
          <w:p w14:paraId="29847CD7" w14:textId="160A9422"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Diluted</w:t>
            </w:r>
          </w:p>
        </w:tc>
        <w:tc>
          <w:tcPr>
            <w:tcW w:w="1849" w:type="dxa"/>
            <w:shd w:val="clear" w:color="auto" w:fill="auto"/>
            <w:noWrap/>
            <w:vAlign w:val="bottom"/>
            <w:hideMark/>
          </w:tcPr>
          <w:p w14:paraId="5AB60DAF" w14:textId="1E9C869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3498</w:t>
            </w:r>
          </w:p>
        </w:tc>
        <w:tc>
          <w:tcPr>
            <w:tcW w:w="1553" w:type="dxa"/>
            <w:shd w:val="clear" w:color="auto" w:fill="auto"/>
            <w:noWrap/>
            <w:vAlign w:val="bottom"/>
            <w:hideMark/>
          </w:tcPr>
          <w:p w14:paraId="1537DAA7" w14:textId="43D62F9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3485</w:t>
            </w:r>
          </w:p>
        </w:tc>
      </w:tr>
    </w:tbl>
    <w:p w14:paraId="589CC769" w14:textId="77777777" w:rsidR="004B3222" w:rsidRDefault="004B3222" w:rsidP="004B3222">
      <w:pPr>
        <w:rPr>
          <w:b/>
          <w:bCs/>
        </w:rPr>
      </w:pPr>
    </w:p>
    <w:p w14:paraId="3F156E18" w14:textId="368FF3EF" w:rsidR="004B3222" w:rsidRDefault="004B3222" w:rsidP="004B3222">
      <w:pPr>
        <w:rPr>
          <w:b/>
          <w:bCs/>
        </w:rPr>
      </w:pPr>
      <w:r>
        <w:rPr>
          <w:b/>
          <w:bCs/>
        </w:rPr>
        <w:t>Cash Flow Statement</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1843"/>
        <w:gridCol w:w="1559"/>
      </w:tblGrid>
      <w:tr w:rsidR="008C7028" w:rsidRPr="004B3222" w14:paraId="1A32AF6B" w14:textId="77777777" w:rsidTr="008C7028">
        <w:trPr>
          <w:trHeight w:val="876"/>
        </w:trPr>
        <w:tc>
          <w:tcPr>
            <w:tcW w:w="4531" w:type="dxa"/>
            <w:shd w:val="clear" w:color="000000" w:fill="FFFFFF"/>
            <w:vAlign w:val="center"/>
            <w:hideMark/>
          </w:tcPr>
          <w:p w14:paraId="1352479A" w14:textId="1095D66E" w:rsidR="008C7028" w:rsidRPr="004B3222" w:rsidRDefault="008C7028" w:rsidP="004B3222">
            <w:pPr>
              <w:spacing w:after="0" w:line="240" w:lineRule="auto"/>
              <w:jc w:val="center"/>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3" w:type="dxa"/>
            <w:shd w:val="clear" w:color="000000" w:fill="FFFFFF"/>
            <w:noWrap/>
            <w:vAlign w:val="center"/>
            <w:hideMark/>
          </w:tcPr>
          <w:p w14:paraId="569187A1" w14:textId="4EC3412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December 31,</w:t>
            </w:r>
          </w:p>
        </w:tc>
        <w:tc>
          <w:tcPr>
            <w:tcW w:w="1559" w:type="dxa"/>
            <w:shd w:val="clear" w:color="000000" w:fill="FFFFFF"/>
            <w:noWrap/>
            <w:vAlign w:val="center"/>
            <w:hideMark/>
          </w:tcPr>
          <w:p w14:paraId="280D1D88" w14:textId="38339B00"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December 31,</w:t>
            </w:r>
          </w:p>
        </w:tc>
      </w:tr>
      <w:tr w:rsidR="008C7028" w:rsidRPr="004B3222" w14:paraId="4D71FE8D" w14:textId="77777777" w:rsidTr="008C7028">
        <w:trPr>
          <w:trHeight w:val="288"/>
        </w:trPr>
        <w:tc>
          <w:tcPr>
            <w:tcW w:w="4531" w:type="dxa"/>
            <w:shd w:val="clear" w:color="000000" w:fill="FFFFFF"/>
            <w:vAlign w:val="center"/>
            <w:hideMark/>
          </w:tcPr>
          <w:p w14:paraId="25805A83" w14:textId="6B437167"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3" w:type="dxa"/>
            <w:shd w:val="clear" w:color="000000" w:fill="FFFFFF"/>
            <w:vAlign w:val="center"/>
            <w:hideMark/>
          </w:tcPr>
          <w:p w14:paraId="481D27BC" w14:textId="7CFDA0D2"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2024</w:t>
            </w:r>
          </w:p>
        </w:tc>
        <w:tc>
          <w:tcPr>
            <w:tcW w:w="1559" w:type="dxa"/>
            <w:shd w:val="clear" w:color="000000" w:fill="FFFFFF"/>
            <w:vAlign w:val="center"/>
            <w:hideMark/>
          </w:tcPr>
          <w:p w14:paraId="218A3077" w14:textId="55099ABA"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2023</w:t>
            </w:r>
          </w:p>
        </w:tc>
      </w:tr>
      <w:tr w:rsidR="008C7028" w:rsidRPr="004B3222" w14:paraId="2392CC67" w14:textId="77777777" w:rsidTr="008C7028">
        <w:trPr>
          <w:trHeight w:val="312"/>
        </w:trPr>
        <w:tc>
          <w:tcPr>
            <w:tcW w:w="4531" w:type="dxa"/>
            <w:shd w:val="clear" w:color="000000" w:fill="FFFFFF"/>
            <w:vAlign w:val="center"/>
            <w:hideMark/>
          </w:tcPr>
          <w:p w14:paraId="293F3F57" w14:textId="4523D21E"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Cash Flows from Operating Activities</w:t>
            </w:r>
          </w:p>
        </w:tc>
        <w:tc>
          <w:tcPr>
            <w:tcW w:w="1843" w:type="dxa"/>
            <w:shd w:val="clear" w:color="auto" w:fill="auto"/>
            <w:vAlign w:val="bottom"/>
            <w:hideMark/>
          </w:tcPr>
          <w:p w14:paraId="7A6DB775" w14:textId="6EF4A435"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vAlign w:val="bottom"/>
            <w:hideMark/>
          </w:tcPr>
          <w:p w14:paraId="5E23EEF3" w14:textId="20925A54" w:rsidR="008C7028" w:rsidRPr="004B3222" w:rsidRDefault="008C7028" w:rsidP="008C7028">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280D993A" w14:textId="77777777" w:rsidTr="008C7028">
        <w:trPr>
          <w:trHeight w:val="288"/>
        </w:trPr>
        <w:tc>
          <w:tcPr>
            <w:tcW w:w="4531" w:type="dxa"/>
            <w:shd w:val="clear" w:color="000000" w:fill="FFFFFF"/>
            <w:vAlign w:val="center"/>
            <w:hideMark/>
          </w:tcPr>
          <w:p w14:paraId="51B84304" w14:textId="7B229EF7"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Net income</w:t>
            </w:r>
          </w:p>
        </w:tc>
        <w:tc>
          <w:tcPr>
            <w:tcW w:w="1843" w:type="dxa"/>
            <w:shd w:val="clear" w:color="auto" w:fill="auto"/>
            <w:noWrap/>
            <w:vAlign w:val="bottom"/>
            <w:hideMark/>
          </w:tcPr>
          <w:p w14:paraId="24EFC1C1" w14:textId="07F523C0"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7153</w:t>
            </w:r>
          </w:p>
        </w:tc>
        <w:tc>
          <w:tcPr>
            <w:tcW w:w="1559" w:type="dxa"/>
            <w:shd w:val="clear" w:color="auto" w:fill="auto"/>
            <w:noWrap/>
            <w:vAlign w:val="bottom"/>
            <w:hideMark/>
          </w:tcPr>
          <w:p w14:paraId="1CE8BFAA" w14:textId="77B3FB0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14974</w:t>
            </w:r>
          </w:p>
        </w:tc>
      </w:tr>
      <w:tr w:rsidR="008C7028" w:rsidRPr="004B3222" w14:paraId="295427F7" w14:textId="77777777" w:rsidTr="008C7028">
        <w:trPr>
          <w:trHeight w:val="312"/>
        </w:trPr>
        <w:tc>
          <w:tcPr>
            <w:tcW w:w="4531" w:type="dxa"/>
            <w:shd w:val="clear" w:color="000000" w:fill="FFFFFF"/>
            <w:vAlign w:val="center"/>
            <w:hideMark/>
          </w:tcPr>
          <w:p w14:paraId="2CBC0FF3" w14:textId="14A26FD5"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Adjustments to reconcile net income to net cash provided by operating activities:</w:t>
            </w:r>
          </w:p>
        </w:tc>
        <w:tc>
          <w:tcPr>
            <w:tcW w:w="1843" w:type="dxa"/>
            <w:shd w:val="clear" w:color="auto" w:fill="auto"/>
            <w:noWrap/>
            <w:vAlign w:val="bottom"/>
            <w:hideMark/>
          </w:tcPr>
          <w:p w14:paraId="45BCBADD" w14:textId="0E49E29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7459851A" w14:textId="0C28A47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67F92219" w14:textId="77777777" w:rsidTr="008C7028">
        <w:trPr>
          <w:trHeight w:val="936"/>
        </w:trPr>
        <w:tc>
          <w:tcPr>
            <w:tcW w:w="4531" w:type="dxa"/>
            <w:shd w:val="clear" w:color="000000" w:fill="FFFFFF"/>
            <w:vAlign w:val="center"/>
            <w:hideMark/>
          </w:tcPr>
          <w:p w14:paraId="1C8DE967" w14:textId="5C3CF2B9"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Depreciation, amortization and impairment</w:t>
            </w:r>
          </w:p>
        </w:tc>
        <w:tc>
          <w:tcPr>
            <w:tcW w:w="1843" w:type="dxa"/>
            <w:shd w:val="clear" w:color="auto" w:fill="auto"/>
            <w:noWrap/>
            <w:vAlign w:val="bottom"/>
            <w:hideMark/>
          </w:tcPr>
          <w:p w14:paraId="0B3FD084" w14:textId="798C0B3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5368</w:t>
            </w:r>
          </w:p>
        </w:tc>
        <w:tc>
          <w:tcPr>
            <w:tcW w:w="1559" w:type="dxa"/>
            <w:shd w:val="clear" w:color="auto" w:fill="auto"/>
            <w:noWrap/>
            <w:vAlign w:val="bottom"/>
            <w:hideMark/>
          </w:tcPr>
          <w:p w14:paraId="2A2EFEFE" w14:textId="2BF4686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4667</w:t>
            </w:r>
          </w:p>
        </w:tc>
      </w:tr>
      <w:tr w:rsidR="008C7028" w:rsidRPr="004B3222" w14:paraId="37C2EF5F" w14:textId="77777777" w:rsidTr="008C7028">
        <w:trPr>
          <w:trHeight w:val="288"/>
        </w:trPr>
        <w:tc>
          <w:tcPr>
            <w:tcW w:w="4531" w:type="dxa"/>
            <w:shd w:val="clear" w:color="000000" w:fill="FFFFFF"/>
            <w:vAlign w:val="center"/>
            <w:hideMark/>
          </w:tcPr>
          <w:p w14:paraId="5B9E1264" w14:textId="5A86B9FF"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Stock-based compensation</w:t>
            </w:r>
          </w:p>
        </w:tc>
        <w:tc>
          <w:tcPr>
            <w:tcW w:w="1843" w:type="dxa"/>
            <w:shd w:val="clear" w:color="auto" w:fill="auto"/>
            <w:noWrap/>
            <w:vAlign w:val="bottom"/>
            <w:hideMark/>
          </w:tcPr>
          <w:p w14:paraId="5A346317" w14:textId="26535DD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1999</w:t>
            </w:r>
          </w:p>
        </w:tc>
        <w:tc>
          <w:tcPr>
            <w:tcW w:w="1559" w:type="dxa"/>
            <w:shd w:val="clear" w:color="auto" w:fill="auto"/>
            <w:noWrap/>
            <w:vAlign w:val="bottom"/>
            <w:hideMark/>
          </w:tcPr>
          <w:p w14:paraId="26CA3E40" w14:textId="4B121D9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1812</w:t>
            </w:r>
          </w:p>
        </w:tc>
      </w:tr>
      <w:tr w:rsidR="008C7028" w:rsidRPr="004B3222" w14:paraId="0393A28C" w14:textId="77777777" w:rsidTr="008C7028">
        <w:trPr>
          <w:trHeight w:val="288"/>
        </w:trPr>
        <w:tc>
          <w:tcPr>
            <w:tcW w:w="4531" w:type="dxa"/>
            <w:shd w:val="clear" w:color="000000" w:fill="FFFFFF"/>
            <w:vAlign w:val="center"/>
            <w:hideMark/>
          </w:tcPr>
          <w:p w14:paraId="4C65EC59" w14:textId="59D56580"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Inventory and purchase commitments write-downs</w:t>
            </w:r>
          </w:p>
        </w:tc>
        <w:tc>
          <w:tcPr>
            <w:tcW w:w="1843" w:type="dxa"/>
            <w:shd w:val="clear" w:color="auto" w:fill="auto"/>
            <w:noWrap/>
            <w:vAlign w:val="bottom"/>
            <w:hideMark/>
          </w:tcPr>
          <w:p w14:paraId="7D28EE31" w14:textId="26CD877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335</w:t>
            </w:r>
          </w:p>
        </w:tc>
        <w:tc>
          <w:tcPr>
            <w:tcW w:w="1559" w:type="dxa"/>
            <w:shd w:val="clear" w:color="auto" w:fill="auto"/>
            <w:noWrap/>
            <w:vAlign w:val="bottom"/>
            <w:hideMark/>
          </w:tcPr>
          <w:p w14:paraId="2646C22B" w14:textId="0B26201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463</w:t>
            </w:r>
          </w:p>
        </w:tc>
      </w:tr>
      <w:tr w:rsidR="008C7028" w:rsidRPr="004B3222" w14:paraId="6962F414" w14:textId="77777777" w:rsidTr="008C7028">
        <w:trPr>
          <w:trHeight w:val="408"/>
        </w:trPr>
        <w:tc>
          <w:tcPr>
            <w:tcW w:w="4531" w:type="dxa"/>
            <w:shd w:val="clear" w:color="000000" w:fill="FFFFFF"/>
            <w:vAlign w:val="center"/>
            <w:hideMark/>
          </w:tcPr>
          <w:p w14:paraId="51CF8DCE" w14:textId="1E563430"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Foreign currency transaction net unrealized (gain) loss</w:t>
            </w:r>
          </w:p>
        </w:tc>
        <w:tc>
          <w:tcPr>
            <w:tcW w:w="1843" w:type="dxa"/>
            <w:shd w:val="clear" w:color="auto" w:fill="auto"/>
            <w:noWrap/>
            <w:vAlign w:val="bottom"/>
            <w:hideMark/>
          </w:tcPr>
          <w:p w14:paraId="227FF37A" w14:textId="2A3A295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-73</w:t>
            </w:r>
          </w:p>
        </w:tc>
        <w:tc>
          <w:tcPr>
            <w:tcW w:w="1559" w:type="dxa"/>
            <w:shd w:val="clear" w:color="auto" w:fill="auto"/>
            <w:noWrap/>
            <w:vAlign w:val="bottom"/>
            <w:hideMark/>
          </w:tcPr>
          <w:p w14:paraId="21AC486B" w14:textId="537ACC7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-144</w:t>
            </w:r>
          </w:p>
        </w:tc>
      </w:tr>
      <w:tr w:rsidR="008C7028" w:rsidRPr="004B3222" w14:paraId="738135D8" w14:textId="77777777" w:rsidTr="008C7028">
        <w:trPr>
          <w:trHeight w:val="408"/>
        </w:trPr>
        <w:tc>
          <w:tcPr>
            <w:tcW w:w="4531" w:type="dxa"/>
            <w:shd w:val="clear" w:color="000000" w:fill="FFFFFF"/>
            <w:vAlign w:val="center"/>
            <w:hideMark/>
          </w:tcPr>
          <w:p w14:paraId="143AA0D9" w14:textId="07A93B81"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Deferred income taxes</w:t>
            </w:r>
          </w:p>
        </w:tc>
        <w:tc>
          <w:tcPr>
            <w:tcW w:w="1843" w:type="dxa"/>
            <w:shd w:val="clear" w:color="auto" w:fill="auto"/>
            <w:noWrap/>
            <w:vAlign w:val="bottom"/>
            <w:hideMark/>
          </w:tcPr>
          <w:p w14:paraId="283968CB" w14:textId="2F1924C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477</w:t>
            </w:r>
          </w:p>
        </w:tc>
        <w:tc>
          <w:tcPr>
            <w:tcW w:w="1559" w:type="dxa"/>
            <w:shd w:val="clear" w:color="auto" w:fill="auto"/>
            <w:noWrap/>
            <w:vAlign w:val="bottom"/>
            <w:hideMark/>
          </w:tcPr>
          <w:p w14:paraId="3D7603EB" w14:textId="1E89889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-6349</w:t>
            </w:r>
          </w:p>
        </w:tc>
      </w:tr>
      <w:tr w:rsidR="008C7028" w:rsidRPr="004B3222" w14:paraId="4C0CF9F1" w14:textId="77777777" w:rsidTr="008C7028">
        <w:trPr>
          <w:trHeight w:val="288"/>
        </w:trPr>
        <w:tc>
          <w:tcPr>
            <w:tcW w:w="4531" w:type="dxa"/>
            <w:shd w:val="clear" w:color="000000" w:fill="FFFFFF"/>
            <w:vAlign w:val="center"/>
            <w:hideMark/>
          </w:tcPr>
          <w:p w14:paraId="3EFB99C1" w14:textId="3A72EB55"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lastRenderedPageBreak/>
              <w:t>Non-cash interest and other operating activities</w:t>
            </w:r>
          </w:p>
        </w:tc>
        <w:tc>
          <w:tcPr>
            <w:tcW w:w="1843" w:type="dxa"/>
            <w:shd w:val="clear" w:color="auto" w:fill="auto"/>
            <w:noWrap/>
            <w:vAlign w:val="bottom"/>
            <w:hideMark/>
          </w:tcPr>
          <w:p w14:paraId="5546455F" w14:textId="4E2CBFA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172</w:t>
            </w:r>
          </w:p>
        </w:tc>
        <w:tc>
          <w:tcPr>
            <w:tcW w:w="1559" w:type="dxa"/>
            <w:shd w:val="clear" w:color="auto" w:fill="auto"/>
            <w:noWrap/>
            <w:vAlign w:val="bottom"/>
            <w:hideMark/>
          </w:tcPr>
          <w:p w14:paraId="03E03990" w14:textId="6F3C7F3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81</w:t>
            </w:r>
          </w:p>
        </w:tc>
      </w:tr>
      <w:tr w:rsidR="008C7028" w:rsidRPr="004B3222" w14:paraId="6303FD97" w14:textId="77777777" w:rsidTr="008C7028">
        <w:trPr>
          <w:trHeight w:val="408"/>
        </w:trPr>
        <w:tc>
          <w:tcPr>
            <w:tcW w:w="4531" w:type="dxa"/>
            <w:shd w:val="clear" w:color="000000" w:fill="FFFFFF"/>
            <w:vAlign w:val="center"/>
            <w:hideMark/>
          </w:tcPr>
          <w:p w14:paraId="28DD67F9" w14:textId="7243C552"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Digital assets (gain) loss, net</w:t>
            </w:r>
          </w:p>
        </w:tc>
        <w:tc>
          <w:tcPr>
            <w:tcW w:w="1843" w:type="dxa"/>
            <w:shd w:val="clear" w:color="auto" w:fill="auto"/>
            <w:noWrap/>
            <w:vAlign w:val="bottom"/>
            <w:hideMark/>
          </w:tcPr>
          <w:p w14:paraId="50EA71A1" w14:textId="6C04F4D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-589</w:t>
            </w:r>
          </w:p>
        </w:tc>
        <w:tc>
          <w:tcPr>
            <w:tcW w:w="1559" w:type="dxa"/>
            <w:shd w:val="clear" w:color="auto" w:fill="auto"/>
            <w:noWrap/>
            <w:vAlign w:val="bottom"/>
            <w:hideMark/>
          </w:tcPr>
          <w:p w14:paraId="4D1613D7" w14:textId="59F9C8F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w:t>
            </w:r>
          </w:p>
        </w:tc>
      </w:tr>
      <w:tr w:rsidR="008C7028" w:rsidRPr="004B3222" w14:paraId="71F01325" w14:textId="77777777" w:rsidTr="008C7028">
        <w:trPr>
          <w:trHeight w:val="288"/>
        </w:trPr>
        <w:tc>
          <w:tcPr>
            <w:tcW w:w="4531" w:type="dxa"/>
            <w:shd w:val="clear" w:color="000000" w:fill="FFFFFF"/>
            <w:vAlign w:val="center"/>
            <w:hideMark/>
          </w:tcPr>
          <w:p w14:paraId="2B246592" w14:textId="1198AF4A"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Changes in operating assets and liabilities:</w:t>
            </w:r>
          </w:p>
        </w:tc>
        <w:tc>
          <w:tcPr>
            <w:tcW w:w="1843" w:type="dxa"/>
            <w:shd w:val="clear" w:color="auto" w:fill="auto"/>
            <w:noWrap/>
            <w:vAlign w:val="bottom"/>
            <w:hideMark/>
          </w:tcPr>
          <w:p w14:paraId="2E59521B" w14:textId="1736B3E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33AF94E6" w14:textId="55E317B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4E382C16" w14:textId="77777777" w:rsidTr="008C7028">
        <w:trPr>
          <w:trHeight w:val="288"/>
        </w:trPr>
        <w:tc>
          <w:tcPr>
            <w:tcW w:w="4531" w:type="dxa"/>
            <w:shd w:val="clear" w:color="000000" w:fill="FFFFFF"/>
            <w:vAlign w:val="center"/>
            <w:hideMark/>
          </w:tcPr>
          <w:p w14:paraId="221B593F" w14:textId="5C8D9E7B" w:rsidR="008C7028" w:rsidRPr="004B3222" w:rsidRDefault="008C7028" w:rsidP="004B3222">
            <w:pPr>
              <w:spacing w:after="0" w:line="240" w:lineRule="auto"/>
              <w:ind w:firstLineChars="100" w:firstLine="22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Accounts receivable</w:t>
            </w:r>
          </w:p>
        </w:tc>
        <w:tc>
          <w:tcPr>
            <w:tcW w:w="1843" w:type="dxa"/>
            <w:shd w:val="clear" w:color="auto" w:fill="auto"/>
            <w:noWrap/>
            <w:vAlign w:val="bottom"/>
            <w:hideMark/>
          </w:tcPr>
          <w:p w14:paraId="0E3B8175" w14:textId="36ABA95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-1083</w:t>
            </w:r>
          </w:p>
        </w:tc>
        <w:tc>
          <w:tcPr>
            <w:tcW w:w="1559" w:type="dxa"/>
            <w:shd w:val="clear" w:color="auto" w:fill="auto"/>
            <w:noWrap/>
            <w:vAlign w:val="bottom"/>
            <w:hideMark/>
          </w:tcPr>
          <w:p w14:paraId="1BE2287E" w14:textId="0BE6620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-586</w:t>
            </w:r>
          </w:p>
        </w:tc>
      </w:tr>
      <w:tr w:rsidR="008C7028" w:rsidRPr="004B3222" w14:paraId="784F8301" w14:textId="77777777" w:rsidTr="008C7028">
        <w:trPr>
          <w:trHeight w:val="288"/>
        </w:trPr>
        <w:tc>
          <w:tcPr>
            <w:tcW w:w="4531" w:type="dxa"/>
            <w:shd w:val="clear" w:color="000000" w:fill="FFFFFF"/>
            <w:vAlign w:val="center"/>
            <w:hideMark/>
          </w:tcPr>
          <w:p w14:paraId="5C001850" w14:textId="06983A2E"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Inventory</w:t>
            </w:r>
          </w:p>
        </w:tc>
        <w:tc>
          <w:tcPr>
            <w:tcW w:w="1843" w:type="dxa"/>
            <w:shd w:val="clear" w:color="auto" w:fill="auto"/>
            <w:noWrap/>
            <w:vAlign w:val="bottom"/>
            <w:hideMark/>
          </w:tcPr>
          <w:p w14:paraId="0AB1AA7B" w14:textId="318F744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937</w:t>
            </w:r>
          </w:p>
        </w:tc>
        <w:tc>
          <w:tcPr>
            <w:tcW w:w="1559" w:type="dxa"/>
            <w:shd w:val="clear" w:color="auto" w:fill="auto"/>
            <w:noWrap/>
            <w:vAlign w:val="bottom"/>
            <w:hideMark/>
          </w:tcPr>
          <w:p w14:paraId="5CE5D5FF" w14:textId="6A62C8E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-1195</w:t>
            </w:r>
          </w:p>
        </w:tc>
      </w:tr>
      <w:tr w:rsidR="008C7028" w:rsidRPr="004B3222" w14:paraId="3B1CE5A5" w14:textId="77777777" w:rsidTr="008C7028">
        <w:trPr>
          <w:trHeight w:val="288"/>
        </w:trPr>
        <w:tc>
          <w:tcPr>
            <w:tcW w:w="4531" w:type="dxa"/>
            <w:shd w:val="clear" w:color="000000" w:fill="FFFFFF"/>
            <w:vAlign w:val="center"/>
            <w:hideMark/>
          </w:tcPr>
          <w:p w14:paraId="1D61C8BB" w14:textId="2CCEBD48"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Operating lease vehicles</w:t>
            </w:r>
          </w:p>
        </w:tc>
        <w:tc>
          <w:tcPr>
            <w:tcW w:w="1843" w:type="dxa"/>
            <w:shd w:val="clear" w:color="auto" w:fill="auto"/>
            <w:noWrap/>
            <w:vAlign w:val="bottom"/>
            <w:hideMark/>
          </w:tcPr>
          <w:p w14:paraId="4B5E8214" w14:textId="4524C35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-590</w:t>
            </w:r>
          </w:p>
        </w:tc>
        <w:tc>
          <w:tcPr>
            <w:tcW w:w="1559" w:type="dxa"/>
            <w:shd w:val="clear" w:color="auto" w:fill="auto"/>
            <w:noWrap/>
            <w:vAlign w:val="bottom"/>
            <w:hideMark/>
          </w:tcPr>
          <w:p w14:paraId="03B1126F" w14:textId="4037C3E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-1952</w:t>
            </w:r>
          </w:p>
        </w:tc>
      </w:tr>
      <w:tr w:rsidR="008C7028" w:rsidRPr="004B3222" w14:paraId="1E141ED8" w14:textId="77777777" w:rsidTr="008C7028">
        <w:trPr>
          <w:trHeight w:val="288"/>
        </w:trPr>
        <w:tc>
          <w:tcPr>
            <w:tcW w:w="4531" w:type="dxa"/>
            <w:shd w:val="clear" w:color="000000" w:fill="FFFFFF"/>
            <w:vAlign w:val="center"/>
            <w:hideMark/>
          </w:tcPr>
          <w:p w14:paraId="5EA2C30E" w14:textId="2FE1C789"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Prepaid expenses and other assets</w:t>
            </w:r>
          </w:p>
        </w:tc>
        <w:tc>
          <w:tcPr>
            <w:tcW w:w="1843" w:type="dxa"/>
            <w:shd w:val="clear" w:color="auto" w:fill="auto"/>
            <w:noWrap/>
            <w:vAlign w:val="bottom"/>
            <w:hideMark/>
          </w:tcPr>
          <w:p w14:paraId="2521E14E" w14:textId="28C711C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-3273</w:t>
            </w:r>
          </w:p>
        </w:tc>
        <w:tc>
          <w:tcPr>
            <w:tcW w:w="1559" w:type="dxa"/>
            <w:shd w:val="clear" w:color="auto" w:fill="auto"/>
            <w:noWrap/>
            <w:vAlign w:val="bottom"/>
            <w:hideMark/>
          </w:tcPr>
          <w:p w14:paraId="1FCD326C" w14:textId="7C60A31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-2652</w:t>
            </w:r>
          </w:p>
        </w:tc>
      </w:tr>
      <w:tr w:rsidR="008C7028" w:rsidRPr="004B3222" w14:paraId="059B8096" w14:textId="77777777" w:rsidTr="008C7028">
        <w:trPr>
          <w:trHeight w:val="288"/>
        </w:trPr>
        <w:tc>
          <w:tcPr>
            <w:tcW w:w="4531" w:type="dxa"/>
            <w:shd w:val="clear" w:color="000000" w:fill="FFFFFF"/>
            <w:vAlign w:val="center"/>
            <w:hideMark/>
          </w:tcPr>
          <w:p w14:paraId="04F0147F" w14:textId="774874E0"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Accounts payable, accrued and other liabilities</w:t>
            </w:r>
          </w:p>
        </w:tc>
        <w:tc>
          <w:tcPr>
            <w:tcW w:w="1843" w:type="dxa"/>
            <w:shd w:val="clear" w:color="auto" w:fill="auto"/>
            <w:noWrap/>
            <w:vAlign w:val="bottom"/>
            <w:hideMark/>
          </w:tcPr>
          <w:p w14:paraId="094EFF51" w14:textId="14CA6FB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3588</w:t>
            </w:r>
          </w:p>
        </w:tc>
        <w:tc>
          <w:tcPr>
            <w:tcW w:w="1559" w:type="dxa"/>
            <w:shd w:val="clear" w:color="auto" w:fill="auto"/>
            <w:noWrap/>
            <w:vAlign w:val="bottom"/>
            <w:hideMark/>
          </w:tcPr>
          <w:p w14:paraId="36A57C3A" w14:textId="104C938D"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2605</w:t>
            </w:r>
          </w:p>
        </w:tc>
      </w:tr>
      <w:tr w:rsidR="008C7028" w:rsidRPr="004B3222" w14:paraId="40778DF6" w14:textId="77777777" w:rsidTr="008C7028">
        <w:trPr>
          <w:trHeight w:val="408"/>
        </w:trPr>
        <w:tc>
          <w:tcPr>
            <w:tcW w:w="4531" w:type="dxa"/>
            <w:shd w:val="clear" w:color="000000" w:fill="FFFFFF"/>
            <w:vAlign w:val="center"/>
            <w:hideMark/>
          </w:tcPr>
          <w:p w14:paraId="39A0A0DB" w14:textId="7FD1D9B3"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Deferred revenue</w:t>
            </w:r>
          </w:p>
        </w:tc>
        <w:tc>
          <w:tcPr>
            <w:tcW w:w="1843" w:type="dxa"/>
            <w:shd w:val="clear" w:color="auto" w:fill="auto"/>
            <w:noWrap/>
            <w:vAlign w:val="bottom"/>
            <w:hideMark/>
          </w:tcPr>
          <w:p w14:paraId="6247CB65" w14:textId="141F370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502</w:t>
            </w:r>
          </w:p>
        </w:tc>
        <w:tc>
          <w:tcPr>
            <w:tcW w:w="1559" w:type="dxa"/>
            <w:shd w:val="clear" w:color="auto" w:fill="auto"/>
            <w:noWrap/>
            <w:vAlign w:val="bottom"/>
            <w:hideMark/>
          </w:tcPr>
          <w:p w14:paraId="7752D9B9" w14:textId="3B4D09B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1532</w:t>
            </w:r>
          </w:p>
        </w:tc>
      </w:tr>
      <w:tr w:rsidR="008C7028" w:rsidRPr="004B3222" w14:paraId="1163157D" w14:textId="77777777" w:rsidTr="008C7028">
        <w:trPr>
          <w:trHeight w:val="288"/>
        </w:trPr>
        <w:tc>
          <w:tcPr>
            <w:tcW w:w="4531" w:type="dxa"/>
            <w:shd w:val="clear" w:color="000000" w:fill="FFFFFF"/>
            <w:vAlign w:val="center"/>
            <w:hideMark/>
          </w:tcPr>
          <w:p w14:paraId="458DE4AB" w14:textId="7C9AC45E"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Net cash provided by operating activities</w:t>
            </w:r>
          </w:p>
        </w:tc>
        <w:tc>
          <w:tcPr>
            <w:tcW w:w="1843" w:type="dxa"/>
            <w:shd w:val="clear" w:color="auto" w:fill="auto"/>
            <w:noWrap/>
            <w:vAlign w:val="bottom"/>
            <w:hideMark/>
          </w:tcPr>
          <w:p w14:paraId="6F8A46D7" w14:textId="4D8CCF1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14923</w:t>
            </w:r>
          </w:p>
        </w:tc>
        <w:tc>
          <w:tcPr>
            <w:tcW w:w="1559" w:type="dxa"/>
            <w:shd w:val="clear" w:color="auto" w:fill="auto"/>
            <w:noWrap/>
            <w:vAlign w:val="bottom"/>
            <w:hideMark/>
          </w:tcPr>
          <w:p w14:paraId="26CC9454" w14:textId="2B63455F"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13256</w:t>
            </w:r>
          </w:p>
        </w:tc>
      </w:tr>
      <w:tr w:rsidR="008C7028" w:rsidRPr="004B3222" w14:paraId="52680DF7" w14:textId="77777777" w:rsidTr="008C7028">
        <w:trPr>
          <w:trHeight w:val="288"/>
        </w:trPr>
        <w:tc>
          <w:tcPr>
            <w:tcW w:w="4531" w:type="dxa"/>
            <w:shd w:val="clear" w:color="000000" w:fill="FFFFFF"/>
            <w:vAlign w:val="center"/>
            <w:hideMark/>
          </w:tcPr>
          <w:p w14:paraId="213C0E04" w14:textId="4D097109"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Cash Flows from Investing Activities</w:t>
            </w:r>
          </w:p>
        </w:tc>
        <w:tc>
          <w:tcPr>
            <w:tcW w:w="1843" w:type="dxa"/>
            <w:shd w:val="clear" w:color="auto" w:fill="auto"/>
            <w:noWrap/>
            <w:vAlign w:val="bottom"/>
            <w:hideMark/>
          </w:tcPr>
          <w:p w14:paraId="17F26C5F" w14:textId="4C99FB40"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4A3445D6" w14:textId="61B0875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14BF84D3" w14:textId="77777777" w:rsidTr="008C7028">
        <w:trPr>
          <w:trHeight w:val="288"/>
        </w:trPr>
        <w:tc>
          <w:tcPr>
            <w:tcW w:w="4531" w:type="dxa"/>
            <w:shd w:val="clear" w:color="000000" w:fill="FFFFFF"/>
            <w:vAlign w:val="center"/>
            <w:hideMark/>
          </w:tcPr>
          <w:p w14:paraId="7CEC93CB" w14:textId="69CCE110"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Purchases of property and equipment excluding finance leases, net of sales</w:t>
            </w:r>
          </w:p>
        </w:tc>
        <w:tc>
          <w:tcPr>
            <w:tcW w:w="1843" w:type="dxa"/>
            <w:shd w:val="clear" w:color="auto" w:fill="auto"/>
            <w:noWrap/>
            <w:vAlign w:val="bottom"/>
            <w:hideMark/>
          </w:tcPr>
          <w:p w14:paraId="1AEED580" w14:textId="6779138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-11339</w:t>
            </w:r>
          </w:p>
        </w:tc>
        <w:tc>
          <w:tcPr>
            <w:tcW w:w="1559" w:type="dxa"/>
            <w:shd w:val="clear" w:color="auto" w:fill="auto"/>
            <w:noWrap/>
            <w:vAlign w:val="bottom"/>
            <w:hideMark/>
          </w:tcPr>
          <w:p w14:paraId="578141A0" w14:textId="2D645D3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-8898</w:t>
            </w:r>
          </w:p>
        </w:tc>
      </w:tr>
      <w:tr w:rsidR="008C7028" w:rsidRPr="004B3222" w14:paraId="35F1DA23" w14:textId="77777777" w:rsidTr="008C7028">
        <w:trPr>
          <w:trHeight w:val="780"/>
        </w:trPr>
        <w:tc>
          <w:tcPr>
            <w:tcW w:w="4531" w:type="dxa"/>
            <w:shd w:val="clear" w:color="000000" w:fill="FFFFFF"/>
            <w:vAlign w:val="center"/>
            <w:hideMark/>
          </w:tcPr>
          <w:p w14:paraId="12574322" w14:textId="3C7A7973"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Purchases of solar energy systems, net of sales</w:t>
            </w:r>
          </w:p>
        </w:tc>
        <w:tc>
          <w:tcPr>
            <w:tcW w:w="1843" w:type="dxa"/>
            <w:shd w:val="clear" w:color="auto" w:fill="auto"/>
            <w:noWrap/>
            <w:vAlign w:val="bottom"/>
            <w:hideMark/>
          </w:tcPr>
          <w:p w14:paraId="38B736D5" w14:textId="17FC401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w:t>
            </w:r>
          </w:p>
        </w:tc>
        <w:tc>
          <w:tcPr>
            <w:tcW w:w="1559" w:type="dxa"/>
            <w:shd w:val="clear" w:color="auto" w:fill="auto"/>
            <w:noWrap/>
            <w:vAlign w:val="bottom"/>
            <w:hideMark/>
          </w:tcPr>
          <w:p w14:paraId="67BF6E28" w14:textId="4701B00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w:t>
            </w:r>
          </w:p>
        </w:tc>
      </w:tr>
      <w:tr w:rsidR="008C7028" w:rsidRPr="004B3222" w14:paraId="68CA1830" w14:textId="77777777" w:rsidTr="008C7028">
        <w:trPr>
          <w:trHeight w:val="408"/>
        </w:trPr>
        <w:tc>
          <w:tcPr>
            <w:tcW w:w="4531" w:type="dxa"/>
            <w:shd w:val="clear" w:color="000000" w:fill="FFFFFF"/>
            <w:vAlign w:val="bottom"/>
            <w:hideMark/>
          </w:tcPr>
          <w:p w14:paraId="1A4A2FE2" w14:textId="46E117BB"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3" w:type="dxa"/>
            <w:shd w:val="clear" w:color="auto" w:fill="auto"/>
            <w:noWrap/>
            <w:vAlign w:val="bottom"/>
            <w:hideMark/>
          </w:tcPr>
          <w:p w14:paraId="2B1BA94D" w14:textId="0A7FB0D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5F3AAB4A" w14:textId="63F5A1B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123DA46F" w14:textId="77777777" w:rsidTr="008C7028">
        <w:trPr>
          <w:trHeight w:val="312"/>
        </w:trPr>
        <w:tc>
          <w:tcPr>
            <w:tcW w:w="4531" w:type="dxa"/>
            <w:shd w:val="clear" w:color="000000" w:fill="FFFFFF"/>
            <w:noWrap/>
            <w:vAlign w:val="center"/>
            <w:hideMark/>
          </w:tcPr>
          <w:p w14:paraId="2C0ECF44" w14:textId="75D9FA0A"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Proceeds from sales of digital assets</w:t>
            </w:r>
          </w:p>
        </w:tc>
        <w:tc>
          <w:tcPr>
            <w:tcW w:w="1843" w:type="dxa"/>
            <w:shd w:val="clear" w:color="auto" w:fill="auto"/>
            <w:noWrap/>
            <w:vAlign w:val="bottom"/>
            <w:hideMark/>
          </w:tcPr>
          <w:p w14:paraId="4F3237C6" w14:textId="10E2DD6D"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54927920" w14:textId="65B91A6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71B52F00" w14:textId="77777777" w:rsidTr="008C7028">
        <w:trPr>
          <w:trHeight w:val="288"/>
        </w:trPr>
        <w:tc>
          <w:tcPr>
            <w:tcW w:w="4531" w:type="dxa"/>
            <w:shd w:val="clear" w:color="000000" w:fill="FFFFFF"/>
            <w:vAlign w:val="center"/>
            <w:hideMark/>
          </w:tcPr>
          <w:p w14:paraId="61D9E7B3" w14:textId="073594DA"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Purchase of intangible assets</w:t>
            </w:r>
          </w:p>
        </w:tc>
        <w:tc>
          <w:tcPr>
            <w:tcW w:w="1843" w:type="dxa"/>
            <w:shd w:val="clear" w:color="auto" w:fill="auto"/>
            <w:noWrap/>
            <w:vAlign w:val="bottom"/>
            <w:hideMark/>
          </w:tcPr>
          <w:p w14:paraId="7F9AB2C3" w14:textId="588F21C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6CC8E2E4" w14:textId="4A02606D"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1DF345D7" w14:textId="77777777" w:rsidTr="008C7028">
        <w:trPr>
          <w:trHeight w:val="288"/>
        </w:trPr>
        <w:tc>
          <w:tcPr>
            <w:tcW w:w="4531" w:type="dxa"/>
            <w:shd w:val="clear" w:color="000000" w:fill="FFFFFF"/>
            <w:vAlign w:val="center"/>
            <w:hideMark/>
          </w:tcPr>
          <w:p w14:paraId="4ED8FBAD" w14:textId="44F0BE8F"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Purchases of investments</w:t>
            </w:r>
          </w:p>
        </w:tc>
        <w:tc>
          <w:tcPr>
            <w:tcW w:w="1843" w:type="dxa"/>
            <w:shd w:val="clear" w:color="auto" w:fill="auto"/>
            <w:noWrap/>
            <w:vAlign w:val="bottom"/>
            <w:hideMark/>
          </w:tcPr>
          <w:p w14:paraId="753BEC3E" w14:textId="2E095DD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-35955</w:t>
            </w:r>
          </w:p>
        </w:tc>
        <w:tc>
          <w:tcPr>
            <w:tcW w:w="1559" w:type="dxa"/>
            <w:shd w:val="clear" w:color="auto" w:fill="auto"/>
            <w:noWrap/>
            <w:vAlign w:val="bottom"/>
            <w:hideMark/>
          </w:tcPr>
          <w:p w14:paraId="16E302E8" w14:textId="7F71BD2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-19112</w:t>
            </w:r>
          </w:p>
        </w:tc>
      </w:tr>
      <w:tr w:rsidR="008C7028" w:rsidRPr="004B3222" w14:paraId="268672F9" w14:textId="77777777" w:rsidTr="008C7028">
        <w:trPr>
          <w:trHeight w:val="288"/>
        </w:trPr>
        <w:tc>
          <w:tcPr>
            <w:tcW w:w="4531" w:type="dxa"/>
            <w:shd w:val="clear" w:color="000000" w:fill="FFFFFF"/>
            <w:vAlign w:val="center"/>
            <w:hideMark/>
          </w:tcPr>
          <w:p w14:paraId="18CB0E7E" w14:textId="2A522AD2"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Proceeds from maturities of investments</w:t>
            </w:r>
          </w:p>
        </w:tc>
        <w:tc>
          <w:tcPr>
            <w:tcW w:w="1843" w:type="dxa"/>
            <w:shd w:val="clear" w:color="auto" w:fill="auto"/>
            <w:noWrap/>
            <w:vAlign w:val="bottom"/>
            <w:hideMark/>
          </w:tcPr>
          <w:p w14:paraId="40F7B2E4" w14:textId="4841232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28310</w:t>
            </w:r>
          </w:p>
        </w:tc>
        <w:tc>
          <w:tcPr>
            <w:tcW w:w="1559" w:type="dxa"/>
            <w:shd w:val="clear" w:color="auto" w:fill="auto"/>
            <w:noWrap/>
            <w:vAlign w:val="bottom"/>
            <w:hideMark/>
          </w:tcPr>
          <w:p w14:paraId="7996BABA" w14:textId="0AD0DF5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12353</w:t>
            </w:r>
          </w:p>
        </w:tc>
      </w:tr>
      <w:tr w:rsidR="008C7028" w:rsidRPr="004B3222" w14:paraId="44F7A187" w14:textId="77777777" w:rsidTr="008C7028">
        <w:trPr>
          <w:trHeight w:val="288"/>
        </w:trPr>
        <w:tc>
          <w:tcPr>
            <w:tcW w:w="4531" w:type="dxa"/>
            <w:shd w:val="clear" w:color="000000" w:fill="FFFFFF"/>
            <w:vAlign w:val="center"/>
            <w:hideMark/>
          </w:tcPr>
          <w:p w14:paraId="0EF5889C" w14:textId="61437947"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Proceeds from sales of investments</w:t>
            </w:r>
          </w:p>
        </w:tc>
        <w:tc>
          <w:tcPr>
            <w:tcW w:w="1843" w:type="dxa"/>
            <w:shd w:val="clear" w:color="auto" w:fill="auto"/>
            <w:noWrap/>
            <w:vAlign w:val="bottom"/>
            <w:hideMark/>
          </w:tcPr>
          <w:p w14:paraId="7C868D74" w14:textId="69AC276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200</w:t>
            </w:r>
          </w:p>
        </w:tc>
        <w:tc>
          <w:tcPr>
            <w:tcW w:w="1559" w:type="dxa"/>
            <w:shd w:val="clear" w:color="auto" w:fill="auto"/>
            <w:noWrap/>
            <w:vAlign w:val="bottom"/>
            <w:hideMark/>
          </w:tcPr>
          <w:p w14:paraId="50ED919A" w14:textId="6D52154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138</w:t>
            </w:r>
          </w:p>
        </w:tc>
      </w:tr>
      <w:tr w:rsidR="008C7028" w:rsidRPr="004B3222" w14:paraId="77EF22F3" w14:textId="77777777" w:rsidTr="008C7028">
        <w:trPr>
          <w:trHeight w:val="288"/>
        </w:trPr>
        <w:tc>
          <w:tcPr>
            <w:tcW w:w="4531" w:type="dxa"/>
            <w:shd w:val="clear" w:color="000000" w:fill="FFFFFF"/>
            <w:vAlign w:val="center"/>
            <w:hideMark/>
          </w:tcPr>
          <w:p w14:paraId="6AFC970D" w14:textId="293ACD81"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Receipt of government grants</w:t>
            </w:r>
          </w:p>
        </w:tc>
        <w:tc>
          <w:tcPr>
            <w:tcW w:w="1843" w:type="dxa"/>
            <w:shd w:val="clear" w:color="auto" w:fill="auto"/>
            <w:noWrap/>
            <w:vAlign w:val="bottom"/>
            <w:hideMark/>
          </w:tcPr>
          <w:p w14:paraId="773BB3D9" w14:textId="75D1FCD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w:t>
            </w:r>
          </w:p>
        </w:tc>
        <w:tc>
          <w:tcPr>
            <w:tcW w:w="1559" w:type="dxa"/>
            <w:shd w:val="clear" w:color="auto" w:fill="auto"/>
            <w:noWrap/>
            <w:vAlign w:val="bottom"/>
            <w:hideMark/>
          </w:tcPr>
          <w:p w14:paraId="486F7BDA" w14:textId="4976F5A2"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w:t>
            </w:r>
          </w:p>
        </w:tc>
      </w:tr>
      <w:tr w:rsidR="008C7028" w:rsidRPr="004B3222" w14:paraId="1B7A6CB3" w14:textId="77777777" w:rsidTr="008C7028">
        <w:trPr>
          <w:trHeight w:val="288"/>
        </w:trPr>
        <w:tc>
          <w:tcPr>
            <w:tcW w:w="4531" w:type="dxa"/>
            <w:shd w:val="clear" w:color="000000" w:fill="FFFFFF"/>
            <w:vAlign w:val="center"/>
            <w:hideMark/>
          </w:tcPr>
          <w:p w14:paraId="2C1CAC6E" w14:textId="48746069"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Business combinations, net of cash acquired</w:t>
            </w:r>
          </w:p>
        </w:tc>
        <w:tc>
          <w:tcPr>
            <w:tcW w:w="1843" w:type="dxa"/>
            <w:shd w:val="clear" w:color="auto" w:fill="auto"/>
            <w:noWrap/>
            <w:vAlign w:val="bottom"/>
            <w:hideMark/>
          </w:tcPr>
          <w:p w14:paraId="630FBE04" w14:textId="206DDC2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w:t>
            </w:r>
          </w:p>
        </w:tc>
        <w:tc>
          <w:tcPr>
            <w:tcW w:w="1559" w:type="dxa"/>
            <w:shd w:val="clear" w:color="auto" w:fill="auto"/>
            <w:noWrap/>
            <w:vAlign w:val="bottom"/>
            <w:hideMark/>
          </w:tcPr>
          <w:p w14:paraId="6DF99949" w14:textId="0389003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-64</w:t>
            </w:r>
          </w:p>
        </w:tc>
      </w:tr>
      <w:tr w:rsidR="008C7028" w:rsidRPr="004B3222" w14:paraId="243C3CB1" w14:textId="77777777" w:rsidTr="008C7028">
        <w:trPr>
          <w:trHeight w:val="408"/>
        </w:trPr>
        <w:tc>
          <w:tcPr>
            <w:tcW w:w="4531" w:type="dxa"/>
            <w:shd w:val="clear" w:color="000000" w:fill="FFFFFF"/>
            <w:vAlign w:val="center"/>
            <w:hideMark/>
          </w:tcPr>
          <w:p w14:paraId="42A8C726" w14:textId="613D399B"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Net cash used in investing activities</w:t>
            </w:r>
          </w:p>
        </w:tc>
        <w:tc>
          <w:tcPr>
            <w:tcW w:w="1843" w:type="dxa"/>
            <w:shd w:val="clear" w:color="auto" w:fill="auto"/>
            <w:noWrap/>
            <w:vAlign w:val="bottom"/>
            <w:hideMark/>
          </w:tcPr>
          <w:p w14:paraId="5FECD884" w14:textId="64F08C9D"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-18787</w:t>
            </w:r>
          </w:p>
        </w:tc>
        <w:tc>
          <w:tcPr>
            <w:tcW w:w="1559" w:type="dxa"/>
            <w:shd w:val="clear" w:color="auto" w:fill="auto"/>
            <w:noWrap/>
            <w:vAlign w:val="bottom"/>
            <w:hideMark/>
          </w:tcPr>
          <w:p w14:paraId="1C3B2662" w14:textId="2C51D2D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-15584</w:t>
            </w:r>
          </w:p>
        </w:tc>
      </w:tr>
      <w:tr w:rsidR="008C7028" w:rsidRPr="004B3222" w14:paraId="7D19D24B" w14:textId="77777777" w:rsidTr="008C7028">
        <w:trPr>
          <w:trHeight w:val="288"/>
        </w:trPr>
        <w:tc>
          <w:tcPr>
            <w:tcW w:w="4531" w:type="dxa"/>
            <w:shd w:val="clear" w:color="000000" w:fill="FFFFFF"/>
            <w:vAlign w:val="center"/>
            <w:hideMark/>
          </w:tcPr>
          <w:p w14:paraId="35F129E5" w14:textId="21E4B82E"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Cash Flows from Financing Activities</w:t>
            </w:r>
          </w:p>
        </w:tc>
        <w:tc>
          <w:tcPr>
            <w:tcW w:w="1843" w:type="dxa"/>
            <w:shd w:val="clear" w:color="auto" w:fill="auto"/>
            <w:noWrap/>
            <w:vAlign w:val="bottom"/>
            <w:hideMark/>
          </w:tcPr>
          <w:p w14:paraId="7FE0F6A0" w14:textId="1DC0C9F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7462606B" w14:textId="26928D0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35B53621" w14:textId="77777777" w:rsidTr="008C7028">
        <w:trPr>
          <w:trHeight w:val="564"/>
        </w:trPr>
        <w:tc>
          <w:tcPr>
            <w:tcW w:w="4531" w:type="dxa"/>
            <w:shd w:val="clear" w:color="000000" w:fill="FFFFFF"/>
            <w:vAlign w:val="center"/>
            <w:hideMark/>
          </w:tcPr>
          <w:p w14:paraId="62A576F6" w14:textId="1EC02DB1"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Proceeds from issuances of debt</w:t>
            </w:r>
          </w:p>
        </w:tc>
        <w:tc>
          <w:tcPr>
            <w:tcW w:w="1843" w:type="dxa"/>
            <w:shd w:val="clear" w:color="auto" w:fill="auto"/>
            <w:noWrap/>
            <w:vAlign w:val="bottom"/>
            <w:hideMark/>
          </w:tcPr>
          <w:p w14:paraId="00D1B4FB" w14:textId="6812FEE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5744</w:t>
            </w:r>
          </w:p>
        </w:tc>
        <w:tc>
          <w:tcPr>
            <w:tcW w:w="1559" w:type="dxa"/>
            <w:shd w:val="clear" w:color="auto" w:fill="auto"/>
            <w:noWrap/>
            <w:vAlign w:val="bottom"/>
            <w:hideMark/>
          </w:tcPr>
          <w:p w14:paraId="0818AD18" w14:textId="339B9B4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3931</w:t>
            </w:r>
          </w:p>
        </w:tc>
      </w:tr>
      <w:tr w:rsidR="008C7028" w:rsidRPr="004B3222" w14:paraId="278BCE18" w14:textId="77777777" w:rsidTr="008C7028">
        <w:trPr>
          <w:trHeight w:val="288"/>
        </w:trPr>
        <w:tc>
          <w:tcPr>
            <w:tcW w:w="4531" w:type="dxa"/>
            <w:shd w:val="clear" w:color="000000" w:fill="FFFFFF"/>
            <w:vAlign w:val="center"/>
            <w:hideMark/>
          </w:tcPr>
          <w:p w14:paraId="03EA6F1D" w14:textId="13181D2F"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Repayments of debt</w:t>
            </w:r>
          </w:p>
        </w:tc>
        <w:tc>
          <w:tcPr>
            <w:tcW w:w="1843" w:type="dxa"/>
            <w:shd w:val="clear" w:color="auto" w:fill="auto"/>
            <w:noWrap/>
            <w:vAlign w:val="bottom"/>
            <w:hideMark/>
          </w:tcPr>
          <w:p w14:paraId="53B56288" w14:textId="4DA0407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-2500</w:t>
            </w:r>
          </w:p>
        </w:tc>
        <w:tc>
          <w:tcPr>
            <w:tcW w:w="1559" w:type="dxa"/>
            <w:shd w:val="clear" w:color="auto" w:fill="auto"/>
            <w:noWrap/>
            <w:vAlign w:val="bottom"/>
            <w:hideMark/>
          </w:tcPr>
          <w:p w14:paraId="7091E1AE" w14:textId="1D09854D"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-1351</w:t>
            </w:r>
          </w:p>
        </w:tc>
      </w:tr>
      <w:tr w:rsidR="008C7028" w:rsidRPr="004B3222" w14:paraId="0F1A06CD" w14:textId="77777777" w:rsidTr="008C7028">
        <w:trPr>
          <w:trHeight w:val="288"/>
        </w:trPr>
        <w:tc>
          <w:tcPr>
            <w:tcW w:w="4531" w:type="dxa"/>
            <w:shd w:val="clear" w:color="000000" w:fill="FFFFFF"/>
            <w:vAlign w:val="bottom"/>
            <w:hideMark/>
          </w:tcPr>
          <w:p w14:paraId="396E2831" w14:textId="1D56846A"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3" w:type="dxa"/>
            <w:shd w:val="clear" w:color="auto" w:fill="auto"/>
            <w:noWrap/>
            <w:vAlign w:val="bottom"/>
            <w:hideMark/>
          </w:tcPr>
          <w:p w14:paraId="52089F7D" w14:textId="18450C8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2FDB6763" w14:textId="41F4030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1C72332D" w14:textId="77777777" w:rsidTr="008C7028">
        <w:trPr>
          <w:trHeight w:val="312"/>
        </w:trPr>
        <w:tc>
          <w:tcPr>
            <w:tcW w:w="4531" w:type="dxa"/>
            <w:shd w:val="clear" w:color="000000" w:fill="FFFFFF"/>
            <w:noWrap/>
            <w:vAlign w:val="center"/>
            <w:hideMark/>
          </w:tcPr>
          <w:p w14:paraId="7483A509" w14:textId="194A7763"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Proceeds from exercises of stock options and other stock issuances</w:t>
            </w:r>
          </w:p>
        </w:tc>
        <w:tc>
          <w:tcPr>
            <w:tcW w:w="1843" w:type="dxa"/>
            <w:shd w:val="clear" w:color="auto" w:fill="auto"/>
            <w:noWrap/>
            <w:vAlign w:val="bottom"/>
            <w:hideMark/>
          </w:tcPr>
          <w:p w14:paraId="795F3DCE" w14:textId="2AD7DCE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1241</w:t>
            </w:r>
          </w:p>
        </w:tc>
        <w:tc>
          <w:tcPr>
            <w:tcW w:w="1559" w:type="dxa"/>
            <w:shd w:val="clear" w:color="auto" w:fill="auto"/>
            <w:noWrap/>
            <w:vAlign w:val="bottom"/>
            <w:hideMark/>
          </w:tcPr>
          <w:p w14:paraId="55D30BA2" w14:textId="4FBFFF1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700</w:t>
            </w:r>
          </w:p>
        </w:tc>
      </w:tr>
      <w:tr w:rsidR="008C7028" w:rsidRPr="004B3222" w14:paraId="663B2123" w14:textId="77777777" w:rsidTr="008C7028">
        <w:trPr>
          <w:trHeight w:val="408"/>
        </w:trPr>
        <w:tc>
          <w:tcPr>
            <w:tcW w:w="4531" w:type="dxa"/>
            <w:shd w:val="clear" w:color="000000" w:fill="FFFFFF"/>
            <w:vAlign w:val="center"/>
            <w:hideMark/>
          </w:tcPr>
          <w:p w14:paraId="6421F959" w14:textId="200CE468"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Principal payments on finance leases</w:t>
            </w:r>
          </w:p>
        </w:tc>
        <w:tc>
          <w:tcPr>
            <w:tcW w:w="1843" w:type="dxa"/>
            <w:shd w:val="clear" w:color="auto" w:fill="auto"/>
            <w:noWrap/>
            <w:vAlign w:val="bottom"/>
            <w:hideMark/>
          </w:tcPr>
          <w:p w14:paraId="0667A76C" w14:textId="729D738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-381</w:t>
            </w:r>
          </w:p>
        </w:tc>
        <w:tc>
          <w:tcPr>
            <w:tcW w:w="1559" w:type="dxa"/>
            <w:shd w:val="clear" w:color="auto" w:fill="auto"/>
            <w:noWrap/>
            <w:vAlign w:val="bottom"/>
            <w:hideMark/>
          </w:tcPr>
          <w:p w14:paraId="518E96C7" w14:textId="66414F66"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-464</w:t>
            </w:r>
          </w:p>
        </w:tc>
      </w:tr>
      <w:tr w:rsidR="008C7028" w:rsidRPr="004B3222" w14:paraId="4E706E2D" w14:textId="77777777" w:rsidTr="008C7028">
        <w:trPr>
          <w:trHeight w:val="288"/>
        </w:trPr>
        <w:tc>
          <w:tcPr>
            <w:tcW w:w="4531" w:type="dxa"/>
            <w:shd w:val="clear" w:color="000000" w:fill="FFFFFF"/>
            <w:vAlign w:val="center"/>
            <w:hideMark/>
          </w:tcPr>
          <w:p w14:paraId="05733B8C" w14:textId="185766F4"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Debt issuance costs</w:t>
            </w:r>
          </w:p>
        </w:tc>
        <w:tc>
          <w:tcPr>
            <w:tcW w:w="1843" w:type="dxa"/>
            <w:shd w:val="clear" w:color="auto" w:fill="auto"/>
            <w:noWrap/>
            <w:vAlign w:val="bottom"/>
            <w:hideMark/>
          </w:tcPr>
          <w:p w14:paraId="30C018B1" w14:textId="0B40C07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w:t>
            </w:r>
          </w:p>
        </w:tc>
        <w:tc>
          <w:tcPr>
            <w:tcW w:w="1559" w:type="dxa"/>
            <w:shd w:val="clear" w:color="auto" w:fill="auto"/>
            <w:noWrap/>
            <w:vAlign w:val="bottom"/>
            <w:hideMark/>
          </w:tcPr>
          <w:p w14:paraId="548005EE" w14:textId="4BB08F2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-29</w:t>
            </w:r>
          </w:p>
        </w:tc>
      </w:tr>
      <w:tr w:rsidR="008C7028" w:rsidRPr="004B3222" w14:paraId="7D133C10" w14:textId="77777777" w:rsidTr="008C7028">
        <w:trPr>
          <w:trHeight w:val="288"/>
        </w:trPr>
        <w:tc>
          <w:tcPr>
            <w:tcW w:w="4531" w:type="dxa"/>
            <w:shd w:val="clear" w:color="000000" w:fill="FFFFFF"/>
            <w:vAlign w:val="bottom"/>
            <w:hideMark/>
          </w:tcPr>
          <w:p w14:paraId="4A3F91B5" w14:textId="247BCDE2"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843" w:type="dxa"/>
            <w:shd w:val="clear" w:color="auto" w:fill="auto"/>
            <w:noWrap/>
            <w:vAlign w:val="bottom"/>
            <w:hideMark/>
          </w:tcPr>
          <w:p w14:paraId="03C5B309" w14:textId="63659E5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5272116C" w14:textId="3482955C"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7A753A82" w14:textId="77777777" w:rsidTr="008C7028">
        <w:trPr>
          <w:trHeight w:val="312"/>
        </w:trPr>
        <w:tc>
          <w:tcPr>
            <w:tcW w:w="4531" w:type="dxa"/>
            <w:shd w:val="clear" w:color="000000" w:fill="FFFFFF"/>
            <w:noWrap/>
            <w:vAlign w:val="center"/>
            <w:hideMark/>
          </w:tcPr>
          <w:p w14:paraId="65F43E3A" w14:textId="3236B5C7"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Distributions paid to noncontrolling interests in subsidiaries</w:t>
            </w:r>
          </w:p>
        </w:tc>
        <w:tc>
          <w:tcPr>
            <w:tcW w:w="1843" w:type="dxa"/>
            <w:shd w:val="clear" w:color="auto" w:fill="auto"/>
            <w:noWrap/>
            <w:vAlign w:val="bottom"/>
            <w:hideMark/>
          </w:tcPr>
          <w:p w14:paraId="66042031" w14:textId="26FAEDB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-104</w:t>
            </w:r>
          </w:p>
        </w:tc>
        <w:tc>
          <w:tcPr>
            <w:tcW w:w="1559" w:type="dxa"/>
            <w:shd w:val="clear" w:color="auto" w:fill="auto"/>
            <w:noWrap/>
            <w:vAlign w:val="bottom"/>
            <w:hideMark/>
          </w:tcPr>
          <w:p w14:paraId="4753F1EF" w14:textId="0DA08A5B"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-144</w:t>
            </w:r>
          </w:p>
        </w:tc>
      </w:tr>
      <w:tr w:rsidR="008C7028" w:rsidRPr="004B3222" w14:paraId="798EFE60" w14:textId="77777777" w:rsidTr="008C7028">
        <w:trPr>
          <w:trHeight w:val="408"/>
        </w:trPr>
        <w:tc>
          <w:tcPr>
            <w:tcW w:w="4531" w:type="dxa"/>
            <w:shd w:val="clear" w:color="000000" w:fill="FFFFFF"/>
            <w:vAlign w:val="center"/>
            <w:hideMark/>
          </w:tcPr>
          <w:p w14:paraId="7E528183" w14:textId="0AF7B65C"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Payments for buy-outs of noncontrolling interests in subsidiaries</w:t>
            </w:r>
          </w:p>
        </w:tc>
        <w:tc>
          <w:tcPr>
            <w:tcW w:w="1843" w:type="dxa"/>
            <w:shd w:val="clear" w:color="auto" w:fill="auto"/>
            <w:noWrap/>
            <w:vAlign w:val="bottom"/>
            <w:hideMark/>
          </w:tcPr>
          <w:p w14:paraId="3E3F7B32" w14:textId="2A79B69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-133</w:t>
            </w:r>
          </w:p>
        </w:tc>
        <w:tc>
          <w:tcPr>
            <w:tcW w:w="1559" w:type="dxa"/>
            <w:shd w:val="clear" w:color="auto" w:fill="auto"/>
            <w:noWrap/>
            <w:vAlign w:val="bottom"/>
            <w:hideMark/>
          </w:tcPr>
          <w:p w14:paraId="246609B4" w14:textId="1E083965"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-54</w:t>
            </w:r>
          </w:p>
        </w:tc>
      </w:tr>
      <w:tr w:rsidR="008C7028" w:rsidRPr="004B3222" w14:paraId="1D4DDF53" w14:textId="77777777" w:rsidTr="008C7028">
        <w:trPr>
          <w:trHeight w:val="408"/>
        </w:trPr>
        <w:tc>
          <w:tcPr>
            <w:tcW w:w="4531" w:type="dxa"/>
            <w:shd w:val="clear" w:color="000000" w:fill="FFFFFF"/>
            <w:vAlign w:val="center"/>
            <w:hideMark/>
          </w:tcPr>
          <w:p w14:paraId="7DC1ADB8" w14:textId="4560AC91"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Net cash provided by (used in) financing activities</w:t>
            </w:r>
          </w:p>
        </w:tc>
        <w:tc>
          <w:tcPr>
            <w:tcW w:w="1843" w:type="dxa"/>
            <w:shd w:val="clear" w:color="auto" w:fill="auto"/>
            <w:noWrap/>
            <w:vAlign w:val="bottom"/>
            <w:hideMark/>
          </w:tcPr>
          <w:p w14:paraId="0A326DFF" w14:textId="44352D8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3853</w:t>
            </w:r>
          </w:p>
        </w:tc>
        <w:tc>
          <w:tcPr>
            <w:tcW w:w="1559" w:type="dxa"/>
            <w:shd w:val="clear" w:color="auto" w:fill="auto"/>
            <w:noWrap/>
            <w:vAlign w:val="bottom"/>
            <w:hideMark/>
          </w:tcPr>
          <w:p w14:paraId="4BB296BE" w14:textId="20DC4819"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2589</w:t>
            </w:r>
          </w:p>
        </w:tc>
      </w:tr>
      <w:tr w:rsidR="008C7028" w:rsidRPr="004B3222" w14:paraId="1D471C58" w14:textId="77777777" w:rsidTr="008C7028">
        <w:trPr>
          <w:trHeight w:val="408"/>
        </w:trPr>
        <w:tc>
          <w:tcPr>
            <w:tcW w:w="4531" w:type="dxa"/>
            <w:shd w:val="clear" w:color="000000" w:fill="FFFFFF"/>
            <w:vAlign w:val="center"/>
            <w:hideMark/>
          </w:tcPr>
          <w:p w14:paraId="4F7D46FF" w14:textId="095D5805" w:rsidR="008C7028" w:rsidRPr="004B3222" w:rsidRDefault="008C7028" w:rsidP="004B3222">
            <w:pPr>
              <w:spacing w:after="0" w:line="240" w:lineRule="auto"/>
              <w:ind w:firstLineChars="200" w:firstLine="440"/>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Effect of exchange rate changes on cash and cash equivalents and restricted cash</w:t>
            </w:r>
          </w:p>
        </w:tc>
        <w:tc>
          <w:tcPr>
            <w:tcW w:w="1843" w:type="dxa"/>
            <w:shd w:val="clear" w:color="auto" w:fill="auto"/>
            <w:noWrap/>
            <w:vAlign w:val="bottom"/>
            <w:hideMark/>
          </w:tcPr>
          <w:p w14:paraId="1419884B" w14:textId="58B1008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-141</w:t>
            </w:r>
          </w:p>
        </w:tc>
        <w:tc>
          <w:tcPr>
            <w:tcW w:w="1559" w:type="dxa"/>
            <w:shd w:val="clear" w:color="auto" w:fill="auto"/>
            <w:noWrap/>
            <w:vAlign w:val="bottom"/>
            <w:hideMark/>
          </w:tcPr>
          <w:p w14:paraId="328E6F0D" w14:textId="4303CED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w:t>
            </w:r>
          </w:p>
        </w:tc>
      </w:tr>
      <w:tr w:rsidR="008C7028" w:rsidRPr="004B3222" w14:paraId="4213D665" w14:textId="77777777" w:rsidTr="008C7028">
        <w:trPr>
          <w:trHeight w:val="816"/>
        </w:trPr>
        <w:tc>
          <w:tcPr>
            <w:tcW w:w="4531" w:type="dxa"/>
            <w:shd w:val="clear" w:color="000000" w:fill="FFFFFF"/>
            <w:vAlign w:val="center"/>
            <w:hideMark/>
          </w:tcPr>
          <w:p w14:paraId="4C170E8C" w14:textId="718CBAE8"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lastRenderedPageBreak/>
              <w:t>Net (decrease) increase in cash and cash equivalents and restricted cash</w:t>
            </w:r>
          </w:p>
        </w:tc>
        <w:tc>
          <w:tcPr>
            <w:tcW w:w="1843" w:type="dxa"/>
            <w:shd w:val="clear" w:color="auto" w:fill="auto"/>
            <w:noWrap/>
            <w:vAlign w:val="bottom"/>
            <w:hideMark/>
          </w:tcPr>
          <w:p w14:paraId="2B95DBA4" w14:textId="6641DAB4"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-152</w:t>
            </w:r>
          </w:p>
        </w:tc>
        <w:tc>
          <w:tcPr>
            <w:tcW w:w="1559" w:type="dxa"/>
            <w:shd w:val="clear" w:color="auto" w:fill="auto"/>
            <w:noWrap/>
            <w:vAlign w:val="bottom"/>
            <w:hideMark/>
          </w:tcPr>
          <w:p w14:paraId="2F17E0B2" w14:textId="7411A5B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265</w:t>
            </w:r>
          </w:p>
        </w:tc>
      </w:tr>
      <w:tr w:rsidR="008C7028" w:rsidRPr="004B3222" w14:paraId="2BDC84AF" w14:textId="77777777" w:rsidTr="008C7028">
        <w:trPr>
          <w:trHeight w:val="696"/>
        </w:trPr>
        <w:tc>
          <w:tcPr>
            <w:tcW w:w="4531" w:type="dxa"/>
            <w:shd w:val="clear" w:color="000000" w:fill="FFFFFF"/>
            <w:vAlign w:val="center"/>
            <w:hideMark/>
          </w:tcPr>
          <w:p w14:paraId="0E14B058" w14:textId="4ACF5006"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and cash equivalents and restricted cash, beginning of period</w:t>
            </w:r>
          </w:p>
        </w:tc>
        <w:tc>
          <w:tcPr>
            <w:tcW w:w="1843" w:type="dxa"/>
            <w:shd w:val="clear" w:color="auto" w:fill="auto"/>
            <w:noWrap/>
            <w:vAlign w:val="bottom"/>
            <w:hideMark/>
          </w:tcPr>
          <w:p w14:paraId="4ABDD6AB" w14:textId="7356CD8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17189</w:t>
            </w:r>
          </w:p>
        </w:tc>
        <w:tc>
          <w:tcPr>
            <w:tcW w:w="1559" w:type="dxa"/>
            <w:shd w:val="clear" w:color="auto" w:fill="auto"/>
            <w:noWrap/>
            <w:vAlign w:val="bottom"/>
            <w:hideMark/>
          </w:tcPr>
          <w:p w14:paraId="6FE12886" w14:textId="654C10D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16924</w:t>
            </w:r>
          </w:p>
        </w:tc>
      </w:tr>
      <w:tr w:rsidR="008C7028" w:rsidRPr="004B3222" w14:paraId="12DF9519" w14:textId="77777777" w:rsidTr="008C7028">
        <w:trPr>
          <w:trHeight w:val="408"/>
        </w:trPr>
        <w:tc>
          <w:tcPr>
            <w:tcW w:w="4531" w:type="dxa"/>
            <w:shd w:val="clear" w:color="000000" w:fill="FFFFFF"/>
            <w:vAlign w:val="center"/>
            <w:hideMark/>
          </w:tcPr>
          <w:p w14:paraId="45DAE58C" w14:textId="4C98E756"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and cash equivalents and restricted cash, end of period</w:t>
            </w:r>
          </w:p>
        </w:tc>
        <w:tc>
          <w:tcPr>
            <w:tcW w:w="1843" w:type="dxa"/>
            <w:shd w:val="clear" w:color="auto" w:fill="auto"/>
            <w:noWrap/>
            <w:vAlign w:val="bottom"/>
            <w:hideMark/>
          </w:tcPr>
          <w:p w14:paraId="79A4F9A2" w14:textId="2301F6F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17037</w:t>
            </w:r>
          </w:p>
        </w:tc>
        <w:tc>
          <w:tcPr>
            <w:tcW w:w="1559" w:type="dxa"/>
            <w:shd w:val="clear" w:color="auto" w:fill="auto"/>
            <w:noWrap/>
            <w:vAlign w:val="bottom"/>
            <w:hideMark/>
          </w:tcPr>
          <w:p w14:paraId="4909AA85" w14:textId="5FED96E7"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17189</w:t>
            </w:r>
          </w:p>
        </w:tc>
      </w:tr>
      <w:tr w:rsidR="008C7028" w:rsidRPr="004B3222" w14:paraId="5A250560" w14:textId="77777777" w:rsidTr="008C7028">
        <w:trPr>
          <w:trHeight w:val="408"/>
        </w:trPr>
        <w:tc>
          <w:tcPr>
            <w:tcW w:w="4531" w:type="dxa"/>
            <w:shd w:val="clear" w:color="000000" w:fill="FFFFFF"/>
            <w:vAlign w:val="center"/>
            <w:hideMark/>
          </w:tcPr>
          <w:p w14:paraId="26679F53" w14:textId="2CD62892"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Supplemental Non-Cash Investing and Financing Activities</w:t>
            </w:r>
          </w:p>
        </w:tc>
        <w:tc>
          <w:tcPr>
            <w:tcW w:w="1843" w:type="dxa"/>
            <w:shd w:val="clear" w:color="auto" w:fill="auto"/>
            <w:noWrap/>
            <w:vAlign w:val="bottom"/>
            <w:hideMark/>
          </w:tcPr>
          <w:p w14:paraId="7057F250" w14:textId="41C2D53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78F7EBFB" w14:textId="6277B3E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3EA37501" w14:textId="77777777" w:rsidTr="008C7028">
        <w:trPr>
          <w:trHeight w:val="408"/>
        </w:trPr>
        <w:tc>
          <w:tcPr>
            <w:tcW w:w="4531" w:type="dxa"/>
            <w:shd w:val="clear" w:color="000000" w:fill="FFFFFF"/>
            <w:vAlign w:val="center"/>
            <w:hideMark/>
          </w:tcPr>
          <w:p w14:paraId="594C2431" w14:textId="6B4D7C53"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Acquisitions of property and equipment included in liabilities</w:t>
            </w:r>
          </w:p>
        </w:tc>
        <w:tc>
          <w:tcPr>
            <w:tcW w:w="1843" w:type="dxa"/>
            <w:shd w:val="clear" w:color="auto" w:fill="auto"/>
            <w:noWrap/>
            <w:vAlign w:val="bottom"/>
            <w:hideMark/>
          </w:tcPr>
          <w:p w14:paraId="5915505A" w14:textId="2ED1097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1410</w:t>
            </w:r>
          </w:p>
        </w:tc>
        <w:tc>
          <w:tcPr>
            <w:tcW w:w="1559" w:type="dxa"/>
            <w:shd w:val="clear" w:color="auto" w:fill="auto"/>
            <w:noWrap/>
            <w:vAlign w:val="bottom"/>
            <w:hideMark/>
          </w:tcPr>
          <w:p w14:paraId="21B883C2" w14:textId="54B4118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2272</w:t>
            </w:r>
          </w:p>
        </w:tc>
      </w:tr>
      <w:tr w:rsidR="008C7028" w:rsidRPr="004B3222" w14:paraId="46476B59" w14:textId="77777777" w:rsidTr="008C7028">
        <w:trPr>
          <w:trHeight w:val="408"/>
        </w:trPr>
        <w:tc>
          <w:tcPr>
            <w:tcW w:w="4531" w:type="dxa"/>
            <w:shd w:val="clear" w:color="000000" w:fill="FFFFFF"/>
            <w:vAlign w:val="center"/>
            <w:hideMark/>
          </w:tcPr>
          <w:p w14:paraId="1FCC84CD" w14:textId="60C295B8"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Supplemental Disclosures</w:t>
            </w:r>
          </w:p>
        </w:tc>
        <w:tc>
          <w:tcPr>
            <w:tcW w:w="1843" w:type="dxa"/>
            <w:shd w:val="clear" w:color="auto" w:fill="auto"/>
            <w:noWrap/>
            <w:vAlign w:val="bottom"/>
            <w:hideMark/>
          </w:tcPr>
          <w:p w14:paraId="040F735C" w14:textId="4943AF1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c>
          <w:tcPr>
            <w:tcW w:w="1559" w:type="dxa"/>
            <w:shd w:val="clear" w:color="auto" w:fill="auto"/>
            <w:noWrap/>
            <w:vAlign w:val="bottom"/>
            <w:hideMark/>
          </w:tcPr>
          <w:p w14:paraId="5FC93D74" w14:textId="6F707B5A"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8C7028" w:rsidRPr="004B3222" w14:paraId="12863EFC" w14:textId="77777777" w:rsidTr="008C7028">
        <w:trPr>
          <w:trHeight w:val="288"/>
        </w:trPr>
        <w:tc>
          <w:tcPr>
            <w:tcW w:w="4531" w:type="dxa"/>
            <w:shd w:val="clear" w:color="000000" w:fill="FFFFFF"/>
            <w:vAlign w:val="center"/>
            <w:hideMark/>
          </w:tcPr>
          <w:p w14:paraId="3CEE17DD" w14:textId="30C90EB7" w:rsidR="008C7028" w:rsidRPr="004B3222" w:rsidRDefault="008C7028"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paid during the period for interest</w:t>
            </w:r>
          </w:p>
        </w:tc>
        <w:tc>
          <w:tcPr>
            <w:tcW w:w="1843" w:type="dxa"/>
            <w:shd w:val="clear" w:color="auto" w:fill="auto"/>
            <w:noWrap/>
            <w:vAlign w:val="bottom"/>
            <w:hideMark/>
          </w:tcPr>
          <w:p w14:paraId="15164DA8" w14:textId="201A40F1"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277</w:t>
            </w:r>
          </w:p>
        </w:tc>
        <w:tc>
          <w:tcPr>
            <w:tcW w:w="1559" w:type="dxa"/>
            <w:shd w:val="clear" w:color="auto" w:fill="auto"/>
            <w:noWrap/>
            <w:vAlign w:val="bottom"/>
            <w:hideMark/>
          </w:tcPr>
          <w:p w14:paraId="13ADEDBE" w14:textId="11896143"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126</w:t>
            </w:r>
          </w:p>
        </w:tc>
      </w:tr>
      <w:tr w:rsidR="008C7028" w:rsidRPr="004B3222" w14:paraId="75405B18" w14:textId="77777777" w:rsidTr="008C7028">
        <w:trPr>
          <w:trHeight w:val="288"/>
        </w:trPr>
        <w:tc>
          <w:tcPr>
            <w:tcW w:w="4531" w:type="dxa"/>
            <w:shd w:val="clear" w:color="000000" w:fill="FFFFFF"/>
            <w:vAlign w:val="center"/>
            <w:hideMark/>
          </w:tcPr>
          <w:p w14:paraId="432AFC6C" w14:textId="61562859" w:rsidR="008C7028" w:rsidRPr="004B3222" w:rsidRDefault="008C7028"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paid during the period for income taxes, net of refunds</w:t>
            </w:r>
          </w:p>
        </w:tc>
        <w:tc>
          <w:tcPr>
            <w:tcW w:w="1843" w:type="dxa"/>
            <w:shd w:val="clear" w:color="auto" w:fill="auto"/>
            <w:noWrap/>
            <w:vAlign w:val="bottom"/>
            <w:hideMark/>
          </w:tcPr>
          <w:p w14:paraId="6322A1E2" w14:textId="3A22FC48"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1331</w:t>
            </w:r>
          </w:p>
        </w:tc>
        <w:tc>
          <w:tcPr>
            <w:tcW w:w="1559" w:type="dxa"/>
            <w:shd w:val="clear" w:color="auto" w:fill="auto"/>
            <w:noWrap/>
            <w:vAlign w:val="bottom"/>
            <w:hideMark/>
          </w:tcPr>
          <w:p w14:paraId="42A95576" w14:textId="722BBF0E" w:rsidR="008C7028" w:rsidRPr="004B3222" w:rsidRDefault="008C7028" w:rsidP="008C7028">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1119</w:t>
            </w:r>
          </w:p>
        </w:tc>
      </w:tr>
    </w:tbl>
    <w:p w14:paraId="1B49C8CD" w14:textId="77777777" w:rsidR="004B3222" w:rsidRPr="008C7028" w:rsidRDefault="004B3222" w:rsidP="004B3222">
      <w:pPr>
        <w:rPr>
          <w:b/>
          <w:bCs/>
        </w:rPr>
      </w:pPr>
    </w:p>
    <w:p w14:paraId="4EEFBB2A" w14:textId="77777777" w:rsidR="001123AD" w:rsidRDefault="001123AD" w:rsidP="004B3222">
      <w:pPr>
        <w:rPr>
          <w:b/>
          <w:bCs/>
        </w:rPr>
      </w:pPr>
    </w:p>
    <w:p w14:paraId="14C5DE64" w14:textId="169AE27E" w:rsidR="004B3222" w:rsidRPr="008C7028" w:rsidRDefault="004B3222" w:rsidP="004B3222">
      <w:pPr>
        <w:rPr>
          <w:b/>
          <w:bCs/>
        </w:rPr>
      </w:pPr>
      <w:r w:rsidRPr="008C7028">
        <w:rPr>
          <w:b/>
          <w:bCs/>
        </w:rPr>
        <w:t>Ratio Analysis</w:t>
      </w:r>
    </w:p>
    <w:p w14:paraId="14E2132B" w14:textId="3A8756BB" w:rsidR="004B3222" w:rsidRPr="008C7028" w:rsidRDefault="004B3222" w:rsidP="004B3222">
      <w:pPr>
        <w:rPr>
          <w:b/>
          <w:bCs/>
        </w:rPr>
      </w:pPr>
      <w:r w:rsidRPr="008C7028">
        <w:rPr>
          <w:b/>
          <w:bCs/>
        </w:rPr>
        <w:t>Ratios:</w:t>
      </w:r>
    </w:p>
    <w:tbl>
      <w:tblPr>
        <w:tblW w:w="6317" w:type="dxa"/>
        <w:tblLook w:val="04A0" w:firstRow="1" w:lastRow="0" w:firstColumn="1" w:lastColumn="0" w:noHBand="0" w:noVBand="1"/>
      </w:tblPr>
      <w:tblGrid>
        <w:gridCol w:w="2000"/>
        <w:gridCol w:w="2397"/>
        <w:gridCol w:w="1053"/>
        <w:gridCol w:w="1053"/>
      </w:tblGrid>
      <w:tr w:rsidR="004B3222" w:rsidRPr="004B3222" w14:paraId="2D2701B6" w14:textId="77777777" w:rsidTr="004B3222">
        <w:trPr>
          <w:trHeight w:val="312"/>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1BE4A" w14:textId="77777777" w:rsidR="004B3222" w:rsidRPr="004B3222" w:rsidRDefault="004B3222"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Ratios</w:t>
            </w:r>
          </w:p>
        </w:tc>
        <w:tc>
          <w:tcPr>
            <w:tcW w:w="2397" w:type="dxa"/>
            <w:tcBorders>
              <w:top w:val="single" w:sz="4" w:space="0" w:color="auto"/>
              <w:left w:val="nil"/>
              <w:bottom w:val="single" w:sz="4" w:space="0" w:color="auto"/>
              <w:right w:val="single" w:sz="4" w:space="0" w:color="auto"/>
            </w:tcBorders>
            <w:shd w:val="clear" w:color="auto" w:fill="auto"/>
            <w:noWrap/>
            <w:vAlign w:val="bottom"/>
            <w:hideMark/>
          </w:tcPr>
          <w:p w14:paraId="6F7DE3B0" w14:textId="77777777" w:rsidR="004B3222" w:rsidRPr="004B3222" w:rsidRDefault="004B3222" w:rsidP="004B3222">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Ratios-1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94C9BA" w14:textId="77777777" w:rsidR="004B3222" w:rsidRPr="004B3222" w:rsidRDefault="004B3222" w:rsidP="004B3222">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0BC8E7" w14:textId="77777777" w:rsidR="004B3222" w:rsidRPr="004B3222" w:rsidRDefault="004B3222" w:rsidP="004B3222">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2024</w:t>
            </w:r>
          </w:p>
        </w:tc>
      </w:tr>
      <w:tr w:rsidR="004B3222" w:rsidRPr="004B3222" w14:paraId="5596E5FE"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C797B02"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Profitability Ratios</w:t>
            </w:r>
          </w:p>
        </w:tc>
        <w:tc>
          <w:tcPr>
            <w:tcW w:w="2397" w:type="dxa"/>
            <w:tcBorders>
              <w:top w:val="nil"/>
              <w:left w:val="nil"/>
              <w:bottom w:val="single" w:sz="4" w:space="0" w:color="auto"/>
              <w:right w:val="single" w:sz="4" w:space="0" w:color="auto"/>
            </w:tcBorders>
            <w:shd w:val="clear" w:color="000000" w:fill="FFFFFF"/>
            <w:noWrap/>
            <w:vAlign w:val="bottom"/>
            <w:hideMark/>
          </w:tcPr>
          <w:p w14:paraId="6B70D809"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Gross profit Margin</w:t>
            </w:r>
          </w:p>
        </w:tc>
        <w:tc>
          <w:tcPr>
            <w:tcW w:w="960" w:type="dxa"/>
            <w:tcBorders>
              <w:top w:val="nil"/>
              <w:left w:val="nil"/>
              <w:bottom w:val="single" w:sz="4" w:space="0" w:color="auto"/>
              <w:right w:val="single" w:sz="4" w:space="0" w:color="auto"/>
            </w:tcBorders>
            <w:shd w:val="clear" w:color="000000" w:fill="FFFFFF"/>
            <w:noWrap/>
            <w:vAlign w:val="bottom"/>
            <w:hideMark/>
          </w:tcPr>
          <w:p w14:paraId="631CC914"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18.25%</w:t>
            </w:r>
          </w:p>
        </w:tc>
        <w:tc>
          <w:tcPr>
            <w:tcW w:w="960" w:type="dxa"/>
            <w:tcBorders>
              <w:top w:val="nil"/>
              <w:left w:val="nil"/>
              <w:bottom w:val="single" w:sz="4" w:space="0" w:color="auto"/>
              <w:right w:val="single" w:sz="4" w:space="0" w:color="auto"/>
            </w:tcBorders>
            <w:shd w:val="clear" w:color="000000" w:fill="FFFFFF"/>
            <w:noWrap/>
            <w:vAlign w:val="bottom"/>
            <w:hideMark/>
          </w:tcPr>
          <w:p w14:paraId="625AEF30"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17.86%</w:t>
            </w:r>
          </w:p>
        </w:tc>
      </w:tr>
      <w:tr w:rsidR="004B3222" w:rsidRPr="004B3222" w14:paraId="21AACC1A"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9022E26"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Profitability Ratios</w:t>
            </w:r>
          </w:p>
        </w:tc>
        <w:tc>
          <w:tcPr>
            <w:tcW w:w="2397" w:type="dxa"/>
            <w:tcBorders>
              <w:top w:val="nil"/>
              <w:left w:val="nil"/>
              <w:bottom w:val="single" w:sz="4" w:space="0" w:color="auto"/>
              <w:right w:val="single" w:sz="4" w:space="0" w:color="auto"/>
            </w:tcBorders>
            <w:shd w:val="clear" w:color="000000" w:fill="FFFFFF"/>
            <w:noWrap/>
            <w:vAlign w:val="bottom"/>
            <w:hideMark/>
          </w:tcPr>
          <w:p w14:paraId="03B1185D"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Operating margin</w:t>
            </w:r>
          </w:p>
        </w:tc>
        <w:tc>
          <w:tcPr>
            <w:tcW w:w="960" w:type="dxa"/>
            <w:tcBorders>
              <w:top w:val="nil"/>
              <w:left w:val="nil"/>
              <w:bottom w:val="single" w:sz="4" w:space="0" w:color="auto"/>
              <w:right w:val="single" w:sz="4" w:space="0" w:color="auto"/>
            </w:tcBorders>
            <w:shd w:val="clear" w:color="000000" w:fill="FFFFFF"/>
            <w:noWrap/>
            <w:vAlign w:val="bottom"/>
            <w:hideMark/>
          </w:tcPr>
          <w:p w14:paraId="3C004FDF"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9.19%</w:t>
            </w:r>
          </w:p>
        </w:tc>
        <w:tc>
          <w:tcPr>
            <w:tcW w:w="960" w:type="dxa"/>
            <w:tcBorders>
              <w:top w:val="nil"/>
              <w:left w:val="nil"/>
              <w:bottom w:val="single" w:sz="4" w:space="0" w:color="auto"/>
              <w:right w:val="single" w:sz="4" w:space="0" w:color="auto"/>
            </w:tcBorders>
            <w:shd w:val="clear" w:color="000000" w:fill="FFFFFF"/>
            <w:noWrap/>
            <w:vAlign w:val="bottom"/>
            <w:hideMark/>
          </w:tcPr>
          <w:p w14:paraId="7304FEAB"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7.24%</w:t>
            </w:r>
          </w:p>
        </w:tc>
      </w:tr>
      <w:tr w:rsidR="004B3222" w:rsidRPr="004B3222" w14:paraId="33F381F6"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064BD2A"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Profitability Ratios</w:t>
            </w:r>
          </w:p>
        </w:tc>
        <w:tc>
          <w:tcPr>
            <w:tcW w:w="2397" w:type="dxa"/>
            <w:tcBorders>
              <w:top w:val="nil"/>
              <w:left w:val="nil"/>
              <w:bottom w:val="single" w:sz="4" w:space="0" w:color="auto"/>
              <w:right w:val="single" w:sz="4" w:space="0" w:color="auto"/>
            </w:tcBorders>
            <w:shd w:val="clear" w:color="auto" w:fill="auto"/>
            <w:noWrap/>
            <w:vAlign w:val="bottom"/>
            <w:hideMark/>
          </w:tcPr>
          <w:p w14:paraId="23B9C52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Net Profit Margin</w:t>
            </w:r>
          </w:p>
        </w:tc>
        <w:tc>
          <w:tcPr>
            <w:tcW w:w="960" w:type="dxa"/>
            <w:tcBorders>
              <w:top w:val="nil"/>
              <w:left w:val="nil"/>
              <w:bottom w:val="single" w:sz="4" w:space="0" w:color="auto"/>
              <w:right w:val="single" w:sz="4" w:space="0" w:color="auto"/>
            </w:tcBorders>
            <w:shd w:val="clear" w:color="000000" w:fill="FFFFFF"/>
            <w:noWrap/>
            <w:vAlign w:val="bottom"/>
            <w:hideMark/>
          </w:tcPr>
          <w:p w14:paraId="28CE5625"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15.47%</w:t>
            </w:r>
          </w:p>
        </w:tc>
        <w:tc>
          <w:tcPr>
            <w:tcW w:w="960" w:type="dxa"/>
            <w:tcBorders>
              <w:top w:val="nil"/>
              <w:left w:val="nil"/>
              <w:bottom w:val="single" w:sz="4" w:space="0" w:color="auto"/>
              <w:right w:val="single" w:sz="4" w:space="0" w:color="auto"/>
            </w:tcBorders>
            <w:shd w:val="clear" w:color="000000" w:fill="FFFFFF"/>
            <w:noWrap/>
            <w:vAlign w:val="bottom"/>
            <w:hideMark/>
          </w:tcPr>
          <w:p w14:paraId="0ECB9A84"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7.32%</w:t>
            </w:r>
          </w:p>
        </w:tc>
      </w:tr>
      <w:tr w:rsidR="004B3222" w:rsidRPr="004B3222" w14:paraId="064CA836"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FCD8333"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Profitability Ratios</w:t>
            </w:r>
          </w:p>
        </w:tc>
        <w:tc>
          <w:tcPr>
            <w:tcW w:w="2397" w:type="dxa"/>
            <w:tcBorders>
              <w:top w:val="nil"/>
              <w:left w:val="nil"/>
              <w:bottom w:val="single" w:sz="4" w:space="0" w:color="auto"/>
              <w:right w:val="single" w:sz="4" w:space="0" w:color="auto"/>
            </w:tcBorders>
            <w:shd w:val="clear" w:color="auto" w:fill="auto"/>
            <w:noWrap/>
            <w:vAlign w:val="bottom"/>
            <w:hideMark/>
          </w:tcPr>
          <w:p w14:paraId="2A2F0449"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Return on Equity (ROE)</w:t>
            </w:r>
          </w:p>
        </w:tc>
        <w:tc>
          <w:tcPr>
            <w:tcW w:w="960" w:type="dxa"/>
            <w:tcBorders>
              <w:top w:val="nil"/>
              <w:left w:val="nil"/>
              <w:bottom w:val="single" w:sz="4" w:space="0" w:color="auto"/>
              <w:right w:val="single" w:sz="4" w:space="0" w:color="auto"/>
            </w:tcBorders>
            <w:shd w:val="clear" w:color="000000" w:fill="FFFFFF"/>
            <w:noWrap/>
            <w:vAlign w:val="bottom"/>
            <w:hideMark/>
          </w:tcPr>
          <w:p w14:paraId="68C4264E"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23.94%</w:t>
            </w:r>
          </w:p>
        </w:tc>
        <w:tc>
          <w:tcPr>
            <w:tcW w:w="960" w:type="dxa"/>
            <w:tcBorders>
              <w:top w:val="nil"/>
              <w:left w:val="nil"/>
              <w:bottom w:val="single" w:sz="4" w:space="0" w:color="auto"/>
              <w:right w:val="single" w:sz="4" w:space="0" w:color="auto"/>
            </w:tcBorders>
            <w:shd w:val="clear" w:color="000000" w:fill="FFFFFF"/>
            <w:noWrap/>
            <w:vAlign w:val="bottom"/>
            <w:hideMark/>
          </w:tcPr>
          <w:p w14:paraId="47FE6A9B"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9.73%</w:t>
            </w:r>
          </w:p>
        </w:tc>
      </w:tr>
      <w:tr w:rsidR="004B3222" w:rsidRPr="004B3222" w14:paraId="4C9FDAA3"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5DDC24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Profitability Ratios</w:t>
            </w:r>
          </w:p>
        </w:tc>
        <w:tc>
          <w:tcPr>
            <w:tcW w:w="2397" w:type="dxa"/>
            <w:tcBorders>
              <w:top w:val="nil"/>
              <w:left w:val="nil"/>
              <w:bottom w:val="single" w:sz="4" w:space="0" w:color="auto"/>
              <w:right w:val="single" w:sz="4" w:space="0" w:color="auto"/>
            </w:tcBorders>
            <w:shd w:val="clear" w:color="auto" w:fill="auto"/>
            <w:noWrap/>
            <w:vAlign w:val="bottom"/>
            <w:hideMark/>
          </w:tcPr>
          <w:p w14:paraId="67742E5C"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Return on Assets (ROA)</w:t>
            </w:r>
          </w:p>
        </w:tc>
        <w:tc>
          <w:tcPr>
            <w:tcW w:w="960" w:type="dxa"/>
            <w:tcBorders>
              <w:top w:val="nil"/>
              <w:left w:val="nil"/>
              <w:bottom w:val="single" w:sz="4" w:space="0" w:color="auto"/>
              <w:right w:val="single" w:sz="4" w:space="0" w:color="auto"/>
            </w:tcBorders>
            <w:shd w:val="clear" w:color="000000" w:fill="FFFFFF"/>
            <w:noWrap/>
            <w:vAlign w:val="bottom"/>
            <w:hideMark/>
          </w:tcPr>
          <w:p w14:paraId="6F235B35"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14.07%</w:t>
            </w:r>
          </w:p>
        </w:tc>
        <w:tc>
          <w:tcPr>
            <w:tcW w:w="960" w:type="dxa"/>
            <w:tcBorders>
              <w:top w:val="nil"/>
              <w:left w:val="nil"/>
              <w:bottom w:val="single" w:sz="4" w:space="0" w:color="auto"/>
              <w:right w:val="single" w:sz="4" w:space="0" w:color="auto"/>
            </w:tcBorders>
            <w:shd w:val="clear" w:color="000000" w:fill="FFFFFF"/>
            <w:noWrap/>
            <w:vAlign w:val="bottom"/>
            <w:hideMark/>
          </w:tcPr>
          <w:p w14:paraId="3A6EEDA6"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5.81%</w:t>
            </w:r>
          </w:p>
        </w:tc>
      </w:tr>
      <w:tr w:rsidR="004B3222" w:rsidRPr="004B3222" w14:paraId="5C79BCE7"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B93772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Liquidity Ratios</w:t>
            </w:r>
          </w:p>
        </w:tc>
        <w:tc>
          <w:tcPr>
            <w:tcW w:w="2397" w:type="dxa"/>
            <w:tcBorders>
              <w:top w:val="nil"/>
              <w:left w:val="nil"/>
              <w:bottom w:val="single" w:sz="4" w:space="0" w:color="auto"/>
              <w:right w:val="single" w:sz="4" w:space="0" w:color="auto"/>
            </w:tcBorders>
            <w:shd w:val="clear" w:color="auto" w:fill="auto"/>
            <w:noWrap/>
            <w:vAlign w:val="bottom"/>
            <w:hideMark/>
          </w:tcPr>
          <w:p w14:paraId="535002FD"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Current Ratio</w:t>
            </w:r>
          </w:p>
        </w:tc>
        <w:tc>
          <w:tcPr>
            <w:tcW w:w="960" w:type="dxa"/>
            <w:tcBorders>
              <w:top w:val="nil"/>
              <w:left w:val="nil"/>
              <w:bottom w:val="single" w:sz="4" w:space="0" w:color="auto"/>
              <w:right w:val="single" w:sz="4" w:space="0" w:color="auto"/>
            </w:tcBorders>
            <w:shd w:val="clear" w:color="auto" w:fill="auto"/>
            <w:noWrap/>
            <w:vAlign w:val="bottom"/>
            <w:hideMark/>
          </w:tcPr>
          <w:p w14:paraId="3F8F979A"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1.725894</w:t>
            </w:r>
          </w:p>
        </w:tc>
        <w:tc>
          <w:tcPr>
            <w:tcW w:w="960" w:type="dxa"/>
            <w:tcBorders>
              <w:top w:val="nil"/>
              <w:left w:val="nil"/>
              <w:bottom w:val="single" w:sz="4" w:space="0" w:color="auto"/>
              <w:right w:val="single" w:sz="4" w:space="0" w:color="auto"/>
            </w:tcBorders>
            <w:shd w:val="clear" w:color="auto" w:fill="auto"/>
            <w:noWrap/>
            <w:vAlign w:val="bottom"/>
            <w:hideMark/>
          </w:tcPr>
          <w:p w14:paraId="02B7B3CF"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2.024912</w:t>
            </w:r>
          </w:p>
        </w:tc>
      </w:tr>
      <w:tr w:rsidR="004B3222" w:rsidRPr="004B3222" w14:paraId="1527F6E1"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550C64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Liquidity Ratios</w:t>
            </w:r>
          </w:p>
        </w:tc>
        <w:tc>
          <w:tcPr>
            <w:tcW w:w="2397" w:type="dxa"/>
            <w:tcBorders>
              <w:top w:val="nil"/>
              <w:left w:val="nil"/>
              <w:bottom w:val="single" w:sz="4" w:space="0" w:color="auto"/>
              <w:right w:val="single" w:sz="4" w:space="0" w:color="auto"/>
            </w:tcBorders>
            <w:shd w:val="clear" w:color="auto" w:fill="auto"/>
            <w:noWrap/>
            <w:vAlign w:val="bottom"/>
            <w:hideMark/>
          </w:tcPr>
          <w:p w14:paraId="46D48DC1"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Quick ratio</w:t>
            </w:r>
          </w:p>
        </w:tc>
        <w:tc>
          <w:tcPr>
            <w:tcW w:w="960" w:type="dxa"/>
            <w:tcBorders>
              <w:top w:val="nil"/>
              <w:left w:val="nil"/>
              <w:bottom w:val="single" w:sz="4" w:space="0" w:color="auto"/>
              <w:right w:val="single" w:sz="4" w:space="0" w:color="auto"/>
            </w:tcBorders>
            <w:shd w:val="clear" w:color="auto" w:fill="auto"/>
            <w:noWrap/>
            <w:vAlign w:val="bottom"/>
            <w:hideMark/>
          </w:tcPr>
          <w:p w14:paraId="634F02C6"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1.134061</w:t>
            </w:r>
          </w:p>
        </w:tc>
        <w:tc>
          <w:tcPr>
            <w:tcW w:w="960" w:type="dxa"/>
            <w:tcBorders>
              <w:top w:val="nil"/>
              <w:left w:val="nil"/>
              <w:bottom w:val="single" w:sz="4" w:space="0" w:color="auto"/>
              <w:right w:val="single" w:sz="4" w:space="0" w:color="auto"/>
            </w:tcBorders>
            <w:shd w:val="clear" w:color="auto" w:fill="auto"/>
            <w:noWrap/>
            <w:vAlign w:val="bottom"/>
            <w:hideMark/>
          </w:tcPr>
          <w:p w14:paraId="692A41B7"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1.421915</w:t>
            </w:r>
          </w:p>
        </w:tc>
      </w:tr>
      <w:tr w:rsidR="004B3222" w:rsidRPr="004B3222" w14:paraId="6237D67F"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36D0B5"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Solvency ratios</w:t>
            </w:r>
          </w:p>
        </w:tc>
        <w:tc>
          <w:tcPr>
            <w:tcW w:w="2397" w:type="dxa"/>
            <w:tcBorders>
              <w:top w:val="nil"/>
              <w:left w:val="nil"/>
              <w:bottom w:val="single" w:sz="4" w:space="0" w:color="auto"/>
              <w:right w:val="single" w:sz="4" w:space="0" w:color="auto"/>
            </w:tcBorders>
            <w:shd w:val="clear" w:color="auto" w:fill="auto"/>
            <w:noWrap/>
            <w:vAlign w:val="bottom"/>
            <w:hideMark/>
          </w:tcPr>
          <w:p w14:paraId="06F187B9"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Debt to equity Ratio</w:t>
            </w:r>
          </w:p>
        </w:tc>
        <w:tc>
          <w:tcPr>
            <w:tcW w:w="960" w:type="dxa"/>
            <w:tcBorders>
              <w:top w:val="nil"/>
              <w:left w:val="nil"/>
              <w:bottom w:val="single" w:sz="4" w:space="0" w:color="auto"/>
              <w:right w:val="single" w:sz="4" w:space="0" w:color="auto"/>
            </w:tcBorders>
            <w:shd w:val="clear" w:color="auto" w:fill="auto"/>
            <w:noWrap/>
            <w:vAlign w:val="bottom"/>
            <w:hideMark/>
          </w:tcPr>
          <w:p w14:paraId="7AF0811F"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0.686672</w:t>
            </w:r>
          </w:p>
        </w:tc>
        <w:tc>
          <w:tcPr>
            <w:tcW w:w="960" w:type="dxa"/>
            <w:tcBorders>
              <w:top w:val="nil"/>
              <w:left w:val="nil"/>
              <w:bottom w:val="single" w:sz="4" w:space="0" w:color="auto"/>
              <w:right w:val="single" w:sz="4" w:space="0" w:color="auto"/>
            </w:tcBorders>
            <w:shd w:val="clear" w:color="auto" w:fill="auto"/>
            <w:noWrap/>
            <w:vAlign w:val="bottom"/>
            <w:hideMark/>
          </w:tcPr>
          <w:p w14:paraId="779675F3"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0.663668</w:t>
            </w:r>
          </w:p>
        </w:tc>
      </w:tr>
      <w:tr w:rsidR="004B3222" w:rsidRPr="004B3222" w14:paraId="7B70F370"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32CC3A5"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Solvency ratios</w:t>
            </w:r>
          </w:p>
        </w:tc>
        <w:tc>
          <w:tcPr>
            <w:tcW w:w="2397" w:type="dxa"/>
            <w:tcBorders>
              <w:top w:val="nil"/>
              <w:left w:val="nil"/>
              <w:bottom w:val="single" w:sz="4" w:space="0" w:color="auto"/>
              <w:right w:val="single" w:sz="4" w:space="0" w:color="auto"/>
            </w:tcBorders>
            <w:shd w:val="clear" w:color="auto" w:fill="auto"/>
            <w:noWrap/>
            <w:vAlign w:val="bottom"/>
            <w:hideMark/>
          </w:tcPr>
          <w:p w14:paraId="375A4DEF"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Interest coverage ratio</w:t>
            </w:r>
          </w:p>
        </w:tc>
        <w:tc>
          <w:tcPr>
            <w:tcW w:w="960" w:type="dxa"/>
            <w:tcBorders>
              <w:top w:val="nil"/>
              <w:left w:val="nil"/>
              <w:bottom w:val="single" w:sz="4" w:space="0" w:color="auto"/>
              <w:right w:val="single" w:sz="4" w:space="0" w:color="auto"/>
            </w:tcBorders>
            <w:shd w:val="clear" w:color="auto" w:fill="auto"/>
            <w:noWrap/>
            <w:vAlign w:val="bottom"/>
            <w:hideMark/>
          </w:tcPr>
          <w:p w14:paraId="1E6C9E1F"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56.99359</w:t>
            </w:r>
          </w:p>
        </w:tc>
        <w:tc>
          <w:tcPr>
            <w:tcW w:w="960" w:type="dxa"/>
            <w:tcBorders>
              <w:top w:val="nil"/>
              <w:left w:val="nil"/>
              <w:bottom w:val="single" w:sz="4" w:space="0" w:color="auto"/>
              <w:right w:val="single" w:sz="4" w:space="0" w:color="auto"/>
            </w:tcBorders>
            <w:shd w:val="clear" w:color="auto" w:fill="auto"/>
            <w:noWrap/>
            <w:vAlign w:val="bottom"/>
            <w:hideMark/>
          </w:tcPr>
          <w:p w14:paraId="47FACC00"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20.21714</w:t>
            </w:r>
          </w:p>
        </w:tc>
      </w:tr>
      <w:tr w:rsidR="004B3222" w:rsidRPr="004B3222" w14:paraId="42717430"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7380EEB"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Solvency ratios</w:t>
            </w:r>
          </w:p>
        </w:tc>
        <w:tc>
          <w:tcPr>
            <w:tcW w:w="2397" w:type="dxa"/>
            <w:tcBorders>
              <w:top w:val="nil"/>
              <w:left w:val="nil"/>
              <w:bottom w:val="single" w:sz="4" w:space="0" w:color="auto"/>
              <w:right w:val="single" w:sz="4" w:space="0" w:color="auto"/>
            </w:tcBorders>
            <w:shd w:val="clear" w:color="auto" w:fill="auto"/>
            <w:noWrap/>
            <w:vAlign w:val="bottom"/>
            <w:hideMark/>
          </w:tcPr>
          <w:p w14:paraId="7CA11154"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Debt Ratio</w:t>
            </w:r>
          </w:p>
        </w:tc>
        <w:tc>
          <w:tcPr>
            <w:tcW w:w="960" w:type="dxa"/>
            <w:tcBorders>
              <w:top w:val="nil"/>
              <w:left w:val="nil"/>
              <w:bottom w:val="single" w:sz="4" w:space="0" w:color="auto"/>
              <w:right w:val="single" w:sz="4" w:space="0" w:color="auto"/>
            </w:tcBorders>
            <w:shd w:val="clear" w:color="auto" w:fill="auto"/>
            <w:noWrap/>
            <w:vAlign w:val="bottom"/>
            <w:hideMark/>
          </w:tcPr>
          <w:p w14:paraId="4A22BA0D"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0.403393</w:t>
            </w:r>
          </w:p>
        </w:tc>
        <w:tc>
          <w:tcPr>
            <w:tcW w:w="960" w:type="dxa"/>
            <w:tcBorders>
              <w:top w:val="nil"/>
              <w:left w:val="nil"/>
              <w:bottom w:val="single" w:sz="4" w:space="0" w:color="auto"/>
              <w:right w:val="single" w:sz="4" w:space="0" w:color="auto"/>
            </w:tcBorders>
            <w:shd w:val="clear" w:color="auto" w:fill="auto"/>
            <w:noWrap/>
            <w:vAlign w:val="bottom"/>
            <w:hideMark/>
          </w:tcPr>
          <w:p w14:paraId="31486C5A"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0.396412</w:t>
            </w:r>
          </w:p>
        </w:tc>
      </w:tr>
      <w:tr w:rsidR="004B3222" w:rsidRPr="004B3222" w14:paraId="207360BB"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58337D2"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Efficiency ratios</w:t>
            </w:r>
          </w:p>
        </w:tc>
        <w:tc>
          <w:tcPr>
            <w:tcW w:w="2397" w:type="dxa"/>
            <w:tcBorders>
              <w:top w:val="nil"/>
              <w:left w:val="nil"/>
              <w:bottom w:val="single" w:sz="4" w:space="0" w:color="auto"/>
              <w:right w:val="single" w:sz="4" w:space="0" w:color="auto"/>
            </w:tcBorders>
            <w:shd w:val="clear" w:color="auto" w:fill="auto"/>
            <w:noWrap/>
            <w:vAlign w:val="bottom"/>
            <w:hideMark/>
          </w:tcPr>
          <w:p w14:paraId="660139B8"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Asset Turnover ratio</w:t>
            </w:r>
          </w:p>
        </w:tc>
        <w:tc>
          <w:tcPr>
            <w:tcW w:w="960" w:type="dxa"/>
            <w:tcBorders>
              <w:top w:val="nil"/>
              <w:left w:val="nil"/>
              <w:bottom w:val="single" w:sz="4" w:space="0" w:color="auto"/>
              <w:right w:val="single" w:sz="4" w:space="0" w:color="auto"/>
            </w:tcBorders>
            <w:shd w:val="clear" w:color="auto" w:fill="auto"/>
            <w:noWrap/>
            <w:vAlign w:val="bottom"/>
            <w:hideMark/>
          </w:tcPr>
          <w:p w14:paraId="58103E28"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0.907661</w:t>
            </w:r>
          </w:p>
        </w:tc>
        <w:tc>
          <w:tcPr>
            <w:tcW w:w="960" w:type="dxa"/>
            <w:tcBorders>
              <w:top w:val="nil"/>
              <w:left w:val="nil"/>
              <w:bottom w:val="single" w:sz="4" w:space="0" w:color="auto"/>
              <w:right w:val="single" w:sz="4" w:space="0" w:color="auto"/>
            </w:tcBorders>
            <w:shd w:val="clear" w:color="auto" w:fill="auto"/>
            <w:noWrap/>
            <w:vAlign w:val="bottom"/>
            <w:hideMark/>
          </w:tcPr>
          <w:p w14:paraId="022D571B"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0.854352</w:t>
            </w:r>
          </w:p>
        </w:tc>
      </w:tr>
      <w:tr w:rsidR="004B3222" w:rsidRPr="004B3222" w14:paraId="4BF0CECA"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552A913"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Efficiency ratios</w:t>
            </w:r>
          </w:p>
        </w:tc>
        <w:tc>
          <w:tcPr>
            <w:tcW w:w="2397" w:type="dxa"/>
            <w:tcBorders>
              <w:top w:val="nil"/>
              <w:left w:val="nil"/>
              <w:bottom w:val="single" w:sz="4" w:space="0" w:color="auto"/>
              <w:right w:val="single" w:sz="4" w:space="0" w:color="auto"/>
            </w:tcBorders>
            <w:shd w:val="clear" w:color="auto" w:fill="auto"/>
            <w:noWrap/>
            <w:vAlign w:val="bottom"/>
            <w:hideMark/>
          </w:tcPr>
          <w:p w14:paraId="4F2CFECA"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Inventory Turnover ratio</w:t>
            </w:r>
          </w:p>
        </w:tc>
        <w:tc>
          <w:tcPr>
            <w:tcW w:w="960" w:type="dxa"/>
            <w:tcBorders>
              <w:top w:val="nil"/>
              <w:left w:val="nil"/>
              <w:bottom w:val="single" w:sz="4" w:space="0" w:color="auto"/>
              <w:right w:val="single" w:sz="4" w:space="0" w:color="auto"/>
            </w:tcBorders>
            <w:shd w:val="clear" w:color="auto" w:fill="auto"/>
            <w:noWrap/>
            <w:vAlign w:val="bottom"/>
            <w:hideMark/>
          </w:tcPr>
          <w:p w14:paraId="0C3770C4"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5.806033</w:t>
            </w:r>
          </w:p>
        </w:tc>
        <w:tc>
          <w:tcPr>
            <w:tcW w:w="960" w:type="dxa"/>
            <w:tcBorders>
              <w:top w:val="nil"/>
              <w:left w:val="nil"/>
              <w:bottom w:val="single" w:sz="4" w:space="0" w:color="auto"/>
              <w:right w:val="single" w:sz="4" w:space="0" w:color="auto"/>
            </w:tcBorders>
            <w:shd w:val="clear" w:color="auto" w:fill="auto"/>
            <w:noWrap/>
            <w:vAlign w:val="bottom"/>
            <w:hideMark/>
          </w:tcPr>
          <w:p w14:paraId="45EDB976"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6.258238</w:t>
            </w:r>
          </w:p>
        </w:tc>
      </w:tr>
      <w:tr w:rsidR="004B3222" w:rsidRPr="004B3222" w14:paraId="45EF6200"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039FCF0"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Efficiency ratios</w:t>
            </w:r>
          </w:p>
        </w:tc>
        <w:tc>
          <w:tcPr>
            <w:tcW w:w="2397" w:type="dxa"/>
            <w:tcBorders>
              <w:top w:val="nil"/>
              <w:left w:val="nil"/>
              <w:bottom w:val="single" w:sz="4" w:space="0" w:color="auto"/>
              <w:right w:val="single" w:sz="4" w:space="0" w:color="auto"/>
            </w:tcBorders>
            <w:shd w:val="clear" w:color="auto" w:fill="auto"/>
            <w:noWrap/>
            <w:vAlign w:val="bottom"/>
            <w:hideMark/>
          </w:tcPr>
          <w:p w14:paraId="7BA9700E"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Receivable Turnover ratio</w:t>
            </w:r>
          </w:p>
        </w:tc>
        <w:tc>
          <w:tcPr>
            <w:tcW w:w="960" w:type="dxa"/>
            <w:tcBorders>
              <w:top w:val="nil"/>
              <w:left w:val="nil"/>
              <w:bottom w:val="single" w:sz="4" w:space="0" w:color="auto"/>
              <w:right w:val="single" w:sz="4" w:space="0" w:color="auto"/>
            </w:tcBorders>
            <w:shd w:val="clear" w:color="auto" w:fill="auto"/>
            <w:noWrap/>
            <w:vAlign w:val="bottom"/>
            <w:hideMark/>
          </w:tcPr>
          <w:p w14:paraId="2E3CC671"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27.58637</w:t>
            </w:r>
          </w:p>
        </w:tc>
        <w:tc>
          <w:tcPr>
            <w:tcW w:w="960" w:type="dxa"/>
            <w:tcBorders>
              <w:top w:val="nil"/>
              <w:left w:val="nil"/>
              <w:bottom w:val="single" w:sz="4" w:space="0" w:color="auto"/>
              <w:right w:val="single" w:sz="4" w:space="0" w:color="auto"/>
            </w:tcBorders>
            <w:shd w:val="clear" w:color="auto" w:fill="auto"/>
            <w:noWrap/>
            <w:vAlign w:val="bottom"/>
            <w:hideMark/>
          </w:tcPr>
          <w:p w14:paraId="6C95B28B"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22.11182</w:t>
            </w:r>
          </w:p>
        </w:tc>
      </w:tr>
      <w:tr w:rsidR="004B3222" w:rsidRPr="004B3222" w14:paraId="3CCB9B8E"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B8F7C3C"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Flow Ratio</w:t>
            </w:r>
          </w:p>
        </w:tc>
        <w:tc>
          <w:tcPr>
            <w:tcW w:w="2397" w:type="dxa"/>
            <w:tcBorders>
              <w:top w:val="nil"/>
              <w:left w:val="nil"/>
              <w:bottom w:val="single" w:sz="4" w:space="0" w:color="auto"/>
              <w:right w:val="single" w:sz="4" w:space="0" w:color="auto"/>
            </w:tcBorders>
            <w:shd w:val="clear" w:color="auto" w:fill="auto"/>
            <w:noWrap/>
            <w:vAlign w:val="bottom"/>
            <w:hideMark/>
          </w:tcPr>
          <w:p w14:paraId="1A9DC24C"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Operating Cash Flow ratio</w:t>
            </w:r>
          </w:p>
        </w:tc>
        <w:tc>
          <w:tcPr>
            <w:tcW w:w="960" w:type="dxa"/>
            <w:tcBorders>
              <w:top w:val="nil"/>
              <w:left w:val="nil"/>
              <w:bottom w:val="single" w:sz="4" w:space="0" w:color="auto"/>
              <w:right w:val="single" w:sz="4" w:space="0" w:color="auto"/>
            </w:tcBorders>
            <w:shd w:val="clear" w:color="auto" w:fill="auto"/>
            <w:noWrap/>
            <w:vAlign w:val="bottom"/>
            <w:hideMark/>
          </w:tcPr>
          <w:p w14:paraId="31338F70"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0.46111</w:t>
            </w:r>
          </w:p>
        </w:tc>
        <w:tc>
          <w:tcPr>
            <w:tcW w:w="960" w:type="dxa"/>
            <w:tcBorders>
              <w:top w:val="nil"/>
              <w:left w:val="nil"/>
              <w:bottom w:val="single" w:sz="4" w:space="0" w:color="auto"/>
              <w:right w:val="single" w:sz="4" w:space="0" w:color="auto"/>
            </w:tcBorders>
            <w:shd w:val="clear" w:color="auto" w:fill="auto"/>
            <w:noWrap/>
            <w:vAlign w:val="bottom"/>
            <w:hideMark/>
          </w:tcPr>
          <w:p w14:paraId="22128D83"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0.517782</w:t>
            </w:r>
          </w:p>
        </w:tc>
      </w:tr>
      <w:tr w:rsidR="004B3222" w:rsidRPr="004B3222" w14:paraId="6A9801E6" w14:textId="77777777" w:rsidTr="004B3222">
        <w:trPr>
          <w:trHeight w:val="312"/>
        </w:trPr>
        <w:tc>
          <w:tcPr>
            <w:tcW w:w="2000" w:type="dxa"/>
            <w:tcBorders>
              <w:top w:val="nil"/>
              <w:left w:val="single" w:sz="4" w:space="0" w:color="auto"/>
              <w:bottom w:val="nil"/>
              <w:right w:val="single" w:sz="4" w:space="0" w:color="auto"/>
            </w:tcBorders>
            <w:shd w:val="clear" w:color="auto" w:fill="auto"/>
            <w:noWrap/>
            <w:vAlign w:val="bottom"/>
            <w:hideMark/>
          </w:tcPr>
          <w:p w14:paraId="6A1B5C91"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Cash Flow Ratio</w:t>
            </w:r>
          </w:p>
        </w:tc>
        <w:tc>
          <w:tcPr>
            <w:tcW w:w="2397" w:type="dxa"/>
            <w:tcBorders>
              <w:top w:val="nil"/>
              <w:left w:val="nil"/>
              <w:bottom w:val="nil"/>
              <w:right w:val="single" w:sz="4" w:space="0" w:color="auto"/>
            </w:tcBorders>
            <w:shd w:val="clear" w:color="auto" w:fill="auto"/>
            <w:noWrap/>
            <w:vAlign w:val="bottom"/>
            <w:hideMark/>
          </w:tcPr>
          <w:p w14:paraId="36BB198B" w14:textId="77777777" w:rsidR="004B3222" w:rsidRPr="004B3222" w:rsidRDefault="004B3222" w:rsidP="004B3222">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Free Cash Flow</w:t>
            </w:r>
          </w:p>
        </w:tc>
        <w:tc>
          <w:tcPr>
            <w:tcW w:w="960" w:type="dxa"/>
            <w:tcBorders>
              <w:top w:val="nil"/>
              <w:left w:val="nil"/>
              <w:bottom w:val="nil"/>
              <w:right w:val="single" w:sz="4" w:space="0" w:color="auto"/>
            </w:tcBorders>
            <w:shd w:val="clear" w:color="auto" w:fill="auto"/>
            <w:noWrap/>
            <w:vAlign w:val="bottom"/>
            <w:hideMark/>
          </w:tcPr>
          <w:p w14:paraId="42CFAE6E"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4358</w:t>
            </w:r>
          </w:p>
        </w:tc>
        <w:tc>
          <w:tcPr>
            <w:tcW w:w="960" w:type="dxa"/>
            <w:tcBorders>
              <w:top w:val="nil"/>
              <w:left w:val="nil"/>
              <w:bottom w:val="nil"/>
              <w:right w:val="single" w:sz="4" w:space="0" w:color="auto"/>
            </w:tcBorders>
            <w:shd w:val="clear" w:color="auto" w:fill="auto"/>
            <w:noWrap/>
            <w:vAlign w:val="bottom"/>
            <w:hideMark/>
          </w:tcPr>
          <w:p w14:paraId="34638FFF" w14:textId="77777777" w:rsidR="004B3222" w:rsidRPr="004B3222"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3584</w:t>
            </w:r>
          </w:p>
        </w:tc>
      </w:tr>
      <w:tr w:rsidR="004B3222" w:rsidRPr="008C7028" w14:paraId="7E5F00BC" w14:textId="77777777" w:rsidTr="004B3222">
        <w:trPr>
          <w:trHeight w:val="312"/>
        </w:trPr>
        <w:tc>
          <w:tcPr>
            <w:tcW w:w="2000" w:type="dxa"/>
            <w:tcBorders>
              <w:top w:val="nil"/>
              <w:left w:val="single" w:sz="4" w:space="0" w:color="auto"/>
              <w:bottom w:val="single" w:sz="4" w:space="0" w:color="auto"/>
              <w:right w:val="single" w:sz="4" w:space="0" w:color="auto"/>
            </w:tcBorders>
            <w:shd w:val="clear" w:color="auto" w:fill="auto"/>
            <w:noWrap/>
            <w:vAlign w:val="bottom"/>
          </w:tcPr>
          <w:p w14:paraId="0F53AF47" w14:textId="77777777" w:rsidR="004B3222" w:rsidRPr="001123AD" w:rsidRDefault="004B3222" w:rsidP="004B3222">
            <w:pPr>
              <w:spacing w:after="0" w:line="240" w:lineRule="auto"/>
              <w:rPr>
                <w:rFonts w:ascii="Calibri" w:eastAsia="Times New Roman" w:hAnsi="Calibri" w:cs="Calibri"/>
                <w:color w:val="000000"/>
                <w:kern w:val="0"/>
                <w:sz w:val="22"/>
                <w:szCs w:val="22"/>
                <w:lang w:eastAsia="en-IN"/>
                <w14:ligatures w14:val="none"/>
              </w:rPr>
            </w:pPr>
          </w:p>
        </w:tc>
        <w:tc>
          <w:tcPr>
            <w:tcW w:w="2397" w:type="dxa"/>
            <w:tcBorders>
              <w:top w:val="nil"/>
              <w:left w:val="nil"/>
              <w:bottom w:val="single" w:sz="4" w:space="0" w:color="auto"/>
              <w:right w:val="single" w:sz="4" w:space="0" w:color="auto"/>
            </w:tcBorders>
            <w:shd w:val="clear" w:color="auto" w:fill="auto"/>
            <w:noWrap/>
            <w:vAlign w:val="bottom"/>
          </w:tcPr>
          <w:p w14:paraId="1877FFA0" w14:textId="77777777" w:rsidR="004B3222" w:rsidRPr="001123AD" w:rsidRDefault="004B3222" w:rsidP="004B3222">
            <w:pPr>
              <w:spacing w:after="0" w:line="240" w:lineRule="auto"/>
              <w:rPr>
                <w:rFonts w:ascii="Calibri" w:eastAsia="Times New Roman" w:hAnsi="Calibri" w:cs="Calibri"/>
                <w:color w:val="000000"/>
                <w:kern w:val="0"/>
                <w:sz w:val="22"/>
                <w:szCs w:val="22"/>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4E9665E1" w14:textId="77777777" w:rsidR="004B3222" w:rsidRPr="001123AD"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7ACF50E3" w14:textId="77777777" w:rsidR="004B3222" w:rsidRPr="001123AD" w:rsidRDefault="004B3222" w:rsidP="004B3222">
            <w:pPr>
              <w:spacing w:after="0" w:line="240" w:lineRule="auto"/>
              <w:jc w:val="right"/>
              <w:rPr>
                <w:rFonts w:ascii="Calibri" w:eastAsia="Times New Roman" w:hAnsi="Calibri" w:cs="Calibri"/>
                <w:color w:val="000000"/>
                <w:kern w:val="0"/>
                <w:sz w:val="22"/>
                <w:szCs w:val="22"/>
                <w:lang w:eastAsia="en-IN"/>
                <w14:ligatures w14:val="none"/>
              </w:rPr>
            </w:pPr>
          </w:p>
        </w:tc>
      </w:tr>
    </w:tbl>
    <w:p w14:paraId="77C71B01" w14:textId="77777777" w:rsidR="001123AD" w:rsidRDefault="001123AD" w:rsidP="004B3222">
      <w:pPr>
        <w:rPr>
          <w:b/>
          <w:bCs/>
        </w:rPr>
      </w:pPr>
    </w:p>
    <w:p w14:paraId="0E0AB8E1" w14:textId="77777777" w:rsidR="001123AD" w:rsidRDefault="001123AD" w:rsidP="004B3222">
      <w:pPr>
        <w:rPr>
          <w:b/>
          <w:bCs/>
        </w:rPr>
      </w:pPr>
    </w:p>
    <w:p w14:paraId="42E32ABD" w14:textId="77777777" w:rsidR="001123AD" w:rsidRDefault="001123AD" w:rsidP="004B3222">
      <w:pPr>
        <w:rPr>
          <w:b/>
          <w:bCs/>
        </w:rPr>
      </w:pPr>
    </w:p>
    <w:p w14:paraId="159BE9B2" w14:textId="5DEC075C" w:rsidR="004B3222" w:rsidRPr="001123AD" w:rsidRDefault="004B3222" w:rsidP="004B3222">
      <w:pPr>
        <w:rPr>
          <w:rFonts w:ascii="Calibri" w:hAnsi="Calibri" w:cs="Calibri"/>
          <w:b/>
          <w:bCs/>
        </w:rPr>
      </w:pPr>
      <w:r w:rsidRPr="001123AD">
        <w:rPr>
          <w:rFonts w:ascii="Calibri" w:hAnsi="Calibri" w:cs="Calibri"/>
          <w:b/>
          <w:bCs/>
        </w:rPr>
        <w:lastRenderedPageBreak/>
        <w:t>Profitability Trends from 2023 to 2024</w:t>
      </w:r>
    </w:p>
    <w:tbl>
      <w:tblPr>
        <w:tblW w:w="12022" w:type="dxa"/>
        <w:tblLook w:val="04A0" w:firstRow="1" w:lastRow="0" w:firstColumn="1" w:lastColumn="0" w:noHBand="0" w:noVBand="1"/>
      </w:tblPr>
      <w:tblGrid>
        <w:gridCol w:w="3119"/>
        <w:gridCol w:w="992"/>
        <w:gridCol w:w="935"/>
        <w:gridCol w:w="3780"/>
        <w:gridCol w:w="1040"/>
        <w:gridCol w:w="960"/>
        <w:gridCol w:w="960"/>
        <w:gridCol w:w="236"/>
      </w:tblGrid>
      <w:tr w:rsidR="00F12F5C" w:rsidRPr="00F12F5C" w14:paraId="46DF1EF5" w14:textId="77777777" w:rsidTr="00F12F5C">
        <w:trPr>
          <w:trHeight w:val="312"/>
        </w:trPr>
        <w:tc>
          <w:tcPr>
            <w:tcW w:w="3119" w:type="dxa"/>
            <w:tcBorders>
              <w:top w:val="nil"/>
              <w:left w:val="nil"/>
              <w:bottom w:val="nil"/>
              <w:right w:val="nil"/>
            </w:tcBorders>
            <w:shd w:val="clear" w:color="auto" w:fill="auto"/>
            <w:noWrap/>
            <w:vAlign w:val="bottom"/>
            <w:hideMark/>
          </w:tcPr>
          <w:p w14:paraId="1E7B1F5B" w14:textId="77777777" w:rsidR="00F12F5C" w:rsidRPr="00F12F5C" w:rsidRDefault="00F12F5C" w:rsidP="00F12F5C">
            <w:pPr>
              <w:spacing w:after="0" w:line="240" w:lineRule="auto"/>
              <w:rPr>
                <w:rFonts w:ascii="Calibri" w:eastAsia="Times New Roman" w:hAnsi="Calibri" w:cs="Calibri"/>
                <w:b/>
                <w:bCs/>
                <w:color w:val="000000"/>
                <w:kern w:val="0"/>
                <w:lang w:eastAsia="en-IN"/>
                <w14:ligatures w14:val="none"/>
              </w:rPr>
            </w:pPr>
            <w:r w:rsidRPr="00F12F5C">
              <w:rPr>
                <w:rFonts w:ascii="Calibri" w:eastAsia="Times New Roman" w:hAnsi="Calibri" w:cs="Calibri"/>
                <w:b/>
                <w:bCs/>
                <w:color w:val="000000"/>
                <w:kern w:val="0"/>
                <w:lang w:eastAsia="en-IN"/>
                <w14:ligatures w14:val="none"/>
              </w:rPr>
              <w:t>Profitability Ratios</w:t>
            </w:r>
          </w:p>
        </w:tc>
        <w:tc>
          <w:tcPr>
            <w:tcW w:w="992" w:type="dxa"/>
            <w:tcBorders>
              <w:top w:val="nil"/>
              <w:left w:val="nil"/>
              <w:bottom w:val="nil"/>
              <w:right w:val="nil"/>
            </w:tcBorders>
            <w:shd w:val="clear" w:color="auto" w:fill="auto"/>
            <w:noWrap/>
            <w:vAlign w:val="bottom"/>
            <w:hideMark/>
          </w:tcPr>
          <w:p w14:paraId="746EB149" w14:textId="77777777" w:rsidR="00F12F5C" w:rsidRPr="00F12F5C" w:rsidRDefault="00F12F5C" w:rsidP="00F12F5C">
            <w:pPr>
              <w:spacing w:after="0" w:line="240" w:lineRule="auto"/>
              <w:jc w:val="right"/>
              <w:rPr>
                <w:rFonts w:ascii="Calibri" w:eastAsia="Times New Roman" w:hAnsi="Calibri" w:cs="Calibri"/>
                <w:b/>
                <w:bCs/>
                <w:color w:val="000000"/>
                <w:kern w:val="0"/>
                <w:lang w:eastAsia="en-IN"/>
                <w14:ligatures w14:val="none"/>
              </w:rPr>
            </w:pPr>
            <w:r w:rsidRPr="00F12F5C">
              <w:rPr>
                <w:rFonts w:ascii="Calibri" w:eastAsia="Times New Roman" w:hAnsi="Calibri" w:cs="Calibri"/>
                <w:b/>
                <w:bCs/>
                <w:color w:val="000000"/>
                <w:kern w:val="0"/>
                <w:lang w:eastAsia="en-IN"/>
                <w14:ligatures w14:val="none"/>
              </w:rPr>
              <w:t>2024</w:t>
            </w:r>
          </w:p>
        </w:tc>
        <w:tc>
          <w:tcPr>
            <w:tcW w:w="935" w:type="dxa"/>
            <w:tcBorders>
              <w:top w:val="nil"/>
              <w:left w:val="nil"/>
              <w:bottom w:val="nil"/>
              <w:right w:val="nil"/>
            </w:tcBorders>
            <w:shd w:val="clear" w:color="auto" w:fill="auto"/>
            <w:noWrap/>
            <w:vAlign w:val="bottom"/>
            <w:hideMark/>
          </w:tcPr>
          <w:p w14:paraId="55942572" w14:textId="77777777" w:rsidR="00F12F5C" w:rsidRPr="00F12F5C" w:rsidRDefault="00F12F5C" w:rsidP="00F12F5C">
            <w:pPr>
              <w:spacing w:after="0" w:line="240" w:lineRule="auto"/>
              <w:jc w:val="right"/>
              <w:rPr>
                <w:rFonts w:ascii="Calibri" w:eastAsia="Times New Roman" w:hAnsi="Calibri" w:cs="Calibri"/>
                <w:b/>
                <w:bCs/>
                <w:color w:val="000000"/>
                <w:kern w:val="0"/>
                <w:lang w:eastAsia="en-IN"/>
                <w14:ligatures w14:val="none"/>
              </w:rPr>
            </w:pPr>
            <w:r w:rsidRPr="00F12F5C">
              <w:rPr>
                <w:rFonts w:ascii="Calibri" w:eastAsia="Times New Roman" w:hAnsi="Calibri" w:cs="Calibri"/>
                <w:b/>
                <w:bCs/>
                <w:color w:val="000000"/>
                <w:kern w:val="0"/>
                <w:lang w:eastAsia="en-IN"/>
                <w14:ligatures w14:val="none"/>
              </w:rPr>
              <w:t>2023</w:t>
            </w:r>
          </w:p>
        </w:tc>
        <w:tc>
          <w:tcPr>
            <w:tcW w:w="4820" w:type="dxa"/>
            <w:gridSpan w:val="2"/>
            <w:tcBorders>
              <w:top w:val="nil"/>
              <w:left w:val="nil"/>
              <w:bottom w:val="nil"/>
              <w:right w:val="nil"/>
            </w:tcBorders>
            <w:shd w:val="clear" w:color="auto" w:fill="auto"/>
            <w:noWrap/>
            <w:vAlign w:val="bottom"/>
            <w:hideMark/>
          </w:tcPr>
          <w:p w14:paraId="2F6D5DDB" w14:textId="77777777" w:rsidR="00F12F5C" w:rsidRPr="00F12F5C" w:rsidRDefault="00F12F5C" w:rsidP="00F12F5C">
            <w:pPr>
              <w:spacing w:after="0" w:line="240" w:lineRule="auto"/>
              <w:jc w:val="right"/>
              <w:rPr>
                <w:rFonts w:ascii="Calibri" w:eastAsia="Times New Roman" w:hAnsi="Calibri" w:cs="Calibri"/>
                <w:b/>
                <w:bCs/>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11B6736D"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1F76E069"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2E8BDE62"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5648B9E0" w14:textId="77777777" w:rsidTr="00F12F5C">
        <w:trPr>
          <w:trHeight w:val="312"/>
        </w:trPr>
        <w:tc>
          <w:tcPr>
            <w:tcW w:w="3119" w:type="dxa"/>
            <w:tcBorders>
              <w:top w:val="nil"/>
              <w:left w:val="nil"/>
              <w:bottom w:val="nil"/>
              <w:right w:val="nil"/>
            </w:tcBorders>
            <w:shd w:val="clear" w:color="auto" w:fill="auto"/>
            <w:noWrap/>
            <w:vAlign w:val="bottom"/>
            <w:hideMark/>
          </w:tcPr>
          <w:p w14:paraId="78B3702C"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92" w:type="dxa"/>
            <w:tcBorders>
              <w:top w:val="nil"/>
              <w:left w:val="nil"/>
              <w:bottom w:val="nil"/>
              <w:right w:val="nil"/>
            </w:tcBorders>
            <w:shd w:val="clear" w:color="auto" w:fill="auto"/>
            <w:noWrap/>
            <w:vAlign w:val="bottom"/>
            <w:hideMark/>
          </w:tcPr>
          <w:p w14:paraId="16E339A7"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35" w:type="dxa"/>
            <w:tcBorders>
              <w:top w:val="nil"/>
              <w:left w:val="nil"/>
              <w:bottom w:val="nil"/>
              <w:right w:val="nil"/>
            </w:tcBorders>
            <w:shd w:val="clear" w:color="auto" w:fill="auto"/>
            <w:noWrap/>
            <w:vAlign w:val="bottom"/>
            <w:hideMark/>
          </w:tcPr>
          <w:p w14:paraId="26278446"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4820" w:type="dxa"/>
            <w:gridSpan w:val="2"/>
            <w:tcBorders>
              <w:top w:val="nil"/>
              <w:left w:val="nil"/>
              <w:bottom w:val="nil"/>
              <w:right w:val="nil"/>
            </w:tcBorders>
            <w:shd w:val="clear" w:color="auto" w:fill="auto"/>
            <w:noWrap/>
            <w:vAlign w:val="bottom"/>
            <w:hideMark/>
          </w:tcPr>
          <w:p w14:paraId="550A4BA4"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0704C718"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5D56A880"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608B2CF6"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10D80BBF" w14:textId="77777777" w:rsidTr="00B349D8">
        <w:trPr>
          <w:gridAfter w:val="4"/>
          <w:wAfter w:w="3196"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0F9E6B"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Gross profit Margin</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553D32C1"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17.86%</w:t>
            </w:r>
          </w:p>
        </w:tc>
        <w:tc>
          <w:tcPr>
            <w:tcW w:w="935" w:type="dxa"/>
            <w:tcBorders>
              <w:top w:val="single" w:sz="4" w:space="0" w:color="auto"/>
              <w:left w:val="nil"/>
              <w:bottom w:val="single" w:sz="4" w:space="0" w:color="auto"/>
              <w:right w:val="single" w:sz="4" w:space="0" w:color="auto"/>
            </w:tcBorders>
            <w:shd w:val="clear" w:color="000000" w:fill="FFFF00"/>
            <w:noWrap/>
            <w:vAlign w:val="bottom"/>
            <w:hideMark/>
          </w:tcPr>
          <w:p w14:paraId="27D105AF"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18.25%</w:t>
            </w:r>
          </w:p>
        </w:tc>
        <w:tc>
          <w:tcPr>
            <w:tcW w:w="37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8D3CFD0" w14:textId="0A8AC52C"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1123AD">
              <w:rPr>
                <w:rFonts w:ascii="Calibri" w:eastAsia="Times New Roman" w:hAnsi="Calibri" w:cs="Calibri"/>
                <w:b/>
                <w:bCs/>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There is slight decrease in gross margin from 2023 to 2024.</w:t>
            </w:r>
          </w:p>
        </w:tc>
      </w:tr>
      <w:tr w:rsidR="00F12F5C" w:rsidRPr="00F12F5C" w14:paraId="2DE20C1F" w14:textId="77777777" w:rsidTr="00B349D8">
        <w:trPr>
          <w:gridAfter w:val="4"/>
          <w:wAfter w:w="3196" w:type="dxa"/>
          <w:trHeight w:val="312"/>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B47662B" w14:textId="39C68E62"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Gross Profit margin= (Gross Profit/Total Revenue)</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*100</w:t>
            </w:r>
          </w:p>
        </w:tc>
        <w:tc>
          <w:tcPr>
            <w:tcW w:w="992" w:type="dxa"/>
            <w:tcBorders>
              <w:top w:val="nil"/>
              <w:left w:val="nil"/>
              <w:bottom w:val="single" w:sz="4" w:space="0" w:color="auto"/>
              <w:right w:val="single" w:sz="4" w:space="0" w:color="auto"/>
            </w:tcBorders>
            <w:shd w:val="clear" w:color="auto" w:fill="auto"/>
            <w:noWrap/>
            <w:vAlign w:val="bottom"/>
            <w:hideMark/>
          </w:tcPr>
          <w:p w14:paraId="0D2759EA"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935" w:type="dxa"/>
            <w:tcBorders>
              <w:top w:val="nil"/>
              <w:left w:val="nil"/>
              <w:bottom w:val="single" w:sz="4" w:space="0" w:color="auto"/>
              <w:right w:val="single" w:sz="4" w:space="0" w:color="auto"/>
            </w:tcBorders>
            <w:shd w:val="clear" w:color="auto" w:fill="auto"/>
            <w:noWrap/>
            <w:vAlign w:val="bottom"/>
            <w:hideMark/>
          </w:tcPr>
          <w:p w14:paraId="39B114C4"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3780" w:type="dxa"/>
            <w:vMerge/>
            <w:tcBorders>
              <w:top w:val="nil"/>
              <w:left w:val="nil"/>
              <w:bottom w:val="single" w:sz="4" w:space="0" w:color="auto"/>
              <w:right w:val="single" w:sz="4" w:space="0" w:color="auto"/>
            </w:tcBorders>
            <w:vAlign w:val="center"/>
            <w:hideMark/>
          </w:tcPr>
          <w:p w14:paraId="597663DD"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2FBAF533" w14:textId="77777777" w:rsidTr="00F12F5C">
        <w:trPr>
          <w:trHeight w:val="312"/>
        </w:trPr>
        <w:tc>
          <w:tcPr>
            <w:tcW w:w="3119" w:type="dxa"/>
            <w:tcBorders>
              <w:top w:val="nil"/>
              <w:left w:val="nil"/>
              <w:bottom w:val="nil"/>
              <w:right w:val="nil"/>
            </w:tcBorders>
            <w:shd w:val="clear" w:color="auto" w:fill="auto"/>
            <w:noWrap/>
            <w:vAlign w:val="bottom"/>
            <w:hideMark/>
          </w:tcPr>
          <w:p w14:paraId="53F7DE3F"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671600AF"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522525B2"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noWrap/>
            <w:vAlign w:val="bottom"/>
            <w:hideMark/>
          </w:tcPr>
          <w:p w14:paraId="7623FB9F"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5D78FA6C"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052BDE39"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7EF8F424"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6C9DDFD9" w14:textId="77777777" w:rsidTr="00F12F5C">
        <w:trPr>
          <w:trHeight w:val="312"/>
        </w:trPr>
        <w:tc>
          <w:tcPr>
            <w:tcW w:w="3119" w:type="dxa"/>
            <w:tcBorders>
              <w:top w:val="nil"/>
              <w:left w:val="nil"/>
              <w:bottom w:val="nil"/>
              <w:right w:val="nil"/>
            </w:tcBorders>
            <w:shd w:val="clear" w:color="auto" w:fill="auto"/>
            <w:noWrap/>
            <w:vAlign w:val="bottom"/>
            <w:hideMark/>
          </w:tcPr>
          <w:p w14:paraId="325D8390"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488D0394"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64CF1D8E"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noWrap/>
            <w:vAlign w:val="bottom"/>
            <w:hideMark/>
          </w:tcPr>
          <w:p w14:paraId="78ADB3CA"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3AD7391B"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6DB689DC"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0ED3C0F3"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749B384D" w14:textId="77777777" w:rsidTr="00B349D8">
        <w:trPr>
          <w:gridAfter w:val="4"/>
          <w:wAfter w:w="3196"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FA18329"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Operating margin</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7231BB7F"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7.24%</w:t>
            </w:r>
          </w:p>
        </w:tc>
        <w:tc>
          <w:tcPr>
            <w:tcW w:w="935" w:type="dxa"/>
            <w:tcBorders>
              <w:top w:val="single" w:sz="4" w:space="0" w:color="auto"/>
              <w:left w:val="nil"/>
              <w:bottom w:val="single" w:sz="4" w:space="0" w:color="auto"/>
              <w:right w:val="single" w:sz="4" w:space="0" w:color="auto"/>
            </w:tcBorders>
            <w:shd w:val="clear" w:color="000000" w:fill="FFFF00"/>
            <w:noWrap/>
            <w:vAlign w:val="bottom"/>
            <w:hideMark/>
          </w:tcPr>
          <w:p w14:paraId="78F2DDDC"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9.19%</w:t>
            </w:r>
          </w:p>
        </w:tc>
        <w:tc>
          <w:tcPr>
            <w:tcW w:w="378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18364253"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 xml:space="preserve">Comments: </w:t>
            </w:r>
            <w:r w:rsidRPr="00F12F5C">
              <w:rPr>
                <w:rFonts w:ascii="Calibri" w:eastAsia="Times New Roman" w:hAnsi="Calibri" w:cs="Calibri"/>
                <w:color w:val="000000"/>
                <w:kern w:val="0"/>
                <w:sz w:val="22"/>
                <w:szCs w:val="22"/>
                <w:lang w:eastAsia="en-IN"/>
                <w14:ligatures w14:val="none"/>
              </w:rPr>
              <w:t>There is a decrease in operating efficiency.</w:t>
            </w:r>
          </w:p>
        </w:tc>
      </w:tr>
      <w:tr w:rsidR="00F12F5C" w:rsidRPr="00F12F5C" w14:paraId="77669471" w14:textId="77777777" w:rsidTr="00B349D8">
        <w:trPr>
          <w:gridAfter w:val="4"/>
          <w:wAfter w:w="3196" w:type="dxa"/>
          <w:trHeight w:val="312"/>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01CBCD20" w14:textId="08C19545"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Operating margin= (Income from operations/Total revenue)</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100</w:t>
            </w:r>
          </w:p>
        </w:tc>
        <w:tc>
          <w:tcPr>
            <w:tcW w:w="992" w:type="dxa"/>
            <w:tcBorders>
              <w:top w:val="nil"/>
              <w:left w:val="nil"/>
              <w:bottom w:val="single" w:sz="4" w:space="0" w:color="auto"/>
              <w:right w:val="single" w:sz="4" w:space="0" w:color="auto"/>
            </w:tcBorders>
            <w:shd w:val="clear" w:color="auto" w:fill="auto"/>
            <w:noWrap/>
            <w:vAlign w:val="bottom"/>
            <w:hideMark/>
          </w:tcPr>
          <w:p w14:paraId="0288EE84"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935" w:type="dxa"/>
            <w:tcBorders>
              <w:top w:val="nil"/>
              <w:left w:val="nil"/>
              <w:bottom w:val="single" w:sz="4" w:space="0" w:color="auto"/>
              <w:right w:val="single" w:sz="4" w:space="0" w:color="auto"/>
            </w:tcBorders>
            <w:shd w:val="clear" w:color="auto" w:fill="auto"/>
            <w:noWrap/>
            <w:vAlign w:val="bottom"/>
            <w:hideMark/>
          </w:tcPr>
          <w:p w14:paraId="5A32DFAC"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3780" w:type="dxa"/>
            <w:vMerge/>
            <w:tcBorders>
              <w:top w:val="nil"/>
              <w:left w:val="nil"/>
              <w:bottom w:val="single" w:sz="4" w:space="0" w:color="auto"/>
              <w:right w:val="single" w:sz="4" w:space="0" w:color="auto"/>
            </w:tcBorders>
            <w:vAlign w:val="center"/>
            <w:hideMark/>
          </w:tcPr>
          <w:p w14:paraId="6CBBB047"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3F65CFA9" w14:textId="77777777" w:rsidTr="00F12F5C">
        <w:trPr>
          <w:trHeight w:val="312"/>
        </w:trPr>
        <w:tc>
          <w:tcPr>
            <w:tcW w:w="3119" w:type="dxa"/>
            <w:tcBorders>
              <w:top w:val="nil"/>
              <w:left w:val="nil"/>
              <w:bottom w:val="nil"/>
              <w:right w:val="nil"/>
            </w:tcBorders>
            <w:shd w:val="clear" w:color="auto" w:fill="auto"/>
            <w:noWrap/>
            <w:vAlign w:val="bottom"/>
            <w:hideMark/>
          </w:tcPr>
          <w:p w14:paraId="3559AE9C"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4C8C5E61"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400D828F"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vAlign w:val="bottom"/>
            <w:hideMark/>
          </w:tcPr>
          <w:p w14:paraId="61568130"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vAlign w:val="bottom"/>
            <w:hideMark/>
          </w:tcPr>
          <w:p w14:paraId="4EA6F517"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vAlign w:val="bottom"/>
            <w:hideMark/>
          </w:tcPr>
          <w:p w14:paraId="76154759"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vAlign w:val="bottom"/>
            <w:hideMark/>
          </w:tcPr>
          <w:p w14:paraId="295F12ED"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174405F6" w14:textId="77777777" w:rsidTr="00F12F5C">
        <w:trPr>
          <w:trHeight w:val="312"/>
        </w:trPr>
        <w:tc>
          <w:tcPr>
            <w:tcW w:w="3119" w:type="dxa"/>
            <w:tcBorders>
              <w:top w:val="nil"/>
              <w:left w:val="nil"/>
              <w:bottom w:val="nil"/>
              <w:right w:val="nil"/>
            </w:tcBorders>
            <w:shd w:val="clear" w:color="auto" w:fill="auto"/>
            <w:noWrap/>
            <w:vAlign w:val="bottom"/>
            <w:hideMark/>
          </w:tcPr>
          <w:p w14:paraId="3FDC5DC3"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0405D3BE"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6E98C197"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noWrap/>
            <w:vAlign w:val="bottom"/>
            <w:hideMark/>
          </w:tcPr>
          <w:p w14:paraId="7547A614"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58BB4094"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22A95C96"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5651B2C5"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289104AB" w14:textId="77777777" w:rsidTr="00B349D8">
        <w:trPr>
          <w:gridAfter w:val="4"/>
          <w:wAfter w:w="3196"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7A57267"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Net Profit Margin</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1122B090"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7.32%</w:t>
            </w:r>
          </w:p>
        </w:tc>
        <w:tc>
          <w:tcPr>
            <w:tcW w:w="935" w:type="dxa"/>
            <w:tcBorders>
              <w:top w:val="single" w:sz="4" w:space="0" w:color="auto"/>
              <w:left w:val="nil"/>
              <w:bottom w:val="single" w:sz="4" w:space="0" w:color="auto"/>
              <w:right w:val="single" w:sz="4" w:space="0" w:color="auto"/>
            </w:tcBorders>
            <w:shd w:val="clear" w:color="000000" w:fill="FFFF00"/>
            <w:noWrap/>
            <w:vAlign w:val="bottom"/>
            <w:hideMark/>
          </w:tcPr>
          <w:p w14:paraId="7ADC414D"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15.47%</w:t>
            </w:r>
          </w:p>
        </w:tc>
        <w:tc>
          <w:tcPr>
            <w:tcW w:w="37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EC221A1" w14:textId="160CF7CA"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xml:space="preserve"> There is a significant decrease in net profitabil</w:t>
            </w:r>
            <w:r w:rsidRPr="001123AD">
              <w:rPr>
                <w:rFonts w:ascii="Calibri" w:eastAsia="Times New Roman" w:hAnsi="Calibri" w:cs="Calibri"/>
                <w:color w:val="000000"/>
                <w:kern w:val="0"/>
                <w:sz w:val="22"/>
                <w:szCs w:val="22"/>
                <w:lang w:eastAsia="en-IN"/>
                <w14:ligatures w14:val="none"/>
              </w:rPr>
              <w:t>it</w:t>
            </w:r>
            <w:r w:rsidRPr="00F12F5C">
              <w:rPr>
                <w:rFonts w:ascii="Calibri" w:eastAsia="Times New Roman" w:hAnsi="Calibri" w:cs="Calibri"/>
                <w:color w:val="000000"/>
                <w:kern w:val="0"/>
                <w:sz w:val="22"/>
                <w:szCs w:val="22"/>
                <w:lang w:eastAsia="en-IN"/>
                <w14:ligatures w14:val="none"/>
              </w:rPr>
              <w:t>y in 2024.</w:t>
            </w:r>
          </w:p>
        </w:tc>
      </w:tr>
      <w:tr w:rsidR="00F12F5C" w:rsidRPr="00F12F5C" w14:paraId="2E05FA7D" w14:textId="77777777" w:rsidTr="00B349D8">
        <w:trPr>
          <w:gridAfter w:val="4"/>
          <w:wAfter w:w="3196" w:type="dxa"/>
          <w:trHeight w:val="312"/>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E6CCC3E" w14:textId="05883B22"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Net Profit margin= (Net Profit/Total Revenue)</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100</w:t>
            </w:r>
          </w:p>
        </w:tc>
        <w:tc>
          <w:tcPr>
            <w:tcW w:w="992" w:type="dxa"/>
            <w:tcBorders>
              <w:top w:val="nil"/>
              <w:left w:val="nil"/>
              <w:bottom w:val="single" w:sz="4" w:space="0" w:color="auto"/>
              <w:right w:val="single" w:sz="4" w:space="0" w:color="auto"/>
            </w:tcBorders>
            <w:shd w:val="clear" w:color="auto" w:fill="auto"/>
            <w:noWrap/>
            <w:vAlign w:val="bottom"/>
            <w:hideMark/>
          </w:tcPr>
          <w:p w14:paraId="0EE4423D"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935" w:type="dxa"/>
            <w:tcBorders>
              <w:top w:val="nil"/>
              <w:left w:val="nil"/>
              <w:bottom w:val="single" w:sz="4" w:space="0" w:color="auto"/>
              <w:right w:val="single" w:sz="4" w:space="0" w:color="auto"/>
            </w:tcBorders>
            <w:shd w:val="clear" w:color="auto" w:fill="auto"/>
            <w:noWrap/>
            <w:vAlign w:val="bottom"/>
            <w:hideMark/>
          </w:tcPr>
          <w:p w14:paraId="65CDDE39"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3780" w:type="dxa"/>
            <w:vMerge/>
            <w:tcBorders>
              <w:top w:val="nil"/>
              <w:left w:val="nil"/>
              <w:bottom w:val="single" w:sz="4" w:space="0" w:color="auto"/>
              <w:right w:val="single" w:sz="4" w:space="0" w:color="auto"/>
            </w:tcBorders>
            <w:vAlign w:val="center"/>
            <w:hideMark/>
          </w:tcPr>
          <w:p w14:paraId="25D31629"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338668BA" w14:textId="77777777" w:rsidTr="00F12F5C">
        <w:trPr>
          <w:trHeight w:val="312"/>
        </w:trPr>
        <w:tc>
          <w:tcPr>
            <w:tcW w:w="3119" w:type="dxa"/>
            <w:tcBorders>
              <w:top w:val="nil"/>
              <w:left w:val="nil"/>
              <w:bottom w:val="nil"/>
              <w:right w:val="nil"/>
            </w:tcBorders>
            <w:shd w:val="clear" w:color="auto" w:fill="auto"/>
            <w:noWrap/>
            <w:vAlign w:val="bottom"/>
            <w:hideMark/>
          </w:tcPr>
          <w:p w14:paraId="36674DD9"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34225FC4"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25C0A531"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vAlign w:val="bottom"/>
            <w:hideMark/>
          </w:tcPr>
          <w:p w14:paraId="6A8E0B1C"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vAlign w:val="bottom"/>
            <w:hideMark/>
          </w:tcPr>
          <w:p w14:paraId="664D27DB"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vAlign w:val="bottom"/>
            <w:hideMark/>
          </w:tcPr>
          <w:p w14:paraId="38FEF1F9"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vAlign w:val="bottom"/>
            <w:hideMark/>
          </w:tcPr>
          <w:p w14:paraId="2795A923"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1A89D18D" w14:textId="77777777" w:rsidTr="00B349D8">
        <w:trPr>
          <w:gridAfter w:val="4"/>
          <w:wAfter w:w="3196"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6C6636"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Return on Equity (ROE)</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4799F9C3"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9.73%</w:t>
            </w:r>
          </w:p>
        </w:tc>
        <w:tc>
          <w:tcPr>
            <w:tcW w:w="935" w:type="dxa"/>
            <w:tcBorders>
              <w:top w:val="single" w:sz="4" w:space="0" w:color="auto"/>
              <w:left w:val="nil"/>
              <w:bottom w:val="single" w:sz="4" w:space="0" w:color="auto"/>
              <w:right w:val="single" w:sz="4" w:space="0" w:color="auto"/>
            </w:tcBorders>
            <w:shd w:val="clear" w:color="000000" w:fill="FFFF00"/>
            <w:noWrap/>
            <w:vAlign w:val="bottom"/>
            <w:hideMark/>
          </w:tcPr>
          <w:p w14:paraId="790F8700"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23.9%</w:t>
            </w:r>
          </w:p>
        </w:tc>
        <w:tc>
          <w:tcPr>
            <w:tcW w:w="37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3BB110B"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xml:space="preserve"> There is a significant decrease in return to shareholders in 2024.</w:t>
            </w:r>
          </w:p>
        </w:tc>
      </w:tr>
      <w:tr w:rsidR="00F12F5C" w:rsidRPr="00F12F5C" w14:paraId="6CEE2F46" w14:textId="77777777" w:rsidTr="00B349D8">
        <w:trPr>
          <w:gridAfter w:val="4"/>
          <w:wAfter w:w="3196" w:type="dxa"/>
          <w:trHeight w:val="312"/>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438E00C" w14:textId="56512A44"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ROE= (Net income/ Shareholder's Equity)</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*100</w:t>
            </w:r>
          </w:p>
        </w:tc>
        <w:tc>
          <w:tcPr>
            <w:tcW w:w="992" w:type="dxa"/>
            <w:tcBorders>
              <w:top w:val="nil"/>
              <w:left w:val="nil"/>
              <w:bottom w:val="single" w:sz="4" w:space="0" w:color="auto"/>
              <w:right w:val="single" w:sz="4" w:space="0" w:color="auto"/>
            </w:tcBorders>
            <w:shd w:val="clear" w:color="auto" w:fill="auto"/>
            <w:noWrap/>
            <w:vAlign w:val="bottom"/>
            <w:hideMark/>
          </w:tcPr>
          <w:p w14:paraId="04F7ED53"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935" w:type="dxa"/>
            <w:tcBorders>
              <w:top w:val="nil"/>
              <w:left w:val="nil"/>
              <w:bottom w:val="single" w:sz="4" w:space="0" w:color="auto"/>
              <w:right w:val="single" w:sz="4" w:space="0" w:color="auto"/>
            </w:tcBorders>
            <w:shd w:val="clear" w:color="auto" w:fill="auto"/>
            <w:noWrap/>
            <w:vAlign w:val="bottom"/>
            <w:hideMark/>
          </w:tcPr>
          <w:p w14:paraId="36584F23"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3780" w:type="dxa"/>
            <w:vMerge/>
            <w:tcBorders>
              <w:top w:val="nil"/>
              <w:left w:val="nil"/>
              <w:bottom w:val="single" w:sz="4" w:space="0" w:color="auto"/>
              <w:right w:val="single" w:sz="4" w:space="0" w:color="auto"/>
            </w:tcBorders>
            <w:vAlign w:val="center"/>
            <w:hideMark/>
          </w:tcPr>
          <w:p w14:paraId="74E0BE37"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4C989C8B" w14:textId="77777777" w:rsidTr="00F12F5C">
        <w:trPr>
          <w:trHeight w:val="312"/>
        </w:trPr>
        <w:tc>
          <w:tcPr>
            <w:tcW w:w="3119" w:type="dxa"/>
            <w:tcBorders>
              <w:top w:val="nil"/>
              <w:left w:val="nil"/>
              <w:bottom w:val="nil"/>
              <w:right w:val="nil"/>
            </w:tcBorders>
            <w:shd w:val="clear" w:color="auto" w:fill="auto"/>
            <w:noWrap/>
            <w:vAlign w:val="bottom"/>
            <w:hideMark/>
          </w:tcPr>
          <w:p w14:paraId="089894D5"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6092615B"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6AADBFD1"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noWrap/>
            <w:vAlign w:val="bottom"/>
            <w:hideMark/>
          </w:tcPr>
          <w:p w14:paraId="26A49403"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12CEFDD3"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29EC4D1D"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6957139F"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3D634FD9" w14:textId="77777777" w:rsidTr="00F12F5C">
        <w:trPr>
          <w:trHeight w:val="312"/>
        </w:trPr>
        <w:tc>
          <w:tcPr>
            <w:tcW w:w="3119" w:type="dxa"/>
            <w:tcBorders>
              <w:top w:val="nil"/>
              <w:left w:val="nil"/>
              <w:bottom w:val="nil"/>
              <w:right w:val="nil"/>
            </w:tcBorders>
            <w:shd w:val="clear" w:color="auto" w:fill="auto"/>
            <w:noWrap/>
            <w:vAlign w:val="bottom"/>
            <w:hideMark/>
          </w:tcPr>
          <w:p w14:paraId="15BA5BE9"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92" w:type="dxa"/>
            <w:tcBorders>
              <w:top w:val="nil"/>
              <w:left w:val="nil"/>
              <w:bottom w:val="nil"/>
              <w:right w:val="nil"/>
            </w:tcBorders>
            <w:shd w:val="clear" w:color="auto" w:fill="auto"/>
            <w:noWrap/>
            <w:vAlign w:val="bottom"/>
            <w:hideMark/>
          </w:tcPr>
          <w:p w14:paraId="2964C433"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35" w:type="dxa"/>
            <w:tcBorders>
              <w:top w:val="nil"/>
              <w:left w:val="nil"/>
              <w:bottom w:val="nil"/>
              <w:right w:val="nil"/>
            </w:tcBorders>
            <w:shd w:val="clear" w:color="auto" w:fill="auto"/>
            <w:noWrap/>
            <w:vAlign w:val="bottom"/>
            <w:hideMark/>
          </w:tcPr>
          <w:p w14:paraId="19C7A81B"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4820" w:type="dxa"/>
            <w:gridSpan w:val="2"/>
            <w:tcBorders>
              <w:top w:val="nil"/>
              <w:left w:val="nil"/>
              <w:bottom w:val="nil"/>
              <w:right w:val="nil"/>
            </w:tcBorders>
            <w:shd w:val="clear" w:color="auto" w:fill="auto"/>
            <w:noWrap/>
            <w:vAlign w:val="bottom"/>
            <w:hideMark/>
          </w:tcPr>
          <w:p w14:paraId="1B88C38A" w14:textId="77777777" w:rsidR="00F12F5C" w:rsidRPr="00F12F5C" w:rsidRDefault="00F12F5C" w:rsidP="00F12F5C">
            <w:pPr>
              <w:spacing w:after="0" w:line="240" w:lineRule="auto"/>
              <w:rPr>
                <w:rFonts w:ascii="Calibri" w:eastAsia="Times New Roman" w:hAnsi="Calibri" w:cs="Calibri"/>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68C253A8"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960" w:type="dxa"/>
            <w:tcBorders>
              <w:top w:val="nil"/>
              <w:left w:val="nil"/>
              <w:bottom w:val="nil"/>
              <w:right w:val="nil"/>
            </w:tcBorders>
            <w:shd w:val="clear" w:color="auto" w:fill="auto"/>
            <w:noWrap/>
            <w:vAlign w:val="bottom"/>
            <w:hideMark/>
          </w:tcPr>
          <w:p w14:paraId="02103BA9"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c>
          <w:tcPr>
            <w:tcW w:w="236" w:type="dxa"/>
            <w:tcBorders>
              <w:top w:val="nil"/>
              <w:left w:val="nil"/>
              <w:bottom w:val="nil"/>
              <w:right w:val="nil"/>
            </w:tcBorders>
            <w:shd w:val="clear" w:color="auto" w:fill="auto"/>
            <w:noWrap/>
            <w:vAlign w:val="bottom"/>
            <w:hideMark/>
          </w:tcPr>
          <w:p w14:paraId="43CD7DE3" w14:textId="77777777" w:rsidR="00F12F5C" w:rsidRPr="00F12F5C" w:rsidRDefault="00F12F5C" w:rsidP="00F12F5C">
            <w:pPr>
              <w:spacing w:after="0" w:line="240" w:lineRule="auto"/>
              <w:rPr>
                <w:rFonts w:ascii="Calibri" w:eastAsia="Times New Roman" w:hAnsi="Calibri" w:cs="Calibri"/>
                <w:kern w:val="0"/>
                <w:lang w:eastAsia="en-IN"/>
                <w14:ligatures w14:val="none"/>
              </w:rPr>
            </w:pPr>
          </w:p>
        </w:tc>
      </w:tr>
      <w:tr w:rsidR="00F12F5C" w:rsidRPr="00F12F5C" w14:paraId="101251D6" w14:textId="77777777" w:rsidTr="00B349D8">
        <w:trPr>
          <w:gridAfter w:val="4"/>
          <w:wAfter w:w="3196"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5FB1545"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Return on Assets (ROA)</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2C6BBEF3"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5.81%</w:t>
            </w:r>
          </w:p>
        </w:tc>
        <w:tc>
          <w:tcPr>
            <w:tcW w:w="935" w:type="dxa"/>
            <w:tcBorders>
              <w:top w:val="single" w:sz="4" w:space="0" w:color="auto"/>
              <w:left w:val="nil"/>
              <w:bottom w:val="single" w:sz="4" w:space="0" w:color="auto"/>
              <w:right w:val="single" w:sz="4" w:space="0" w:color="auto"/>
            </w:tcBorders>
            <w:shd w:val="clear" w:color="000000" w:fill="FFFF00"/>
            <w:noWrap/>
            <w:vAlign w:val="bottom"/>
            <w:hideMark/>
          </w:tcPr>
          <w:p w14:paraId="3C8943AC"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14.07%</w:t>
            </w:r>
          </w:p>
        </w:tc>
        <w:tc>
          <w:tcPr>
            <w:tcW w:w="37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232BD5B" w14:textId="77777777" w:rsidR="00F12F5C" w:rsidRPr="001123AD"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xml:space="preserve"> There is decrease in ROA which suggests decrease in efficiency in utilising assets</w:t>
            </w:r>
          </w:p>
          <w:p w14:paraId="0E90FF8D" w14:textId="77777777" w:rsidR="00F12F5C" w:rsidRPr="001123AD" w:rsidRDefault="00F12F5C" w:rsidP="00F12F5C">
            <w:pPr>
              <w:spacing w:after="0" w:line="240" w:lineRule="auto"/>
              <w:rPr>
                <w:rFonts w:ascii="Calibri" w:eastAsia="Times New Roman" w:hAnsi="Calibri" w:cs="Calibri"/>
                <w:color w:val="000000"/>
                <w:kern w:val="0"/>
                <w:sz w:val="22"/>
                <w:szCs w:val="22"/>
                <w:lang w:eastAsia="en-IN"/>
                <w14:ligatures w14:val="none"/>
              </w:rPr>
            </w:pPr>
          </w:p>
          <w:p w14:paraId="39FC1494" w14:textId="77777777" w:rsidR="00F12F5C" w:rsidRPr="001123AD" w:rsidRDefault="00F12F5C" w:rsidP="00F12F5C">
            <w:pPr>
              <w:spacing w:after="0" w:line="240" w:lineRule="auto"/>
              <w:rPr>
                <w:rFonts w:ascii="Calibri" w:eastAsia="Times New Roman" w:hAnsi="Calibri" w:cs="Calibri"/>
                <w:color w:val="000000"/>
                <w:kern w:val="0"/>
                <w:sz w:val="22"/>
                <w:szCs w:val="22"/>
                <w:lang w:eastAsia="en-IN"/>
                <w14:ligatures w14:val="none"/>
              </w:rPr>
            </w:pPr>
          </w:p>
          <w:p w14:paraId="36275B89" w14:textId="77777777" w:rsidR="00F12F5C" w:rsidRPr="001123AD" w:rsidRDefault="00F12F5C" w:rsidP="00F12F5C">
            <w:pPr>
              <w:spacing w:after="0" w:line="240" w:lineRule="auto"/>
              <w:rPr>
                <w:rFonts w:ascii="Calibri" w:eastAsia="Times New Roman" w:hAnsi="Calibri" w:cs="Calibri"/>
                <w:color w:val="000000"/>
                <w:kern w:val="0"/>
                <w:sz w:val="22"/>
                <w:szCs w:val="22"/>
                <w:lang w:eastAsia="en-IN"/>
                <w14:ligatures w14:val="none"/>
              </w:rPr>
            </w:pPr>
          </w:p>
          <w:p w14:paraId="78F5FDB0"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5B6F43D9" w14:textId="77777777" w:rsidTr="001123AD">
        <w:trPr>
          <w:gridAfter w:val="4"/>
          <w:wAfter w:w="3196" w:type="dxa"/>
          <w:trHeight w:val="566"/>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9DA2CD3" w14:textId="17A83C15" w:rsidR="00F12F5C" w:rsidRPr="00F12F5C" w:rsidRDefault="001123AD"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ROA= (Net income/ Total Assets)</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*100</w:t>
            </w:r>
          </w:p>
        </w:tc>
        <w:tc>
          <w:tcPr>
            <w:tcW w:w="992" w:type="dxa"/>
            <w:tcBorders>
              <w:top w:val="nil"/>
              <w:left w:val="nil"/>
              <w:bottom w:val="single" w:sz="4" w:space="0" w:color="auto"/>
              <w:right w:val="single" w:sz="4" w:space="0" w:color="auto"/>
            </w:tcBorders>
            <w:shd w:val="clear" w:color="auto" w:fill="auto"/>
            <w:noWrap/>
            <w:vAlign w:val="bottom"/>
            <w:hideMark/>
          </w:tcPr>
          <w:p w14:paraId="31F66954" w14:textId="77777777" w:rsidR="00F12F5C" w:rsidRPr="00F12F5C" w:rsidRDefault="00F12F5C" w:rsidP="00F12F5C">
            <w:pPr>
              <w:spacing w:after="0" w:line="240" w:lineRule="auto"/>
              <w:rPr>
                <w:rFonts w:ascii="Calibri" w:eastAsia="Times New Roman" w:hAnsi="Calibri" w:cs="Calibri"/>
                <w:color w:val="000000"/>
                <w:kern w:val="0"/>
                <w:lang w:eastAsia="en-IN"/>
                <w14:ligatures w14:val="none"/>
              </w:rPr>
            </w:pPr>
            <w:r w:rsidRPr="00F12F5C">
              <w:rPr>
                <w:rFonts w:ascii="Calibri" w:eastAsia="Times New Roman" w:hAnsi="Calibri" w:cs="Calibri"/>
                <w:color w:val="000000"/>
                <w:kern w:val="0"/>
                <w:lang w:eastAsia="en-IN"/>
                <w14:ligatures w14:val="none"/>
              </w:rPr>
              <w:t> </w:t>
            </w:r>
          </w:p>
        </w:tc>
        <w:tc>
          <w:tcPr>
            <w:tcW w:w="935" w:type="dxa"/>
            <w:tcBorders>
              <w:top w:val="nil"/>
              <w:left w:val="nil"/>
              <w:bottom w:val="single" w:sz="4" w:space="0" w:color="auto"/>
              <w:right w:val="single" w:sz="4" w:space="0" w:color="auto"/>
            </w:tcBorders>
            <w:shd w:val="clear" w:color="auto" w:fill="auto"/>
            <w:noWrap/>
            <w:vAlign w:val="bottom"/>
            <w:hideMark/>
          </w:tcPr>
          <w:p w14:paraId="55338AB7" w14:textId="77777777" w:rsidR="00F12F5C" w:rsidRPr="00F12F5C" w:rsidRDefault="00F12F5C" w:rsidP="00F12F5C">
            <w:pPr>
              <w:spacing w:after="0" w:line="240" w:lineRule="auto"/>
              <w:rPr>
                <w:rFonts w:ascii="Calibri" w:eastAsia="Times New Roman" w:hAnsi="Calibri" w:cs="Calibri"/>
                <w:color w:val="000000"/>
                <w:kern w:val="0"/>
                <w:lang w:eastAsia="en-IN"/>
                <w14:ligatures w14:val="none"/>
              </w:rPr>
            </w:pPr>
            <w:r w:rsidRPr="00F12F5C">
              <w:rPr>
                <w:rFonts w:ascii="Calibri" w:eastAsia="Times New Roman" w:hAnsi="Calibri" w:cs="Calibri"/>
                <w:color w:val="000000"/>
                <w:kern w:val="0"/>
                <w:lang w:eastAsia="en-IN"/>
                <w14:ligatures w14:val="none"/>
              </w:rPr>
              <w:t> </w:t>
            </w:r>
          </w:p>
        </w:tc>
        <w:tc>
          <w:tcPr>
            <w:tcW w:w="3780" w:type="dxa"/>
            <w:vMerge/>
            <w:tcBorders>
              <w:top w:val="nil"/>
              <w:left w:val="nil"/>
              <w:bottom w:val="single" w:sz="4" w:space="0" w:color="auto"/>
              <w:right w:val="single" w:sz="4" w:space="0" w:color="auto"/>
            </w:tcBorders>
            <w:vAlign w:val="center"/>
            <w:hideMark/>
          </w:tcPr>
          <w:p w14:paraId="355D6818" w14:textId="77777777" w:rsidR="00F12F5C" w:rsidRPr="00F12F5C" w:rsidRDefault="00F12F5C" w:rsidP="00F12F5C">
            <w:pPr>
              <w:spacing w:after="0" w:line="240" w:lineRule="auto"/>
              <w:rPr>
                <w:rFonts w:ascii="Calibri" w:eastAsia="Times New Roman" w:hAnsi="Calibri" w:cs="Calibri"/>
                <w:color w:val="000000"/>
                <w:kern w:val="0"/>
                <w:lang w:eastAsia="en-IN"/>
                <w14:ligatures w14:val="none"/>
              </w:rPr>
            </w:pPr>
          </w:p>
        </w:tc>
      </w:tr>
    </w:tbl>
    <w:p w14:paraId="6E2BDF2A" w14:textId="77777777" w:rsidR="004B3222" w:rsidRPr="001123AD" w:rsidRDefault="004B3222" w:rsidP="004B3222">
      <w:pPr>
        <w:rPr>
          <w:rFonts w:ascii="Calibri" w:hAnsi="Calibri" w:cs="Calibri"/>
          <w:b/>
          <w:bCs/>
        </w:rPr>
      </w:pPr>
    </w:p>
    <w:p w14:paraId="7CBBC5A2" w14:textId="77777777" w:rsidR="00B349D8" w:rsidRPr="001123AD" w:rsidRDefault="00B349D8" w:rsidP="004B3222">
      <w:pPr>
        <w:rPr>
          <w:rFonts w:ascii="Calibri" w:hAnsi="Calibri" w:cs="Calibri"/>
          <w:b/>
          <w:bCs/>
        </w:rPr>
      </w:pPr>
    </w:p>
    <w:tbl>
      <w:tblPr>
        <w:tblW w:w="8784" w:type="dxa"/>
        <w:tblLook w:val="04A0" w:firstRow="1" w:lastRow="0" w:firstColumn="1" w:lastColumn="0" w:noHBand="0" w:noVBand="1"/>
      </w:tblPr>
      <w:tblGrid>
        <w:gridCol w:w="3114"/>
        <w:gridCol w:w="992"/>
        <w:gridCol w:w="935"/>
        <w:gridCol w:w="3743"/>
      </w:tblGrid>
      <w:tr w:rsidR="00B349D8" w:rsidRPr="001123AD" w14:paraId="62DFA25B" w14:textId="77777777" w:rsidTr="00B349D8">
        <w:trPr>
          <w:trHeight w:val="312"/>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69819" w14:textId="77777777" w:rsidR="00B349D8" w:rsidRPr="004B3222" w:rsidRDefault="00B349D8" w:rsidP="00545C6E">
            <w:pPr>
              <w:spacing w:after="0" w:line="240" w:lineRule="auto"/>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Year</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B460346" w14:textId="77777777" w:rsidR="00B349D8" w:rsidRPr="004B3222" w:rsidRDefault="00B349D8" w:rsidP="00545C6E">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2023</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07F86894" w14:textId="77777777" w:rsidR="00B349D8" w:rsidRPr="004B3222" w:rsidRDefault="00B349D8" w:rsidP="00545C6E">
            <w:pPr>
              <w:spacing w:after="0" w:line="240" w:lineRule="auto"/>
              <w:jc w:val="right"/>
              <w:rPr>
                <w:rFonts w:ascii="Calibri" w:eastAsia="Times New Roman" w:hAnsi="Calibri" w:cs="Calibri"/>
                <w:b/>
                <w:bCs/>
                <w:color w:val="000000"/>
                <w:kern w:val="0"/>
                <w:sz w:val="22"/>
                <w:szCs w:val="22"/>
                <w:lang w:eastAsia="en-IN"/>
                <w14:ligatures w14:val="none"/>
              </w:rPr>
            </w:pPr>
            <w:r w:rsidRPr="004B3222">
              <w:rPr>
                <w:rFonts w:ascii="Calibri" w:eastAsia="Times New Roman" w:hAnsi="Calibri" w:cs="Calibri"/>
                <w:b/>
                <w:bCs/>
                <w:color w:val="000000"/>
                <w:kern w:val="0"/>
                <w:sz w:val="22"/>
                <w:szCs w:val="22"/>
                <w:lang w:eastAsia="en-IN"/>
                <w14:ligatures w14:val="none"/>
              </w:rPr>
              <w:t>2024</w:t>
            </w:r>
          </w:p>
        </w:tc>
        <w:tc>
          <w:tcPr>
            <w:tcW w:w="3743" w:type="dxa"/>
            <w:tcBorders>
              <w:top w:val="single" w:sz="4" w:space="0" w:color="auto"/>
              <w:left w:val="nil"/>
              <w:bottom w:val="single" w:sz="4" w:space="0" w:color="auto"/>
              <w:right w:val="single" w:sz="4" w:space="0" w:color="auto"/>
            </w:tcBorders>
            <w:shd w:val="clear" w:color="auto" w:fill="auto"/>
            <w:noWrap/>
            <w:vAlign w:val="bottom"/>
            <w:hideMark/>
          </w:tcPr>
          <w:p w14:paraId="5FD0A891" w14:textId="77777777" w:rsidR="00B349D8" w:rsidRPr="004B3222" w:rsidRDefault="00B349D8" w:rsidP="00545C6E">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w:t>
            </w:r>
          </w:p>
        </w:tc>
      </w:tr>
      <w:tr w:rsidR="00B349D8" w:rsidRPr="001123AD" w14:paraId="123144EB" w14:textId="77777777" w:rsidTr="00B349D8">
        <w:trPr>
          <w:trHeight w:val="312"/>
        </w:trPr>
        <w:tc>
          <w:tcPr>
            <w:tcW w:w="3114" w:type="dxa"/>
            <w:tcBorders>
              <w:top w:val="nil"/>
              <w:left w:val="single" w:sz="4" w:space="0" w:color="auto"/>
              <w:bottom w:val="single" w:sz="4" w:space="0" w:color="auto"/>
              <w:right w:val="single" w:sz="4" w:space="0" w:color="auto"/>
            </w:tcBorders>
            <w:shd w:val="clear" w:color="000000" w:fill="FFFFFF"/>
            <w:noWrap/>
            <w:vAlign w:val="bottom"/>
            <w:hideMark/>
          </w:tcPr>
          <w:p w14:paraId="38647B8A" w14:textId="77777777" w:rsidR="00B349D8" w:rsidRPr="004B3222" w:rsidRDefault="00B349D8" w:rsidP="00545C6E">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Gross profit Margin</w:t>
            </w:r>
          </w:p>
        </w:tc>
        <w:tc>
          <w:tcPr>
            <w:tcW w:w="992" w:type="dxa"/>
            <w:tcBorders>
              <w:top w:val="nil"/>
              <w:left w:val="nil"/>
              <w:bottom w:val="single" w:sz="4" w:space="0" w:color="auto"/>
              <w:right w:val="single" w:sz="4" w:space="0" w:color="auto"/>
            </w:tcBorders>
            <w:shd w:val="clear" w:color="000000" w:fill="FFFFFF"/>
            <w:noWrap/>
            <w:vAlign w:val="bottom"/>
            <w:hideMark/>
          </w:tcPr>
          <w:p w14:paraId="01E427FE"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18.25%</w:t>
            </w:r>
          </w:p>
        </w:tc>
        <w:tc>
          <w:tcPr>
            <w:tcW w:w="935" w:type="dxa"/>
            <w:tcBorders>
              <w:top w:val="nil"/>
              <w:left w:val="nil"/>
              <w:bottom w:val="single" w:sz="4" w:space="0" w:color="auto"/>
              <w:right w:val="single" w:sz="4" w:space="0" w:color="auto"/>
            </w:tcBorders>
            <w:shd w:val="clear" w:color="000000" w:fill="FFFFFF"/>
            <w:noWrap/>
            <w:vAlign w:val="bottom"/>
            <w:hideMark/>
          </w:tcPr>
          <w:p w14:paraId="28DED9FF"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17.86%</w:t>
            </w:r>
          </w:p>
        </w:tc>
        <w:tc>
          <w:tcPr>
            <w:tcW w:w="3743" w:type="dxa"/>
            <w:tcBorders>
              <w:top w:val="nil"/>
              <w:left w:val="nil"/>
              <w:bottom w:val="single" w:sz="4" w:space="0" w:color="auto"/>
              <w:right w:val="single" w:sz="4" w:space="0" w:color="auto"/>
            </w:tcBorders>
            <w:shd w:val="clear" w:color="auto" w:fill="auto"/>
            <w:noWrap/>
            <w:vAlign w:val="bottom"/>
            <w:hideMark/>
          </w:tcPr>
          <w:p w14:paraId="085DD140" w14:textId="77777777" w:rsidR="00B349D8" w:rsidRPr="004B3222" w:rsidRDefault="00B349D8" w:rsidP="00545C6E">
            <w:pPr>
              <w:spacing w:after="0" w:line="240" w:lineRule="auto"/>
              <w:jc w:val="center"/>
              <w:rPr>
                <w:rFonts w:ascii="Calibri" w:eastAsia="Times New Roman" w:hAnsi="Calibri" w:cs="Calibri"/>
                <w:color w:val="FF0000"/>
                <w:kern w:val="0"/>
                <w:sz w:val="22"/>
                <w:szCs w:val="22"/>
                <w:lang w:eastAsia="en-IN"/>
                <w14:ligatures w14:val="none"/>
              </w:rPr>
            </w:pPr>
            <w:r w:rsidRPr="004B3222">
              <w:rPr>
                <w:rFonts w:ascii="Calibri" w:eastAsia="Times New Roman" w:hAnsi="Calibri" w:cs="Calibri"/>
                <w:color w:val="FF0000"/>
                <w:kern w:val="0"/>
                <w:sz w:val="22"/>
                <w:szCs w:val="22"/>
                <w:lang w:eastAsia="en-IN"/>
                <w14:ligatures w14:val="none"/>
              </w:rPr>
              <w:t>↓</w:t>
            </w:r>
          </w:p>
        </w:tc>
      </w:tr>
      <w:tr w:rsidR="00B349D8" w:rsidRPr="001123AD" w14:paraId="3A9323BC" w14:textId="77777777" w:rsidTr="00B349D8">
        <w:trPr>
          <w:trHeight w:val="312"/>
        </w:trPr>
        <w:tc>
          <w:tcPr>
            <w:tcW w:w="3114" w:type="dxa"/>
            <w:tcBorders>
              <w:top w:val="nil"/>
              <w:left w:val="single" w:sz="4" w:space="0" w:color="auto"/>
              <w:bottom w:val="single" w:sz="4" w:space="0" w:color="auto"/>
              <w:right w:val="single" w:sz="4" w:space="0" w:color="auto"/>
            </w:tcBorders>
            <w:shd w:val="clear" w:color="000000" w:fill="FFFFFF"/>
            <w:noWrap/>
            <w:vAlign w:val="bottom"/>
            <w:hideMark/>
          </w:tcPr>
          <w:p w14:paraId="072D957C" w14:textId="77777777" w:rsidR="00B349D8" w:rsidRPr="004B3222" w:rsidRDefault="00B349D8" w:rsidP="00545C6E">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Operating margin</w:t>
            </w:r>
          </w:p>
        </w:tc>
        <w:tc>
          <w:tcPr>
            <w:tcW w:w="992" w:type="dxa"/>
            <w:tcBorders>
              <w:top w:val="nil"/>
              <w:left w:val="nil"/>
              <w:bottom w:val="single" w:sz="4" w:space="0" w:color="auto"/>
              <w:right w:val="single" w:sz="4" w:space="0" w:color="auto"/>
            </w:tcBorders>
            <w:shd w:val="clear" w:color="000000" w:fill="FFFFFF"/>
            <w:noWrap/>
            <w:vAlign w:val="bottom"/>
            <w:hideMark/>
          </w:tcPr>
          <w:p w14:paraId="7ACC6CAB"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9.19%</w:t>
            </w:r>
          </w:p>
        </w:tc>
        <w:tc>
          <w:tcPr>
            <w:tcW w:w="935" w:type="dxa"/>
            <w:tcBorders>
              <w:top w:val="nil"/>
              <w:left w:val="nil"/>
              <w:bottom w:val="single" w:sz="4" w:space="0" w:color="auto"/>
              <w:right w:val="single" w:sz="4" w:space="0" w:color="auto"/>
            </w:tcBorders>
            <w:shd w:val="clear" w:color="000000" w:fill="FFFFFF"/>
            <w:noWrap/>
            <w:vAlign w:val="bottom"/>
            <w:hideMark/>
          </w:tcPr>
          <w:p w14:paraId="0F71C5EC"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7.24%</w:t>
            </w:r>
          </w:p>
        </w:tc>
        <w:tc>
          <w:tcPr>
            <w:tcW w:w="3743" w:type="dxa"/>
            <w:tcBorders>
              <w:top w:val="nil"/>
              <w:left w:val="nil"/>
              <w:bottom w:val="single" w:sz="4" w:space="0" w:color="auto"/>
              <w:right w:val="single" w:sz="4" w:space="0" w:color="auto"/>
            </w:tcBorders>
            <w:shd w:val="clear" w:color="auto" w:fill="auto"/>
            <w:noWrap/>
            <w:vAlign w:val="bottom"/>
            <w:hideMark/>
          </w:tcPr>
          <w:p w14:paraId="1AC2B47F" w14:textId="77777777" w:rsidR="00B349D8" w:rsidRPr="004B3222" w:rsidRDefault="00B349D8" w:rsidP="00545C6E">
            <w:pPr>
              <w:spacing w:after="0" w:line="240" w:lineRule="auto"/>
              <w:jc w:val="center"/>
              <w:rPr>
                <w:rFonts w:ascii="Calibri" w:eastAsia="Times New Roman" w:hAnsi="Calibri" w:cs="Calibri"/>
                <w:color w:val="FF0000"/>
                <w:kern w:val="0"/>
                <w:sz w:val="22"/>
                <w:szCs w:val="22"/>
                <w:lang w:eastAsia="en-IN"/>
                <w14:ligatures w14:val="none"/>
              </w:rPr>
            </w:pPr>
            <w:r w:rsidRPr="004B3222">
              <w:rPr>
                <w:rFonts w:ascii="Calibri" w:eastAsia="Times New Roman" w:hAnsi="Calibri" w:cs="Calibri"/>
                <w:color w:val="FF0000"/>
                <w:kern w:val="0"/>
                <w:sz w:val="22"/>
                <w:szCs w:val="22"/>
                <w:lang w:eastAsia="en-IN"/>
                <w14:ligatures w14:val="none"/>
              </w:rPr>
              <w:t>↓</w:t>
            </w:r>
          </w:p>
        </w:tc>
      </w:tr>
      <w:tr w:rsidR="00B349D8" w:rsidRPr="001123AD" w14:paraId="0A75E536" w14:textId="77777777" w:rsidTr="00B349D8">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9CEB498" w14:textId="77777777" w:rsidR="00B349D8" w:rsidRPr="004B3222" w:rsidRDefault="00B349D8" w:rsidP="00545C6E">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Net Profit Margin</w:t>
            </w:r>
          </w:p>
        </w:tc>
        <w:tc>
          <w:tcPr>
            <w:tcW w:w="992" w:type="dxa"/>
            <w:tcBorders>
              <w:top w:val="nil"/>
              <w:left w:val="nil"/>
              <w:bottom w:val="single" w:sz="4" w:space="0" w:color="auto"/>
              <w:right w:val="single" w:sz="4" w:space="0" w:color="auto"/>
            </w:tcBorders>
            <w:shd w:val="clear" w:color="000000" w:fill="FFFFFF"/>
            <w:noWrap/>
            <w:vAlign w:val="bottom"/>
            <w:hideMark/>
          </w:tcPr>
          <w:p w14:paraId="49F30821"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15.47%</w:t>
            </w:r>
          </w:p>
        </w:tc>
        <w:tc>
          <w:tcPr>
            <w:tcW w:w="935" w:type="dxa"/>
            <w:tcBorders>
              <w:top w:val="nil"/>
              <w:left w:val="nil"/>
              <w:bottom w:val="single" w:sz="4" w:space="0" w:color="auto"/>
              <w:right w:val="single" w:sz="4" w:space="0" w:color="auto"/>
            </w:tcBorders>
            <w:shd w:val="clear" w:color="000000" w:fill="FFFFFF"/>
            <w:noWrap/>
            <w:vAlign w:val="bottom"/>
            <w:hideMark/>
          </w:tcPr>
          <w:p w14:paraId="0B8BBCD2"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7.32%</w:t>
            </w:r>
          </w:p>
        </w:tc>
        <w:tc>
          <w:tcPr>
            <w:tcW w:w="3743" w:type="dxa"/>
            <w:tcBorders>
              <w:top w:val="nil"/>
              <w:left w:val="nil"/>
              <w:bottom w:val="single" w:sz="4" w:space="0" w:color="auto"/>
              <w:right w:val="single" w:sz="4" w:space="0" w:color="auto"/>
            </w:tcBorders>
            <w:shd w:val="clear" w:color="auto" w:fill="auto"/>
            <w:noWrap/>
            <w:vAlign w:val="bottom"/>
            <w:hideMark/>
          </w:tcPr>
          <w:p w14:paraId="0AD78E2C" w14:textId="77777777" w:rsidR="00B349D8" w:rsidRPr="004B3222" w:rsidRDefault="00B349D8" w:rsidP="00545C6E">
            <w:pPr>
              <w:spacing w:after="0" w:line="240" w:lineRule="auto"/>
              <w:jc w:val="center"/>
              <w:rPr>
                <w:rFonts w:ascii="Calibri" w:eastAsia="Times New Roman" w:hAnsi="Calibri" w:cs="Calibri"/>
                <w:color w:val="FF0000"/>
                <w:kern w:val="0"/>
                <w:sz w:val="22"/>
                <w:szCs w:val="22"/>
                <w:lang w:eastAsia="en-IN"/>
                <w14:ligatures w14:val="none"/>
              </w:rPr>
            </w:pPr>
            <w:r w:rsidRPr="004B3222">
              <w:rPr>
                <w:rFonts w:ascii="Calibri" w:eastAsia="Times New Roman" w:hAnsi="Calibri" w:cs="Calibri"/>
                <w:color w:val="FF0000"/>
                <w:kern w:val="0"/>
                <w:sz w:val="22"/>
                <w:szCs w:val="22"/>
                <w:lang w:eastAsia="en-IN"/>
                <w14:ligatures w14:val="none"/>
              </w:rPr>
              <w:t>↓</w:t>
            </w:r>
          </w:p>
        </w:tc>
      </w:tr>
      <w:tr w:rsidR="00B349D8" w:rsidRPr="001123AD" w14:paraId="763D6891" w14:textId="77777777" w:rsidTr="00B349D8">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7E6F712" w14:textId="77777777" w:rsidR="00B349D8" w:rsidRPr="004B3222" w:rsidRDefault="00B349D8" w:rsidP="00545C6E">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Return on Equity (ROE)</w:t>
            </w:r>
          </w:p>
        </w:tc>
        <w:tc>
          <w:tcPr>
            <w:tcW w:w="992" w:type="dxa"/>
            <w:tcBorders>
              <w:top w:val="nil"/>
              <w:left w:val="nil"/>
              <w:bottom w:val="single" w:sz="4" w:space="0" w:color="auto"/>
              <w:right w:val="single" w:sz="4" w:space="0" w:color="auto"/>
            </w:tcBorders>
            <w:shd w:val="clear" w:color="000000" w:fill="FFFFFF"/>
            <w:noWrap/>
            <w:vAlign w:val="bottom"/>
            <w:hideMark/>
          </w:tcPr>
          <w:p w14:paraId="22A15F0F"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23.94%</w:t>
            </w:r>
          </w:p>
        </w:tc>
        <w:tc>
          <w:tcPr>
            <w:tcW w:w="935" w:type="dxa"/>
            <w:tcBorders>
              <w:top w:val="nil"/>
              <w:left w:val="nil"/>
              <w:bottom w:val="single" w:sz="4" w:space="0" w:color="auto"/>
              <w:right w:val="single" w:sz="4" w:space="0" w:color="auto"/>
            </w:tcBorders>
            <w:shd w:val="clear" w:color="000000" w:fill="FFFFFF"/>
            <w:noWrap/>
            <w:vAlign w:val="bottom"/>
            <w:hideMark/>
          </w:tcPr>
          <w:p w14:paraId="23C87D0C"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9.73%</w:t>
            </w:r>
          </w:p>
        </w:tc>
        <w:tc>
          <w:tcPr>
            <w:tcW w:w="3743" w:type="dxa"/>
            <w:tcBorders>
              <w:top w:val="nil"/>
              <w:left w:val="nil"/>
              <w:bottom w:val="single" w:sz="4" w:space="0" w:color="auto"/>
              <w:right w:val="single" w:sz="4" w:space="0" w:color="auto"/>
            </w:tcBorders>
            <w:shd w:val="clear" w:color="auto" w:fill="auto"/>
            <w:noWrap/>
            <w:vAlign w:val="bottom"/>
            <w:hideMark/>
          </w:tcPr>
          <w:p w14:paraId="5D71EA7B" w14:textId="77777777" w:rsidR="00B349D8" w:rsidRPr="004B3222" w:rsidRDefault="00B349D8" w:rsidP="00545C6E">
            <w:pPr>
              <w:spacing w:after="0" w:line="240" w:lineRule="auto"/>
              <w:jc w:val="center"/>
              <w:rPr>
                <w:rFonts w:ascii="Calibri" w:eastAsia="Times New Roman" w:hAnsi="Calibri" w:cs="Calibri"/>
                <w:color w:val="FF0000"/>
                <w:kern w:val="0"/>
                <w:sz w:val="22"/>
                <w:szCs w:val="22"/>
                <w:lang w:eastAsia="en-IN"/>
                <w14:ligatures w14:val="none"/>
              </w:rPr>
            </w:pPr>
            <w:r w:rsidRPr="004B3222">
              <w:rPr>
                <w:rFonts w:ascii="Calibri" w:eastAsia="Times New Roman" w:hAnsi="Calibri" w:cs="Calibri"/>
                <w:color w:val="FF0000"/>
                <w:kern w:val="0"/>
                <w:sz w:val="22"/>
                <w:szCs w:val="22"/>
                <w:lang w:eastAsia="en-IN"/>
                <w14:ligatures w14:val="none"/>
              </w:rPr>
              <w:t>↓</w:t>
            </w:r>
          </w:p>
        </w:tc>
      </w:tr>
      <w:tr w:rsidR="00B349D8" w:rsidRPr="001123AD" w14:paraId="6F6378BE" w14:textId="77777777" w:rsidTr="00B349D8">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CE1747E" w14:textId="77777777" w:rsidR="00B349D8" w:rsidRPr="004B3222" w:rsidRDefault="00B349D8" w:rsidP="00545C6E">
            <w:pPr>
              <w:spacing w:after="0" w:line="240" w:lineRule="auto"/>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 xml:space="preserve"> Return on Assets (ROA)</w:t>
            </w:r>
          </w:p>
        </w:tc>
        <w:tc>
          <w:tcPr>
            <w:tcW w:w="992" w:type="dxa"/>
            <w:tcBorders>
              <w:top w:val="nil"/>
              <w:left w:val="nil"/>
              <w:bottom w:val="single" w:sz="4" w:space="0" w:color="auto"/>
              <w:right w:val="single" w:sz="4" w:space="0" w:color="auto"/>
            </w:tcBorders>
            <w:shd w:val="clear" w:color="000000" w:fill="FFFFFF"/>
            <w:noWrap/>
            <w:vAlign w:val="bottom"/>
            <w:hideMark/>
          </w:tcPr>
          <w:p w14:paraId="603EDC50"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14.07%</w:t>
            </w:r>
          </w:p>
        </w:tc>
        <w:tc>
          <w:tcPr>
            <w:tcW w:w="935" w:type="dxa"/>
            <w:tcBorders>
              <w:top w:val="nil"/>
              <w:left w:val="nil"/>
              <w:bottom w:val="single" w:sz="4" w:space="0" w:color="auto"/>
              <w:right w:val="single" w:sz="4" w:space="0" w:color="auto"/>
            </w:tcBorders>
            <w:shd w:val="clear" w:color="000000" w:fill="FFFFFF"/>
            <w:noWrap/>
            <w:vAlign w:val="bottom"/>
            <w:hideMark/>
          </w:tcPr>
          <w:p w14:paraId="6696E165" w14:textId="77777777" w:rsidR="00B349D8" w:rsidRPr="004B3222" w:rsidRDefault="00B349D8" w:rsidP="00545C6E">
            <w:pPr>
              <w:spacing w:after="0" w:line="240" w:lineRule="auto"/>
              <w:jc w:val="right"/>
              <w:rPr>
                <w:rFonts w:ascii="Calibri" w:eastAsia="Times New Roman" w:hAnsi="Calibri" w:cs="Calibri"/>
                <w:color w:val="000000"/>
                <w:kern w:val="0"/>
                <w:sz w:val="22"/>
                <w:szCs w:val="22"/>
                <w:lang w:eastAsia="en-IN"/>
                <w14:ligatures w14:val="none"/>
              </w:rPr>
            </w:pPr>
            <w:r w:rsidRPr="004B3222">
              <w:rPr>
                <w:rFonts w:ascii="Calibri" w:eastAsia="Times New Roman" w:hAnsi="Calibri" w:cs="Calibri"/>
                <w:color w:val="000000"/>
                <w:kern w:val="0"/>
                <w:sz w:val="22"/>
                <w:szCs w:val="22"/>
                <w:lang w:eastAsia="en-IN"/>
                <w14:ligatures w14:val="none"/>
              </w:rPr>
              <w:t>5.81%</w:t>
            </w:r>
          </w:p>
        </w:tc>
        <w:tc>
          <w:tcPr>
            <w:tcW w:w="3743" w:type="dxa"/>
            <w:tcBorders>
              <w:top w:val="nil"/>
              <w:left w:val="nil"/>
              <w:bottom w:val="single" w:sz="4" w:space="0" w:color="auto"/>
              <w:right w:val="single" w:sz="4" w:space="0" w:color="auto"/>
            </w:tcBorders>
            <w:shd w:val="clear" w:color="auto" w:fill="auto"/>
            <w:noWrap/>
            <w:vAlign w:val="bottom"/>
            <w:hideMark/>
          </w:tcPr>
          <w:p w14:paraId="4551D4F4" w14:textId="77777777" w:rsidR="00B349D8" w:rsidRPr="004B3222" w:rsidRDefault="00B349D8" w:rsidP="00545C6E">
            <w:pPr>
              <w:spacing w:after="0" w:line="240" w:lineRule="auto"/>
              <w:jc w:val="center"/>
              <w:rPr>
                <w:rFonts w:ascii="Calibri" w:eastAsia="Times New Roman" w:hAnsi="Calibri" w:cs="Calibri"/>
                <w:color w:val="FF0000"/>
                <w:kern w:val="0"/>
                <w:sz w:val="22"/>
                <w:szCs w:val="22"/>
                <w:lang w:eastAsia="en-IN"/>
                <w14:ligatures w14:val="none"/>
              </w:rPr>
            </w:pPr>
            <w:r w:rsidRPr="004B3222">
              <w:rPr>
                <w:rFonts w:ascii="Calibri" w:eastAsia="Times New Roman" w:hAnsi="Calibri" w:cs="Calibri"/>
                <w:color w:val="FF0000"/>
                <w:kern w:val="0"/>
                <w:sz w:val="22"/>
                <w:szCs w:val="22"/>
                <w:lang w:eastAsia="en-IN"/>
                <w14:ligatures w14:val="none"/>
              </w:rPr>
              <w:t>↓</w:t>
            </w:r>
          </w:p>
        </w:tc>
      </w:tr>
    </w:tbl>
    <w:p w14:paraId="4A78183C" w14:textId="77777777" w:rsidR="00B349D8" w:rsidRPr="00B349D8" w:rsidRDefault="00B349D8" w:rsidP="00B349D8"/>
    <w:p w14:paraId="248E0FE1" w14:textId="1C4BF707" w:rsidR="004B3222" w:rsidRPr="004B3222" w:rsidRDefault="004B3222" w:rsidP="004B3222">
      <w:pPr>
        <w:rPr>
          <w:b/>
          <w:bCs/>
        </w:rPr>
      </w:pPr>
      <w:r>
        <w:rPr>
          <w:noProof/>
        </w:rPr>
        <w:lastRenderedPageBreak/>
        <w:drawing>
          <wp:inline distT="0" distB="0" distL="0" distR="0" wp14:anchorId="295077CC" wp14:editId="7E44875F">
            <wp:extent cx="6316980" cy="3870960"/>
            <wp:effectExtent l="0" t="0" r="7620" b="15240"/>
            <wp:docPr id="924795769" name="Chart 1">
              <a:extLst xmlns:a="http://schemas.openxmlformats.org/drawingml/2006/main">
                <a:ext uri="{FF2B5EF4-FFF2-40B4-BE49-F238E27FC236}">
                  <a16:creationId xmlns:a16="http://schemas.microsoft.com/office/drawing/2014/main" id="{46225F2B-EF9A-1184-B95F-E648C3426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841E13" w14:textId="77777777" w:rsidR="005F790E" w:rsidRPr="005F790E" w:rsidRDefault="005F790E" w:rsidP="005F790E">
      <w:pPr>
        <w:rPr>
          <w:rFonts w:ascii="Calibri" w:hAnsi="Calibri" w:cs="Calibri"/>
        </w:rPr>
      </w:pPr>
      <w:r w:rsidRPr="005F790E">
        <w:rPr>
          <w:rFonts w:ascii="Calibri" w:hAnsi="Calibri" w:cs="Calibri"/>
        </w:rPr>
        <w:t>Here's how the Tesla Profitability Ratios (2023 vs 2024) chart looks:</w:t>
      </w:r>
    </w:p>
    <w:p w14:paraId="3E828E67" w14:textId="77777777" w:rsidR="005F790E" w:rsidRPr="005F790E" w:rsidRDefault="005F790E" w:rsidP="005F790E">
      <w:pPr>
        <w:numPr>
          <w:ilvl w:val="0"/>
          <w:numId w:val="7"/>
        </w:numPr>
        <w:rPr>
          <w:rFonts w:ascii="Calibri" w:hAnsi="Calibri" w:cs="Calibri"/>
        </w:rPr>
      </w:pPr>
      <w:r w:rsidRPr="005F790E">
        <w:rPr>
          <w:rFonts w:ascii="Calibri" w:hAnsi="Calibri" w:cs="Calibri"/>
        </w:rPr>
        <w:t>Each line represents a key profitability ratio (Net Profit Margin, ROE, ROA, Gross Margin, Operating Margin).</w:t>
      </w:r>
    </w:p>
    <w:p w14:paraId="319DD48B" w14:textId="1EDEFFB3" w:rsidR="005F790E" w:rsidRPr="005F790E" w:rsidRDefault="008C7028" w:rsidP="005F790E">
      <w:pPr>
        <w:numPr>
          <w:ilvl w:val="0"/>
          <w:numId w:val="7"/>
        </w:numPr>
      </w:pPr>
      <w:r w:rsidRPr="001123AD">
        <w:rPr>
          <w:rFonts w:ascii="Calibri" w:hAnsi="Calibri" w:cs="Calibri"/>
        </w:rPr>
        <w:t>There is</w:t>
      </w:r>
      <w:r w:rsidR="005F790E" w:rsidRPr="005F790E">
        <w:rPr>
          <w:rFonts w:ascii="Calibri" w:hAnsi="Calibri" w:cs="Calibri"/>
        </w:rPr>
        <w:t xml:space="preserve"> decline across all ratios from 2023 to 2024, indicating profitability pressure</w:t>
      </w:r>
      <w:r w:rsidR="005F790E" w:rsidRPr="005F790E">
        <w:t>.</w:t>
      </w:r>
    </w:p>
    <w:p w14:paraId="276AE59F" w14:textId="77777777" w:rsidR="001123AD" w:rsidRDefault="001123AD" w:rsidP="004B3222">
      <w:pPr>
        <w:rPr>
          <w:b/>
          <w:bCs/>
        </w:rPr>
      </w:pPr>
    </w:p>
    <w:p w14:paraId="316AFA10" w14:textId="1FEB7818" w:rsidR="004B3222" w:rsidRPr="004B3222" w:rsidRDefault="004B3222" w:rsidP="004B3222">
      <w:pPr>
        <w:rPr>
          <w:b/>
          <w:bCs/>
        </w:rPr>
      </w:pPr>
      <w:r w:rsidRPr="004B3222">
        <w:rPr>
          <w:b/>
          <w:bCs/>
        </w:rPr>
        <w:t xml:space="preserve"> Profitability Trends</w:t>
      </w:r>
    </w:p>
    <w:p w14:paraId="7FCDEE85" w14:textId="617213E4" w:rsidR="004B3222" w:rsidRPr="004B3222" w:rsidRDefault="004B3222" w:rsidP="001123AD">
      <w:pPr>
        <w:numPr>
          <w:ilvl w:val="0"/>
          <w:numId w:val="1"/>
        </w:numPr>
        <w:rPr>
          <w:rFonts w:ascii="Calibri" w:hAnsi="Calibri" w:cs="Calibri"/>
          <w:color w:val="000000" w:themeColor="text1"/>
        </w:rPr>
      </w:pPr>
      <w:r w:rsidRPr="004B3222">
        <w:rPr>
          <w:rFonts w:ascii="Calibri" w:hAnsi="Calibri" w:cs="Calibri"/>
          <w:color w:val="000000" w:themeColor="text1"/>
        </w:rPr>
        <w:t>Net Profit Margin dropped from 15.5% (2023) to 7.3% (2024).</w:t>
      </w:r>
      <w:r w:rsidR="001123AD">
        <w:rPr>
          <w:rFonts w:ascii="Calibri" w:hAnsi="Calibri" w:cs="Calibri"/>
          <w:color w:val="000000" w:themeColor="text1"/>
        </w:rPr>
        <w:t xml:space="preserve"> It i</w:t>
      </w:r>
      <w:r w:rsidRPr="004B3222">
        <w:rPr>
          <w:rFonts w:ascii="Calibri" w:hAnsi="Calibri" w:cs="Calibri"/>
          <w:color w:val="000000" w:themeColor="text1"/>
        </w:rPr>
        <w:t>ndicates that Tesla is earning significantly less profit per dollar of revenue compared to the previous year.</w:t>
      </w:r>
    </w:p>
    <w:p w14:paraId="4A9DAD69" w14:textId="2C76746A" w:rsidR="004B3222" w:rsidRPr="004B3222" w:rsidRDefault="004B3222" w:rsidP="001123AD">
      <w:pPr>
        <w:numPr>
          <w:ilvl w:val="0"/>
          <w:numId w:val="1"/>
        </w:numPr>
        <w:rPr>
          <w:rFonts w:ascii="Calibri" w:hAnsi="Calibri" w:cs="Calibri"/>
          <w:color w:val="000000" w:themeColor="text1"/>
        </w:rPr>
      </w:pPr>
      <w:r w:rsidRPr="004B3222">
        <w:rPr>
          <w:rFonts w:ascii="Calibri" w:hAnsi="Calibri" w:cs="Calibri"/>
          <w:color w:val="000000" w:themeColor="text1"/>
        </w:rPr>
        <w:t>Return on Assets (ROA) fell from 14.1% to 5.9%</w:t>
      </w:r>
      <w:r w:rsidRPr="001123AD">
        <w:rPr>
          <w:rFonts w:ascii="Calibri" w:hAnsi="Calibri" w:cs="Calibri"/>
          <w:color w:val="000000" w:themeColor="text1"/>
        </w:rPr>
        <w:t xml:space="preserve"> </w:t>
      </w:r>
      <w:r w:rsidRPr="004B3222">
        <w:rPr>
          <w:rFonts w:ascii="Calibri" w:hAnsi="Calibri" w:cs="Calibri"/>
          <w:color w:val="000000" w:themeColor="text1"/>
        </w:rPr>
        <w:t>and Return on Equity (ROE) dropped from 23.9% to 9.7%.</w:t>
      </w:r>
      <w:r w:rsidR="001123AD">
        <w:rPr>
          <w:rFonts w:ascii="Calibri" w:hAnsi="Calibri" w:cs="Calibri"/>
          <w:color w:val="000000" w:themeColor="text1"/>
        </w:rPr>
        <w:t xml:space="preserve"> </w:t>
      </w:r>
      <w:r w:rsidRPr="004B3222">
        <w:rPr>
          <w:rFonts w:ascii="Calibri" w:hAnsi="Calibri" w:cs="Calibri"/>
          <w:color w:val="000000" w:themeColor="text1"/>
        </w:rPr>
        <w:t>Tesla’s efficiency in using assets and equity to generate profit has weakened notably.</w:t>
      </w:r>
    </w:p>
    <w:p w14:paraId="45831C59" w14:textId="6F1BF8F5" w:rsidR="004B3222" w:rsidRPr="001123AD" w:rsidRDefault="004B3222" w:rsidP="004B3222">
      <w:pPr>
        <w:rPr>
          <w:rFonts w:ascii="Calibri" w:hAnsi="Calibri" w:cs="Calibri"/>
          <w:color w:val="000000" w:themeColor="text1"/>
        </w:rPr>
      </w:pPr>
      <w:r w:rsidRPr="004B3222">
        <w:rPr>
          <w:rFonts w:ascii="Calibri" w:hAnsi="Calibri" w:cs="Calibri"/>
          <w:b/>
          <w:bCs/>
          <w:color w:val="000000" w:themeColor="text1"/>
        </w:rPr>
        <w:t>Conclusion</w:t>
      </w:r>
      <w:r w:rsidRPr="004B3222">
        <w:rPr>
          <w:rFonts w:ascii="Calibri" w:hAnsi="Calibri" w:cs="Calibri"/>
          <w:color w:val="000000" w:themeColor="text1"/>
        </w:rPr>
        <w:t>: Tesla is facing a decline in profitability, possibly due to rising operating expenses, slower revenue growth, or increased investment in R&amp;D and expansion.</w:t>
      </w:r>
    </w:p>
    <w:p w14:paraId="4767A111" w14:textId="77777777" w:rsidR="004B3222" w:rsidRDefault="004B3222" w:rsidP="004B3222"/>
    <w:p w14:paraId="51E34E29" w14:textId="21FF722D" w:rsidR="004B3222" w:rsidRDefault="004B3222" w:rsidP="004B3222">
      <w:pPr>
        <w:rPr>
          <w:b/>
          <w:bCs/>
        </w:rPr>
      </w:pPr>
      <w:r w:rsidRPr="004B3222">
        <w:rPr>
          <w:b/>
          <w:bCs/>
        </w:rPr>
        <w:t>2. Liquidity Position</w:t>
      </w:r>
    </w:p>
    <w:tbl>
      <w:tblPr>
        <w:tblW w:w="12557" w:type="dxa"/>
        <w:tblLayout w:type="fixed"/>
        <w:tblLook w:val="04A0" w:firstRow="1" w:lastRow="0" w:firstColumn="1" w:lastColumn="0" w:noHBand="0" w:noVBand="1"/>
      </w:tblPr>
      <w:tblGrid>
        <w:gridCol w:w="3119"/>
        <w:gridCol w:w="1134"/>
        <w:gridCol w:w="1007"/>
        <w:gridCol w:w="3954"/>
        <w:gridCol w:w="1187"/>
        <w:gridCol w:w="960"/>
        <w:gridCol w:w="960"/>
        <w:gridCol w:w="236"/>
      </w:tblGrid>
      <w:tr w:rsidR="00F12F5C" w:rsidRPr="00F12F5C" w14:paraId="4778797D" w14:textId="77777777" w:rsidTr="00F12F5C">
        <w:trPr>
          <w:trHeight w:val="312"/>
        </w:trPr>
        <w:tc>
          <w:tcPr>
            <w:tcW w:w="3119" w:type="dxa"/>
            <w:tcBorders>
              <w:top w:val="nil"/>
              <w:left w:val="nil"/>
              <w:bottom w:val="nil"/>
              <w:right w:val="nil"/>
            </w:tcBorders>
            <w:shd w:val="clear" w:color="auto" w:fill="auto"/>
            <w:noWrap/>
            <w:vAlign w:val="bottom"/>
            <w:hideMark/>
          </w:tcPr>
          <w:p w14:paraId="660BAEC2" w14:textId="77777777" w:rsidR="00F12F5C" w:rsidRPr="00F12F5C" w:rsidRDefault="00F12F5C" w:rsidP="00F12F5C">
            <w:pPr>
              <w:spacing w:after="0" w:line="240" w:lineRule="auto"/>
              <w:rPr>
                <w:rFonts w:ascii="Calibri" w:eastAsia="Times New Roman" w:hAnsi="Calibri" w:cs="Calibri"/>
                <w:b/>
                <w:bCs/>
                <w:color w:val="000000"/>
                <w:kern w:val="0"/>
                <w:lang w:eastAsia="en-IN"/>
                <w14:ligatures w14:val="none"/>
              </w:rPr>
            </w:pPr>
            <w:r w:rsidRPr="00F12F5C">
              <w:rPr>
                <w:rFonts w:ascii="Calibri" w:eastAsia="Times New Roman" w:hAnsi="Calibri" w:cs="Calibri"/>
                <w:b/>
                <w:bCs/>
                <w:color w:val="000000"/>
                <w:kern w:val="0"/>
                <w:lang w:eastAsia="en-IN"/>
                <w14:ligatures w14:val="none"/>
              </w:rPr>
              <w:t>Liquidity Ratios</w:t>
            </w:r>
          </w:p>
        </w:tc>
        <w:tc>
          <w:tcPr>
            <w:tcW w:w="1134" w:type="dxa"/>
            <w:tcBorders>
              <w:top w:val="nil"/>
              <w:left w:val="nil"/>
              <w:bottom w:val="nil"/>
              <w:right w:val="nil"/>
            </w:tcBorders>
            <w:shd w:val="clear" w:color="auto" w:fill="auto"/>
            <w:noWrap/>
            <w:vAlign w:val="bottom"/>
            <w:hideMark/>
          </w:tcPr>
          <w:p w14:paraId="693C25D6" w14:textId="77777777" w:rsidR="00F12F5C" w:rsidRPr="00F12F5C" w:rsidRDefault="00F12F5C" w:rsidP="00F12F5C">
            <w:pPr>
              <w:spacing w:after="0" w:line="240" w:lineRule="auto"/>
              <w:jc w:val="right"/>
              <w:rPr>
                <w:rFonts w:ascii="Calibri" w:eastAsia="Times New Roman" w:hAnsi="Calibri" w:cs="Calibri"/>
                <w:b/>
                <w:bCs/>
                <w:color w:val="000000"/>
                <w:kern w:val="0"/>
                <w:lang w:eastAsia="en-IN"/>
                <w14:ligatures w14:val="none"/>
              </w:rPr>
            </w:pPr>
            <w:r w:rsidRPr="00F12F5C">
              <w:rPr>
                <w:rFonts w:ascii="Calibri" w:eastAsia="Times New Roman" w:hAnsi="Calibri" w:cs="Calibri"/>
                <w:b/>
                <w:bCs/>
                <w:color w:val="000000"/>
                <w:kern w:val="0"/>
                <w:lang w:eastAsia="en-IN"/>
                <w14:ligatures w14:val="none"/>
              </w:rPr>
              <w:t>2024</w:t>
            </w:r>
          </w:p>
        </w:tc>
        <w:tc>
          <w:tcPr>
            <w:tcW w:w="1007" w:type="dxa"/>
            <w:tcBorders>
              <w:top w:val="nil"/>
              <w:left w:val="nil"/>
              <w:bottom w:val="nil"/>
              <w:right w:val="nil"/>
            </w:tcBorders>
            <w:shd w:val="clear" w:color="auto" w:fill="auto"/>
            <w:noWrap/>
            <w:vAlign w:val="bottom"/>
            <w:hideMark/>
          </w:tcPr>
          <w:p w14:paraId="43846905" w14:textId="77777777" w:rsidR="00F12F5C" w:rsidRPr="00F12F5C" w:rsidRDefault="00F12F5C" w:rsidP="00F12F5C">
            <w:pPr>
              <w:spacing w:after="0" w:line="240" w:lineRule="auto"/>
              <w:jc w:val="right"/>
              <w:rPr>
                <w:rFonts w:ascii="Calibri" w:eastAsia="Times New Roman" w:hAnsi="Calibri" w:cs="Calibri"/>
                <w:b/>
                <w:bCs/>
                <w:color w:val="000000"/>
                <w:kern w:val="0"/>
                <w:lang w:eastAsia="en-IN"/>
                <w14:ligatures w14:val="none"/>
              </w:rPr>
            </w:pPr>
            <w:r w:rsidRPr="00F12F5C">
              <w:rPr>
                <w:rFonts w:ascii="Calibri" w:eastAsia="Times New Roman" w:hAnsi="Calibri" w:cs="Calibri"/>
                <w:b/>
                <w:bCs/>
                <w:color w:val="000000"/>
                <w:kern w:val="0"/>
                <w:lang w:eastAsia="en-IN"/>
                <w14:ligatures w14:val="none"/>
              </w:rPr>
              <w:t>2023</w:t>
            </w:r>
          </w:p>
        </w:tc>
        <w:tc>
          <w:tcPr>
            <w:tcW w:w="5141" w:type="dxa"/>
            <w:gridSpan w:val="2"/>
            <w:tcBorders>
              <w:top w:val="nil"/>
              <w:left w:val="nil"/>
              <w:bottom w:val="nil"/>
              <w:right w:val="nil"/>
            </w:tcBorders>
            <w:shd w:val="clear" w:color="auto" w:fill="auto"/>
            <w:noWrap/>
            <w:vAlign w:val="bottom"/>
            <w:hideMark/>
          </w:tcPr>
          <w:p w14:paraId="49BDBC55" w14:textId="77777777" w:rsidR="00F12F5C" w:rsidRPr="00F12F5C" w:rsidRDefault="00F12F5C" w:rsidP="00F12F5C">
            <w:pPr>
              <w:spacing w:after="0" w:line="240" w:lineRule="auto"/>
              <w:jc w:val="right"/>
              <w:rPr>
                <w:rFonts w:ascii="Calibri" w:eastAsia="Times New Roman" w:hAnsi="Calibri" w:cs="Calibri"/>
                <w:b/>
                <w:bCs/>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0EEEE8B7"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62742B"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right w:val="nil"/>
            </w:tcBorders>
            <w:shd w:val="clear" w:color="auto" w:fill="auto"/>
            <w:noWrap/>
            <w:vAlign w:val="bottom"/>
            <w:hideMark/>
          </w:tcPr>
          <w:p w14:paraId="220F7E99"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r>
      <w:tr w:rsidR="00F12F5C" w:rsidRPr="00F12F5C" w14:paraId="553B2966" w14:textId="77777777" w:rsidTr="00F12F5C">
        <w:trPr>
          <w:trHeight w:val="312"/>
        </w:trPr>
        <w:tc>
          <w:tcPr>
            <w:tcW w:w="3119" w:type="dxa"/>
            <w:tcBorders>
              <w:top w:val="nil"/>
              <w:left w:val="nil"/>
              <w:bottom w:val="nil"/>
              <w:right w:val="nil"/>
            </w:tcBorders>
            <w:shd w:val="clear" w:color="auto" w:fill="auto"/>
            <w:noWrap/>
            <w:vAlign w:val="bottom"/>
            <w:hideMark/>
          </w:tcPr>
          <w:p w14:paraId="73D99C4E"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1134" w:type="dxa"/>
            <w:tcBorders>
              <w:top w:val="nil"/>
              <w:left w:val="nil"/>
              <w:bottom w:val="nil"/>
              <w:right w:val="nil"/>
            </w:tcBorders>
            <w:shd w:val="clear" w:color="auto" w:fill="auto"/>
            <w:noWrap/>
            <w:vAlign w:val="bottom"/>
            <w:hideMark/>
          </w:tcPr>
          <w:p w14:paraId="7E4E4BC0"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1007" w:type="dxa"/>
            <w:tcBorders>
              <w:top w:val="nil"/>
              <w:left w:val="nil"/>
              <w:bottom w:val="nil"/>
              <w:right w:val="nil"/>
            </w:tcBorders>
            <w:shd w:val="clear" w:color="auto" w:fill="auto"/>
            <w:noWrap/>
            <w:vAlign w:val="bottom"/>
            <w:hideMark/>
          </w:tcPr>
          <w:p w14:paraId="1CBD08DA"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5141" w:type="dxa"/>
            <w:gridSpan w:val="2"/>
            <w:tcBorders>
              <w:top w:val="nil"/>
              <w:left w:val="nil"/>
              <w:bottom w:val="nil"/>
              <w:right w:val="nil"/>
            </w:tcBorders>
            <w:shd w:val="clear" w:color="auto" w:fill="auto"/>
            <w:noWrap/>
            <w:vAlign w:val="bottom"/>
            <w:hideMark/>
          </w:tcPr>
          <w:p w14:paraId="1B094FAA"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41F6A3"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9FA8CD"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right w:val="nil"/>
            </w:tcBorders>
            <w:shd w:val="clear" w:color="auto" w:fill="auto"/>
            <w:noWrap/>
            <w:vAlign w:val="bottom"/>
            <w:hideMark/>
          </w:tcPr>
          <w:p w14:paraId="781B954A"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r>
      <w:tr w:rsidR="00F12F5C" w:rsidRPr="00F12F5C" w14:paraId="0FA8A715" w14:textId="77777777" w:rsidTr="00F12F5C">
        <w:trPr>
          <w:gridAfter w:val="4"/>
          <w:wAfter w:w="3343"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B00F16"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lastRenderedPageBreak/>
              <w:t xml:space="preserve"> Current Ratio</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523FA172"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2.02491</w:t>
            </w:r>
          </w:p>
        </w:tc>
        <w:tc>
          <w:tcPr>
            <w:tcW w:w="1007" w:type="dxa"/>
            <w:tcBorders>
              <w:top w:val="single" w:sz="4" w:space="0" w:color="auto"/>
              <w:left w:val="nil"/>
              <w:bottom w:val="single" w:sz="4" w:space="0" w:color="auto"/>
              <w:right w:val="single" w:sz="4" w:space="0" w:color="auto"/>
            </w:tcBorders>
            <w:shd w:val="clear" w:color="000000" w:fill="FFFF00"/>
            <w:noWrap/>
            <w:vAlign w:val="bottom"/>
            <w:hideMark/>
          </w:tcPr>
          <w:p w14:paraId="6E21862D"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1.72589</w:t>
            </w:r>
          </w:p>
        </w:tc>
        <w:tc>
          <w:tcPr>
            <w:tcW w:w="395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7255E8B" w14:textId="12A00C82"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xml:space="preserve"> Improvement in the short</w:t>
            </w:r>
            <w:r w:rsidRPr="001123AD">
              <w:rPr>
                <w:rFonts w:ascii="Calibri" w:eastAsia="Times New Roman" w:hAnsi="Calibri" w:cs="Calibri"/>
                <w:color w:val="000000"/>
                <w:kern w:val="0"/>
                <w:sz w:val="22"/>
                <w:szCs w:val="22"/>
                <w:lang w:eastAsia="en-IN"/>
                <w14:ligatures w14:val="none"/>
              </w:rPr>
              <w:t>-</w:t>
            </w:r>
            <w:r w:rsidRPr="00F12F5C">
              <w:rPr>
                <w:rFonts w:ascii="Calibri" w:eastAsia="Times New Roman" w:hAnsi="Calibri" w:cs="Calibri"/>
                <w:color w:val="000000"/>
                <w:kern w:val="0"/>
                <w:sz w:val="22"/>
                <w:szCs w:val="22"/>
                <w:lang w:eastAsia="en-IN"/>
                <w14:ligatures w14:val="none"/>
              </w:rPr>
              <w:t xml:space="preserve"> term liquidity in 2024</w:t>
            </w:r>
          </w:p>
        </w:tc>
      </w:tr>
      <w:tr w:rsidR="00F12F5C" w:rsidRPr="00F12F5C" w14:paraId="2FC5D522" w14:textId="77777777" w:rsidTr="00F12F5C">
        <w:trPr>
          <w:gridAfter w:val="4"/>
          <w:wAfter w:w="3343" w:type="dxa"/>
          <w:trHeight w:val="312"/>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41E8707"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Current Ratio= Current Assets/Current liabilities</w:t>
            </w:r>
          </w:p>
        </w:tc>
        <w:tc>
          <w:tcPr>
            <w:tcW w:w="1134" w:type="dxa"/>
            <w:tcBorders>
              <w:top w:val="nil"/>
              <w:left w:val="nil"/>
              <w:bottom w:val="single" w:sz="4" w:space="0" w:color="auto"/>
              <w:right w:val="single" w:sz="4" w:space="0" w:color="auto"/>
            </w:tcBorders>
            <w:shd w:val="clear" w:color="auto" w:fill="auto"/>
            <w:noWrap/>
            <w:vAlign w:val="bottom"/>
            <w:hideMark/>
          </w:tcPr>
          <w:p w14:paraId="322EEC70"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1007" w:type="dxa"/>
            <w:tcBorders>
              <w:top w:val="nil"/>
              <w:left w:val="nil"/>
              <w:bottom w:val="single" w:sz="4" w:space="0" w:color="auto"/>
              <w:right w:val="single" w:sz="4" w:space="0" w:color="auto"/>
            </w:tcBorders>
            <w:shd w:val="clear" w:color="auto" w:fill="auto"/>
            <w:noWrap/>
            <w:vAlign w:val="bottom"/>
            <w:hideMark/>
          </w:tcPr>
          <w:p w14:paraId="4D3156CF"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3954" w:type="dxa"/>
            <w:vMerge/>
            <w:tcBorders>
              <w:top w:val="nil"/>
              <w:left w:val="nil"/>
              <w:bottom w:val="single" w:sz="4" w:space="0" w:color="auto"/>
              <w:right w:val="single" w:sz="4" w:space="0" w:color="auto"/>
            </w:tcBorders>
            <w:vAlign w:val="center"/>
            <w:hideMark/>
          </w:tcPr>
          <w:p w14:paraId="78DC2008"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543BBF6C" w14:textId="77777777" w:rsidTr="00F12F5C">
        <w:trPr>
          <w:trHeight w:val="312"/>
        </w:trPr>
        <w:tc>
          <w:tcPr>
            <w:tcW w:w="3119" w:type="dxa"/>
            <w:tcBorders>
              <w:top w:val="nil"/>
              <w:left w:val="nil"/>
              <w:bottom w:val="nil"/>
              <w:right w:val="nil"/>
            </w:tcBorders>
            <w:shd w:val="clear" w:color="auto" w:fill="auto"/>
            <w:noWrap/>
            <w:vAlign w:val="bottom"/>
            <w:hideMark/>
          </w:tcPr>
          <w:p w14:paraId="538E4780"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1459E4A7"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1007" w:type="dxa"/>
            <w:tcBorders>
              <w:top w:val="nil"/>
              <w:left w:val="nil"/>
              <w:bottom w:val="nil"/>
              <w:right w:val="nil"/>
            </w:tcBorders>
            <w:shd w:val="clear" w:color="auto" w:fill="auto"/>
            <w:noWrap/>
            <w:vAlign w:val="bottom"/>
            <w:hideMark/>
          </w:tcPr>
          <w:p w14:paraId="57A58467"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5141" w:type="dxa"/>
            <w:gridSpan w:val="2"/>
            <w:tcBorders>
              <w:top w:val="nil"/>
              <w:left w:val="nil"/>
              <w:bottom w:val="nil"/>
              <w:right w:val="nil"/>
            </w:tcBorders>
            <w:shd w:val="clear" w:color="auto" w:fill="auto"/>
            <w:noWrap/>
            <w:vAlign w:val="bottom"/>
            <w:hideMark/>
          </w:tcPr>
          <w:p w14:paraId="03D543EE"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279BB324"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1B342FF7"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236" w:type="dxa"/>
            <w:tcBorders>
              <w:top w:val="nil"/>
              <w:left w:val="nil"/>
              <w:bottom w:val="nil"/>
              <w:right w:val="nil"/>
            </w:tcBorders>
            <w:shd w:val="clear" w:color="auto" w:fill="auto"/>
            <w:noWrap/>
            <w:vAlign w:val="bottom"/>
            <w:hideMark/>
          </w:tcPr>
          <w:p w14:paraId="3C20DFF0"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r>
      <w:tr w:rsidR="00F12F5C" w:rsidRPr="00F12F5C" w14:paraId="3AB958AC" w14:textId="77777777" w:rsidTr="00F12F5C">
        <w:trPr>
          <w:trHeight w:val="312"/>
        </w:trPr>
        <w:tc>
          <w:tcPr>
            <w:tcW w:w="3119" w:type="dxa"/>
            <w:tcBorders>
              <w:top w:val="nil"/>
              <w:left w:val="nil"/>
              <w:bottom w:val="nil"/>
              <w:right w:val="nil"/>
            </w:tcBorders>
            <w:shd w:val="clear" w:color="auto" w:fill="auto"/>
            <w:noWrap/>
            <w:vAlign w:val="bottom"/>
            <w:hideMark/>
          </w:tcPr>
          <w:p w14:paraId="132B65C8"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02EC7171"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1007" w:type="dxa"/>
            <w:tcBorders>
              <w:top w:val="nil"/>
              <w:left w:val="nil"/>
              <w:bottom w:val="nil"/>
              <w:right w:val="nil"/>
            </w:tcBorders>
            <w:shd w:val="clear" w:color="auto" w:fill="auto"/>
            <w:noWrap/>
            <w:vAlign w:val="bottom"/>
            <w:hideMark/>
          </w:tcPr>
          <w:p w14:paraId="43C8AFFA"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5141" w:type="dxa"/>
            <w:gridSpan w:val="2"/>
            <w:tcBorders>
              <w:top w:val="nil"/>
              <w:left w:val="nil"/>
              <w:bottom w:val="nil"/>
              <w:right w:val="nil"/>
            </w:tcBorders>
            <w:shd w:val="clear" w:color="auto" w:fill="auto"/>
            <w:noWrap/>
            <w:vAlign w:val="bottom"/>
            <w:hideMark/>
          </w:tcPr>
          <w:p w14:paraId="0513DEF2"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665C9B37"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09BB7AC1"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236" w:type="dxa"/>
            <w:tcBorders>
              <w:top w:val="nil"/>
              <w:left w:val="nil"/>
              <w:bottom w:val="nil"/>
              <w:right w:val="nil"/>
            </w:tcBorders>
            <w:shd w:val="clear" w:color="auto" w:fill="auto"/>
            <w:noWrap/>
            <w:vAlign w:val="bottom"/>
            <w:hideMark/>
          </w:tcPr>
          <w:p w14:paraId="7860F58F"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r>
      <w:tr w:rsidR="00F12F5C" w:rsidRPr="00F12F5C" w14:paraId="6781C353" w14:textId="77777777" w:rsidTr="00F12F5C">
        <w:trPr>
          <w:gridAfter w:val="4"/>
          <w:wAfter w:w="3343" w:type="dxa"/>
          <w:trHeight w:val="312"/>
        </w:trPr>
        <w:tc>
          <w:tcPr>
            <w:tcW w:w="31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8BA3B6"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Quick ratio</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4F14662B"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1.42191</w:t>
            </w:r>
          </w:p>
        </w:tc>
        <w:tc>
          <w:tcPr>
            <w:tcW w:w="1007" w:type="dxa"/>
            <w:tcBorders>
              <w:top w:val="single" w:sz="4" w:space="0" w:color="auto"/>
              <w:left w:val="nil"/>
              <w:bottom w:val="single" w:sz="4" w:space="0" w:color="auto"/>
              <w:right w:val="single" w:sz="4" w:space="0" w:color="auto"/>
            </w:tcBorders>
            <w:shd w:val="clear" w:color="000000" w:fill="FFFF00"/>
            <w:noWrap/>
            <w:vAlign w:val="bottom"/>
            <w:hideMark/>
          </w:tcPr>
          <w:p w14:paraId="5CA04C92"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1.13406</w:t>
            </w:r>
          </w:p>
        </w:tc>
        <w:tc>
          <w:tcPr>
            <w:tcW w:w="395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CA66BC9"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Stronger quick liquidity position in 2024</w:t>
            </w:r>
          </w:p>
        </w:tc>
      </w:tr>
      <w:tr w:rsidR="00F12F5C" w:rsidRPr="00F12F5C" w14:paraId="0F71295B" w14:textId="77777777" w:rsidTr="00F12F5C">
        <w:trPr>
          <w:gridAfter w:val="4"/>
          <w:wAfter w:w="3343" w:type="dxa"/>
          <w:trHeight w:val="312"/>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782F4807" w14:textId="42996AB9"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Quick Ratio= (Current assets</w:t>
            </w:r>
            <w:r w:rsidRPr="001123AD">
              <w:rPr>
                <w:rFonts w:ascii="Calibri" w:eastAsia="Times New Roman" w:hAnsi="Calibri" w:cs="Calibri"/>
                <w:color w:val="000000"/>
                <w:kern w:val="0"/>
                <w:sz w:val="22"/>
                <w:szCs w:val="22"/>
                <w:lang w:eastAsia="en-IN"/>
                <w14:ligatures w14:val="none"/>
              </w:rPr>
              <w:t xml:space="preserve"> </w:t>
            </w:r>
            <w:r w:rsidRPr="00F12F5C">
              <w:rPr>
                <w:rFonts w:ascii="Calibri" w:eastAsia="Times New Roman" w:hAnsi="Calibri" w:cs="Calibri"/>
                <w:color w:val="000000"/>
                <w:kern w:val="0"/>
                <w:sz w:val="22"/>
                <w:szCs w:val="22"/>
                <w:lang w:eastAsia="en-IN"/>
                <w14:ligatures w14:val="none"/>
              </w:rPr>
              <w:t>-Inventory-Prepaid Expenses)/Current liabilities</w:t>
            </w:r>
          </w:p>
        </w:tc>
        <w:tc>
          <w:tcPr>
            <w:tcW w:w="1134" w:type="dxa"/>
            <w:tcBorders>
              <w:top w:val="nil"/>
              <w:left w:val="nil"/>
              <w:bottom w:val="single" w:sz="4" w:space="0" w:color="auto"/>
              <w:right w:val="single" w:sz="4" w:space="0" w:color="auto"/>
            </w:tcBorders>
            <w:shd w:val="clear" w:color="auto" w:fill="auto"/>
            <w:noWrap/>
            <w:vAlign w:val="bottom"/>
            <w:hideMark/>
          </w:tcPr>
          <w:p w14:paraId="48EB1E91"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1007" w:type="dxa"/>
            <w:tcBorders>
              <w:top w:val="nil"/>
              <w:left w:val="nil"/>
              <w:bottom w:val="single" w:sz="4" w:space="0" w:color="auto"/>
              <w:right w:val="single" w:sz="4" w:space="0" w:color="auto"/>
            </w:tcBorders>
            <w:shd w:val="clear" w:color="auto" w:fill="auto"/>
            <w:noWrap/>
            <w:vAlign w:val="bottom"/>
            <w:hideMark/>
          </w:tcPr>
          <w:p w14:paraId="7F007B69"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3954" w:type="dxa"/>
            <w:vMerge/>
            <w:tcBorders>
              <w:top w:val="nil"/>
              <w:left w:val="nil"/>
              <w:bottom w:val="single" w:sz="4" w:space="0" w:color="auto"/>
              <w:right w:val="single" w:sz="4" w:space="0" w:color="auto"/>
            </w:tcBorders>
            <w:vAlign w:val="center"/>
            <w:hideMark/>
          </w:tcPr>
          <w:p w14:paraId="508B6A13"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bl>
    <w:p w14:paraId="2BB43434" w14:textId="77777777" w:rsidR="00F12F5C" w:rsidRPr="001123AD" w:rsidRDefault="00F12F5C" w:rsidP="004B3222">
      <w:pPr>
        <w:rPr>
          <w:b/>
          <w:bCs/>
          <w:sz w:val="22"/>
          <w:szCs w:val="22"/>
        </w:rPr>
      </w:pPr>
    </w:p>
    <w:tbl>
      <w:tblPr>
        <w:tblW w:w="3280" w:type="dxa"/>
        <w:tblLook w:val="04A0" w:firstRow="1" w:lastRow="0" w:firstColumn="1" w:lastColumn="0" w:noHBand="0" w:noVBand="1"/>
      </w:tblPr>
      <w:tblGrid>
        <w:gridCol w:w="1360"/>
        <w:gridCol w:w="1053"/>
        <w:gridCol w:w="1053"/>
      </w:tblGrid>
      <w:tr w:rsidR="00F12F5C" w:rsidRPr="00F12F5C" w14:paraId="07D2EA7D" w14:textId="77777777" w:rsidTr="00F12F5C">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2C0F6" w14:textId="77777777" w:rsidR="00F12F5C" w:rsidRPr="00F12F5C" w:rsidRDefault="00F12F5C" w:rsidP="00F12F5C">
            <w:pPr>
              <w:spacing w:after="0" w:line="240" w:lineRule="auto"/>
              <w:rPr>
                <w:rFonts w:ascii="Calibri" w:eastAsia="Times New Roman" w:hAnsi="Calibri" w:cs="Calibri"/>
                <w:b/>
                <w:bCs/>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C18E83" w14:textId="77777777" w:rsidR="00F12F5C" w:rsidRPr="00F12F5C" w:rsidRDefault="00F12F5C" w:rsidP="00F12F5C">
            <w:pPr>
              <w:spacing w:after="0" w:line="240" w:lineRule="auto"/>
              <w:jc w:val="right"/>
              <w:rPr>
                <w:rFonts w:ascii="Calibri" w:eastAsia="Times New Roman" w:hAnsi="Calibri" w:cs="Calibri"/>
                <w:b/>
                <w:bCs/>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84F5B6" w14:textId="77777777" w:rsidR="00F12F5C" w:rsidRPr="00F12F5C" w:rsidRDefault="00F12F5C" w:rsidP="00F12F5C">
            <w:pPr>
              <w:spacing w:after="0" w:line="240" w:lineRule="auto"/>
              <w:jc w:val="right"/>
              <w:rPr>
                <w:rFonts w:ascii="Calibri" w:eastAsia="Times New Roman" w:hAnsi="Calibri" w:cs="Calibri"/>
                <w:b/>
                <w:bCs/>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2024</w:t>
            </w:r>
          </w:p>
        </w:tc>
      </w:tr>
      <w:tr w:rsidR="00F12F5C" w:rsidRPr="00F12F5C" w14:paraId="53883ABD" w14:textId="77777777" w:rsidTr="00F12F5C">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17A66B2"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Current Ratio</w:t>
            </w:r>
          </w:p>
        </w:tc>
        <w:tc>
          <w:tcPr>
            <w:tcW w:w="960" w:type="dxa"/>
            <w:tcBorders>
              <w:top w:val="nil"/>
              <w:left w:val="nil"/>
              <w:bottom w:val="single" w:sz="4" w:space="0" w:color="auto"/>
              <w:right w:val="single" w:sz="4" w:space="0" w:color="auto"/>
            </w:tcBorders>
            <w:shd w:val="clear" w:color="auto" w:fill="auto"/>
            <w:noWrap/>
            <w:vAlign w:val="bottom"/>
            <w:hideMark/>
          </w:tcPr>
          <w:p w14:paraId="0FC2A33B"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1.725894</w:t>
            </w:r>
          </w:p>
        </w:tc>
        <w:tc>
          <w:tcPr>
            <w:tcW w:w="960" w:type="dxa"/>
            <w:tcBorders>
              <w:top w:val="nil"/>
              <w:left w:val="nil"/>
              <w:bottom w:val="single" w:sz="4" w:space="0" w:color="auto"/>
              <w:right w:val="single" w:sz="4" w:space="0" w:color="auto"/>
            </w:tcBorders>
            <w:shd w:val="clear" w:color="auto" w:fill="auto"/>
            <w:noWrap/>
            <w:vAlign w:val="bottom"/>
            <w:hideMark/>
          </w:tcPr>
          <w:p w14:paraId="38FCC116"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2.024912</w:t>
            </w:r>
          </w:p>
        </w:tc>
      </w:tr>
      <w:tr w:rsidR="00F12F5C" w:rsidRPr="00F12F5C" w14:paraId="16BBB5BE" w14:textId="77777777" w:rsidTr="00F12F5C">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C424505"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Quick ratio</w:t>
            </w:r>
          </w:p>
        </w:tc>
        <w:tc>
          <w:tcPr>
            <w:tcW w:w="960" w:type="dxa"/>
            <w:tcBorders>
              <w:top w:val="nil"/>
              <w:left w:val="nil"/>
              <w:bottom w:val="single" w:sz="4" w:space="0" w:color="auto"/>
              <w:right w:val="single" w:sz="4" w:space="0" w:color="auto"/>
            </w:tcBorders>
            <w:shd w:val="clear" w:color="auto" w:fill="auto"/>
            <w:noWrap/>
            <w:vAlign w:val="bottom"/>
            <w:hideMark/>
          </w:tcPr>
          <w:p w14:paraId="055E9AED"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1.134061</w:t>
            </w:r>
          </w:p>
        </w:tc>
        <w:tc>
          <w:tcPr>
            <w:tcW w:w="960" w:type="dxa"/>
            <w:tcBorders>
              <w:top w:val="nil"/>
              <w:left w:val="nil"/>
              <w:bottom w:val="single" w:sz="4" w:space="0" w:color="auto"/>
              <w:right w:val="single" w:sz="4" w:space="0" w:color="auto"/>
            </w:tcBorders>
            <w:shd w:val="clear" w:color="auto" w:fill="auto"/>
            <w:noWrap/>
            <w:vAlign w:val="bottom"/>
            <w:hideMark/>
          </w:tcPr>
          <w:p w14:paraId="196A1BDD"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1.421915</w:t>
            </w:r>
          </w:p>
        </w:tc>
      </w:tr>
    </w:tbl>
    <w:p w14:paraId="79A7C7C2" w14:textId="77777777" w:rsidR="00F12F5C" w:rsidRDefault="00F12F5C" w:rsidP="004B3222">
      <w:pPr>
        <w:rPr>
          <w:b/>
          <w:bCs/>
        </w:rPr>
      </w:pPr>
    </w:p>
    <w:p w14:paraId="5B1A0DD3" w14:textId="5BC70E01" w:rsidR="00F12F5C" w:rsidRDefault="00F12F5C" w:rsidP="004B3222">
      <w:pPr>
        <w:rPr>
          <w:b/>
          <w:bCs/>
        </w:rPr>
      </w:pPr>
      <w:r>
        <w:rPr>
          <w:noProof/>
        </w:rPr>
        <w:drawing>
          <wp:inline distT="0" distB="0" distL="0" distR="0" wp14:anchorId="7E7135AB" wp14:editId="29F49F9D">
            <wp:extent cx="5731510" cy="2654300"/>
            <wp:effectExtent l="0" t="0" r="2540" b="12700"/>
            <wp:docPr id="183147392" name="Chart 1">
              <a:extLst xmlns:a="http://schemas.openxmlformats.org/drawingml/2006/main">
                <a:ext uri="{FF2B5EF4-FFF2-40B4-BE49-F238E27FC236}">
                  <a16:creationId xmlns:a16="http://schemas.microsoft.com/office/drawing/2014/main" id="{7B261A1C-F468-A489-09D7-285D49DBE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189D3A" w14:textId="2537D582" w:rsidR="00F12F5C" w:rsidRPr="004B3222" w:rsidRDefault="005F790E" w:rsidP="004B3222">
      <w:pPr>
        <w:rPr>
          <w:rFonts w:ascii="Calibri" w:hAnsi="Calibri" w:cs="Calibri"/>
          <w:b/>
          <w:bCs/>
          <w:color w:val="000000" w:themeColor="text1"/>
        </w:rPr>
      </w:pPr>
      <w:r w:rsidRPr="005F790E">
        <w:rPr>
          <w:rFonts w:ascii="Calibri" w:hAnsi="Calibri" w:cs="Calibri"/>
          <w:b/>
          <w:bCs/>
          <w:color w:val="000000" w:themeColor="text1"/>
        </w:rPr>
        <w:t>Liquidity Comparison</w:t>
      </w:r>
      <w:r w:rsidRPr="000F7908">
        <w:rPr>
          <w:rFonts w:ascii="Calibri" w:hAnsi="Calibri" w:cs="Calibri"/>
          <w:b/>
          <w:bCs/>
          <w:color w:val="000000" w:themeColor="text1"/>
        </w:rPr>
        <w:t xml:space="preserve"> </w:t>
      </w:r>
      <w:r w:rsidRPr="005F790E">
        <w:rPr>
          <w:rFonts w:ascii="Calibri" w:hAnsi="Calibri" w:cs="Calibri"/>
          <w:b/>
          <w:bCs/>
          <w:color w:val="000000" w:themeColor="text1"/>
        </w:rPr>
        <w:t>Grouped Bar Chart in Excel, showing Current Ratio and Quick Ratio for 2023 and 2024</w:t>
      </w:r>
    </w:p>
    <w:p w14:paraId="0FC90DDF" w14:textId="718880C6" w:rsidR="004B3222" w:rsidRPr="004B3222" w:rsidRDefault="004B3222" w:rsidP="001123AD">
      <w:pPr>
        <w:numPr>
          <w:ilvl w:val="0"/>
          <w:numId w:val="2"/>
        </w:numPr>
        <w:rPr>
          <w:rFonts w:ascii="Calibri" w:hAnsi="Calibri" w:cs="Calibri"/>
          <w:color w:val="000000" w:themeColor="text1"/>
        </w:rPr>
      </w:pPr>
      <w:r w:rsidRPr="004B3222">
        <w:rPr>
          <w:rFonts w:ascii="Calibri" w:hAnsi="Calibri" w:cs="Calibri"/>
          <w:color w:val="000000" w:themeColor="text1"/>
        </w:rPr>
        <w:t>Current Ratio improved from 1.73 to 2.02.</w:t>
      </w:r>
      <w:r w:rsidR="001123AD" w:rsidRPr="000F7908">
        <w:rPr>
          <w:rFonts w:ascii="Calibri" w:hAnsi="Calibri" w:cs="Calibri"/>
          <w:color w:val="000000" w:themeColor="text1"/>
        </w:rPr>
        <w:t xml:space="preserve"> This</w:t>
      </w:r>
      <w:r w:rsidR="000F7908" w:rsidRPr="000F7908">
        <w:rPr>
          <w:rFonts w:ascii="Calibri" w:hAnsi="Calibri" w:cs="Calibri"/>
          <w:color w:val="000000" w:themeColor="text1"/>
        </w:rPr>
        <w:t xml:space="preserve"> s</w:t>
      </w:r>
      <w:r w:rsidRPr="004B3222">
        <w:rPr>
          <w:rFonts w:ascii="Calibri" w:hAnsi="Calibri" w:cs="Calibri"/>
          <w:color w:val="000000" w:themeColor="text1"/>
        </w:rPr>
        <w:t>uggests stronger short-term solvency</w:t>
      </w:r>
      <w:r w:rsidR="000F7908" w:rsidRPr="000F7908">
        <w:rPr>
          <w:rFonts w:ascii="Calibri" w:hAnsi="Calibri" w:cs="Calibri"/>
          <w:color w:val="000000" w:themeColor="text1"/>
        </w:rPr>
        <w:t>.</w:t>
      </w:r>
      <w:r w:rsidRPr="004B3222">
        <w:rPr>
          <w:rFonts w:ascii="Calibri" w:hAnsi="Calibri" w:cs="Calibri"/>
          <w:color w:val="000000" w:themeColor="text1"/>
        </w:rPr>
        <w:t xml:space="preserve"> Tesla can more easily cover its current obligations.</w:t>
      </w:r>
    </w:p>
    <w:p w14:paraId="2F25D28B" w14:textId="77777777" w:rsidR="004B3222" w:rsidRPr="004B3222" w:rsidRDefault="004B3222" w:rsidP="004B3222">
      <w:pPr>
        <w:numPr>
          <w:ilvl w:val="0"/>
          <w:numId w:val="2"/>
        </w:numPr>
        <w:tabs>
          <w:tab w:val="num" w:pos="720"/>
        </w:tabs>
        <w:rPr>
          <w:rFonts w:ascii="Calibri" w:hAnsi="Calibri" w:cs="Calibri"/>
          <w:color w:val="000000" w:themeColor="text1"/>
        </w:rPr>
      </w:pPr>
      <w:r w:rsidRPr="004B3222">
        <w:rPr>
          <w:rFonts w:ascii="Calibri" w:hAnsi="Calibri" w:cs="Calibri"/>
          <w:color w:val="000000" w:themeColor="text1"/>
        </w:rPr>
        <w:t>Quick Ratio rose slightly from 1.29 to 1.60, indicating a healthy liquidity buffer without relying on inventory.</w:t>
      </w:r>
    </w:p>
    <w:p w14:paraId="7026587B" w14:textId="0A1D55F5" w:rsidR="00F12F5C" w:rsidRPr="004B3222" w:rsidRDefault="004B3222" w:rsidP="004B3222">
      <w:pPr>
        <w:rPr>
          <w:rFonts w:ascii="Calibri" w:hAnsi="Calibri" w:cs="Calibri"/>
          <w:color w:val="000000" w:themeColor="text1"/>
        </w:rPr>
      </w:pPr>
      <w:r w:rsidRPr="004B3222">
        <w:rPr>
          <w:rFonts w:ascii="Calibri" w:hAnsi="Calibri" w:cs="Calibri"/>
          <w:b/>
          <w:bCs/>
          <w:color w:val="000000" w:themeColor="text1"/>
        </w:rPr>
        <w:t>Conclusion:</w:t>
      </w:r>
      <w:r w:rsidRPr="004B3222">
        <w:rPr>
          <w:rFonts w:ascii="Calibri" w:hAnsi="Calibri" w:cs="Calibri"/>
          <w:color w:val="000000" w:themeColor="text1"/>
        </w:rPr>
        <w:t xml:space="preserve"> Tesla has a stronger liquidity position in 2024, which means lower risk of short-term financial distress.</w:t>
      </w:r>
    </w:p>
    <w:p w14:paraId="13BDBA3D" w14:textId="462CDC78" w:rsidR="004B3222" w:rsidRPr="004B3222" w:rsidRDefault="004B3222" w:rsidP="004B3222"/>
    <w:p w14:paraId="709E6BA8" w14:textId="1FEC4557" w:rsidR="004B3222" w:rsidRDefault="004B3222" w:rsidP="004B3222">
      <w:pPr>
        <w:rPr>
          <w:b/>
          <w:bCs/>
        </w:rPr>
      </w:pPr>
      <w:r w:rsidRPr="004B3222">
        <w:rPr>
          <w:b/>
          <w:bCs/>
        </w:rPr>
        <w:t>3. Efficiency / Operating Performance</w:t>
      </w:r>
    </w:p>
    <w:p w14:paraId="119D1603" w14:textId="05D592DB" w:rsidR="00F12F5C" w:rsidRDefault="00F12F5C" w:rsidP="00F12F5C">
      <w:pPr>
        <w:tabs>
          <w:tab w:val="left" w:pos="3072"/>
          <w:tab w:val="center" w:pos="4513"/>
        </w:tabs>
        <w:rPr>
          <w:b/>
          <w:bCs/>
        </w:rPr>
      </w:pPr>
      <w:r>
        <w:rPr>
          <w:b/>
          <w:bCs/>
        </w:rPr>
        <w:tab/>
        <w:t>202</w:t>
      </w:r>
      <w:r w:rsidR="001E7AA2">
        <w:rPr>
          <w:b/>
          <w:bCs/>
        </w:rPr>
        <w:t>4</w:t>
      </w:r>
      <w:r>
        <w:rPr>
          <w:b/>
          <w:bCs/>
        </w:rPr>
        <w:tab/>
        <w:t>202</w:t>
      </w:r>
      <w:r w:rsidR="001E7AA2">
        <w:rPr>
          <w:b/>
          <w:bCs/>
        </w:rPr>
        <w:t>3</w:t>
      </w:r>
    </w:p>
    <w:tbl>
      <w:tblPr>
        <w:tblW w:w="11890" w:type="dxa"/>
        <w:tblLook w:val="04A0" w:firstRow="1" w:lastRow="0" w:firstColumn="1" w:lastColumn="0" w:noHBand="0" w:noVBand="1"/>
      </w:tblPr>
      <w:tblGrid>
        <w:gridCol w:w="2830"/>
        <w:gridCol w:w="1134"/>
        <w:gridCol w:w="1134"/>
        <w:gridCol w:w="4395"/>
        <w:gridCol w:w="241"/>
        <w:gridCol w:w="960"/>
        <w:gridCol w:w="960"/>
        <w:gridCol w:w="236"/>
      </w:tblGrid>
      <w:tr w:rsidR="00F12F5C" w:rsidRPr="00F12F5C" w14:paraId="1C1F0C8C" w14:textId="77777777" w:rsidTr="00F12F5C">
        <w:trPr>
          <w:gridAfter w:val="4"/>
          <w:wAfter w:w="2397" w:type="dxa"/>
          <w:trHeight w:val="312"/>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17FFDF4"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lastRenderedPageBreak/>
              <w:t>Asset Turnover ratio</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663E6217"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0.85435</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0245EE24"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0.90766</w:t>
            </w:r>
          </w:p>
        </w:tc>
        <w:tc>
          <w:tcPr>
            <w:tcW w:w="439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FCD9020"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There is a slight decline in asset utilisation efficiency.</w:t>
            </w:r>
          </w:p>
        </w:tc>
      </w:tr>
      <w:tr w:rsidR="00F12F5C" w:rsidRPr="00F12F5C" w14:paraId="3E183D82" w14:textId="77777777" w:rsidTr="00F12F5C">
        <w:trPr>
          <w:gridAfter w:val="4"/>
          <w:wAfter w:w="2397" w:type="dxa"/>
          <w:trHeight w:val="312"/>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E311712"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Asset turnover= Revenue/ Average total assets</w:t>
            </w:r>
          </w:p>
        </w:tc>
        <w:tc>
          <w:tcPr>
            <w:tcW w:w="1134" w:type="dxa"/>
            <w:tcBorders>
              <w:top w:val="nil"/>
              <w:left w:val="nil"/>
              <w:bottom w:val="single" w:sz="4" w:space="0" w:color="auto"/>
              <w:right w:val="single" w:sz="4" w:space="0" w:color="auto"/>
            </w:tcBorders>
            <w:shd w:val="clear" w:color="auto" w:fill="auto"/>
            <w:noWrap/>
            <w:vAlign w:val="bottom"/>
            <w:hideMark/>
          </w:tcPr>
          <w:p w14:paraId="6C4F00ED"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1134" w:type="dxa"/>
            <w:tcBorders>
              <w:top w:val="nil"/>
              <w:left w:val="nil"/>
              <w:bottom w:val="single" w:sz="4" w:space="0" w:color="auto"/>
              <w:right w:val="single" w:sz="4" w:space="0" w:color="auto"/>
            </w:tcBorders>
            <w:shd w:val="clear" w:color="auto" w:fill="auto"/>
            <w:noWrap/>
            <w:vAlign w:val="bottom"/>
            <w:hideMark/>
          </w:tcPr>
          <w:p w14:paraId="2DE379D0"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4395" w:type="dxa"/>
            <w:vMerge/>
            <w:tcBorders>
              <w:top w:val="nil"/>
              <w:left w:val="nil"/>
              <w:bottom w:val="single" w:sz="4" w:space="0" w:color="auto"/>
              <w:right w:val="single" w:sz="4" w:space="0" w:color="auto"/>
            </w:tcBorders>
            <w:vAlign w:val="center"/>
            <w:hideMark/>
          </w:tcPr>
          <w:p w14:paraId="0AC4E1D4"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78A99C66" w14:textId="77777777" w:rsidTr="00F12F5C">
        <w:trPr>
          <w:trHeight w:val="312"/>
        </w:trPr>
        <w:tc>
          <w:tcPr>
            <w:tcW w:w="2830" w:type="dxa"/>
            <w:tcBorders>
              <w:top w:val="nil"/>
              <w:left w:val="nil"/>
              <w:bottom w:val="nil"/>
              <w:right w:val="nil"/>
            </w:tcBorders>
            <w:shd w:val="clear" w:color="auto" w:fill="auto"/>
            <w:noWrap/>
            <w:vAlign w:val="bottom"/>
            <w:hideMark/>
          </w:tcPr>
          <w:p w14:paraId="42FC869C"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6CC4D51A"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56303CC2"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4636" w:type="dxa"/>
            <w:gridSpan w:val="2"/>
            <w:tcBorders>
              <w:top w:val="nil"/>
              <w:left w:val="nil"/>
              <w:bottom w:val="nil"/>
              <w:right w:val="nil"/>
            </w:tcBorders>
            <w:shd w:val="clear" w:color="auto" w:fill="auto"/>
            <w:noWrap/>
            <w:vAlign w:val="bottom"/>
            <w:hideMark/>
          </w:tcPr>
          <w:p w14:paraId="1397B120"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3D72D983"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A0F5BF7"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right w:val="nil"/>
            </w:tcBorders>
            <w:shd w:val="clear" w:color="auto" w:fill="auto"/>
            <w:noWrap/>
            <w:vAlign w:val="bottom"/>
            <w:hideMark/>
          </w:tcPr>
          <w:p w14:paraId="3A4809B8"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r>
      <w:tr w:rsidR="00F12F5C" w:rsidRPr="00F12F5C" w14:paraId="1A0A7600" w14:textId="77777777" w:rsidTr="00F12F5C">
        <w:trPr>
          <w:gridAfter w:val="4"/>
          <w:wAfter w:w="2397" w:type="dxa"/>
          <w:trHeight w:val="396"/>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DE1FCFA"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Inventory Turnover ratio</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01B2C97B"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6.25824</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42E8322D"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5.80603</w:t>
            </w:r>
          </w:p>
        </w:tc>
        <w:tc>
          <w:tcPr>
            <w:tcW w:w="439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0D9AE8E"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xml:space="preserve">: There is </w:t>
            </w:r>
            <w:proofErr w:type="spellStart"/>
            <w:proofErr w:type="gramStart"/>
            <w:r w:rsidRPr="00F12F5C">
              <w:rPr>
                <w:rFonts w:ascii="Calibri" w:eastAsia="Times New Roman" w:hAnsi="Calibri" w:cs="Calibri"/>
                <w:color w:val="000000"/>
                <w:kern w:val="0"/>
                <w:sz w:val="22"/>
                <w:szCs w:val="22"/>
                <w:lang w:eastAsia="en-IN"/>
                <w14:ligatures w14:val="none"/>
              </w:rPr>
              <w:t>a</w:t>
            </w:r>
            <w:proofErr w:type="spellEnd"/>
            <w:proofErr w:type="gramEnd"/>
            <w:r w:rsidRPr="00F12F5C">
              <w:rPr>
                <w:rFonts w:ascii="Calibri" w:eastAsia="Times New Roman" w:hAnsi="Calibri" w:cs="Calibri"/>
                <w:color w:val="000000"/>
                <w:kern w:val="0"/>
                <w:sz w:val="22"/>
                <w:szCs w:val="22"/>
                <w:lang w:eastAsia="en-IN"/>
                <w14:ligatures w14:val="none"/>
              </w:rPr>
              <w:t xml:space="preserve"> improvement in inventory turnover in 2024 indicating inventory efficiency.</w:t>
            </w:r>
          </w:p>
        </w:tc>
      </w:tr>
      <w:tr w:rsidR="00F12F5C" w:rsidRPr="00F12F5C" w14:paraId="0D3392BF" w14:textId="77777777" w:rsidTr="00F12F5C">
        <w:trPr>
          <w:gridAfter w:val="4"/>
          <w:wAfter w:w="2397" w:type="dxa"/>
          <w:trHeight w:val="5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E5D8D82"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Inventory Turnover= COGS/ Average inventory</w:t>
            </w:r>
          </w:p>
        </w:tc>
        <w:tc>
          <w:tcPr>
            <w:tcW w:w="1134" w:type="dxa"/>
            <w:tcBorders>
              <w:top w:val="nil"/>
              <w:left w:val="nil"/>
              <w:bottom w:val="single" w:sz="4" w:space="0" w:color="auto"/>
              <w:right w:val="single" w:sz="4" w:space="0" w:color="auto"/>
            </w:tcBorders>
            <w:shd w:val="clear" w:color="auto" w:fill="auto"/>
            <w:noWrap/>
            <w:vAlign w:val="bottom"/>
            <w:hideMark/>
          </w:tcPr>
          <w:p w14:paraId="060A6DDA"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1134" w:type="dxa"/>
            <w:tcBorders>
              <w:top w:val="nil"/>
              <w:left w:val="nil"/>
              <w:bottom w:val="single" w:sz="4" w:space="0" w:color="auto"/>
              <w:right w:val="single" w:sz="4" w:space="0" w:color="auto"/>
            </w:tcBorders>
            <w:shd w:val="clear" w:color="auto" w:fill="auto"/>
            <w:noWrap/>
            <w:vAlign w:val="bottom"/>
            <w:hideMark/>
          </w:tcPr>
          <w:p w14:paraId="5924EB75"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w:t>
            </w:r>
          </w:p>
        </w:tc>
        <w:tc>
          <w:tcPr>
            <w:tcW w:w="4395" w:type="dxa"/>
            <w:vMerge/>
            <w:tcBorders>
              <w:top w:val="nil"/>
              <w:left w:val="nil"/>
              <w:bottom w:val="single" w:sz="4" w:space="0" w:color="auto"/>
              <w:right w:val="single" w:sz="4" w:space="0" w:color="auto"/>
            </w:tcBorders>
            <w:vAlign w:val="center"/>
            <w:hideMark/>
          </w:tcPr>
          <w:p w14:paraId="7869C83C"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r>
      <w:tr w:rsidR="00F12F5C" w:rsidRPr="00F12F5C" w14:paraId="2D13A999" w14:textId="77777777" w:rsidTr="00F12F5C">
        <w:trPr>
          <w:trHeight w:val="372"/>
        </w:trPr>
        <w:tc>
          <w:tcPr>
            <w:tcW w:w="2830" w:type="dxa"/>
            <w:tcBorders>
              <w:top w:val="nil"/>
              <w:left w:val="nil"/>
              <w:bottom w:val="nil"/>
              <w:right w:val="nil"/>
            </w:tcBorders>
            <w:shd w:val="clear" w:color="auto" w:fill="auto"/>
            <w:noWrap/>
            <w:vAlign w:val="bottom"/>
            <w:hideMark/>
          </w:tcPr>
          <w:p w14:paraId="0E916110"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7A4554B6"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50CFC945"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4636" w:type="dxa"/>
            <w:gridSpan w:val="2"/>
            <w:tcBorders>
              <w:top w:val="nil"/>
              <w:left w:val="nil"/>
              <w:bottom w:val="nil"/>
              <w:right w:val="nil"/>
            </w:tcBorders>
            <w:shd w:val="clear" w:color="auto" w:fill="auto"/>
            <w:vAlign w:val="bottom"/>
            <w:hideMark/>
          </w:tcPr>
          <w:p w14:paraId="4E693F59" w14:textId="77777777" w:rsidR="00F12F5C" w:rsidRPr="00F12F5C" w:rsidRDefault="00F12F5C" w:rsidP="00F12F5C">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vAlign w:val="bottom"/>
            <w:hideMark/>
          </w:tcPr>
          <w:p w14:paraId="36B006A9"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vAlign w:val="bottom"/>
            <w:hideMark/>
          </w:tcPr>
          <w:p w14:paraId="19FC4642"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right w:val="nil"/>
            </w:tcBorders>
            <w:shd w:val="clear" w:color="auto" w:fill="auto"/>
            <w:vAlign w:val="bottom"/>
            <w:hideMark/>
          </w:tcPr>
          <w:p w14:paraId="7E2002AD" w14:textId="77777777" w:rsidR="00F12F5C" w:rsidRPr="00F12F5C" w:rsidRDefault="00F12F5C" w:rsidP="00F12F5C">
            <w:pPr>
              <w:spacing w:after="0" w:line="240" w:lineRule="auto"/>
              <w:rPr>
                <w:rFonts w:ascii="Times New Roman" w:eastAsia="Times New Roman" w:hAnsi="Times New Roman" w:cs="Times New Roman"/>
                <w:kern w:val="0"/>
                <w:sz w:val="20"/>
                <w:szCs w:val="20"/>
                <w:lang w:eastAsia="en-IN"/>
                <w14:ligatures w14:val="none"/>
              </w:rPr>
            </w:pPr>
          </w:p>
        </w:tc>
      </w:tr>
      <w:tr w:rsidR="00F12F5C" w:rsidRPr="00F12F5C" w14:paraId="0346E23B" w14:textId="77777777" w:rsidTr="00F12F5C">
        <w:trPr>
          <w:gridAfter w:val="4"/>
          <w:wAfter w:w="2397" w:type="dxa"/>
          <w:trHeight w:val="588"/>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5E2B12"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 xml:space="preserve"> Receivable Turnover ratio</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45A73F3C"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22.1118</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3C31B7A4" w14:textId="77777777" w:rsidR="00F12F5C" w:rsidRPr="00F12F5C" w:rsidRDefault="00F12F5C" w:rsidP="00F12F5C">
            <w:pPr>
              <w:spacing w:after="0" w:line="240" w:lineRule="auto"/>
              <w:jc w:val="right"/>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sz w:val="22"/>
                <w:szCs w:val="22"/>
                <w:lang w:eastAsia="en-IN"/>
                <w14:ligatures w14:val="none"/>
              </w:rPr>
              <w:t>27.5864</w:t>
            </w:r>
          </w:p>
        </w:tc>
        <w:tc>
          <w:tcPr>
            <w:tcW w:w="439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A5ED60F"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b/>
                <w:bCs/>
                <w:color w:val="000000"/>
                <w:kern w:val="0"/>
                <w:sz w:val="22"/>
                <w:szCs w:val="22"/>
                <w:lang w:eastAsia="en-IN"/>
                <w14:ligatures w14:val="none"/>
              </w:rPr>
              <w:t>Comments</w:t>
            </w:r>
            <w:r w:rsidRPr="00F12F5C">
              <w:rPr>
                <w:rFonts w:ascii="Calibri" w:eastAsia="Times New Roman" w:hAnsi="Calibri" w:cs="Calibri"/>
                <w:color w:val="000000"/>
                <w:kern w:val="0"/>
                <w:sz w:val="22"/>
                <w:szCs w:val="22"/>
                <w:lang w:eastAsia="en-IN"/>
                <w14:ligatures w14:val="none"/>
              </w:rPr>
              <w:t>: More collection time in 2024.</w:t>
            </w:r>
          </w:p>
        </w:tc>
      </w:tr>
      <w:tr w:rsidR="00F12F5C" w:rsidRPr="00F12F5C" w14:paraId="131AC14A" w14:textId="77777777" w:rsidTr="00F12F5C">
        <w:trPr>
          <w:gridAfter w:val="4"/>
          <w:wAfter w:w="2397" w:type="dxa"/>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161B0AC" w14:textId="77777777" w:rsidR="00F12F5C" w:rsidRPr="00F12F5C" w:rsidRDefault="00F12F5C" w:rsidP="00F12F5C">
            <w:pPr>
              <w:spacing w:after="0" w:line="240" w:lineRule="auto"/>
              <w:rPr>
                <w:rFonts w:ascii="Calibri" w:eastAsia="Times New Roman" w:hAnsi="Calibri" w:cs="Calibri"/>
                <w:color w:val="000000"/>
                <w:kern w:val="0"/>
                <w:sz w:val="22"/>
                <w:szCs w:val="22"/>
                <w:lang w:eastAsia="en-IN"/>
                <w14:ligatures w14:val="none"/>
              </w:rPr>
            </w:pPr>
            <w:r w:rsidRPr="00F12F5C">
              <w:rPr>
                <w:rFonts w:ascii="Calibri" w:eastAsia="Times New Roman" w:hAnsi="Calibri" w:cs="Calibri"/>
                <w:color w:val="000000"/>
                <w:kern w:val="0"/>
                <w:lang w:eastAsia="en-IN"/>
                <w14:ligatures w14:val="none"/>
              </w:rPr>
              <w:t xml:space="preserve"> </w:t>
            </w:r>
            <w:r w:rsidRPr="00F12F5C">
              <w:rPr>
                <w:rFonts w:ascii="Calibri" w:eastAsia="Times New Roman" w:hAnsi="Calibri" w:cs="Calibri"/>
                <w:color w:val="000000"/>
                <w:kern w:val="0"/>
                <w:sz w:val="22"/>
                <w:szCs w:val="22"/>
                <w:lang w:eastAsia="en-IN"/>
                <w14:ligatures w14:val="none"/>
              </w:rPr>
              <w:t>Receivable Turnover ratio= Revenue/Accounts receivable</w:t>
            </w:r>
          </w:p>
        </w:tc>
        <w:tc>
          <w:tcPr>
            <w:tcW w:w="1134" w:type="dxa"/>
            <w:tcBorders>
              <w:top w:val="nil"/>
              <w:left w:val="nil"/>
              <w:bottom w:val="single" w:sz="4" w:space="0" w:color="auto"/>
              <w:right w:val="single" w:sz="4" w:space="0" w:color="auto"/>
            </w:tcBorders>
            <w:shd w:val="clear" w:color="auto" w:fill="auto"/>
            <w:noWrap/>
            <w:vAlign w:val="bottom"/>
            <w:hideMark/>
          </w:tcPr>
          <w:p w14:paraId="2BC39C04" w14:textId="77777777" w:rsidR="00F12F5C" w:rsidRPr="00F12F5C" w:rsidRDefault="00F12F5C" w:rsidP="00F12F5C">
            <w:pPr>
              <w:spacing w:after="0" w:line="240" w:lineRule="auto"/>
              <w:rPr>
                <w:rFonts w:ascii="Calibri" w:eastAsia="Times New Roman" w:hAnsi="Calibri" w:cs="Calibri"/>
                <w:color w:val="000000"/>
                <w:kern w:val="0"/>
                <w:lang w:eastAsia="en-IN"/>
                <w14:ligatures w14:val="none"/>
              </w:rPr>
            </w:pPr>
            <w:r w:rsidRPr="00F12F5C">
              <w:rPr>
                <w:rFonts w:ascii="Calibri" w:eastAsia="Times New Roman" w:hAnsi="Calibri" w:cs="Calibri"/>
                <w:color w:val="000000"/>
                <w:kern w:val="0"/>
                <w:lang w:eastAsia="en-IN"/>
                <w14:ligatures w14:val="none"/>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4514A8" w14:textId="77777777" w:rsidR="00F12F5C" w:rsidRPr="00F12F5C" w:rsidRDefault="00F12F5C" w:rsidP="00F12F5C">
            <w:pPr>
              <w:spacing w:after="0" w:line="240" w:lineRule="auto"/>
              <w:rPr>
                <w:rFonts w:ascii="Calibri" w:eastAsia="Times New Roman" w:hAnsi="Calibri" w:cs="Calibri"/>
                <w:color w:val="000000"/>
                <w:kern w:val="0"/>
                <w:lang w:eastAsia="en-IN"/>
                <w14:ligatures w14:val="none"/>
              </w:rPr>
            </w:pPr>
            <w:r w:rsidRPr="00F12F5C">
              <w:rPr>
                <w:rFonts w:ascii="Calibri" w:eastAsia="Times New Roman" w:hAnsi="Calibri" w:cs="Calibri"/>
                <w:color w:val="000000"/>
                <w:kern w:val="0"/>
                <w:lang w:eastAsia="en-IN"/>
                <w14:ligatures w14:val="none"/>
              </w:rPr>
              <w:t> </w:t>
            </w:r>
          </w:p>
        </w:tc>
        <w:tc>
          <w:tcPr>
            <w:tcW w:w="4395" w:type="dxa"/>
            <w:vMerge/>
            <w:tcBorders>
              <w:top w:val="nil"/>
              <w:left w:val="nil"/>
              <w:bottom w:val="single" w:sz="4" w:space="0" w:color="auto"/>
              <w:right w:val="single" w:sz="4" w:space="0" w:color="auto"/>
            </w:tcBorders>
            <w:vAlign w:val="center"/>
            <w:hideMark/>
          </w:tcPr>
          <w:p w14:paraId="17362449" w14:textId="77777777" w:rsidR="00F12F5C" w:rsidRPr="00F12F5C" w:rsidRDefault="00F12F5C" w:rsidP="00F12F5C">
            <w:pPr>
              <w:spacing w:after="0" w:line="240" w:lineRule="auto"/>
              <w:rPr>
                <w:rFonts w:ascii="Calibri" w:eastAsia="Times New Roman" w:hAnsi="Calibri" w:cs="Calibri"/>
                <w:color w:val="000000"/>
                <w:kern w:val="0"/>
                <w:lang w:eastAsia="en-IN"/>
                <w14:ligatures w14:val="none"/>
              </w:rPr>
            </w:pPr>
          </w:p>
        </w:tc>
      </w:tr>
    </w:tbl>
    <w:p w14:paraId="541650AF" w14:textId="77777777" w:rsidR="00F12F5C" w:rsidRDefault="00F12F5C" w:rsidP="004B3222">
      <w:pPr>
        <w:rPr>
          <w:b/>
          <w:bCs/>
        </w:rPr>
      </w:pPr>
    </w:p>
    <w:tbl>
      <w:tblPr>
        <w:tblW w:w="9923" w:type="dxa"/>
        <w:tblLook w:val="04A0" w:firstRow="1" w:lastRow="0" w:firstColumn="1" w:lastColumn="0" w:noHBand="0" w:noVBand="1"/>
      </w:tblPr>
      <w:tblGrid>
        <w:gridCol w:w="2552"/>
        <w:gridCol w:w="2410"/>
        <w:gridCol w:w="1984"/>
        <w:gridCol w:w="284"/>
        <w:gridCol w:w="584"/>
        <w:gridCol w:w="1825"/>
        <w:gridCol w:w="284"/>
      </w:tblGrid>
      <w:tr w:rsidR="00F44C1D" w:rsidRPr="005F790E" w14:paraId="3A0DF562" w14:textId="77777777" w:rsidTr="00661BCF">
        <w:trPr>
          <w:trHeight w:val="624"/>
        </w:trPr>
        <w:tc>
          <w:tcPr>
            <w:tcW w:w="6946" w:type="dxa"/>
            <w:gridSpan w:val="3"/>
            <w:tcBorders>
              <w:top w:val="nil"/>
              <w:left w:val="nil"/>
              <w:bottom w:val="nil"/>
              <w:right w:val="nil"/>
            </w:tcBorders>
            <w:shd w:val="clear" w:color="auto" w:fill="auto"/>
            <w:noWrap/>
            <w:vAlign w:val="bottom"/>
            <w:hideMark/>
          </w:tcPr>
          <w:p w14:paraId="5DAF9315" w14:textId="77777777" w:rsidR="00F44C1D" w:rsidRPr="005F790E" w:rsidRDefault="00F44C1D" w:rsidP="005F790E">
            <w:pPr>
              <w:spacing w:after="0" w:line="240" w:lineRule="auto"/>
              <w:jc w:val="center"/>
              <w:rPr>
                <w:rFonts w:ascii="Calibri" w:eastAsia="Times New Roman" w:hAnsi="Calibri" w:cs="Calibri"/>
                <w:b/>
                <w:bCs/>
                <w:color w:val="000000"/>
                <w:kern w:val="0"/>
                <w:lang w:eastAsia="en-IN"/>
                <w14:ligatures w14:val="none"/>
              </w:rPr>
            </w:pPr>
            <w:r w:rsidRPr="005F790E">
              <w:rPr>
                <w:rFonts w:ascii="Calibri" w:eastAsia="Times New Roman" w:hAnsi="Calibri" w:cs="Calibri"/>
                <w:b/>
                <w:bCs/>
                <w:color w:val="000000"/>
                <w:kern w:val="0"/>
                <w:lang w:eastAsia="en-IN"/>
                <w14:ligatures w14:val="none"/>
              </w:rPr>
              <w:t>Heatmap</w:t>
            </w:r>
          </w:p>
        </w:tc>
        <w:tc>
          <w:tcPr>
            <w:tcW w:w="868" w:type="dxa"/>
            <w:gridSpan w:val="2"/>
            <w:tcBorders>
              <w:top w:val="nil"/>
              <w:left w:val="nil"/>
              <w:bottom w:val="nil"/>
              <w:right w:val="nil"/>
            </w:tcBorders>
            <w:shd w:val="clear" w:color="auto" w:fill="auto"/>
            <w:noWrap/>
            <w:vAlign w:val="bottom"/>
            <w:hideMark/>
          </w:tcPr>
          <w:p w14:paraId="33AA63C6" w14:textId="77777777" w:rsidR="00F44C1D" w:rsidRPr="005F790E" w:rsidRDefault="00F44C1D" w:rsidP="005F790E">
            <w:pPr>
              <w:spacing w:after="0" w:line="240" w:lineRule="auto"/>
              <w:jc w:val="center"/>
              <w:rPr>
                <w:rFonts w:ascii="Calibri" w:eastAsia="Times New Roman" w:hAnsi="Calibri" w:cs="Calibri"/>
                <w:b/>
                <w:bCs/>
                <w:color w:val="000000"/>
                <w:kern w:val="0"/>
                <w:sz w:val="48"/>
                <w:szCs w:val="48"/>
                <w:lang w:eastAsia="en-IN"/>
                <w14:ligatures w14:val="none"/>
              </w:rPr>
            </w:pPr>
          </w:p>
        </w:tc>
        <w:tc>
          <w:tcPr>
            <w:tcW w:w="1825" w:type="dxa"/>
            <w:tcBorders>
              <w:top w:val="nil"/>
              <w:left w:val="nil"/>
              <w:bottom w:val="nil"/>
              <w:right w:val="nil"/>
            </w:tcBorders>
            <w:shd w:val="clear" w:color="auto" w:fill="auto"/>
            <w:noWrap/>
            <w:vAlign w:val="bottom"/>
            <w:hideMark/>
          </w:tcPr>
          <w:p w14:paraId="7DE6B506"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16BBB4A6"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r>
      <w:tr w:rsidR="00F44C1D" w:rsidRPr="005F790E" w14:paraId="675C7374" w14:textId="77777777" w:rsidTr="00661BCF">
        <w:trPr>
          <w:trHeight w:val="300"/>
        </w:trPr>
        <w:tc>
          <w:tcPr>
            <w:tcW w:w="2552" w:type="dxa"/>
            <w:tcBorders>
              <w:top w:val="nil"/>
              <w:left w:val="nil"/>
              <w:bottom w:val="nil"/>
              <w:right w:val="nil"/>
            </w:tcBorders>
            <w:shd w:val="clear" w:color="auto" w:fill="auto"/>
            <w:noWrap/>
            <w:vAlign w:val="bottom"/>
            <w:hideMark/>
          </w:tcPr>
          <w:p w14:paraId="448B8977"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c>
          <w:tcPr>
            <w:tcW w:w="2410" w:type="dxa"/>
            <w:tcBorders>
              <w:top w:val="nil"/>
              <w:left w:val="nil"/>
              <w:bottom w:val="nil"/>
              <w:right w:val="nil"/>
            </w:tcBorders>
            <w:shd w:val="clear" w:color="auto" w:fill="auto"/>
            <w:noWrap/>
            <w:vAlign w:val="bottom"/>
            <w:hideMark/>
          </w:tcPr>
          <w:p w14:paraId="38258468"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nil"/>
              <w:left w:val="nil"/>
              <w:bottom w:val="nil"/>
              <w:right w:val="nil"/>
            </w:tcBorders>
            <w:shd w:val="clear" w:color="auto" w:fill="auto"/>
            <w:noWrap/>
            <w:vAlign w:val="bottom"/>
            <w:hideMark/>
          </w:tcPr>
          <w:p w14:paraId="12554C05"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6D52252B"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c>
          <w:tcPr>
            <w:tcW w:w="1825" w:type="dxa"/>
            <w:tcBorders>
              <w:top w:val="nil"/>
              <w:left w:val="nil"/>
              <w:bottom w:val="nil"/>
              <w:right w:val="nil"/>
            </w:tcBorders>
            <w:shd w:val="clear" w:color="auto" w:fill="auto"/>
            <w:noWrap/>
            <w:vAlign w:val="bottom"/>
            <w:hideMark/>
          </w:tcPr>
          <w:p w14:paraId="68D2B5FB"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769C5B03" w14:textId="77777777" w:rsidR="00F44C1D" w:rsidRPr="005F790E" w:rsidRDefault="00F44C1D"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5170EE9F" w14:textId="77777777" w:rsidTr="00661BCF">
        <w:trPr>
          <w:trHeight w:val="384"/>
        </w:trPr>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C62299" w14:textId="77777777" w:rsidR="00661BCF" w:rsidRPr="005F790E" w:rsidRDefault="00661BCF" w:rsidP="005F790E">
            <w:pPr>
              <w:spacing w:after="0" w:line="240" w:lineRule="auto"/>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Year</w:t>
            </w:r>
          </w:p>
        </w:tc>
        <w:tc>
          <w:tcPr>
            <w:tcW w:w="2410" w:type="dxa"/>
            <w:tcBorders>
              <w:top w:val="single" w:sz="12" w:space="0" w:color="auto"/>
              <w:left w:val="nil"/>
              <w:bottom w:val="single" w:sz="12" w:space="0" w:color="auto"/>
              <w:right w:val="single" w:sz="12" w:space="0" w:color="auto"/>
            </w:tcBorders>
            <w:shd w:val="clear" w:color="auto" w:fill="auto"/>
            <w:noWrap/>
            <w:vAlign w:val="bottom"/>
            <w:hideMark/>
          </w:tcPr>
          <w:p w14:paraId="2C2A3248" w14:textId="77777777" w:rsidR="00661BCF" w:rsidRPr="005F790E" w:rsidRDefault="00661BCF" w:rsidP="005F790E">
            <w:pPr>
              <w:spacing w:after="0" w:line="240" w:lineRule="auto"/>
              <w:jc w:val="right"/>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2023</w:t>
            </w:r>
          </w:p>
        </w:tc>
        <w:tc>
          <w:tcPr>
            <w:tcW w:w="1984" w:type="dxa"/>
            <w:tcBorders>
              <w:top w:val="single" w:sz="12" w:space="0" w:color="auto"/>
              <w:left w:val="nil"/>
              <w:bottom w:val="single" w:sz="12" w:space="0" w:color="auto"/>
              <w:right w:val="single" w:sz="12" w:space="0" w:color="auto"/>
            </w:tcBorders>
            <w:shd w:val="clear" w:color="auto" w:fill="auto"/>
            <w:noWrap/>
            <w:vAlign w:val="bottom"/>
            <w:hideMark/>
          </w:tcPr>
          <w:p w14:paraId="69D7C0CE" w14:textId="77777777" w:rsidR="00661BCF" w:rsidRPr="005F790E" w:rsidRDefault="00661BCF" w:rsidP="005F790E">
            <w:pPr>
              <w:spacing w:after="0" w:line="240" w:lineRule="auto"/>
              <w:jc w:val="right"/>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2024</w:t>
            </w:r>
          </w:p>
        </w:tc>
        <w:tc>
          <w:tcPr>
            <w:tcW w:w="868" w:type="dxa"/>
            <w:gridSpan w:val="2"/>
            <w:tcBorders>
              <w:top w:val="nil"/>
              <w:left w:val="nil"/>
              <w:bottom w:val="nil"/>
              <w:right w:val="nil"/>
            </w:tcBorders>
            <w:shd w:val="clear" w:color="auto" w:fill="auto"/>
            <w:noWrap/>
            <w:vAlign w:val="bottom"/>
            <w:hideMark/>
          </w:tcPr>
          <w:p w14:paraId="150C9813" w14:textId="77777777" w:rsidR="00661BCF" w:rsidRPr="005F790E" w:rsidRDefault="00661BCF" w:rsidP="005F790E">
            <w:pPr>
              <w:spacing w:after="0" w:line="240" w:lineRule="auto"/>
              <w:jc w:val="right"/>
              <w:rPr>
                <w:rFonts w:ascii="Calibri" w:eastAsia="Times New Roman" w:hAnsi="Calibri" w:cs="Calibri"/>
                <w:color w:val="000000"/>
                <w:kern w:val="0"/>
                <w:sz w:val="28"/>
                <w:szCs w:val="28"/>
                <w:lang w:eastAsia="en-IN"/>
                <w14:ligatures w14:val="none"/>
              </w:rPr>
            </w:pPr>
          </w:p>
        </w:tc>
        <w:tc>
          <w:tcPr>
            <w:tcW w:w="1825" w:type="dxa"/>
            <w:tcBorders>
              <w:top w:val="nil"/>
              <w:left w:val="nil"/>
              <w:bottom w:val="nil"/>
              <w:right w:val="nil"/>
            </w:tcBorders>
            <w:shd w:val="clear" w:color="auto" w:fill="auto"/>
            <w:noWrap/>
            <w:vAlign w:val="bottom"/>
            <w:hideMark/>
          </w:tcPr>
          <w:p w14:paraId="790955E4"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hideMark/>
          </w:tcPr>
          <w:p w14:paraId="763103EF"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5807562F" w14:textId="0D5F95CD" w:rsidTr="00661BCF">
        <w:trPr>
          <w:gridAfter w:val="3"/>
          <w:wAfter w:w="2693" w:type="dxa"/>
          <w:trHeight w:val="384"/>
        </w:trPr>
        <w:tc>
          <w:tcPr>
            <w:tcW w:w="2552" w:type="dxa"/>
            <w:tcBorders>
              <w:top w:val="nil"/>
              <w:left w:val="single" w:sz="12" w:space="0" w:color="auto"/>
              <w:bottom w:val="single" w:sz="12" w:space="0" w:color="auto"/>
              <w:right w:val="single" w:sz="12" w:space="0" w:color="auto"/>
            </w:tcBorders>
            <w:shd w:val="clear" w:color="auto" w:fill="auto"/>
            <w:noWrap/>
            <w:vAlign w:val="bottom"/>
            <w:hideMark/>
          </w:tcPr>
          <w:p w14:paraId="747F1AE8"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 xml:space="preserve"> Asset Turnover ratio</w:t>
            </w:r>
          </w:p>
        </w:tc>
        <w:tc>
          <w:tcPr>
            <w:tcW w:w="2410" w:type="dxa"/>
            <w:tcBorders>
              <w:top w:val="single" w:sz="12" w:space="0" w:color="auto"/>
              <w:left w:val="single" w:sz="12" w:space="0" w:color="auto"/>
              <w:bottom w:val="single" w:sz="12" w:space="0" w:color="auto"/>
              <w:right w:val="single" w:sz="12" w:space="0" w:color="auto"/>
            </w:tcBorders>
            <w:shd w:val="clear" w:color="000000" w:fill="FF0202"/>
            <w:noWrap/>
            <w:vAlign w:val="bottom"/>
            <w:hideMark/>
          </w:tcPr>
          <w:p w14:paraId="4B382B9E"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0.907660995</w:t>
            </w:r>
          </w:p>
        </w:tc>
        <w:tc>
          <w:tcPr>
            <w:tcW w:w="1984" w:type="dxa"/>
            <w:tcBorders>
              <w:top w:val="single" w:sz="12" w:space="0" w:color="auto"/>
              <w:left w:val="single" w:sz="12" w:space="0" w:color="auto"/>
              <w:bottom w:val="single" w:sz="12" w:space="0" w:color="auto"/>
              <w:right w:val="single" w:sz="12" w:space="0" w:color="auto"/>
            </w:tcBorders>
            <w:shd w:val="clear" w:color="000000" w:fill="FF0101"/>
            <w:noWrap/>
            <w:vAlign w:val="bottom"/>
            <w:hideMark/>
          </w:tcPr>
          <w:p w14:paraId="44EE379F"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0.854351781</w:t>
            </w:r>
          </w:p>
        </w:tc>
        <w:tc>
          <w:tcPr>
            <w:tcW w:w="284" w:type="dxa"/>
            <w:tcBorders>
              <w:top w:val="nil"/>
              <w:left w:val="nil"/>
              <w:bottom w:val="nil"/>
              <w:right w:val="nil"/>
            </w:tcBorders>
            <w:shd w:val="clear" w:color="auto" w:fill="auto"/>
            <w:vAlign w:val="bottom"/>
          </w:tcPr>
          <w:p w14:paraId="28F16BEC" w14:textId="77777777" w:rsidR="00661BCF" w:rsidRPr="005F790E" w:rsidRDefault="00661BCF">
            <w:pPr>
              <w:rPr>
                <w:rFonts w:ascii="Times New Roman" w:eastAsia="Times New Roman" w:hAnsi="Times New Roman" w:cs="Times New Roman"/>
                <w:kern w:val="0"/>
                <w:sz w:val="20"/>
                <w:szCs w:val="20"/>
                <w:lang w:eastAsia="en-IN"/>
                <w14:ligatures w14:val="none"/>
              </w:rPr>
            </w:pPr>
          </w:p>
        </w:tc>
      </w:tr>
      <w:tr w:rsidR="00661BCF" w:rsidRPr="005F790E" w14:paraId="25244C62" w14:textId="50C6167F" w:rsidTr="00661BCF">
        <w:trPr>
          <w:gridAfter w:val="3"/>
          <w:wAfter w:w="2693" w:type="dxa"/>
          <w:trHeight w:val="384"/>
        </w:trPr>
        <w:tc>
          <w:tcPr>
            <w:tcW w:w="2552" w:type="dxa"/>
            <w:tcBorders>
              <w:top w:val="nil"/>
              <w:left w:val="single" w:sz="12" w:space="0" w:color="auto"/>
              <w:bottom w:val="single" w:sz="12" w:space="0" w:color="auto"/>
              <w:right w:val="single" w:sz="12" w:space="0" w:color="auto"/>
            </w:tcBorders>
            <w:shd w:val="clear" w:color="auto" w:fill="auto"/>
            <w:noWrap/>
            <w:vAlign w:val="bottom"/>
            <w:hideMark/>
          </w:tcPr>
          <w:p w14:paraId="2C8221F1"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 xml:space="preserve"> Inventory Turnover ratio</w:t>
            </w:r>
          </w:p>
        </w:tc>
        <w:tc>
          <w:tcPr>
            <w:tcW w:w="2410" w:type="dxa"/>
            <w:tcBorders>
              <w:top w:val="single" w:sz="12" w:space="0" w:color="auto"/>
              <w:left w:val="single" w:sz="12" w:space="0" w:color="auto"/>
              <w:bottom w:val="single" w:sz="12" w:space="0" w:color="auto"/>
              <w:right w:val="single" w:sz="12" w:space="0" w:color="auto"/>
            </w:tcBorders>
            <w:shd w:val="clear" w:color="000000" w:fill="FF8A6F"/>
            <w:noWrap/>
            <w:vAlign w:val="bottom"/>
            <w:hideMark/>
          </w:tcPr>
          <w:p w14:paraId="175CDE5D"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5.806032585</w:t>
            </w:r>
          </w:p>
        </w:tc>
        <w:tc>
          <w:tcPr>
            <w:tcW w:w="1984" w:type="dxa"/>
            <w:tcBorders>
              <w:top w:val="single" w:sz="12" w:space="0" w:color="auto"/>
              <w:left w:val="single" w:sz="12" w:space="0" w:color="auto"/>
              <w:bottom w:val="single" w:sz="12" w:space="0" w:color="auto"/>
              <w:right w:val="single" w:sz="12" w:space="0" w:color="auto"/>
            </w:tcBorders>
            <w:shd w:val="clear" w:color="000000" w:fill="FF9779"/>
            <w:noWrap/>
            <w:vAlign w:val="bottom"/>
            <w:hideMark/>
          </w:tcPr>
          <w:p w14:paraId="60CB5805"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6.258238116</w:t>
            </w:r>
          </w:p>
        </w:tc>
        <w:tc>
          <w:tcPr>
            <w:tcW w:w="284" w:type="dxa"/>
            <w:tcBorders>
              <w:top w:val="nil"/>
              <w:left w:val="nil"/>
              <w:bottom w:val="nil"/>
              <w:right w:val="nil"/>
            </w:tcBorders>
            <w:shd w:val="clear" w:color="auto" w:fill="auto"/>
            <w:vAlign w:val="bottom"/>
          </w:tcPr>
          <w:p w14:paraId="486D6367" w14:textId="77777777" w:rsidR="00661BCF" w:rsidRPr="005F790E" w:rsidRDefault="00661BCF">
            <w:pPr>
              <w:rPr>
                <w:rFonts w:ascii="Times New Roman" w:eastAsia="Times New Roman" w:hAnsi="Times New Roman" w:cs="Times New Roman"/>
                <w:kern w:val="0"/>
                <w:sz w:val="20"/>
                <w:szCs w:val="20"/>
                <w:lang w:eastAsia="en-IN"/>
                <w14:ligatures w14:val="none"/>
              </w:rPr>
            </w:pPr>
          </w:p>
        </w:tc>
      </w:tr>
      <w:tr w:rsidR="00661BCF" w:rsidRPr="005F790E" w14:paraId="2A930999" w14:textId="278B3445" w:rsidTr="00661BCF">
        <w:trPr>
          <w:gridAfter w:val="3"/>
          <w:wAfter w:w="2693" w:type="dxa"/>
          <w:trHeight w:val="38"/>
        </w:trPr>
        <w:tc>
          <w:tcPr>
            <w:tcW w:w="2552" w:type="dxa"/>
            <w:tcBorders>
              <w:top w:val="nil"/>
              <w:left w:val="single" w:sz="12" w:space="0" w:color="auto"/>
              <w:bottom w:val="single" w:sz="12" w:space="0" w:color="auto"/>
              <w:right w:val="single" w:sz="12" w:space="0" w:color="auto"/>
            </w:tcBorders>
            <w:shd w:val="clear" w:color="auto" w:fill="auto"/>
            <w:noWrap/>
            <w:vAlign w:val="bottom"/>
            <w:hideMark/>
          </w:tcPr>
          <w:p w14:paraId="7C931E9E"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 xml:space="preserve"> Receivable Turnover ratio</w:t>
            </w:r>
          </w:p>
        </w:tc>
        <w:tc>
          <w:tcPr>
            <w:tcW w:w="2410" w:type="dxa"/>
            <w:tcBorders>
              <w:top w:val="single" w:sz="12" w:space="0" w:color="auto"/>
              <w:left w:val="single" w:sz="12" w:space="0" w:color="auto"/>
              <w:bottom w:val="single" w:sz="12" w:space="0" w:color="auto"/>
              <w:right w:val="single" w:sz="12" w:space="0" w:color="auto"/>
            </w:tcBorders>
            <w:shd w:val="clear" w:color="000000" w:fill="13511B"/>
            <w:noWrap/>
            <w:vAlign w:val="bottom"/>
            <w:hideMark/>
          </w:tcPr>
          <w:p w14:paraId="330A9D7E"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27.586374</w:t>
            </w:r>
          </w:p>
        </w:tc>
        <w:tc>
          <w:tcPr>
            <w:tcW w:w="1984" w:type="dxa"/>
            <w:tcBorders>
              <w:top w:val="single" w:sz="12" w:space="0" w:color="auto"/>
              <w:left w:val="single" w:sz="12" w:space="0" w:color="auto"/>
              <w:bottom w:val="single" w:sz="12" w:space="0" w:color="auto"/>
              <w:right w:val="single" w:sz="12" w:space="0" w:color="auto"/>
            </w:tcBorders>
            <w:shd w:val="clear" w:color="000000" w:fill="5C8752"/>
            <w:noWrap/>
            <w:vAlign w:val="bottom"/>
            <w:hideMark/>
          </w:tcPr>
          <w:p w14:paraId="3948BB9F"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22.1118153</w:t>
            </w:r>
          </w:p>
        </w:tc>
        <w:tc>
          <w:tcPr>
            <w:tcW w:w="284" w:type="dxa"/>
            <w:tcBorders>
              <w:top w:val="nil"/>
              <w:left w:val="nil"/>
              <w:bottom w:val="nil"/>
              <w:right w:val="nil"/>
            </w:tcBorders>
            <w:shd w:val="clear" w:color="auto" w:fill="auto"/>
            <w:vAlign w:val="bottom"/>
          </w:tcPr>
          <w:p w14:paraId="7FD68C2F" w14:textId="77777777" w:rsidR="00661BCF" w:rsidRPr="005F790E" w:rsidRDefault="00661BCF">
            <w:pPr>
              <w:rPr>
                <w:rFonts w:ascii="Times New Roman" w:eastAsia="Times New Roman" w:hAnsi="Times New Roman" w:cs="Times New Roman"/>
                <w:kern w:val="0"/>
                <w:sz w:val="20"/>
                <w:szCs w:val="20"/>
                <w:lang w:eastAsia="en-IN"/>
                <w14:ligatures w14:val="none"/>
              </w:rPr>
            </w:pPr>
          </w:p>
        </w:tc>
      </w:tr>
      <w:tr w:rsidR="00661BCF" w:rsidRPr="005F790E" w14:paraId="40016D06" w14:textId="77777777" w:rsidTr="00661BCF">
        <w:trPr>
          <w:trHeight w:val="38"/>
        </w:trPr>
        <w:tc>
          <w:tcPr>
            <w:tcW w:w="2552" w:type="dxa"/>
            <w:tcBorders>
              <w:top w:val="nil"/>
              <w:left w:val="nil"/>
              <w:bottom w:val="nil"/>
              <w:right w:val="nil"/>
            </w:tcBorders>
            <w:shd w:val="clear" w:color="auto" w:fill="auto"/>
            <w:noWrap/>
            <w:vAlign w:val="bottom"/>
            <w:hideMark/>
          </w:tcPr>
          <w:p w14:paraId="65E3E994"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p>
        </w:tc>
        <w:tc>
          <w:tcPr>
            <w:tcW w:w="2410" w:type="dxa"/>
            <w:tcBorders>
              <w:top w:val="nil"/>
              <w:left w:val="nil"/>
              <w:bottom w:val="nil"/>
              <w:right w:val="nil"/>
            </w:tcBorders>
            <w:shd w:val="clear" w:color="auto" w:fill="auto"/>
            <w:noWrap/>
            <w:vAlign w:val="bottom"/>
            <w:hideMark/>
          </w:tcPr>
          <w:p w14:paraId="7384B90A"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nil"/>
              <w:left w:val="nil"/>
              <w:bottom w:val="nil"/>
              <w:right w:val="nil"/>
            </w:tcBorders>
            <w:shd w:val="clear" w:color="auto" w:fill="auto"/>
            <w:noWrap/>
            <w:vAlign w:val="bottom"/>
            <w:hideMark/>
          </w:tcPr>
          <w:p w14:paraId="45BBB283"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4CBC2B6C"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1825" w:type="dxa"/>
            <w:tcBorders>
              <w:top w:val="nil"/>
              <w:left w:val="nil"/>
              <w:bottom w:val="nil"/>
              <w:right w:val="nil"/>
            </w:tcBorders>
            <w:shd w:val="clear" w:color="auto" w:fill="auto"/>
            <w:noWrap/>
            <w:vAlign w:val="bottom"/>
          </w:tcPr>
          <w:p w14:paraId="06433D7F"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tcPr>
          <w:p w14:paraId="5C9AF6F8"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6FA32E03" w14:textId="77777777" w:rsidTr="00661BCF">
        <w:trPr>
          <w:trHeight w:val="300"/>
        </w:trPr>
        <w:tc>
          <w:tcPr>
            <w:tcW w:w="2552" w:type="dxa"/>
            <w:tcBorders>
              <w:top w:val="nil"/>
              <w:left w:val="nil"/>
              <w:bottom w:val="nil"/>
              <w:right w:val="nil"/>
            </w:tcBorders>
            <w:shd w:val="clear" w:color="auto" w:fill="auto"/>
            <w:noWrap/>
            <w:vAlign w:val="bottom"/>
            <w:hideMark/>
          </w:tcPr>
          <w:p w14:paraId="11C04C5C"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410" w:type="dxa"/>
            <w:tcBorders>
              <w:top w:val="nil"/>
              <w:left w:val="nil"/>
              <w:bottom w:val="nil"/>
              <w:right w:val="nil"/>
            </w:tcBorders>
            <w:shd w:val="clear" w:color="auto" w:fill="auto"/>
            <w:noWrap/>
            <w:vAlign w:val="bottom"/>
            <w:hideMark/>
          </w:tcPr>
          <w:p w14:paraId="193E1C59"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1984" w:type="dxa"/>
            <w:tcBorders>
              <w:top w:val="nil"/>
              <w:left w:val="nil"/>
              <w:bottom w:val="nil"/>
              <w:right w:val="nil"/>
            </w:tcBorders>
            <w:shd w:val="clear" w:color="auto" w:fill="auto"/>
            <w:noWrap/>
            <w:vAlign w:val="bottom"/>
            <w:hideMark/>
          </w:tcPr>
          <w:p w14:paraId="7ED23B46"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6238EE6E"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1825" w:type="dxa"/>
            <w:tcBorders>
              <w:top w:val="nil"/>
              <w:left w:val="nil"/>
              <w:bottom w:val="nil"/>
              <w:right w:val="nil"/>
            </w:tcBorders>
            <w:shd w:val="clear" w:color="auto" w:fill="auto"/>
            <w:noWrap/>
            <w:vAlign w:val="bottom"/>
          </w:tcPr>
          <w:p w14:paraId="08B4BF52"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tcPr>
          <w:p w14:paraId="191C5986"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23DC9340" w14:textId="77777777" w:rsidTr="00661BCF">
        <w:trPr>
          <w:trHeight w:val="384"/>
        </w:trPr>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291C1A" w14:textId="77777777" w:rsidR="00661BCF" w:rsidRPr="005F790E" w:rsidRDefault="00661BCF" w:rsidP="005F790E">
            <w:pPr>
              <w:spacing w:after="0" w:line="240" w:lineRule="auto"/>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Year</w:t>
            </w:r>
          </w:p>
        </w:tc>
        <w:tc>
          <w:tcPr>
            <w:tcW w:w="2410" w:type="dxa"/>
            <w:tcBorders>
              <w:top w:val="single" w:sz="12" w:space="0" w:color="auto"/>
              <w:left w:val="nil"/>
              <w:bottom w:val="single" w:sz="12" w:space="0" w:color="auto"/>
              <w:right w:val="single" w:sz="12" w:space="0" w:color="auto"/>
            </w:tcBorders>
            <w:shd w:val="clear" w:color="auto" w:fill="auto"/>
            <w:noWrap/>
            <w:vAlign w:val="bottom"/>
            <w:hideMark/>
          </w:tcPr>
          <w:p w14:paraId="5E280AC1" w14:textId="77777777" w:rsidR="00661BCF" w:rsidRPr="005F790E" w:rsidRDefault="00661BCF" w:rsidP="005F790E">
            <w:pPr>
              <w:spacing w:after="0" w:line="240" w:lineRule="auto"/>
              <w:jc w:val="right"/>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2023</w:t>
            </w:r>
          </w:p>
        </w:tc>
        <w:tc>
          <w:tcPr>
            <w:tcW w:w="1984" w:type="dxa"/>
            <w:tcBorders>
              <w:top w:val="single" w:sz="12" w:space="0" w:color="auto"/>
              <w:left w:val="nil"/>
              <w:bottom w:val="single" w:sz="12" w:space="0" w:color="auto"/>
              <w:right w:val="single" w:sz="12" w:space="0" w:color="auto"/>
            </w:tcBorders>
            <w:shd w:val="clear" w:color="auto" w:fill="auto"/>
            <w:noWrap/>
            <w:vAlign w:val="bottom"/>
            <w:hideMark/>
          </w:tcPr>
          <w:p w14:paraId="41316AE0" w14:textId="77777777" w:rsidR="00661BCF" w:rsidRPr="005F790E" w:rsidRDefault="00661BCF" w:rsidP="005F790E">
            <w:pPr>
              <w:spacing w:after="0" w:line="240" w:lineRule="auto"/>
              <w:jc w:val="right"/>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2024</w:t>
            </w:r>
          </w:p>
        </w:tc>
        <w:tc>
          <w:tcPr>
            <w:tcW w:w="868" w:type="dxa"/>
            <w:gridSpan w:val="2"/>
            <w:tcBorders>
              <w:top w:val="single" w:sz="12" w:space="0" w:color="auto"/>
              <w:left w:val="nil"/>
              <w:bottom w:val="single" w:sz="12" w:space="0" w:color="auto"/>
              <w:right w:val="single" w:sz="12" w:space="0" w:color="auto"/>
            </w:tcBorders>
            <w:shd w:val="clear" w:color="auto" w:fill="auto"/>
            <w:noWrap/>
            <w:vAlign w:val="bottom"/>
            <w:hideMark/>
          </w:tcPr>
          <w:p w14:paraId="1FDDE845" w14:textId="77777777" w:rsidR="00661BCF" w:rsidRPr="005F790E" w:rsidRDefault="00661BCF" w:rsidP="005F790E">
            <w:pPr>
              <w:spacing w:after="0" w:line="240" w:lineRule="auto"/>
              <w:rPr>
                <w:rFonts w:ascii="Calibri" w:eastAsia="Times New Roman" w:hAnsi="Calibri" w:cs="Calibri"/>
                <w:b/>
                <w:bCs/>
                <w:color w:val="000000"/>
                <w:kern w:val="0"/>
                <w:sz w:val="22"/>
                <w:szCs w:val="22"/>
                <w:lang w:eastAsia="en-IN"/>
                <w14:ligatures w14:val="none"/>
              </w:rPr>
            </w:pPr>
            <w:r w:rsidRPr="005F790E">
              <w:rPr>
                <w:rFonts w:ascii="Calibri" w:eastAsia="Times New Roman" w:hAnsi="Calibri" w:cs="Calibri"/>
                <w:b/>
                <w:bCs/>
                <w:color w:val="000000"/>
                <w:kern w:val="0"/>
                <w:sz w:val="22"/>
                <w:szCs w:val="22"/>
                <w:lang w:eastAsia="en-IN"/>
                <w14:ligatures w14:val="none"/>
              </w:rPr>
              <w:t>YOY change</w:t>
            </w:r>
          </w:p>
        </w:tc>
        <w:tc>
          <w:tcPr>
            <w:tcW w:w="1825" w:type="dxa"/>
            <w:tcBorders>
              <w:top w:val="nil"/>
              <w:left w:val="nil"/>
              <w:bottom w:val="nil"/>
              <w:right w:val="nil"/>
            </w:tcBorders>
            <w:shd w:val="clear" w:color="auto" w:fill="auto"/>
            <w:noWrap/>
            <w:vAlign w:val="bottom"/>
          </w:tcPr>
          <w:p w14:paraId="54171B46"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tcPr>
          <w:p w14:paraId="157E284B"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1E973BF2" w14:textId="77777777" w:rsidTr="00661BCF">
        <w:trPr>
          <w:trHeight w:val="384"/>
        </w:trPr>
        <w:tc>
          <w:tcPr>
            <w:tcW w:w="2552" w:type="dxa"/>
            <w:tcBorders>
              <w:top w:val="nil"/>
              <w:left w:val="single" w:sz="12" w:space="0" w:color="auto"/>
              <w:bottom w:val="single" w:sz="12" w:space="0" w:color="auto"/>
              <w:right w:val="single" w:sz="12" w:space="0" w:color="auto"/>
            </w:tcBorders>
            <w:shd w:val="clear" w:color="auto" w:fill="auto"/>
            <w:noWrap/>
            <w:vAlign w:val="bottom"/>
            <w:hideMark/>
          </w:tcPr>
          <w:p w14:paraId="6009B519"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 xml:space="preserve"> Asset Turnover ratio</w:t>
            </w:r>
          </w:p>
        </w:tc>
        <w:tc>
          <w:tcPr>
            <w:tcW w:w="2410" w:type="dxa"/>
            <w:tcBorders>
              <w:top w:val="nil"/>
              <w:left w:val="nil"/>
              <w:bottom w:val="single" w:sz="12" w:space="0" w:color="auto"/>
              <w:right w:val="single" w:sz="12" w:space="0" w:color="auto"/>
            </w:tcBorders>
            <w:shd w:val="clear" w:color="auto" w:fill="auto"/>
            <w:noWrap/>
            <w:vAlign w:val="bottom"/>
            <w:hideMark/>
          </w:tcPr>
          <w:p w14:paraId="6F75586B"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0.907660995</w:t>
            </w:r>
          </w:p>
        </w:tc>
        <w:tc>
          <w:tcPr>
            <w:tcW w:w="1984" w:type="dxa"/>
            <w:tcBorders>
              <w:top w:val="nil"/>
              <w:left w:val="nil"/>
              <w:bottom w:val="single" w:sz="12" w:space="0" w:color="auto"/>
              <w:right w:val="single" w:sz="12" w:space="0" w:color="auto"/>
            </w:tcBorders>
            <w:shd w:val="clear" w:color="auto" w:fill="auto"/>
            <w:noWrap/>
            <w:vAlign w:val="bottom"/>
            <w:hideMark/>
          </w:tcPr>
          <w:p w14:paraId="03CE06FF"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0.854351781</w:t>
            </w:r>
          </w:p>
        </w:tc>
        <w:tc>
          <w:tcPr>
            <w:tcW w:w="868" w:type="dxa"/>
            <w:gridSpan w:val="2"/>
            <w:tcBorders>
              <w:top w:val="single" w:sz="12" w:space="0" w:color="auto"/>
              <w:left w:val="single" w:sz="12" w:space="0" w:color="auto"/>
              <w:bottom w:val="single" w:sz="12" w:space="0" w:color="auto"/>
              <w:right w:val="single" w:sz="12" w:space="0" w:color="auto"/>
            </w:tcBorders>
            <w:shd w:val="clear" w:color="000000" w:fill="FFC7CE"/>
            <w:noWrap/>
            <w:vAlign w:val="bottom"/>
            <w:hideMark/>
          </w:tcPr>
          <w:p w14:paraId="11EF1D83"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-0.05</w:t>
            </w:r>
          </w:p>
        </w:tc>
        <w:tc>
          <w:tcPr>
            <w:tcW w:w="1825" w:type="dxa"/>
            <w:tcBorders>
              <w:top w:val="nil"/>
              <w:left w:val="nil"/>
              <w:bottom w:val="nil"/>
              <w:right w:val="nil"/>
            </w:tcBorders>
            <w:shd w:val="clear" w:color="auto" w:fill="auto"/>
            <w:noWrap/>
            <w:vAlign w:val="bottom"/>
          </w:tcPr>
          <w:p w14:paraId="01CCACC6"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tcPr>
          <w:p w14:paraId="240CEAC5"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4F9341C1" w14:textId="77777777" w:rsidTr="00661BCF">
        <w:trPr>
          <w:trHeight w:val="384"/>
        </w:trPr>
        <w:tc>
          <w:tcPr>
            <w:tcW w:w="2552" w:type="dxa"/>
            <w:tcBorders>
              <w:top w:val="nil"/>
              <w:left w:val="single" w:sz="12" w:space="0" w:color="auto"/>
              <w:bottom w:val="single" w:sz="12" w:space="0" w:color="auto"/>
              <w:right w:val="single" w:sz="12" w:space="0" w:color="auto"/>
            </w:tcBorders>
            <w:shd w:val="clear" w:color="auto" w:fill="auto"/>
            <w:noWrap/>
            <w:vAlign w:val="bottom"/>
            <w:hideMark/>
          </w:tcPr>
          <w:p w14:paraId="2AE37C1F"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 xml:space="preserve"> Inventory Turnover ratio</w:t>
            </w:r>
          </w:p>
        </w:tc>
        <w:tc>
          <w:tcPr>
            <w:tcW w:w="2410" w:type="dxa"/>
            <w:tcBorders>
              <w:top w:val="nil"/>
              <w:left w:val="nil"/>
              <w:bottom w:val="single" w:sz="12" w:space="0" w:color="auto"/>
              <w:right w:val="single" w:sz="12" w:space="0" w:color="auto"/>
            </w:tcBorders>
            <w:shd w:val="clear" w:color="auto" w:fill="auto"/>
            <w:noWrap/>
            <w:vAlign w:val="bottom"/>
            <w:hideMark/>
          </w:tcPr>
          <w:p w14:paraId="741D767E"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5.806032585</w:t>
            </w:r>
          </w:p>
        </w:tc>
        <w:tc>
          <w:tcPr>
            <w:tcW w:w="1984" w:type="dxa"/>
            <w:tcBorders>
              <w:top w:val="nil"/>
              <w:left w:val="nil"/>
              <w:bottom w:val="single" w:sz="12" w:space="0" w:color="auto"/>
              <w:right w:val="single" w:sz="12" w:space="0" w:color="auto"/>
            </w:tcBorders>
            <w:shd w:val="clear" w:color="auto" w:fill="auto"/>
            <w:noWrap/>
            <w:vAlign w:val="bottom"/>
            <w:hideMark/>
          </w:tcPr>
          <w:p w14:paraId="2957B9AF"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6.258238116</w:t>
            </w:r>
          </w:p>
        </w:tc>
        <w:tc>
          <w:tcPr>
            <w:tcW w:w="868" w:type="dxa"/>
            <w:gridSpan w:val="2"/>
            <w:tcBorders>
              <w:top w:val="single" w:sz="12" w:space="0" w:color="auto"/>
              <w:left w:val="single" w:sz="12" w:space="0" w:color="auto"/>
              <w:bottom w:val="single" w:sz="12" w:space="0" w:color="auto"/>
              <w:right w:val="single" w:sz="12" w:space="0" w:color="auto"/>
            </w:tcBorders>
            <w:shd w:val="clear" w:color="000000" w:fill="83E28E"/>
            <w:noWrap/>
            <w:vAlign w:val="bottom"/>
            <w:hideMark/>
          </w:tcPr>
          <w:p w14:paraId="257B366F"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0.45</w:t>
            </w:r>
          </w:p>
        </w:tc>
        <w:tc>
          <w:tcPr>
            <w:tcW w:w="1825" w:type="dxa"/>
            <w:tcBorders>
              <w:top w:val="nil"/>
              <w:left w:val="nil"/>
              <w:bottom w:val="nil"/>
              <w:right w:val="nil"/>
            </w:tcBorders>
            <w:shd w:val="clear" w:color="auto" w:fill="auto"/>
            <w:noWrap/>
            <w:vAlign w:val="bottom"/>
          </w:tcPr>
          <w:p w14:paraId="7F296456"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tcPr>
          <w:p w14:paraId="71FB4502"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r w:rsidR="00661BCF" w:rsidRPr="005F790E" w14:paraId="4D55D00B" w14:textId="77777777" w:rsidTr="00661BCF">
        <w:trPr>
          <w:trHeight w:val="384"/>
        </w:trPr>
        <w:tc>
          <w:tcPr>
            <w:tcW w:w="2552" w:type="dxa"/>
            <w:tcBorders>
              <w:top w:val="nil"/>
              <w:left w:val="single" w:sz="12" w:space="0" w:color="auto"/>
              <w:bottom w:val="single" w:sz="12" w:space="0" w:color="auto"/>
              <w:right w:val="single" w:sz="12" w:space="0" w:color="auto"/>
            </w:tcBorders>
            <w:shd w:val="clear" w:color="auto" w:fill="auto"/>
            <w:noWrap/>
            <w:vAlign w:val="bottom"/>
            <w:hideMark/>
          </w:tcPr>
          <w:p w14:paraId="5F4E75D5" w14:textId="77777777" w:rsidR="00661BCF" w:rsidRPr="005F790E" w:rsidRDefault="00661BCF" w:rsidP="005F790E">
            <w:pPr>
              <w:spacing w:after="0" w:line="240" w:lineRule="auto"/>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 xml:space="preserve"> Receivable Turnover ratio</w:t>
            </w:r>
          </w:p>
        </w:tc>
        <w:tc>
          <w:tcPr>
            <w:tcW w:w="2410" w:type="dxa"/>
            <w:tcBorders>
              <w:top w:val="nil"/>
              <w:left w:val="nil"/>
              <w:bottom w:val="single" w:sz="12" w:space="0" w:color="auto"/>
              <w:right w:val="single" w:sz="12" w:space="0" w:color="auto"/>
            </w:tcBorders>
            <w:shd w:val="clear" w:color="auto" w:fill="auto"/>
            <w:noWrap/>
            <w:vAlign w:val="bottom"/>
            <w:hideMark/>
          </w:tcPr>
          <w:p w14:paraId="600B5BB9"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27.586374</w:t>
            </w:r>
          </w:p>
        </w:tc>
        <w:tc>
          <w:tcPr>
            <w:tcW w:w="1984" w:type="dxa"/>
            <w:tcBorders>
              <w:top w:val="nil"/>
              <w:left w:val="nil"/>
              <w:bottom w:val="single" w:sz="12" w:space="0" w:color="auto"/>
              <w:right w:val="single" w:sz="12" w:space="0" w:color="auto"/>
            </w:tcBorders>
            <w:shd w:val="clear" w:color="auto" w:fill="auto"/>
            <w:noWrap/>
            <w:vAlign w:val="bottom"/>
            <w:hideMark/>
          </w:tcPr>
          <w:p w14:paraId="2ECA9EE7"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22.1118153</w:t>
            </w:r>
          </w:p>
        </w:tc>
        <w:tc>
          <w:tcPr>
            <w:tcW w:w="868" w:type="dxa"/>
            <w:gridSpan w:val="2"/>
            <w:tcBorders>
              <w:top w:val="single" w:sz="12" w:space="0" w:color="auto"/>
              <w:left w:val="single" w:sz="12" w:space="0" w:color="auto"/>
              <w:bottom w:val="single" w:sz="12" w:space="0" w:color="auto"/>
              <w:right w:val="single" w:sz="12" w:space="0" w:color="auto"/>
            </w:tcBorders>
            <w:shd w:val="clear" w:color="000000" w:fill="FFC7CE"/>
            <w:noWrap/>
            <w:vAlign w:val="bottom"/>
            <w:hideMark/>
          </w:tcPr>
          <w:p w14:paraId="2E3EBD77" w14:textId="77777777" w:rsidR="00661BCF" w:rsidRPr="005F790E" w:rsidRDefault="00661BCF" w:rsidP="005F790E">
            <w:pPr>
              <w:spacing w:after="0" w:line="240" w:lineRule="auto"/>
              <w:jc w:val="right"/>
              <w:rPr>
                <w:rFonts w:ascii="Calibri" w:eastAsia="Times New Roman" w:hAnsi="Calibri" w:cs="Calibri"/>
                <w:color w:val="000000"/>
                <w:kern w:val="0"/>
                <w:sz w:val="22"/>
                <w:szCs w:val="22"/>
                <w:lang w:eastAsia="en-IN"/>
                <w14:ligatures w14:val="none"/>
              </w:rPr>
            </w:pPr>
            <w:r w:rsidRPr="005F790E">
              <w:rPr>
                <w:rFonts w:ascii="Calibri" w:eastAsia="Times New Roman" w:hAnsi="Calibri" w:cs="Calibri"/>
                <w:color w:val="000000"/>
                <w:kern w:val="0"/>
                <w:sz w:val="22"/>
                <w:szCs w:val="22"/>
                <w:lang w:eastAsia="en-IN"/>
                <w14:ligatures w14:val="none"/>
              </w:rPr>
              <w:t>-5.47</w:t>
            </w:r>
          </w:p>
        </w:tc>
        <w:tc>
          <w:tcPr>
            <w:tcW w:w="1825" w:type="dxa"/>
            <w:tcBorders>
              <w:top w:val="nil"/>
              <w:left w:val="nil"/>
              <w:bottom w:val="nil"/>
              <w:right w:val="nil"/>
            </w:tcBorders>
            <w:shd w:val="clear" w:color="auto" w:fill="auto"/>
            <w:noWrap/>
            <w:vAlign w:val="bottom"/>
          </w:tcPr>
          <w:p w14:paraId="241A9D52"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c>
          <w:tcPr>
            <w:tcW w:w="284" w:type="dxa"/>
            <w:tcBorders>
              <w:top w:val="nil"/>
              <w:left w:val="nil"/>
              <w:bottom w:val="nil"/>
              <w:right w:val="nil"/>
            </w:tcBorders>
            <w:shd w:val="clear" w:color="auto" w:fill="auto"/>
            <w:noWrap/>
            <w:vAlign w:val="bottom"/>
          </w:tcPr>
          <w:p w14:paraId="2C121900" w14:textId="77777777" w:rsidR="00661BCF" w:rsidRPr="005F790E" w:rsidRDefault="00661BCF" w:rsidP="005F790E">
            <w:pPr>
              <w:spacing w:after="0" w:line="240" w:lineRule="auto"/>
              <w:rPr>
                <w:rFonts w:ascii="Times New Roman" w:eastAsia="Times New Roman" w:hAnsi="Times New Roman" w:cs="Times New Roman"/>
                <w:kern w:val="0"/>
                <w:sz w:val="20"/>
                <w:szCs w:val="20"/>
                <w:lang w:eastAsia="en-IN"/>
                <w14:ligatures w14:val="none"/>
              </w:rPr>
            </w:pPr>
          </w:p>
        </w:tc>
      </w:tr>
    </w:tbl>
    <w:p w14:paraId="2F662CB0" w14:textId="77777777" w:rsidR="005F790E" w:rsidRDefault="005F790E" w:rsidP="004B3222">
      <w:pPr>
        <w:rPr>
          <w:b/>
          <w:bCs/>
        </w:rPr>
      </w:pPr>
    </w:p>
    <w:p w14:paraId="4CD6C483" w14:textId="54FDC309" w:rsidR="005F790E" w:rsidRPr="00614F7B" w:rsidRDefault="005F790E" w:rsidP="005F790E">
      <w:pPr>
        <w:rPr>
          <w:rFonts w:ascii="Calibri" w:hAnsi="Calibri" w:cs="Calibri"/>
        </w:rPr>
      </w:pPr>
      <w:r w:rsidRPr="005F790E">
        <w:rPr>
          <w:rFonts w:ascii="Calibri" w:hAnsi="Calibri" w:cs="Calibri"/>
        </w:rPr>
        <w:t>Asset Turnover decreased → appear</w:t>
      </w:r>
      <w:r w:rsidR="000F7908" w:rsidRPr="00614F7B">
        <w:rPr>
          <w:rFonts w:ascii="Calibri" w:hAnsi="Calibri" w:cs="Calibri"/>
        </w:rPr>
        <w:t>s</w:t>
      </w:r>
      <w:r w:rsidRPr="005F790E">
        <w:rPr>
          <w:rFonts w:ascii="Calibri" w:hAnsi="Calibri" w:cs="Calibri"/>
        </w:rPr>
        <w:t xml:space="preserve"> </w:t>
      </w:r>
      <w:r w:rsidR="00614F7B" w:rsidRPr="00614F7B">
        <w:rPr>
          <w:rFonts w:ascii="Calibri" w:hAnsi="Calibri" w:cs="Calibri"/>
        </w:rPr>
        <w:t>less red</w:t>
      </w:r>
      <w:r w:rsidRPr="005F790E">
        <w:rPr>
          <w:rFonts w:ascii="Calibri" w:hAnsi="Calibri" w:cs="Calibri"/>
        </w:rPr>
        <w:t xml:space="preserve"> in 2024</w:t>
      </w:r>
    </w:p>
    <w:p w14:paraId="2F13E4DD" w14:textId="210EB8DD" w:rsidR="005F790E" w:rsidRPr="005F790E" w:rsidRDefault="005F790E" w:rsidP="005F790E">
      <w:pPr>
        <w:rPr>
          <w:rFonts w:ascii="Calibri" w:hAnsi="Calibri" w:cs="Calibri"/>
        </w:rPr>
      </w:pPr>
      <w:r w:rsidRPr="005F790E">
        <w:rPr>
          <w:rFonts w:ascii="Calibri" w:hAnsi="Calibri" w:cs="Calibri"/>
        </w:rPr>
        <w:t xml:space="preserve"> Inventory Turnover improved → greener in 2024</w:t>
      </w:r>
    </w:p>
    <w:p w14:paraId="14B50E63" w14:textId="26301C78" w:rsidR="005F790E" w:rsidRPr="004B3222" w:rsidRDefault="005F790E" w:rsidP="004B3222">
      <w:pPr>
        <w:rPr>
          <w:rFonts w:ascii="Calibri" w:hAnsi="Calibri" w:cs="Calibri"/>
        </w:rPr>
      </w:pPr>
      <w:r w:rsidRPr="005F790E">
        <w:rPr>
          <w:rFonts w:ascii="Calibri" w:hAnsi="Calibri" w:cs="Calibri"/>
        </w:rPr>
        <w:t xml:space="preserve"> Receivables Turnover decreased</w:t>
      </w:r>
      <w:r w:rsidR="00614F7B" w:rsidRPr="00614F7B">
        <w:rPr>
          <w:rFonts w:ascii="Calibri" w:hAnsi="Calibri" w:cs="Calibri"/>
        </w:rPr>
        <w:t>, less green</w:t>
      </w:r>
      <w:r w:rsidRPr="005F790E">
        <w:rPr>
          <w:rFonts w:ascii="Calibri" w:hAnsi="Calibri" w:cs="Calibri"/>
        </w:rPr>
        <w:t xml:space="preserve"> in 2024</w:t>
      </w:r>
    </w:p>
    <w:p w14:paraId="573CFFFA" w14:textId="14198169" w:rsidR="004B3222" w:rsidRPr="00576E52" w:rsidRDefault="004B3222" w:rsidP="00576E52">
      <w:pPr>
        <w:pStyle w:val="ListParagraph"/>
        <w:numPr>
          <w:ilvl w:val="0"/>
          <w:numId w:val="13"/>
        </w:numPr>
        <w:rPr>
          <w:rFonts w:ascii="Calibri" w:hAnsi="Calibri" w:cs="Calibri"/>
        </w:rPr>
      </w:pPr>
      <w:r w:rsidRPr="00576E52">
        <w:rPr>
          <w:rFonts w:ascii="Calibri" w:hAnsi="Calibri" w:cs="Calibri"/>
          <w:b/>
          <w:bCs/>
        </w:rPr>
        <w:t>Inventory Turnover</w:t>
      </w:r>
      <w:r w:rsidRPr="00576E52">
        <w:rPr>
          <w:rFonts w:ascii="Calibri" w:hAnsi="Calibri" w:cs="Calibri"/>
        </w:rPr>
        <w:t xml:space="preserve"> </w:t>
      </w:r>
      <w:r w:rsidR="005F790E" w:rsidRPr="00576E52">
        <w:rPr>
          <w:rFonts w:ascii="Calibri" w:hAnsi="Calibri" w:cs="Calibri"/>
        </w:rPr>
        <w:t>improved</w:t>
      </w:r>
      <w:r w:rsidRPr="00576E52">
        <w:rPr>
          <w:rFonts w:ascii="Calibri" w:hAnsi="Calibri" w:cs="Calibri"/>
        </w:rPr>
        <w:t xml:space="preserve"> from 5.8</w:t>
      </w:r>
      <w:r w:rsidR="005F790E" w:rsidRPr="00576E52">
        <w:rPr>
          <w:rFonts w:ascii="Calibri" w:hAnsi="Calibri" w:cs="Calibri"/>
        </w:rPr>
        <w:t>0</w:t>
      </w:r>
      <w:r w:rsidRPr="00576E52">
        <w:rPr>
          <w:rFonts w:ascii="Calibri" w:hAnsi="Calibri" w:cs="Calibri"/>
        </w:rPr>
        <w:t xml:space="preserve">x to </w:t>
      </w:r>
      <w:r w:rsidR="005F790E" w:rsidRPr="00576E52">
        <w:rPr>
          <w:rFonts w:ascii="Calibri" w:hAnsi="Calibri" w:cs="Calibri"/>
        </w:rPr>
        <w:t>6.25x</w:t>
      </w:r>
      <w:r w:rsidRPr="00576E52">
        <w:rPr>
          <w:rFonts w:ascii="Calibri" w:hAnsi="Calibri" w:cs="Calibri"/>
        </w:rPr>
        <w:t xml:space="preserve"> and Days Inventory Outstanding</w:t>
      </w:r>
      <w:r w:rsidR="00614F7B" w:rsidRPr="00576E52">
        <w:rPr>
          <w:rFonts w:ascii="Calibri" w:hAnsi="Calibri" w:cs="Calibri"/>
        </w:rPr>
        <w:t xml:space="preserve"> decreased </w:t>
      </w:r>
      <w:r w:rsidRPr="00576E52">
        <w:rPr>
          <w:rFonts w:ascii="Calibri" w:hAnsi="Calibri" w:cs="Calibri"/>
        </w:rPr>
        <w:t>from 62.</w:t>
      </w:r>
      <w:r w:rsidR="00614F7B" w:rsidRPr="00576E52">
        <w:rPr>
          <w:rFonts w:ascii="Calibri" w:hAnsi="Calibri" w:cs="Calibri"/>
        </w:rPr>
        <w:t>9</w:t>
      </w:r>
      <w:r w:rsidRPr="00576E52">
        <w:rPr>
          <w:rFonts w:ascii="Calibri" w:hAnsi="Calibri" w:cs="Calibri"/>
        </w:rPr>
        <w:t xml:space="preserve"> to </w:t>
      </w:r>
      <w:r w:rsidR="00614F7B" w:rsidRPr="00576E52">
        <w:rPr>
          <w:rFonts w:ascii="Calibri" w:hAnsi="Calibri" w:cs="Calibri"/>
        </w:rPr>
        <w:t>58.4</w:t>
      </w:r>
      <w:r w:rsidRPr="00576E52">
        <w:rPr>
          <w:rFonts w:ascii="Calibri" w:hAnsi="Calibri" w:cs="Calibri"/>
        </w:rPr>
        <w:t xml:space="preserve"> days.</w:t>
      </w:r>
      <w:r w:rsidR="00614F7B" w:rsidRPr="00576E52">
        <w:rPr>
          <w:rFonts w:ascii="Calibri" w:hAnsi="Calibri" w:cs="Calibri"/>
        </w:rPr>
        <w:t xml:space="preserve"> This suggests that Tesla improved its inventory management in 2024 — on average, it took about 58 days to sell its inventory in 2024 compared to 63 days in 2023. This means inventory was turning over faster, freeing up working capital.</w:t>
      </w:r>
    </w:p>
    <w:p w14:paraId="4A15E4A6" w14:textId="77777777" w:rsidR="00CF68D9" w:rsidRDefault="00614F7B" w:rsidP="00CF68D9">
      <w:pPr>
        <w:pStyle w:val="ListParagraph"/>
        <w:numPr>
          <w:ilvl w:val="0"/>
          <w:numId w:val="13"/>
        </w:numPr>
        <w:rPr>
          <w:rFonts w:ascii="Calibri" w:hAnsi="Calibri" w:cs="Calibri"/>
        </w:rPr>
      </w:pPr>
      <w:r w:rsidRPr="00576E52">
        <w:rPr>
          <w:rFonts w:ascii="Calibri" w:hAnsi="Calibri" w:cs="Calibri"/>
          <w:b/>
          <w:bCs/>
        </w:rPr>
        <w:lastRenderedPageBreak/>
        <w:t xml:space="preserve">Receivable Turnover ratio </w:t>
      </w:r>
      <w:r w:rsidRPr="00576E52">
        <w:rPr>
          <w:rFonts w:ascii="Calibri" w:hAnsi="Calibri" w:cs="Calibri"/>
        </w:rPr>
        <w:t>declined from 27.59x in 2023 to 22.11x in 2024.</w:t>
      </w:r>
      <w:r w:rsidRPr="00576E52">
        <w:rPr>
          <w:rFonts w:ascii="Calibri" w:hAnsi="Calibri" w:cs="Calibri"/>
          <w:b/>
          <w:bCs/>
        </w:rPr>
        <w:t xml:space="preserve"> </w:t>
      </w:r>
      <w:r w:rsidRPr="00576E52">
        <w:rPr>
          <w:rFonts w:ascii="Calibri" w:hAnsi="Calibri" w:cs="Calibri"/>
        </w:rPr>
        <w:t>This means Tesla is collecting receivables less frequently in 2024 than it did in 2023. It suggests a slower cash collection cycle, possibly due to</w:t>
      </w:r>
      <w:r w:rsidR="00576E52">
        <w:rPr>
          <w:rFonts w:ascii="Calibri" w:hAnsi="Calibri" w:cs="Calibri"/>
        </w:rPr>
        <w:t xml:space="preserve"> m</w:t>
      </w:r>
      <w:r w:rsidRPr="00576E52">
        <w:rPr>
          <w:rFonts w:ascii="Calibri" w:hAnsi="Calibri" w:cs="Calibri"/>
        </w:rPr>
        <w:t>ore generous credit terms</w:t>
      </w:r>
      <w:r w:rsidR="00576E52">
        <w:rPr>
          <w:rFonts w:ascii="Calibri" w:hAnsi="Calibri" w:cs="Calibri"/>
        </w:rPr>
        <w:t>, s</w:t>
      </w:r>
      <w:r w:rsidRPr="00576E52">
        <w:rPr>
          <w:rFonts w:ascii="Calibri" w:hAnsi="Calibri" w:cs="Calibri"/>
        </w:rPr>
        <w:t>lower payments from customers</w:t>
      </w:r>
      <w:r w:rsidR="00576E52">
        <w:rPr>
          <w:rFonts w:ascii="Calibri" w:hAnsi="Calibri" w:cs="Calibri"/>
        </w:rPr>
        <w:t xml:space="preserve"> or g</w:t>
      </w:r>
      <w:r w:rsidRPr="00576E52">
        <w:rPr>
          <w:rFonts w:ascii="Calibri" w:hAnsi="Calibri" w:cs="Calibri"/>
        </w:rPr>
        <w:t>rowth in sales on credit not matched by collections</w:t>
      </w:r>
      <w:r w:rsidR="00576E52">
        <w:rPr>
          <w:rFonts w:ascii="Calibri" w:hAnsi="Calibri" w:cs="Calibri"/>
        </w:rPr>
        <w:t xml:space="preserve">. </w:t>
      </w:r>
      <w:r w:rsidRPr="00576E52">
        <w:rPr>
          <w:rFonts w:ascii="Calibri" w:hAnsi="Calibri" w:cs="Calibri"/>
        </w:rPr>
        <w:t>Days Sales Outstanding (DSO) Calculation:</w:t>
      </w:r>
    </w:p>
    <w:p w14:paraId="68FABC73" w14:textId="77777777" w:rsidR="00CF68D9" w:rsidRPr="00CF68D9" w:rsidRDefault="00CF68D9" w:rsidP="00CF68D9">
      <w:pPr>
        <w:ind w:left="360"/>
        <w:rPr>
          <w:rFonts w:ascii="Calibri" w:hAnsi="Calibri" w:cs="Calibri"/>
        </w:rPr>
      </w:pPr>
      <w:r w:rsidRPr="00CF68D9">
        <w:rPr>
          <w:rFonts w:ascii="Calibri" w:hAnsi="Calibri" w:cs="Calibri"/>
        </w:rPr>
        <w:t xml:space="preserve">                      2023: 365 / 27.59 ≈ 13.23 days</w:t>
      </w:r>
    </w:p>
    <w:p w14:paraId="004EC57B" w14:textId="127FF30C" w:rsidR="00CF68D9" w:rsidRDefault="00CF68D9" w:rsidP="00CF68D9">
      <w:pPr>
        <w:pStyle w:val="ListParagraph"/>
        <w:rPr>
          <w:rFonts w:ascii="Calibri" w:hAnsi="Calibri" w:cs="Calibri"/>
        </w:rPr>
      </w:pPr>
      <w:r>
        <w:rPr>
          <w:rFonts w:ascii="Calibri" w:hAnsi="Calibri" w:cs="Calibri"/>
        </w:rPr>
        <w:t xml:space="preserve">                </w:t>
      </w:r>
      <w:r w:rsidRPr="00614F7B">
        <w:rPr>
          <w:rFonts w:ascii="Calibri" w:hAnsi="Calibri" w:cs="Calibri"/>
        </w:rPr>
        <w:t>2024 DSO: 365 / 22.11 ≈ 16.51 days</w:t>
      </w:r>
    </w:p>
    <w:p w14:paraId="5E3613B1" w14:textId="6682FC4C" w:rsidR="00576E52" w:rsidRPr="00CF68D9" w:rsidRDefault="00576E52" w:rsidP="00CF68D9">
      <w:pPr>
        <w:pStyle w:val="ListParagraph"/>
        <w:rPr>
          <w:rFonts w:ascii="Calibri" w:hAnsi="Calibri" w:cs="Calibri"/>
        </w:rPr>
      </w:pPr>
      <w:r w:rsidRPr="00CF68D9">
        <w:rPr>
          <w:rFonts w:ascii="Calibri" w:hAnsi="Calibri" w:cs="Calibri"/>
        </w:rPr>
        <w:t>Tesla’s Receivables Turnover dropped, indicating it took ~3 more days on average to collect payments in 2024. This could affect cash flow and working capital efficiency if the trend continues.</w:t>
      </w:r>
    </w:p>
    <w:p w14:paraId="0C1BAB23" w14:textId="1D960053" w:rsidR="00576E52" w:rsidRPr="00576E52" w:rsidRDefault="004B3222" w:rsidP="00576E52">
      <w:pPr>
        <w:rPr>
          <w:rFonts w:ascii="Calibri" w:hAnsi="Calibri" w:cs="Calibri"/>
        </w:rPr>
      </w:pPr>
      <w:r w:rsidRPr="004B3222">
        <w:rPr>
          <w:rFonts w:ascii="Calibri" w:hAnsi="Calibri" w:cs="Calibri"/>
          <w:b/>
          <w:bCs/>
        </w:rPr>
        <w:t>Conclusion</w:t>
      </w:r>
      <w:r w:rsidRPr="004B3222">
        <w:rPr>
          <w:rFonts w:ascii="Calibri" w:hAnsi="Calibri" w:cs="Calibri"/>
        </w:rPr>
        <w:t xml:space="preserve">: </w:t>
      </w:r>
      <w:r w:rsidR="00576E52" w:rsidRPr="00576E52">
        <w:rPr>
          <w:rFonts w:ascii="Calibri" w:hAnsi="Calibri" w:cs="Calibri"/>
        </w:rPr>
        <w:t>Tesla is showing improved operational efficiency in managing and selling its inventory, which helps streamline supply chains and reduce holding costs. However, the decline in receivables turnover suggests some weakening in credit control or customer payment behaviour, which could impact short-term liquidity and working capital.</w:t>
      </w:r>
    </w:p>
    <w:p w14:paraId="1C810953" w14:textId="274468E7" w:rsidR="00576E52" w:rsidRPr="00576E52" w:rsidRDefault="00576E52" w:rsidP="00576E52">
      <w:pPr>
        <w:rPr>
          <w:rFonts w:ascii="Calibri" w:hAnsi="Calibri" w:cs="Calibri"/>
        </w:rPr>
      </w:pPr>
      <w:r w:rsidRPr="00576E52">
        <w:rPr>
          <w:rFonts w:ascii="Calibri" w:hAnsi="Calibri" w:cs="Calibri"/>
        </w:rPr>
        <w:t>Ideally, both ratios should improve together to reflect overall efficiency in both operations and cash conversion.</w:t>
      </w:r>
    </w:p>
    <w:p w14:paraId="4067D0C3" w14:textId="1D4F840E" w:rsidR="001E7AA2" w:rsidRDefault="001E7AA2" w:rsidP="004B3222"/>
    <w:p w14:paraId="289FE4B4" w14:textId="3BA2925B" w:rsidR="004B3222" w:rsidRDefault="004B3222" w:rsidP="001E7AA2">
      <w:pPr>
        <w:tabs>
          <w:tab w:val="left" w:pos="3480"/>
        </w:tabs>
        <w:rPr>
          <w:b/>
          <w:bCs/>
        </w:rPr>
      </w:pPr>
      <w:r w:rsidRPr="004B3222">
        <w:rPr>
          <w:b/>
          <w:bCs/>
        </w:rPr>
        <w:t xml:space="preserve"> 4. Leverage / Solvency</w:t>
      </w:r>
      <w:r w:rsidR="001E7AA2">
        <w:rPr>
          <w:b/>
          <w:bCs/>
        </w:rPr>
        <w:tab/>
      </w:r>
    </w:p>
    <w:p w14:paraId="271E08D1" w14:textId="705EF85F" w:rsidR="001E7AA2" w:rsidRDefault="001E7AA2" w:rsidP="001E7AA2">
      <w:pPr>
        <w:tabs>
          <w:tab w:val="left" w:pos="3480"/>
          <w:tab w:val="left" w:pos="4452"/>
        </w:tabs>
        <w:rPr>
          <w:b/>
          <w:bCs/>
        </w:rPr>
      </w:pPr>
      <w:r>
        <w:rPr>
          <w:b/>
          <w:bCs/>
        </w:rPr>
        <w:tab/>
        <w:t>2024</w:t>
      </w:r>
      <w:r>
        <w:rPr>
          <w:b/>
          <w:bCs/>
        </w:rPr>
        <w:tab/>
        <w:t>2023</w:t>
      </w:r>
    </w:p>
    <w:tbl>
      <w:tblPr>
        <w:tblW w:w="12047" w:type="dxa"/>
        <w:tblLook w:val="04A0" w:firstRow="1" w:lastRow="0" w:firstColumn="1" w:lastColumn="0" w:noHBand="0" w:noVBand="1"/>
      </w:tblPr>
      <w:tblGrid>
        <w:gridCol w:w="2972"/>
        <w:gridCol w:w="1276"/>
        <w:gridCol w:w="1007"/>
        <w:gridCol w:w="3812"/>
        <w:gridCol w:w="824"/>
        <w:gridCol w:w="960"/>
        <w:gridCol w:w="960"/>
        <w:gridCol w:w="236"/>
      </w:tblGrid>
      <w:tr w:rsidR="001E7AA2" w:rsidRPr="001E7AA2" w14:paraId="71514ADD" w14:textId="77777777" w:rsidTr="001E7AA2">
        <w:trPr>
          <w:gridAfter w:val="4"/>
          <w:wAfter w:w="2980" w:type="dxa"/>
          <w:trHeight w:val="312"/>
        </w:trPr>
        <w:tc>
          <w:tcPr>
            <w:tcW w:w="297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4984A70"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Debt to equity Ratio</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716C84D3"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0.66367</w:t>
            </w:r>
          </w:p>
        </w:tc>
        <w:tc>
          <w:tcPr>
            <w:tcW w:w="1007" w:type="dxa"/>
            <w:tcBorders>
              <w:top w:val="single" w:sz="4" w:space="0" w:color="auto"/>
              <w:left w:val="nil"/>
              <w:bottom w:val="single" w:sz="4" w:space="0" w:color="auto"/>
              <w:right w:val="single" w:sz="4" w:space="0" w:color="auto"/>
            </w:tcBorders>
            <w:shd w:val="clear" w:color="000000" w:fill="FFFF00"/>
            <w:noWrap/>
            <w:vAlign w:val="bottom"/>
            <w:hideMark/>
          </w:tcPr>
          <w:p w14:paraId="6B308032"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0.68667</w:t>
            </w:r>
          </w:p>
        </w:tc>
        <w:tc>
          <w:tcPr>
            <w:tcW w:w="381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EB2ED95"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Comments</w:t>
            </w:r>
            <w:r w:rsidRPr="001E7AA2">
              <w:rPr>
                <w:rFonts w:ascii="Calibri" w:eastAsia="Times New Roman" w:hAnsi="Calibri" w:cs="Calibri"/>
                <w:color w:val="000000"/>
                <w:kern w:val="0"/>
                <w:sz w:val="22"/>
                <w:szCs w:val="22"/>
                <w:lang w:eastAsia="en-IN"/>
                <w14:ligatures w14:val="none"/>
              </w:rPr>
              <w:t>: There is a slight improvement in leverage.</w:t>
            </w:r>
          </w:p>
        </w:tc>
      </w:tr>
      <w:tr w:rsidR="001E7AA2" w:rsidRPr="001E7AA2" w14:paraId="65A70B9A" w14:textId="77777777" w:rsidTr="001E7AA2">
        <w:trPr>
          <w:gridAfter w:val="4"/>
          <w:wAfter w:w="2980" w:type="dxa"/>
          <w:trHeight w:val="312"/>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6B1E30A"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D/E Ratio= Total liabilities/ Total Shareholder's equity</w:t>
            </w:r>
          </w:p>
        </w:tc>
        <w:tc>
          <w:tcPr>
            <w:tcW w:w="1276" w:type="dxa"/>
            <w:tcBorders>
              <w:top w:val="nil"/>
              <w:left w:val="nil"/>
              <w:bottom w:val="single" w:sz="4" w:space="0" w:color="auto"/>
              <w:right w:val="single" w:sz="4" w:space="0" w:color="auto"/>
            </w:tcBorders>
            <w:shd w:val="clear" w:color="auto" w:fill="auto"/>
            <w:noWrap/>
            <w:vAlign w:val="bottom"/>
            <w:hideMark/>
          </w:tcPr>
          <w:p w14:paraId="015FE010"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1007" w:type="dxa"/>
            <w:tcBorders>
              <w:top w:val="nil"/>
              <w:left w:val="nil"/>
              <w:bottom w:val="single" w:sz="4" w:space="0" w:color="auto"/>
              <w:right w:val="single" w:sz="4" w:space="0" w:color="auto"/>
            </w:tcBorders>
            <w:shd w:val="clear" w:color="auto" w:fill="auto"/>
            <w:noWrap/>
            <w:vAlign w:val="bottom"/>
            <w:hideMark/>
          </w:tcPr>
          <w:p w14:paraId="562368BA"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3812" w:type="dxa"/>
            <w:vMerge/>
            <w:tcBorders>
              <w:top w:val="nil"/>
              <w:left w:val="nil"/>
              <w:bottom w:val="single" w:sz="4" w:space="0" w:color="auto"/>
              <w:right w:val="single" w:sz="4" w:space="0" w:color="auto"/>
            </w:tcBorders>
            <w:vAlign w:val="center"/>
            <w:hideMark/>
          </w:tcPr>
          <w:p w14:paraId="27759A23"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r>
      <w:tr w:rsidR="001E7AA2" w:rsidRPr="001E7AA2" w14:paraId="7F72C8E5" w14:textId="77777777" w:rsidTr="001E7AA2">
        <w:trPr>
          <w:trHeight w:val="312"/>
        </w:trPr>
        <w:tc>
          <w:tcPr>
            <w:tcW w:w="2972" w:type="dxa"/>
            <w:tcBorders>
              <w:top w:val="nil"/>
              <w:left w:val="nil"/>
              <w:bottom w:val="nil"/>
              <w:right w:val="nil"/>
            </w:tcBorders>
            <w:shd w:val="clear" w:color="auto" w:fill="auto"/>
            <w:noWrap/>
            <w:vAlign w:val="bottom"/>
            <w:hideMark/>
          </w:tcPr>
          <w:p w14:paraId="5474F972"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c>
          <w:tcPr>
            <w:tcW w:w="1276" w:type="dxa"/>
            <w:tcBorders>
              <w:top w:val="nil"/>
              <w:left w:val="nil"/>
              <w:bottom w:val="nil"/>
              <w:right w:val="nil"/>
            </w:tcBorders>
            <w:shd w:val="clear" w:color="auto" w:fill="auto"/>
            <w:noWrap/>
            <w:vAlign w:val="bottom"/>
            <w:hideMark/>
          </w:tcPr>
          <w:p w14:paraId="269276D6"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1007" w:type="dxa"/>
            <w:tcBorders>
              <w:top w:val="nil"/>
              <w:left w:val="nil"/>
              <w:bottom w:val="nil"/>
              <w:right w:val="nil"/>
            </w:tcBorders>
            <w:shd w:val="clear" w:color="auto" w:fill="auto"/>
            <w:noWrap/>
            <w:vAlign w:val="bottom"/>
            <w:hideMark/>
          </w:tcPr>
          <w:p w14:paraId="5BE5C336"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4636" w:type="dxa"/>
            <w:gridSpan w:val="2"/>
            <w:tcBorders>
              <w:top w:val="nil"/>
              <w:left w:val="nil"/>
              <w:bottom w:val="nil"/>
              <w:right w:val="nil"/>
            </w:tcBorders>
            <w:shd w:val="clear" w:color="auto" w:fill="auto"/>
            <w:noWrap/>
            <w:vAlign w:val="bottom"/>
            <w:hideMark/>
          </w:tcPr>
          <w:p w14:paraId="187ED5CC"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54DCAB28"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9EF247"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right w:val="nil"/>
            </w:tcBorders>
            <w:shd w:val="clear" w:color="auto" w:fill="auto"/>
            <w:noWrap/>
            <w:vAlign w:val="bottom"/>
            <w:hideMark/>
          </w:tcPr>
          <w:p w14:paraId="5CC151FA"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r>
      <w:tr w:rsidR="001E7AA2" w:rsidRPr="001E7AA2" w14:paraId="49ED4451" w14:textId="77777777" w:rsidTr="001E7AA2">
        <w:trPr>
          <w:gridAfter w:val="4"/>
          <w:wAfter w:w="2980" w:type="dxa"/>
          <w:trHeight w:val="312"/>
        </w:trPr>
        <w:tc>
          <w:tcPr>
            <w:tcW w:w="297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91FAAA"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xml:space="preserve"> Interest coverage ratio</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084A472B"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20.2171</w:t>
            </w:r>
          </w:p>
        </w:tc>
        <w:tc>
          <w:tcPr>
            <w:tcW w:w="1007" w:type="dxa"/>
            <w:tcBorders>
              <w:top w:val="single" w:sz="4" w:space="0" w:color="auto"/>
              <w:left w:val="nil"/>
              <w:bottom w:val="single" w:sz="4" w:space="0" w:color="auto"/>
              <w:right w:val="single" w:sz="4" w:space="0" w:color="auto"/>
            </w:tcBorders>
            <w:shd w:val="clear" w:color="000000" w:fill="FFFF00"/>
            <w:noWrap/>
            <w:vAlign w:val="bottom"/>
            <w:hideMark/>
          </w:tcPr>
          <w:p w14:paraId="2498F665"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56.9936</w:t>
            </w:r>
          </w:p>
        </w:tc>
        <w:tc>
          <w:tcPr>
            <w:tcW w:w="381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B3135E5" w14:textId="0CAA0CE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Comments</w:t>
            </w:r>
            <w:r w:rsidRPr="001E7AA2">
              <w:rPr>
                <w:rFonts w:ascii="Calibri" w:eastAsia="Times New Roman" w:hAnsi="Calibri" w:cs="Calibri"/>
                <w:color w:val="000000"/>
                <w:kern w:val="0"/>
                <w:sz w:val="22"/>
                <w:szCs w:val="22"/>
                <w:lang w:eastAsia="en-IN"/>
                <w14:ligatures w14:val="none"/>
              </w:rPr>
              <w:t xml:space="preserve">: There is a decline in interest </w:t>
            </w:r>
            <w:r w:rsidR="00576E52" w:rsidRPr="00576E52">
              <w:rPr>
                <w:rFonts w:ascii="Calibri" w:eastAsia="Times New Roman" w:hAnsi="Calibri" w:cs="Calibri"/>
                <w:color w:val="000000"/>
                <w:kern w:val="0"/>
                <w:sz w:val="22"/>
                <w:szCs w:val="22"/>
                <w:lang w:eastAsia="en-IN"/>
                <w14:ligatures w14:val="none"/>
              </w:rPr>
              <w:t>coverage,</w:t>
            </w:r>
            <w:r w:rsidRPr="001E7AA2">
              <w:rPr>
                <w:rFonts w:ascii="Calibri" w:eastAsia="Times New Roman" w:hAnsi="Calibri" w:cs="Calibri"/>
                <w:color w:val="000000"/>
                <w:kern w:val="0"/>
                <w:sz w:val="22"/>
                <w:szCs w:val="22"/>
                <w:lang w:eastAsia="en-IN"/>
                <w14:ligatures w14:val="none"/>
              </w:rPr>
              <w:t xml:space="preserve"> but it</w:t>
            </w:r>
            <w:r w:rsidRPr="00576E52">
              <w:rPr>
                <w:rFonts w:ascii="Calibri" w:eastAsia="Times New Roman" w:hAnsi="Calibri" w:cs="Calibri"/>
                <w:color w:val="000000"/>
                <w:kern w:val="0"/>
                <w:sz w:val="22"/>
                <w:szCs w:val="22"/>
                <w:lang w:eastAsia="en-IN"/>
                <w14:ligatures w14:val="none"/>
              </w:rPr>
              <w:t xml:space="preserve"> i</w:t>
            </w:r>
            <w:r w:rsidRPr="001E7AA2">
              <w:rPr>
                <w:rFonts w:ascii="Calibri" w:eastAsia="Times New Roman" w:hAnsi="Calibri" w:cs="Calibri"/>
                <w:color w:val="000000"/>
                <w:kern w:val="0"/>
                <w:sz w:val="22"/>
                <w:szCs w:val="22"/>
                <w:lang w:eastAsia="en-IN"/>
                <w14:ligatures w14:val="none"/>
              </w:rPr>
              <w:t>s still st</w:t>
            </w:r>
            <w:r w:rsidRPr="00576E52">
              <w:rPr>
                <w:rFonts w:ascii="Calibri" w:eastAsia="Times New Roman" w:hAnsi="Calibri" w:cs="Calibri"/>
                <w:color w:val="000000"/>
                <w:kern w:val="0"/>
                <w:sz w:val="22"/>
                <w:szCs w:val="22"/>
                <w:lang w:eastAsia="en-IN"/>
                <w14:ligatures w14:val="none"/>
              </w:rPr>
              <w:t>r</w:t>
            </w:r>
            <w:r w:rsidRPr="001E7AA2">
              <w:rPr>
                <w:rFonts w:ascii="Calibri" w:eastAsia="Times New Roman" w:hAnsi="Calibri" w:cs="Calibri"/>
                <w:color w:val="000000"/>
                <w:kern w:val="0"/>
                <w:sz w:val="22"/>
                <w:szCs w:val="22"/>
                <w:lang w:eastAsia="en-IN"/>
                <w14:ligatures w14:val="none"/>
              </w:rPr>
              <w:t>ong number.</w:t>
            </w:r>
          </w:p>
        </w:tc>
      </w:tr>
      <w:tr w:rsidR="001E7AA2" w:rsidRPr="001E7AA2" w14:paraId="3B3853FF" w14:textId="77777777" w:rsidTr="001E7AA2">
        <w:trPr>
          <w:gridAfter w:val="4"/>
          <w:wAfter w:w="2980" w:type="dxa"/>
          <w:trHeight w:val="312"/>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E62C51F"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xml:space="preserve"> Interest coverage ratio= EBIT/Interest Expense</w:t>
            </w:r>
          </w:p>
        </w:tc>
        <w:tc>
          <w:tcPr>
            <w:tcW w:w="1276" w:type="dxa"/>
            <w:tcBorders>
              <w:top w:val="nil"/>
              <w:left w:val="nil"/>
              <w:bottom w:val="single" w:sz="4" w:space="0" w:color="auto"/>
              <w:right w:val="single" w:sz="4" w:space="0" w:color="auto"/>
            </w:tcBorders>
            <w:shd w:val="clear" w:color="auto" w:fill="auto"/>
            <w:noWrap/>
            <w:vAlign w:val="bottom"/>
            <w:hideMark/>
          </w:tcPr>
          <w:p w14:paraId="1E310D1B"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1007" w:type="dxa"/>
            <w:tcBorders>
              <w:top w:val="nil"/>
              <w:left w:val="nil"/>
              <w:bottom w:val="single" w:sz="4" w:space="0" w:color="auto"/>
              <w:right w:val="single" w:sz="4" w:space="0" w:color="auto"/>
            </w:tcBorders>
            <w:shd w:val="clear" w:color="auto" w:fill="auto"/>
            <w:noWrap/>
            <w:vAlign w:val="bottom"/>
            <w:hideMark/>
          </w:tcPr>
          <w:p w14:paraId="5AD08C4A"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3812" w:type="dxa"/>
            <w:vMerge/>
            <w:tcBorders>
              <w:top w:val="nil"/>
              <w:left w:val="nil"/>
              <w:bottom w:val="single" w:sz="4" w:space="0" w:color="auto"/>
              <w:right w:val="single" w:sz="4" w:space="0" w:color="auto"/>
            </w:tcBorders>
            <w:vAlign w:val="center"/>
            <w:hideMark/>
          </w:tcPr>
          <w:p w14:paraId="0DA2D7AA"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r>
      <w:tr w:rsidR="001E7AA2" w:rsidRPr="001E7AA2" w14:paraId="7A4AB01E" w14:textId="77777777" w:rsidTr="001E7AA2">
        <w:trPr>
          <w:trHeight w:val="312"/>
        </w:trPr>
        <w:tc>
          <w:tcPr>
            <w:tcW w:w="2972" w:type="dxa"/>
            <w:tcBorders>
              <w:top w:val="nil"/>
              <w:left w:val="nil"/>
              <w:bottom w:val="nil"/>
              <w:right w:val="nil"/>
            </w:tcBorders>
            <w:shd w:val="clear" w:color="auto" w:fill="auto"/>
            <w:noWrap/>
            <w:vAlign w:val="bottom"/>
            <w:hideMark/>
          </w:tcPr>
          <w:p w14:paraId="7AFB4329"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c>
          <w:tcPr>
            <w:tcW w:w="1276" w:type="dxa"/>
            <w:tcBorders>
              <w:top w:val="nil"/>
              <w:left w:val="nil"/>
              <w:bottom w:val="nil"/>
              <w:right w:val="nil"/>
            </w:tcBorders>
            <w:shd w:val="clear" w:color="auto" w:fill="auto"/>
            <w:noWrap/>
            <w:vAlign w:val="bottom"/>
            <w:hideMark/>
          </w:tcPr>
          <w:p w14:paraId="144C80D2"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1007" w:type="dxa"/>
            <w:tcBorders>
              <w:top w:val="nil"/>
              <w:left w:val="nil"/>
              <w:bottom w:val="nil"/>
              <w:right w:val="nil"/>
            </w:tcBorders>
            <w:shd w:val="clear" w:color="auto" w:fill="auto"/>
            <w:noWrap/>
            <w:vAlign w:val="bottom"/>
            <w:hideMark/>
          </w:tcPr>
          <w:p w14:paraId="55F6B4C1"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4636" w:type="dxa"/>
            <w:gridSpan w:val="2"/>
            <w:tcBorders>
              <w:top w:val="nil"/>
              <w:left w:val="nil"/>
              <w:bottom w:val="nil"/>
              <w:right w:val="nil"/>
            </w:tcBorders>
            <w:shd w:val="clear" w:color="auto" w:fill="auto"/>
            <w:vAlign w:val="bottom"/>
            <w:hideMark/>
          </w:tcPr>
          <w:p w14:paraId="7481405A"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vAlign w:val="bottom"/>
            <w:hideMark/>
          </w:tcPr>
          <w:p w14:paraId="1D8EC0A5"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vAlign w:val="bottom"/>
            <w:hideMark/>
          </w:tcPr>
          <w:p w14:paraId="08814ED7"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c>
          <w:tcPr>
            <w:tcW w:w="236" w:type="dxa"/>
            <w:tcBorders>
              <w:top w:val="nil"/>
              <w:left w:val="nil"/>
              <w:bottom w:val="nil"/>
              <w:right w:val="nil"/>
            </w:tcBorders>
            <w:shd w:val="clear" w:color="auto" w:fill="auto"/>
            <w:vAlign w:val="bottom"/>
            <w:hideMark/>
          </w:tcPr>
          <w:p w14:paraId="63BA39DD"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r>
      <w:tr w:rsidR="001E7AA2" w:rsidRPr="001E7AA2" w14:paraId="0DF4E74D" w14:textId="77777777" w:rsidTr="001E7AA2">
        <w:trPr>
          <w:gridAfter w:val="4"/>
          <w:wAfter w:w="2980" w:type="dxa"/>
          <w:trHeight w:val="312"/>
        </w:trPr>
        <w:tc>
          <w:tcPr>
            <w:tcW w:w="297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537120"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Debt Ratio</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0227A6C8"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0.39641</w:t>
            </w:r>
          </w:p>
        </w:tc>
        <w:tc>
          <w:tcPr>
            <w:tcW w:w="1007" w:type="dxa"/>
            <w:tcBorders>
              <w:top w:val="single" w:sz="4" w:space="0" w:color="auto"/>
              <w:left w:val="nil"/>
              <w:bottom w:val="single" w:sz="4" w:space="0" w:color="auto"/>
              <w:right w:val="single" w:sz="4" w:space="0" w:color="auto"/>
            </w:tcBorders>
            <w:shd w:val="clear" w:color="000000" w:fill="FFFF00"/>
            <w:noWrap/>
            <w:vAlign w:val="bottom"/>
            <w:hideMark/>
          </w:tcPr>
          <w:p w14:paraId="4635E514"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0.40339</w:t>
            </w:r>
          </w:p>
        </w:tc>
        <w:tc>
          <w:tcPr>
            <w:tcW w:w="381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CA2005E"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Comments</w:t>
            </w:r>
            <w:r w:rsidRPr="001E7AA2">
              <w:rPr>
                <w:rFonts w:ascii="Calibri" w:eastAsia="Times New Roman" w:hAnsi="Calibri" w:cs="Calibri"/>
                <w:color w:val="000000"/>
                <w:kern w:val="0"/>
                <w:sz w:val="22"/>
                <w:szCs w:val="22"/>
                <w:lang w:eastAsia="en-IN"/>
                <w14:ligatures w14:val="none"/>
              </w:rPr>
              <w:t>: There is no significant change.</w:t>
            </w:r>
          </w:p>
        </w:tc>
      </w:tr>
      <w:tr w:rsidR="001E7AA2" w:rsidRPr="001E7AA2" w14:paraId="35FB9D15" w14:textId="77777777" w:rsidTr="001E7AA2">
        <w:trPr>
          <w:gridAfter w:val="4"/>
          <w:wAfter w:w="2980" w:type="dxa"/>
          <w:trHeight w:val="312"/>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75A1D96"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Debt ratio= Total Liability/ Total Assets</w:t>
            </w:r>
          </w:p>
        </w:tc>
        <w:tc>
          <w:tcPr>
            <w:tcW w:w="1276" w:type="dxa"/>
            <w:tcBorders>
              <w:top w:val="nil"/>
              <w:left w:val="nil"/>
              <w:bottom w:val="single" w:sz="4" w:space="0" w:color="auto"/>
              <w:right w:val="single" w:sz="4" w:space="0" w:color="auto"/>
            </w:tcBorders>
            <w:shd w:val="clear" w:color="auto" w:fill="auto"/>
            <w:noWrap/>
            <w:vAlign w:val="bottom"/>
            <w:hideMark/>
          </w:tcPr>
          <w:p w14:paraId="272DC834" w14:textId="77777777" w:rsidR="001E7AA2" w:rsidRPr="001E7AA2" w:rsidRDefault="001E7AA2" w:rsidP="001E7AA2">
            <w:pPr>
              <w:spacing w:after="0" w:line="240" w:lineRule="auto"/>
              <w:rPr>
                <w:rFonts w:ascii="Calibri" w:eastAsia="Times New Roman" w:hAnsi="Calibri" w:cs="Calibri"/>
                <w:color w:val="000000"/>
                <w:kern w:val="0"/>
                <w:lang w:eastAsia="en-IN"/>
                <w14:ligatures w14:val="none"/>
              </w:rPr>
            </w:pPr>
            <w:r w:rsidRPr="001E7AA2">
              <w:rPr>
                <w:rFonts w:ascii="Calibri" w:eastAsia="Times New Roman" w:hAnsi="Calibri" w:cs="Calibri"/>
                <w:color w:val="000000"/>
                <w:kern w:val="0"/>
                <w:lang w:eastAsia="en-IN"/>
                <w14:ligatures w14:val="none"/>
              </w:rPr>
              <w:t> </w:t>
            </w:r>
          </w:p>
        </w:tc>
        <w:tc>
          <w:tcPr>
            <w:tcW w:w="1007" w:type="dxa"/>
            <w:tcBorders>
              <w:top w:val="nil"/>
              <w:left w:val="nil"/>
              <w:bottom w:val="single" w:sz="4" w:space="0" w:color="auto"/>
              <w:right w:val="single" w:sz="4" w:space="0" w:color="auto"/>
            </w:tcBorders>
            <w:shd w:val="clear" w:color="auto" w:fill="auto"/>
            <w:noWrap/>
            <w:vAlign w:val="bottom"/>
            <w:hideMark/>
          </w:tcPr>
          <w:p w14:paraId="22663C06" w14:textId="77777777" w:rsidR="001E7AA2" w:rsidRPr="001E7AA2" w:rsidRDefault="001E7AA2" w:rsidP="001E7AA2">
            <w:pPr>
              <w:spacing w:after="0" w:line="240" w:lineRule="auto"/>
              <w:rPr>
                <w:rFonts w:ascii="Calibri" w:eastAsia="Times New Roman" w:hAnsi="Calibri" w:cs="Calibri"/>
                <w:color w:val="000000"/>
                <w:kern w:val="0"/>
                <w:lang w:eastAsia="en-IN"/>
                <w14:ligatures w14:val="none"/>
              </w:rPr>
            </w:pPr>
            <w:r w:rsidRPr="001E7AA2">
              <w:rPr>
                <w:rFonts w:ascii="Calibri" w:eastAsia="Times New Roman" w:hAnsi="Calibri" w:cs="Calibri"/>
                <w:color w:val="000000"/>
                <w:kern w:val="0"/>
                <w:lang w:eastAsia="en-IN"/>
                <w14:ligatures w14:val="none"/>
              </w:rPr>
              <w:t> </w:t>
            </w:r>
          </w:p>
        </w:tc>
        <w:tc>
          <w:tcPr>
            <w:tcW w:w="3812" w:type="dxa"/>
            <w:vMerge/>
            <w:tcBorders>
              <w:top w:val="nil"/>
              <w:left w:val="nil"/>
              <w:bottom w:val="single" w:sz="4" w:space="0" w:color="auto"/>
              <w:right w:val="single" w:sz="4" w:space="0" w:color="auto"/>
            </w:tcBorders>
            <w:vAlign w:val="center"/>
            <w:hideMark/>
          </w:tcPr>
          <w:p w14:paraId="47197072" w14:textId="77777777" w:rsidR="001E7AA2" w:rsidRPr="001E7AA2" w:rsidRDefault="001E7AA2" w:rsidP="001E7AA2">
            <w:pPr>
              <w:spacing w:after="0" w:line="240" w:lineRule="auto"/>
              <w:rPr>
                <w:rFonts w:ascii="Calibri" w:eastAsia="Times New Roman" w:hAnsi="Calibri" w:cs="Calibri"/>
                <w:color w:val="000000"/>
                <w:kern w:val="0"/>
                <w:lang w:eastAsia="en-IN"/>
                <w14:ligatures w14:val="none"/>
              </w:rPr>
            </w:pPr>
          </w:p>
        </w:tc>
      </w:tr>
    </w:tbl>
    <w:p w14:paraId="473937C4" w14:textId="77777777" w:rsidR="001E7AA2" w:rsidRDefault="001E7AA2" w:rsidP="004B3222">
      <w:pPr>
        <w:rPr>
          <w:b/>
          <w:bCs/>
        </w:rPr>
      </w:pPr>
    </w:p>
    <w:p w14:paraId="4537BAFA" w14:textId="77777777" w:rsidR="001E7AA2" w:rsidRDefault="001E7AA2" w:rsidP="004B3222">
      <w:pPr>
        <w:rPr>
          <w:b/>
          <w:bCs/>
        </w:rPr>
      </w:pPr>
    </w:p>
    <w:p w14:paraId="032116E7" w14:textId="77777777" w:rsidR="00576E52" w:rsidRDefault="00576E52" w:rsidP="004B3222">
      <w:pPr>
        <w:rPr>
          <w:b/>
          <w:bCs/>
        </w:rPr>
      </w:pPr>
    </w:p>
    <w:tbl>
      <w:tblPr>
        <w:tblW w:w="9420" w:type="dxa"/>
        <w:tblLook w:val="04A0" w:firstRow="1" w:lastRow="0" w:firstColumn="1" w:lastColumn="0" w:noHBand="0" w:noVBand="1"/>
      </w:tblPr>
      <w:tblGrid>
        <w:gridCol w:w="2240"/>
        <w:gridCol w:w="960"/>
        <w:gridCol w:w="960"/>
        <w:gridCol w:w="960"/>
        <w:gridCol w:w="2380"/>
        <w:gridCol w:w="960"/>
        <w:gridCol w:w="960"/>
      </w:tblGrid>
      <w:tr w:rsidR="001E7AA2" w:rsidRPr="001E7AA2" w14:paraId="29A1F707" w14:textId="77777777" w:rsidTr="001E7AA2">
        <w:trPr>
          <w:trHeight w:val="288"/>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C94CA" w14:textId="77777777" w:rsidR="001E7AA2" w:rsidRPr="001E7AA2" w:rsidRDefault="001E7AA2" w:rsidP="001E7AA2">
            <w:pPr>
              <w:spacing w:after="0" w:line="240" w:lineRule="auto"/>
              <w:rPr>
                <w:rFonts w:ascii="Calibri" w:eastAsia="Times New Roman" w:hAnsi="Calibri" w:cs="Calibri"/>
                <w:b/>
                <w:bCs/>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Ratios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34E671" w14:textId="77777777" w:rsidR="001E7AA2" w:rsidRPr="001E7AA2" w:rsidRDefault="001E7AA2" w:rsidP="001E7AA2">
            <w:pPr>
              <w:spacing w:after="0" w:line="240" w:lineRule="auto"/>
              <w:jc w:val="right"/>
              <w:rPr>
                <w:rFonts w:ascii="Calibri" w:eastAsia="Times New Roman" w:hAnsi="Calibri" w:cs="Calibri"/>
                <w:b/>
                <w:bCs/>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796DD0" w14:textId="77777777" w:rsidR="001E7AA2" w:rsidRPr="001E7AA2" w:rsidRDefault="001E7AA2" w:rsidP="001E7AA2">
            <w:pPr>
              <w:spacing w:after="0" w:line="240" w:lineRule="auto"/>
              <w:jc w:val="right"/>
              <w:rPr>
                <w:rFonts w:ascii="Calibri" w:eastAsia="Times New Roman" w:hAnsi="Calibri" w:cs="Calibri"/>
                <w:b/>
                <w:bCs/>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2024</w:t>
            </w:r>
          </w:p>
        </w:tc>
        <w:tc>
          <w:tcPr>
            <w:tcW w:w="960" w:type="dxa"/>
            <w:tcBorders>
              <w:top w:val="nil"/>
              <w:left w:val="nil"/>
              <w:bottom w:val="nil"/>
              <w:right w:val="nil"/>
            </w:tcBorders>
            <w:shd w:val="clear" w:color="auto" w:fill="auto"/>
            <w:noWrap/>
            <w:vAlign w:val="bottom"/>
            <w:hideMark/>
          </w:tcPr>
          <w:p w14:paraId="3676D301" w14:textId="77777777" w:rsidR="001E7AA2" w:rsidRPr="001E7AA2" w:rsidRDefault="001E7AA2" w:rsidP="001E7AA2">
            <w:pPr>
              <w:spacing w:after="0" w:line="240" w:lineRule="auto"/>
              <w:jc w:val="right"/>
              <w:rPr>
                <w:rFonts w:ascii="Calibri" w:eastAsia="Times New Roman" w:hAnsi="Calibri" w:cs="Calibri"/>
                <w:b/>
                <w:bCs/>
                <w:color w:val="000000"/>
                <w:kern w:val="0"/>
                <w:sz w:val="22"/>
                <w:szCs w:val="22"/>
                <w:lang w:eastAsia="en-IN"/>
                <w14:ligatures w14:val="none"/>
              </w:rPr>
            </w:pP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98C62" w14:textId="77777777" w:rsidR="001E7AA2" w:rsidRPr="001E7AA2" w:rsidRDefault="001E7AA2" w:rsidP="001E7AA2">
            <w:pPr>
              <w:spacing w:after="0" w:line="240" w:lineRule="auto"/>
              <w:rPr>
                <w:rFonts w:ascii="Calibri" w:eastAsia="Times New Roman" w:hAnsi="Calibri" w:cs="Calibri"/>
                <w:b/>
                <w:bCs/>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Ratios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DB35DC" w14:textId="77777777" w:rsidR="001E7AA2" w:rsidRPr="001E7AA2" w:rsidRDefault="001E7AA2" w:rsidP="001E7AA2">
            <w:pPr>
              <w:spacing w:after="0" w:line="240" w:lineRule="auto"/>
              <w:jc w:val="right"/>
              <w:rPr>
                <w:rFonts w:ascii="Calibri" w:eastAsia="Times New Roman" w:hAnsi="Calibri" w:cs="Calibri"/>
                <w:b/>
                <w:bCs/>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AE23D8" w14:textId="77777777" w:rsidR="001E7AA2" w:rsidRPr="001E7AA2" w:rsidRDefault="001E7AA2" w:rsidP="001E7AA2">
            <w:pPr>
              <w:spacing w:after="0" w:line="240" w:lineRule="auto"/>
              <w:jc w:val="right"/>
              <w:rPr>
                <w:rFonts w:ascii="Calibri" w:eastAsia="Times New Roman" w:hAnsi="Calibri" w:cs="Calibri"/>
                <w:b/>
                <w:bCs/>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2024</w:t>
            </w:r>
          </w:p>
        </w:tc>
      </w:tr>
      <w:tr w:rsidR="001E7AA2" w:rsidRPr="001E7AA2" w14:paraId="540A2605" w14:textId="77777777" w:rsidTr="001E7AA2">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58E8E33"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xml:space="preserve"> Debt to equity Ratio</w:t>
            </w:r>
          </w:p>
        </w:tc>
        <w:tc>
          <w:tcPr>
            <w:tcW w:w="960" w:type="dxa"/>
            <w:tcBorders>
              <w:top w:val="nil"/>
              <w:left w:val="nil"/>
              <w:bottom w:val="single" w:sz="4" w:space="0" w:color="auto"/>
              <w:right w:val="single" w:sz="4" w:space="0" w:color="auto"/>
            </w:tcBorders>
            <w:shd w:val="clear" w:color="auto" w:fill="auto"/>
            <w:noWrap/>
            <w:vAlign w:val="bottom"/>
            <w:hideMark/>
          </w:tcPr>
          <w:p w14:paraId="08F21F62"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0.687</w:t>
            </w:r>
          </w:p>
        </w:tc>
        <w:tc>
          <w:tcPr>
            <w:tcW w:w="960" w:type="dxa"/>
            <w:tcBorders>
              <w:top w:val="nil"/>
              <w:left w:val="nil"/>
              <w:bottom w:val="single" w:sz="4" w:space="0" w:color="auto"/>
              <w:right w:val="single" w:sz="4" w:space="0" w:color="auto"/>
            </w:tcBorders>
            <w:shd w:val="clear" w:color="auto" w:fill="auto"/>
            <w:noWrap/>
            <w:vAlign w:val="bottom"/>
            <w:hideMark/>
          </w:tcPr>
          <w:p w14:paraId="4BAAB8CF"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0.664</w:t>
            </w:r>
          </w:p>
        </w:tc>
        <w:tc>
          <w:tcPr>
            <w:tcW w:w="960" w:type="dxa"/>
            <w:tcBorders>
              <w:top w:val="nil"/>
              <w:left w:val="nil"/>
              <w:bottom w:val="nil"/>
              <w:right w:val="nil"/>
            </w:tcBorders>
            <w:shd w:val="clear" w:color="auto" w:fill="auto"/>
            <w:noWrap/>
            <w:vAlign w:val="bottom"/>
            <w:hideMark/>
          </w:tcPr>
          <w:p w14:paraId="6F80BE9A"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91D1F3E"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xml:space="preserve"> Interest coverage ratio</w:t>
            </w:r>
          </w:p>
        </w:tc>
        <w:tc>
          <w:tcPr>
            <w:tcW w:w="960" w:type="dxa"/>
            <w:tcBorders>
              <w:top w:val="nil"/>
              <w:left w:val="nil"/>
              <w:bottom w:val="single" w:sz="4" w:space="0" w:color="auto"/>
              <w:right w:val="single" w:sz="4" w:space="0" w:color="auto"/>
            </w:tcBorders>
            <w:shd w:val="clear" w:color="auto" w:fill="auto"/>
            <w:noWrap/>
            <w:vAlign w:val="bottom"/>
            <w:hideMark/>
          </w:tcPr>
          <w:p w14:paraId="2D446CC2"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56.994</w:t>
            </w:r>
          </w:p>
        </w:tc>
        <w:tc>
          <w:tcPr>
            <w:tcW w:w="960" w:type="dxa"/>
            <w:tcBorders>
              <w:top w:val="nil"/>
              <w:left w:val="nil"/>
              <w:bottom w:val="single" w:sz="4" w:space="0" w:color="auto"/>
              <w:right w:val="single" w:sz="4" w:space="0" w:color="auto"/>
            </w:tcBorders>
            <w:shd w:val="clear" w:color="auto" w:fill="auto"/>
            <w:noWrap/>
            <w:vAlign w:val="bottom"/>
            <w:hideMark/>
          </w:tcPr>
          <w:p w14:paraId="350D2326"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20.217</w:t>
            </w:r>
          </w:p>
        </w:tc>
      </w:tr>
      <w:tr w:rsidR="001E7AA2" w:rsidRPr="001E7AA2" w14:paraId="3C77FF6C" w14:textId="77777777" w:rsidTr="001E7AA2">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4617705"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Debt Ratio</w:t>
            </w:r>
          </w:p>
        </w:tc>
        <w:tc>
          <w:tcPr>
            <w:tcW w:w="960" w:type="dxa"/>
            <w:tcBorders>
              <w:top w:val="nil"/>
              <w:left w:val="nil"/>
              <w:bottom w:val="single" w:sz="4" w:space="0" w:color="auto"/>
              <w:right w:val="single" w:sz="4" w:space="0" w:color="auto"/>
            </w:tcBorders>
            <w:shd w:val="clear" w:color="auto" w:fill="auto"/>
            <w:noWrap/>
            <w:vAlign w:val="bottom"/>
            <w:hideMark/>
          </w:tcPr>
          <w:p w14:paraId="4A1FAF31"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0.403</w:t>
            </w:r>
          </w:p>
        </w:tc>
        <w:tc>
          <w:tcPr>
            <w:tcW w:w="960" w:type="dxa"/>
            <w:tcBorders>
              <w:top w:val="nil"/>
              <w:left w:val="nil"/>
              <w:bottom w:val="single" w:sz="4" w:space="0" w:color="auto"/>
              <w:right w:val="single" w:sz="4" w:space="0" w:color="auto"/>
            </w:tcBorders>
            <w:shd w:val="clear" w:color="auto" w:fill="auto"/>
            <w:noWrap/>
            <w:vAlign w:val="bottom"/>
            <w:hideMark/>
          </w:tcPr>
          <w:p w14:paraId="3C90C35E"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0.396</w:t>
            </w:r>
          </w:p>
        </w:tc>
        <w:tc>
          <w:tcPr>
            <w:tcW w:w="960" w:type="dxa"/>
            <w:tcBorders>
              <w:top w:val="nil"/>
              <w:left w:val="nil"/>
              <w:bottom w:val="nil"/>
              <w:right w:val="nil"/>
            </w:tcBorders>
            <w:shd w:val="clear" w:color="auto" w:fill="auto"/>
            <w:noWrap/>
            <w:vAlign w:val="bottom"/>
            <w:hideMark/>
          </w:tcPr>
          <w:p w14:paraId="18A3BB74"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p>
        </w:tc>
        <w:tc>
          <w:tcPr>
            <w:tcW w:w="2380" w:type="dxa"/>
            <w:tcBorders>
              <w:top w:val="nil"/>
              <w:left w:val="nil"/>
              <w:bottom w:val="nil"/>
              <w:right w:val="nil"/>
            </w:tcBorders>
            <w:shd w:val="clear" w:color="auto" w:fill="auto"/>
            <w:noWrap/>
            <w:vAlign w:val="bottom"/>
            <w:hideMark/>
          </w:tcPr>
          <w:p w14:paraId="5C5AFD7F"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BBDF5C"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748751" w14:textId="77777777" w:rsidR="001E7AA2" w:rsidRPr="001E7AA2" w:rsidRDefault="001E7AA2" w:rsidP="001E7AA2">
            <w:pPr>
              <w:spacing w:after="0" w:line="240" w:lineRule="auto"/>
              <w:rPr>
                <w:rFonts w:ascii="Times New Roman" w:eastAsia="Times New Roman" w:hAnsi="Times New Roman" w:cs="Times New Roman"/>
                <w:kern w:val="0"/>
                <w:sz w:val="20"/>
                <w:szCs w:val="20"/>
                <w:lang w:eastAsia="en-IN"/>
                <w14:ligatures w14:val="none"/>
              </w:rPr>
            </w:pPr>
          </w:p>
        </w:tc>
      </w:tr>
    </w:tbl>
    <w:p w14:paraId="1B705E71" w14:textId="77777777" w:rsidR="001E7AA2" w:rsidRDefault="001E7AA2" w:rsidP="004B3222">
      <w:pPr>
        <w:rPr>
          <w:b/>
          <w:bCs/>
        </w:rPr>
      </w:pPr>
    </w:p>
    <w:p w14:paraId="3E83EEA9" w14:textId="69C406FB" w:rsidR="001E7AA2" w:rsidRDefault="001E7AA2" w:rsidP="004B3222">
      <w:pPr>
        <w:rPr>
          <w:b/>
          <w:bCs/>
        </w:rPr>
      </w:pPr>
      <w:r>
        <w:rPr>
          <w:noProof/>
        </w:rPr>
        <w:lastRenderedPageBreak/>
        <w:drawing>
          <wp:inline distT="0" distB="0" distL="0" distR="0" wp14:anchorId="204CBD3A" wp14:editId="3B041F14">
            <wp:extent cx="5478780" cy="2743200"/>
            <wp:effectExtent l="0" t="0" r="7620" b="0"/>
            <wp:docPr id="1210907503" name="Chart 1">
              <a:extLst xmlns:a="http://schemas.openxmlformats.org/drawingml/2006/main">
                <a:ext uri="{FF2B5EF4-FFF2-40B4-BE49-F238E27FC236}">
                  <a16:creationId xmlns:a16="http://schemas.microsoft.com/office/drawing/2014/main" id="{F31F1D67-14FD-9FEE-B762-69478E64E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C03FBA" w14:textId="77777777" w:rsidR="001E7AA2" w:rsidRDefault="001E7AA2" w:rsidP="004B3222">
      <w:pPr>
        <w:rPr>
          <w:b/>
          <w:bCs/>
        </w:rPr>
      </w:pPr>
    </w:p>
    <w:p w14:paraId="4783C3D5" w14:textId="511CC91D" w:rsidR="001E7AA2" w:rsidRPr="004B3222" w:rsidRDefault="00576E52" w:rsidP="004B3222">
      <w:pPr>
        <w:rPr>
          <w:b/>
          <w:bCs/>
        </w:rPr>
      </w:pPr>
      <w:r>
        <w:rPr>
          <w:noProof/>
        </w:rPr>
        <w:drawing>
          <wp:inline distT="0" distB="0" distL="0" distR="0" wp14:anchorId="585C50C6" wp14:editId="0353C22E">
            <wp:extent cx="5463540" cy="2743200"/>
            <wp:effectExtent l="0" t="0" r="3810" b="0"/>
            <wp:docPr id="179947199" name="Chart 1">
              <a:extLst xmlns:a="http://schemas.openxmlformats.org/drawingml/2006/main">
                <a:ext uri="{FF2B5EF4-FFF2-40B4-BE49-F238E27FC236}">
                  <a16:creationId xmlns:a16="http://schemas.microsoft.com/office/drawing/2014/main" id="{5D61511D-AC4E-77C2-EAA0-AA0380E49F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15A49C" w14:textId="1A094CC2" w:rsidR="004B3222" w:rsidRPr="004B3222" w:rsidRDefault="004B3222" w:rsidP="004B3222">
      <w:pPr>
        <w:numPr>
          <w:ilvl w:val="0"/>
          <w:numId w:val="4"/>
        </w:numPr>
        <w:rPr>
          <w:rFonts w:ascii="Calibri" w:hAnsi="Calibri" w:cs="Calibri"/>
        </w:rPr>
      </w:pPr>
      <w:r w:rsidRPr="004B3222">
        <w:rPr>
          <w:rFonts w:ascii="Calibri" w:hAnsi="Calibri" w:cs="Calibri"/>
        </w:rPr>
        <w:t xml:space="preserve">Debt-to-Equity ratio </w:t>
      </w:r>
      <w:r w:rsidR="00576E52" w:rsidRPr="00576E52">
        <w:rPr>
          <w:rFonts w:ascii="Calibri" w:hAnsi="Calibri" w:cs="Calibri"/>
        </w:rPr>
        <w:t>decreased</w:t>
      </w:r>
      <w:r w:rsidRPr="004B3222">
        <w:rPr>
          <w:rFonts w:ascii="Calibri" w:hAnsi="Calibri" w:cs="Calibri"/>
        </w:rPr>
        <w:t xml:space="preserve"> slightly from 0.69 to 0.66 (lower is better).</w:t>
      </w:r>
    </w:p>
    <w:p w14:paraId="6E58B8A1" w14:textId="10046EFC" w:rsidR="004B3222" w:rsidRPr="004B3222" w:rsidRDefault="004B3222" w:rsidP="004B3222">
      <w:pPr>
        <w:numPr>
          <w:ilvl w:val="0"/>
          <w:numId w:val="4"/>
        </w:numPr>
        <w:rPr>
          <w:rFonts w:ascii="Calibri" w:hAnsi="Calibri" w:cs="Calibri"/>
        </w:rPr>
      </w:pPr>
      <w:r w:rsidRPr="004B3222">
        <w:rPr>
          <w:rFonts w:ascii="Calibri" w:hAnsi="Calibri" w:cs="Calibri"/>
        </w:rPr>
        <w:t xml:space="preserve">Interest Coverage Ratio dropped from </w:t>
      </w:r>
      <w:r w:rsidR="001E7AA2" w:rsidRPr="00576E52">
        <w:rPr>
          <w:rFonts w:ascii="Calibri" w:hAnsi="Calibri" w:cs="Calibri"/>
        </w:rPr>
        <w:t>56.99x</w:t>
      </w:r>
      <w:r w:rsidRPr="004B3222">
        <w:rPr>
          <w:rFonts w:ascii="Calibri" w:hAnsi="Calibri" w:cs="Calibri"/>
        </w:rPr>
        <w:t xml:space="preserve"> to 20.22x, which is still strong but reflects lower earnings capacity to cover interest obligations.</w:t>
      </w:r>
    </w:p>
    <w:p w14:paraId="41087974" w14:textId="77777777" w:rsidR="001E7AA2" w:rsidRPr="00576E52" w:rsidRDefault="004B3222" w:rsidP="004B3222">
      <w:pPr>
        <w:rPr>
          <w:rFonts w:ascii="Calibri" w:hAnsi="Calibri" w:cs="Calibri"/>
        </w:rPr>
      </w:pPr>
      <w:r w:rsidRPr="004B3222">
        <w:rPr>
          <w:rFonts w:ascii="Calibri" w:hAnsi="Calibri" w:cs="Calibri"/>
          <w:b/>
          <w:bCs/>
        </w:rPr>
        <w:t>Conclusion:</w:t>
      </w:r>
      <w:r w:rsidRPr="004B3222">
        <w:rPr>
          <w:rFonts w:ascii="Calibri" w:hAnsi="Calibri" w:cs="Calibri"/>
        </w:rPr>
        <w:t xml:space="preserve"> Tesla is still in a comfortable debt position, but the decrease in interest coverage is a caution flag on declining earnings.</w:t>
      </w:r>
    </w:p>
    <w:p w14:paraId="09E33F3F" w14:textId="77777777" w:rsidR="001E7AA2" w:rsidRDefault="001E7AA2" w:rsidP="004B3222"/>
    <w:p w14:paraId="7632E0B0" w14:textId="7D2830C0" w:rsidR="004B3222" w:rsidRDefault="004B3222" w:rsidP="004B3222">
      <w:pPr>
        <w:rPr>
          <w:b/>
          <w:bCs/>
        </w:rPr>
      </w:pPr>
      <w:r w:rsidRPr="004B3222">
        <w:rPr>
          <w:b/>
          <w:bCs/>
        </w:rPr>
        <w:t>5. Cash Flow Health</w:t>
      </w:r>
    </w:p>
    <w:p w14:paraId="1CE7DE16" w14:textId="322B2120" w:rsidR="001E7AA2" w:rsidRDefault="001E7AA2" w:rsidP="001E7AA2">
      <w:pPr>
        <w:tabs>
          <w:tab w:val="left" w:pos="3300"/>
          <w:tab w:val="center" w:pos="4513"/>
        </w:tabs>
        <w:rPr>
          <w:b/>
          <w:bCs/>
        </w:rPr>
      </w:pPr>
      <w:r>
        <w:rPr>
          <w:b/>
          <w:bCs/>
        </w:rPr>
        <w:tab/>
        <w:t>2024</w:t>
      </w:r>
      <w:r>
        <w:rPr>
          <w:b/>
          <w:bCs/>
        </w:rPr>
        <w:tab/>
        <w:t>2023</w:t>
      </w:r>
    </w:p>
    <w:tbl>
      <w:tblPr>
        <w:tblW w:w="11890" w:type="dxa"/>
        <w:tblLook w:val="04A0" w:firstRow="1" w:lastRow="0" w:firstColumn="1" w:lastColumn="0" w:noHBand="0" w:noVBand="1"/>
      </w:tblPr>
      <w:tblGrid>
        <w:gridCol w:w="2972"/>
        <w:gridCol w:w="1134"/>
        <w:gridCol w:w="1134"/>
        <w:gridCol w:w="4253"/>
        <w:gridCol w:w="241"/>
        <w:gridCol w:w="960"/>
        <w:gridCol w:w="960"/>
        <w:gridCol w:w="236"/>
      </w:tblGrid>
      <w:tr w:rsidR="001E7AA2" w:rsidRPr="001E7AA2" w14:paraId="3A63894E" w14:textId="77777777" w:rsidTr="001E7AA2">
        <w:trPr>
          <w:gridAfter w:val="4"/>
          <w:wAfter w:w="2397" w:type="dxa"/>
          <w:trHeight w:val="312"/>
        </w:trPr>
        <w:tc>
          <w:tcPr>
            <w:tcW w:w="297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23581B"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Operating Cash Flow ratio</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39F7FC2E"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0.51778</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79925663"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0.46111</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E090075" w14:textId="7B5255F9"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Comments</w:t>
            </w:r>
            <w:r w:rsidRPr="001E7AA2">
              <w:rPr>
                <w:rFonts w:ascii="Calibri" w:eastAsia="Times New Roman" w:hAnsi="Calibri" w:cs="Calibri"/>
                <w:color w:val="000000"/>
                <w:kern w:val="0"/>
                <w:sz w:val="22"/>
                <w:szCs w:val="22"/>
                <w:lang w:eastAsia="en-IN"/>
                <w14:ligatures w14:val="none"/>
              </w:rPr>
              <w:t>: There is a</w:t>
            </w:r>
            <w:r w:rsidRPr="00576E52">
              <w:rPr>
                <w:rFonts w:ascii="Calibri" w:eastAsia="Times New Roman" w:hAnsi="Calibri" w:cs="Calibri"/>
                <w:color w:val="000000"/>
                <w:kern w:val="0"/>
                <w:sz w:val="22"/>
                <w:szCs w:val="22"/>
                <w:lang w:eastAsia="en-IN"/>
                <w14:ligatures w14:val="none"/>
              </w:rPr>
              <w:t>n</w:t>
            </w:r>
            <w:r w:rsidRPr="001E7AA2">
              <w:rPr>
                <w:rFonts w:ascii="Calibri" w:eastAsia="Times New Roman" w:hAnsi="Calibri" w:cs="Calibri"/>
                <w:color w:val="000000"/>
                <w:kern w:val="0"/>
                <w:sz w:val="22"/>
                <w:szCs w:val="22"/>
                <w:lang w:eastAsia="en-IN"/>
                <w14:ligatures w14:val="none"/>
              </w:rPr>
              <w:t xml:space="preserve"> improvement in coverage of liability through cash flow in 2024, so better cash buffer.</w:t>
            </w:r>
          </w:p>
        </w:tc>
      </w:tr>
      <w:tr w:rsidR="001E7AA2" w:rsidRPr="001E7AA2" w14:paraId="2DBF5F31" w14:textId="77777777" w:rsidTr="001E7AA2">
        <w:trPr>
          <w:gridAfter w:val="4"/>
          <w:wAfter w:w="2397" w:type="dxa"/>
          <w:trHeight w:val="732"/>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7975878"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lastRenderedPageBreak/>
              <w:t>OCF Ratio= Cash from Operating activities/ Current liabilities</w:t>
            </w:r>
          </w:p>
        </w:tc>
        <w:tc>
          <w:tcPr>
            <w:tcW w:w="1134" w:type="dxa"/>
            <w:tcBorders>
              <w:top w:val="nil"/>
              <w:left w:val="nil"/>
              <w:bottom w:val="single" w:sz="4" w:space="0" w:color="auto"/>
              <w:right w:val="single" w:sz="4" w:space="0" w:color="auto"/>
            </w:tcBorders>
            <w:shd w:val="clear" w:color="auto" w:fill="auto"/>
            <w:noWrap/>
            <w:vAlign w:val="bottom"/>
            <w:hideMark/>
          </w:tcPr>
          <w:p w14:paraId="2429B2FC"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1134" w:type="dxa"/>
            <w:tcBorders>
              <w:top w:val="nil"/>
              <w:left w:val="nil"/>
              <w:bottom w:val="single" w:sz="4" w:space="0" w:color="auto"/>
              <w:right w:val="single" w:sz="4" w:space="0" w:color="auto"/>
            </w:tcBorders>
            <w:shd w:val="clear" w:color="auto" w:fill="auto"/>
            <w:noWrap/>
            <w:vAlign w:val="bottom"/>
            <w:hideMark/>
          </w:tcPr>
          <w:p w14:paraId="6EC43AA5"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4253" w:type="dxa"/>
            <w:vMerge/>
            <w:tcBorders>
              <w:top w:val="nil"/>
              <w:left w:val="nil"/>
              <w:bottom w:val="single" w:sz="4" w:space="0" w:color="auto"/>
              <w:right w:val="single" w:sz="4" w:space="0" w:color="auto"/>
            </w:tcBorders>
            <w:vAlign w:val="center"/>
            <w:hideMark/>
          </w:tcPr>
          <w:p w14:paraId="790AC89E"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r>
      <w:tr w:rsidR="001E7AA2" w:rsidRPr="001E7AA2" w14:paraId="05A61D53" w14:textId="77777777" w:rsidTr="001E7AA2">
        <w:trPr>
          <w:trHeight w:val="288"/>
        </w:trPr>
        <w:tc>
          <w:tcPr>
            <w:tcW w:w="2972" w:type="dxa"/>
            <w:tcBorders>
              <w:top w:val="nil"/>
              <w:left w:val="nil"/>
              <w:bottom w:val="nil"/>
              <w:right w:val="nil"/>
            </w:tcBorders>
            <w:shd w:val="clear" w:color="auto" w:fill="auto"/>
            <w:noWrap/>
            <w:vAlign w:val="bottom"/>
            <w:hideMark/>
          </w:tcPr>
          <w:p w14:paraId="21B3B624"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065F46AB"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1026BB75"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4494" w:type="dxa"/>
            <w:gridSpan w:val="2"/>
            <w:tcBorders>
              <w:top w:val="nil"/>
              <w:left w:val="nil"/>
              <w:bottom w:val="nil"/>
              <w:right w:val="nil"/>
            </w:tcBorders>
            <w:shd w:val="clear" w:color="auto" w:fill="auto"/>
            <w:noWrap/>
            <w:vAlign w:val="bottom"/>
            <w:hideMark/>
          </w:tcPr>
          <w:p w14:paraId="38F226DC"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3CC997F8"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960" w:type="dxa"/>
            <w:tcBorders>
              <w:top w:val="nil"/>
              <w:left w:val="nil"/>
              <w:bottom w:val="nil"/>
              <w:right w:val="nil"/>
            </w:tcBorders>
            <w:shd w:val="clear" w:color="auto" w:fill="auto"/>
            <w:noWrap/>
            <w:vAlign w:val="bottom"/>
            <w:hideMark/>
          </w:tcPr>
          <w:p w14:paraId="1CD7DAF7"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c>
          <w:tcPr>
            <w:tcW w:w="236" w:type="dxa"/>
            <w:tcBorders>
              <w:top w:val="nil"/>
              <w:left w:val="nil"/>
              <w:bottom w:val="nil"/>
              <w:right w:val="nil"/>
            </w:tcBorders>
            <w:shd w:val="clear" w:color="auto" w:fill="auto"/>
            <w:noWrap/>
            <w:vAlign w:val="bottom"/>
            <w:hideMark/>
          </w:tcPr>
          <w:p w14:paraId="1FF7EF5A" w14:textId="77777777" w:rsidR="001E7AA2" w:rsidRPr="001E7AA2" w:rsidRDefault="001E7AA2" w:rsidP="001E7AA2">
            <w:pPr>
              <w:spacing w:after="0" w:line="240" w:lineRule="auto"/>
              <w:rPr>
                <w:rFonts w:ascii="Times New Roman" w:eastAsia="Times New Roman" w:hAnsi="Times New Roman" w:cs="Times New Roman"/>
                <w:kern w:val="0"/>
                <w:sz w:val="22"/>
                <w:szCs w:val="22"/>
                <w:lang w:eastAsia="en-IN"/>
                <w14:ligatures w14:val="none"/>
              </w:rPr>
            </w:pPr>
          </w:p>
        </w:tc>
      </w:tr>
      <w:tr w:rsidR="001E7AA2" w:rsidRPr="001E7AA2" w14:paraId="09B26B17" w14:textId="77777777" w:rsidTr="001E7AA2">
        <w:trPr>
          <w:gridAfter w:val="4"/>
          <w:wAfter w:w="2397" w:type="dxa"/>
          <w:trHeight w:val="312"/>
        </w:trPr>
        <w:tc>
          <w:tcPr>
            <w:tcW w:w="297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BFB385"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xml:space="preserve"> Free Cash Flow</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6556E243"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3584</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51330239" w14:textId="77777777" w:rsidR="001E7AA2" w:rsidRPr="001E7AA2" w:rsidRDefault="001E7AA2" w:rsidP="001E7AA2">
            <w:pPr>
              <w:spacing w:after="0" w:line="240" w:lineRule="auto"/>
              <w:jc w:val="right"/>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4358</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CE93567"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b/>
                <w:bCs/>
                <w:color w:val="000000"/>
                <w:kern w:val="0"/>
                <w:sz w:val="22"/>
                <w:szCs w:val="22"/>
                <w:lang w:eastAsia="en-IN"/>
                <w14:ligatures w14:val="none"/>
              </w:rPr>
              <w:t>Comments</w:t>
            </w:r>
            <w:r w:rsidRPr="001E7AA2">
              <w:rPr>
                <w:rFonts w:ascii="Calibri" w:eastAsia="Times New Roman" w:hAnsi="Calibri" w:cs="Calibri"/>
                <w:color w:val="000000"/>
                <w:kern w:val="0"/>
                <w:sz w:val="22"/>
                <w:szCs w:val="22"/>
                <w:lang w:eastAsia="en-IN"/>
                <w14:ligatures w14:val="none"/>
              </w:rPr>
              <w:t>: There is a decrease in Free cash Flow in 2024 due to higher Capex.</w:t>
            </w:r>
          </w:p>
        </w:tc>
      </w:tr>
      <w:tr w:rsidR="001E7AA2" w:rsidRPr="001E7AA2" w14:paraId="09DDCA09" w14:textId="77777777" w:rsidTr="001E7AA2">
        <w:trPr>
          <w:gridAfter w:val="4"/>
          <w:wAfter w:w="2397" w:type="dxa"/>
          <w:trHeight w:val="72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C30D73"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Free cash Flow= Operating cash flow - Capex</w:t>
            </w:r>
          </w:p>
        </w:tc>
        <w:tc>
          <w:tcPr>
            <w:tcW w:w="1134" w:type="dxa"/>
            <w:tcBorders>
              <w:top w:val="nil"/>
              <w:left w:val="nil"/>
              <w:bottom w:val="single" w:sz="4" w:space="0" w:color="auto"/>
              <w:right w:val="single" w:sz="4" w:space="0" w:color="auto"/>
            </w:tcBorders>
            <w:shd w:val="clear" w:color="auto" w:fill="auto"/>
            <w:noWrap/>
            <w:vAlign w:val="bottom"/>
            <w:hideMark/>
          </w:tcPr>
          <w:p w14:paraId="01E7C22F"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1134" w:type="dxa"/>
            <w:tcBorders>
              <w:top w:val="nil"/>
              <w:left w:val="nil"/>
              <w:bottom w:val="single" w:sz="4" w:space="0" w:color="auto"/>
              <w:right w:val="single" w:sz="4" w:space="0" w:color="auto"/>
            </w:tcBorders>
            <w:shd w:val="clear" w:color="auto" w:fill="auto"/>
            <w:noWrap/>
            <w:vAlign w:val="bottom"/>
            <w:hideMark/>
          </w:tcPr>
          <w:p w14:paraId="33112A8A"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r w:rsidRPr="001E7AA2">
              <w:rPr>
                <w:rFonts w:ascii="Calibri" w:eastAsia="Times New Roman" w:hAnsi="Calibri" w:cs="Calibri"/>
                <w:color w:val="000000"/>
                <w:kern w:val="0"/>
                <w:sz w:val="22"/>
                <w:szCs w:val="22"/>
                <w:lang w:eastAsia="en-IN"/>
                <w14:ligatures w14:val="none"/>
              </w:rPr>
              <w:t> </w:t>
            </w:r>
          </w:p>
        </w:tc>
        <w:tc>
          <w:tcPr>
            <w:tcW w:w="4253" w:type="dxa"/>
            <w:vMerge/>
            <w:tcBorders>
              <w:top w:val="nil"/>
              <w:left w:val="nil"/>
              <w:bottom w:val="single" w:sz="4" w:space="0" w:color="auto"/>
              <w:right w:val="single" w:sz="4" w:space="0" w:color="auto"/>
            </w:tcBorders>
            <w:vAlign w:val="center"/>
            <w:hideMark/>
          </w:tcPr>
          <w:p w14:paraId="3499C315" w14:textId="77777777" w:rsidR="001E7AA2" w:rsidRPr="001E7AA2" w:rsidRDefault="001E7AA2" w:rsidP="001E7AA2">
            <w:pPr>
              <w:spacing w:after="0" w:line="240" w:lineRule="auto"/>
              <w:rPr>
                <w:rFonts w:ascii="Calibri" w:eastAsia="Times New Roman" w:hAnsi="Calibri" w:cs="Calibri"/>
                <w:color w:val="000000"/>
                <w:kern w:val="0"/>
                <w:sz w:val="22"/>
                <w:szCs w:val="22"/>
                <w:lang w:eastAsia="en-IN"/>
                <w14:ligatures w14:val="none"/>
              </w:rPr>
            </w:pPr>
          </w:p>
        </w:tc>
      </w:tr>
    </w:tbl>
    <w:p w14:paraId="352CD86A" w14:textId="77777777" w:rsidR="001E7AA2" w:rsidRPr="004B3222" w:rsidRDefault="001E7AA2" w:rsidP="004B3222">
      <w:pPr>
        <w:rPr>
          <w:b/>
          <w:bCs/>
          <w:sz w:val="22"/>
          <w:szCs w:val="22"/>
        </w:rPr>
      </w:pPr>
    </w:p>
    <w:p w14:paraId="18E2C8AF" w14:textId="12CEBC4A" w:rsidR="004B3222" w:rsidRPr="004B3222" w:rsidRDefault="004B3222" w:rsidP="004B3222">
      <w:pPr>
        <w:numPr>
          <w:ilvl w:val="0"/>
          <w:numId w:val="5"/>
        </w:numPr>
        <w:rPr>
          <w:rFonts w:ascii="Calibri" w:hAnsi="Calibri" w:cs="Calibri"/>
        </w:rPr>
      </w:pPr>
      <w:r w:rsidRPr="004B3222">
        <w:rPr>
          <w:b/>
          <w:bCs/>
        </w:rPr>
        <w:t>Operating Cash Flow</w:t>
      </w:r>
      <w:r w:rsidRPr="004B3222">
        <w:t xml:space="preserve"> </w:t>
      </w:r>
      <w:r w:rsidRPr="004B3222">
        <w:rPr>
          <w:rFonts w:ascii="Calibri" w:hAnsi="Calibri" w:cs="Calibri"/>
        </w:rPr>
        <w:t>increased, but Cap</w:t>
      </w:r>
      <w:r w:rsidR="00CF68D9">
        <w:rPr>
          <w:rFonts w:ascii="Calibri" w:hAnsi="Calibri" w:cs="Calibri"/>
        </w:rPr>
        <w:t>e</w:t>
      </w:r>
      <w:r w:rsidRPr="004B3222">
        <w:rPr>
          <w:rFonts w:ascii="Calibri" w:hAnsi="Calibri" w:cs="Calibri"/>
        </w:rPr>
        <w:t>x (capital expenditure) also rose significantly.</w:t>
      </w:r>
    </w:p>
    <w:p w14:paraId="4F39A815" w14:textId="24069707" w:rsidR="004B3222" w:rsidRPr="004B3222" w:rsidRDefault="004B3222" w:rsidP="004B3222">
      <w:pPr>
        <w:numPr>
          <w:ilvl w:val="0"/>
          <w:numId w:val="5"/>
        </w:numPr>
        <w:rPr>
          <w:rFonts w:ascii="Calibri" w:hAnsi="Calibri" w:cs="Calibri"/>
        </w:rPr>
      </w:pPr>
      <w:r w:rsidRPr="004B3222">
        <w:rPr>
          <w:rFonts w:ascii="Calibri" w:hAnsi="Calibri" w:cs="Calibri"/>
          <w:b/>
          <w:bCs/>
        </w:rPr>
        <w:t xml:space="preserve">Free Cash Flow </w:t>
      </w:r>
      <w:r w:rsidRPr="004B3222">
        <w:rPr>
          <w:rFonts w:ascii="Calibri" w:hAnsi="Calibri" w:cs="Calibri"/>
        </w:rPr>
        <w:t>(Operating Cash Flow – Cap</w:t>
      </w:r>
      <w:r w:rsidR="00CF68D9">
        <w:rPr>
          <w:rFonts w:ascii="Calibri" w:hAnsi="Calibri" w:cs="Calibri"/>
        </w:rPr>
        <w:t>e</w:t>
      </w:r>
      <w:r w:rsidRPr="004B3222">
        <w:rPr>
          <w:rFonts w:ascii="Calibri" w:hAnsi="Calibri" w:cs="Calibri"/>
        </w:rPr>
        <w:t>x) has narrowed, showing reduced cash available for shareholders or new investments.</w:t>
      </w:r>
    </w:p>
    <w:p w14:paraId="71F2048B" w14:textId="6D6F9E64" w:rsidR="004B3222" w:rsidRPr="00CF68D9" w:rsidRDefault="004B3222" w:rsidP="004B3222">
      <w:pPr>
        <w:rPr>
          <w:rFonts w:ascii="Calibri" w:hAnsi="Calibri" w:cs="Calibri"/>
          <w:b/>
          <w:bCs/>
        </w:rPr>
      </w:pPr>
      <w:r w:rsidRPr="004B3222">
        <w:t xml:space="preserve"> </w:t>
      </w:r>
      <w:r w:rsidRPr="004B3222">
        <w:rPr>
          <w:rFonts w:ascii="Calibri" w:hAnsi="Calibri" w:cs="Calibri"/>
          <w:b/>
          <w:bCs/>
        </w:rPr>
        <w:t xml:space="preserve">Conclusion: </w:t>
      </w:r>
      <w:r w:rsidRPr="004B3222">
        <w:rPr>
          <w:rFonts w:ascii="Calibri" w:hAnsi="Calibri" w:cs="Calibri"/>
        </w:rPr>
        <w:t>Tesla is generating cash but reinvesting heavily, likely for growth initiatives, at the cost of short-term free cash flow.</w:t>
      </w:r>
    </w:p>
    <w:p w14:paraId="61A91B72" w14:textId="77777777" w:rsidR="001E7AA2" w:rsidRDefault="001E7AA2" w:rsidP="004B3222"/>
    <w:p w14:paraId="131FAA09" w14:textId="4D641558" w:rsidR="001E7AA2" w:rsidRPr="00CF68D9" w:rsidRDefault="00CF68D9" w:rsidP="004B3222">
      <w:pPr>
        <w:rPr>
          <w:rFonts w:ascii="Calibri" w:hAnsi="Calibri" w:cs="Calibri"/>
          <w:b/>
          <w:bCs/>
          <w:color w:val="000000" w:themeColor="text1"/>
        </w:rPr>
      </w:pPr>
      <w:r w:rsidRPr="00CF68D9">
        <w:rPr>
          <w:rFonts w:ascii="Calibri" w:hAnsi="Calibri" w:cs="Calibri"/>
          <w:b/>
          <w:bCs/>
          <w:color w:val="000000" w:themeColor="text1"/>
        </w:rPr>
        <w:t>Key Takeaways:</w:t>
      </w:r>
    </w:p>
    <w:p w14:paraId="20F94649" w14:textId="77777777" w:rsidR="001E7AA2" w:rsidRPr="001E7AA2" w:rsidRDefault="001E7AA2" w:rsidP="001E7AA2">
      <w:pPr>
        <w:rPr>
          <w:rFonts w:ascii="Calibri" w:hAnsi="Calibri" w:cs="Calibri"/>
          <w:color w:val="000000" w:themeColor="text1"/>
        </w:rPr>
      </w:pPr>
      <w:r w:rsidRPr="001E7AA2">
        <w:rPr>
          <w:rFonts w:ascii="Calibri" w:hAnsi="Calibri" w:cs="Calibri"/>
          <w:color w:val="000000" w:themeColor="text1"/>
        </w:rPr>
        <w:t>The ratio analysis conducted for the fiscal years 2023 and 2024 reveals significant insights into the company’s financial performance:</w:t>
      </w:r>
    </w:p>
    <w:p w14:paraId="160A1C90" w14:textId="4AE72CB7" w:rsidR="001E7AA2" w:rsidRPr="007B394D" w:rsidRDefault="001E7AA2" w:rsidP="001E7AA2">
      <w:pPr>
        <w:rPr>
          <w:rFonts w:ascii="Calibri" w:hAnsi="Calibri" w:cs="Calibri"/>
          <w:color w:val="000000" w:themeColor="text1"/>
        </w:rPr>
      </w:pPr>
      <w:r w:rsidRPr="007B394D">
        <w:rPr>
          <w:rFonts w:ascii="Calibri" w:hAnsi="Calibri" w:cs="Calibri"/>
          <w:color w:val="000000" w:themeColor="text1"/>
        </w:rPr>
        <w:t>Profitability Ratios:</w:t>
      </w:r>
    </w:p>
    <w:p w14:paraId="1CF68313" w14:textId="77777777" w:rsidR="001E7AA2" w:rsidRPr="001E7AA2" w:rsidRDefault="001E7AA2" w:rsidP="001E7AA2">
      <w:pPr>
        <w:rPr>
          <w:rFonts w:ascii="Calibri" w:hAnsi="Calibri" w:cs="Calibri"/>
          <w:color w:val="000000" w:themeColor="text1"/>
        </w:rPr>
      </w:pPr>
      <w:r w:rsidRPr="001E7AA2">
        <w:rPr>
          <w:rFonts w:ascii="Calibri" w:hAnsi="Calibri" w:cs="Calibri"/>
          <w:color w:val="000000" w:themeColor="text1"/>
        </w:rPr>
        <w:t>There is a noticeable decline in key profitability metrics such as Net Profit Margin, ROE, and ROA from 2023 to 2024, indicating reduced efficiency in generating profits from revenues and equity. This could be due to increased costs or declining revenues, warranting a closer look at operational efficiency.</w:t>
      </w:r>
    </w:p>
    <w:p w14:paraId="380F43AC" w14:textId="21AB47CB" w:rsidR="001E7AA2" w:rsidRPr="007B394D" w:rsidRDefault="001E7AA2" w:rsidP="001E7AA2">
      <w:pPr>
        <w:rPr>
          <w:rFonts w:ascii="Calibri" w:hAnsi="Calibri" w:cs="Calibri"/>
          <w:color w:val="000000" w:themeColor="text1"/>
        </w:rPr>
      </w:pPr>
      <w:r w:rsidRPr="001E7AA2">
        <w:rPr>
          <w:rFonts w:ascii="Calibri" w:hAnsi="Calibri" w:cs="Calibri"/>
          <w:color w:val="000000" w:themeColor="text1"/>
        </w:rPr>
        <w:t xml:space="preserve"> </w:t>
      </w:r>
      <w:r w:rsidRPr="007B394D">
        <w:rPr>
          <w:rFonts w:ascii="Calibri" w:hAnsi="Calibri" w:cs="Calibri"/>
          <w:color w:val="000000" w:themeColor="text1"/>
        </w:rPr>
        <w:t>Liquidity Ratios:</w:t>
      </w:r>
    </w:p>
    <w:p w14:paraId="3CA3FA2C" w14:textId="77777777" w:rsidR="001E7AA2" w:rsidRPr="001E7AA2" w:rsidRDefault="001E7AA2" w:rsidP="001E7AA2">
      <w:pPr>
        <w:rPr>
          <w:rFonts w:ascii="Calibri" w:hAnsi="Calibri" w:cs="Calibri"/>
          <w:color w:val="000000" w:themeColor="text1"/>
        </w:rPr>
      </w:pPr>
      <w:r w:rsidRPr="001E7AA2">
        <w:rPr>
          <w:rFonts w:ascii="Calibri" w:hAnsi="Calibri" w:cs="Calibri"/>
          <w:color w:val="000000" w:themeColor="text1"/>
        </w:rPr>
        <w:t>An improvement in the Current and Quick Ratios suggests a stronger short-term liquidity position in 2024. The company is better positioned to cover its short-term obligations, which enhances financial stability.</w:t>
      </w:r>
    </w:p>
    <w:p w14:paraId="79C137E8" w14:textId="42EDEC05" w:rsidR="001E7AA2" w:rsidRPr="001E7AA2" w:rsidRDefault="001E7AA2" w:rsidP="001E7AA2">
      <w:pPr>
        <w:rPr>
          <w:rFonts w:ascii="Calibri" w:hAnsi="Calibri" w:cs="Calibri"/>
          <w:b/>
          <w:bCs/>
          <w:color w:val="000000" w:themeColor="text1"/>
        </w:rPr>
      </w:pPr>
      <w:r w:rsidRPr="007B394D">
        <w:rPr>
          <w:rFonts w:ascii="Calibri" w:hAnsi="Calibri" w:cs="Calibri"/>
          <w:color w:val="000000" w:themeColor="text1"/>
        </w:rPr>
        <w:t xml:space="preserve"> Efficiency Ratios</w:t>
      </w:r>
      <w:r w:rsidRPr="001E7AA2">
        <w:rPr>
          <w:rFonts w:ascii="Calibri" w:hAnsi="Calibri" w:cs="Calibri"/>
          <w:b/>
          <w:bCs/>
          <w:color w:val="000000" w:themeColor="text1"/>
        </w:rPr>
        <w:t>:</w:t>
      </w:r>
    </w:p>
    <w:p w14:paraId="048ABBE4" w14:textId="77777777" w:rsidR="001E7AA2" w:rsidRPr="001E7AA2" w:rsidRDefault="001E7AA2" w:rsidP="001E7AA2">
      <w:pPr>
        <w:rPr>
          <w:rFonts w:ascii="Calibri" w:hAnsi="Calibri" w:cs="Calibri"/>
          <w:color w:val="000000" w:themeColor="text1"/>
        </w:rPr>
      </w:pPr>
      <w:r w:rsidRPr="001E7AA2">
        <w:rPr>
          <w:rFonts w:ascii="Calibri" w:hAnsi="Calibri" w:cs="Calibri"/>
          <w:color w:val="000000" w:themeColor="text1"/>
        </w:rPr>
        <w:t>The Asset Turnover ratio declined, reflecting lower asset utilization. However, Inventory Turnover improved, indicating better inventory management. A fall in Receivables Turnover points to slower collections, which may impact cash flow.</w:t>
      </w:r>
    </w:p>
    <w:p w14:paraId="5956D000" w14:textId="3C845B47" w:rsidR="001E7AA2" w:rsidRPr="007B394D" w:rsidRDefault="001E7AA2" w:rsidP="001E7AA2">
      <w:pPr>
        <w:rPr>
          <w:rFonts w:ascii="Calibri" w:hAnsi="Calibri" w:cs="Calibri"/>
          <w:color w:val="000000" w:themeColor="text1"/>
        </w:rPr>
      </w:pPr>
      <w:r w:rsidRPr="007B394D">
        <w:rPr>
          <w:rFonts w:ascii="Calibri" w:hAnsi="Calibri" w:cs="Calibri"/>
          <w:color w:val="000000" w:themeColor="text1"/>
        </w:rPr>
        <w:t xml:space="preserve"> Leverage Ratios:</w:t>
      </w:r>
    </w:p>
    <w:p w14:paraId="72767659" w14:textId="77777777" w:rsidR="001E7AA2" w:rsidRPr="001E7AA2" w:rsidRDefault="001E7AA2" w:rsidP="001E7AA2">
      <w:pPr>
        <w:rPr>
          <w:rFonts w:ascii="Calibri" w:hAnsi="Calibri" w:cs="Calibri"/>
          <w:color w:val="000000" w:themeColor="text1"/>
        </w:rPr>
      </w:pPr>
      <w:r w:rsidRPr="001E7AA2">
        <w:rPr>
          <w:rFonts w:ascii="Calibri" w:hAnsi="Calibri" w:cs="Calibri"/>
          <w:color w:val="000000" w:themeColor="text1"/>
        </w:rPr>
        <w:t>Leverage metrics such as the Debt-to-Equity and Debt Ratio slightly improved in 2024, suggesting a marginally reduced financial risk. However, a steep drop in Interest Coverage signals rising interest expenses or falling EBIT, which could pose repayment risks.</w:t>
      </w:r>
    </w:p>
    <w:p w14:paraId="0BF1DB95" w14:textId="0764F578" w:rsidR="001E7AA2" w:rsidRPr="00CF68D9" w:rsidRDefault="001E7AA2" w:rsidP="004B3222">
      <w:pPr>
        <w:rPr>
          <w:rFonts w:ascii="Calibri" w:hAnsi="Calibri" w:cs="Calibri"/>
          <w:color w:val="000000" w:themeColor="text1"/>
        </w:rPr>
      </w:pPr>
      <w:r w:rsidRPr="00CF68D9">
        <w:rPr>
          <w:rFonts w:ascii="Calibri" w:hAnsi="Calibri" w:cs="Calibri"/>
          <w:color w:val="000000" w:themeColor="text1"/>
        </w:rPr>
        <w:lastRenderedPageBreak/>
        <w:t>So</w:t>
      </w:r>
      <w:r w:rsidR="00AC7CC3" w:rsidRPr="00CF68D9">
        <w:rPr>
          <w:rFonts w:ascii="Calibri" w:hAnsi="Calibri" w:cs="Calibri"/>
          <w:color w:val="000000" w:themeColor="text1"/>
        </w:rPr>
        <w:t>,</w:t>
      </w:r>
      <w:r w:rsidRPr="00CF68D9">
        <w:rPr>
          <w:rFonts w:ascii="Calibri" w:hAnsi="Calibri" w:cs="Calibri"/>
          <w:color w:val="000000" w:themeColor="text1"/>
        </w:rPr>
        <w:t xml:space="preserve"> we can say that the company demonstrates better liquidity and inventory management in 2024, but profitability pressures and declining collection efficiency are areas of concern. A strategic focus on cost optimization, receivables management, and revenue growth is essential to improve overall financial health.</w:t>
      </w:r>
    </w:p>
    <w:p w14:paraId="258DF1A0" w14:textId="77777777" w:rsidR="00AC7CC3" w:rsidRPr="00AC7CC3" w:rsidRDefault="00AC7CC3" w:rsidP="004B3222"/>
    <w:p w14:paraId="6829223F" w14:textId="56982E25" w:rsidR="004B3222" w:rsidRPr="007B394D" w:rsidRDefault="004B3222" w:rsidP="004B3222">
      <w:pPr>
        <w:rPr>
          <w:rFonts w:ascii="Calibri" w:hAnsi="Calibri" w:cs="Calibri"/>
          <w:b/>
          <w:bCs/>
        </w:rPr>
      </w:pPr>
      <w:r w:rsidRPr="007B394D">
        <w:rPr>
          <w:rFonts w:ascii="Calibri" w:hAnsi="Calibri" w:cs="Calibri"/>
          <w:b/>
          <w:bCs/>
        </w:rPr>
        <w:t>Strategic I</w:t>
      </w:r>
      <w:r w:rsidR="00CF68D9" w:rsidRPr="007B394D">
        <w:rPr>
          <w:rFonts w:ascii="Calibri" w:hAnsi="Calibri" w:cs="Calibri"/>
          <w:b/>
          <w:bCs/>
        </w:rPr>
        <w:t>nsights</w:t>
      </w:r>
    </w:p>
    <w:p w14:paraId="0D13C2ED" w14:textId="77777777" w:rsidR="004B3222" w:rsidRPr="004B3222" w:rsidRDefault="004B3222" w:rsidP="004B3222">
      <w:pPr>
        <w:numPr>
          <w:ilvl w:val="0"/>
          <w:numId w:val="6"/>
        </w:numPr>
        <w:rPr>
          <w:rFonts w:ascii="Calibri" w:hAnsi="Calibri" w:cs="Calibri"/>
        </w:rPr>
      </w:pPr>
      <w:r w:rsidRPr="007B394D">
        <w:rPr>
          <w:rFonts w:ascii="Calibri" w:hAnsi="Calibri" w:cs="Calibri"/>
        </w:rPr>
        <w:t>Tesla may be in a transition or investment phase, spending heavily on R&amp;D or capacity expansion</w:t>
      </w:r>
      <w:r w:rsidRPr="004B3222">
        <w:rPr>
          <w:rFonts w:ascii="Calibri" w:hAnsi="Calibri" w:cs="Calibri"/>
        </w:rPr>
        <w:t>.</w:t>
      </w:r>
    </w:p>
    <w:p w14:paraId="4A29B120" w14:textId="331AF114" w:rsidR="004B3222" w:rsidRPr="00CF68D9" w:rsidRDefault="004B3222" w:rsidP="004B3222">
      <w:pPr>
        <w:numPr>
          <w:ilvl w:val="0"/>
          <w:numId w:val="6"/>
        </w:numPr>
        <w:rPr>
          <w:rFonts w:ascii="Calibri" w:hAnsi="Calibri" w:cs="Calibri"/>
        </w:rPr>
      </w:pPr>
      <w:r w:rsidRPr="004B3222">
        <w:rPr>
          <w:rFonts w:ascii="Calibri" w:hAnsi="Calibri" w:cs="Calibri"/>
        </w:rPr>
        <w:t>Declining profit margins suggest a need for tighter operational efficiency or pricing strategy evaluation.</w:t>
      </w:r>
    </w:p>
    <w:p w14:paraId="1BCC9A9D" w14:textId="6877BA96" w:rsidR="00B349D8" w:rsidRPr="004B3222" w:rsidRDefault="00B349D8" w:rsidP="004B3222">
      <w:pPr>
        <w:numPr>
          <w:ilvl w:val="0"/>
          <w:numId w:val="6"/>
        </w:numPr>
        <w:rPr>
          <w:rFonts w:ascii="Calibri" w:hAnsi="Calibri" w:cs="Calibri"/>
        </w:rPr>
      </w:pPr>
      <w:r w:rsidRPr="00CF68D9">
        <w:rPr>
          <w:rFonts w:ascii="Calibri" w:hAnsi="Calibri" w:cs="Calibri"/>
        </w:rPr>
        <w:t>While Tesla improved in managing its inventory, its asset utilization slightly declined, and the slower receivables turnover may signal a need to tighten collection processes or reevaluate credit terms.</w:t>
      </w:r>
    </w:p>
    <w:p w14:paraId="3C7CE6DA" w14:textId="77777777" w:rsidR="004B3222" w:rsidRPr="00CF68D9" w:rsidRDefault="004B3222" w:rsidP="004B3222">
      <w:pPr>
        <w:numPr>
          <w:ilvl w:val="0"/>
          <w:numId w:val="6"/>
        </w:numPr>
        <w:rPr>
          <w:rFonts w:ascii="Calibri" w:hAnsi="Calibri" w:cs="Calibri"/>
        </w:rPr>
      </w:pPr>
      <w:r w:rsidRPr="004B3222">
        <w:rPr>
          <w:rFonts w:ascii="Calibri" w:hAnsi="Calibri" w:cs="Calibri"/>
        </w:rPr>
        <w:t>The company is financially sound in the short term, but long-term investor confidence might depend on profit margin recovery and revenue growth.</w:t>
      </w:r>
    </w:p>
    <w:p w14:paraId="567B7B08" w14:textId="77777777" w:rsidR="007B394D" w:rsidRDefault="007B394D" w:rsidP="0014419B">
      <w:pPr>
        <w:rPr>
          <w:rFonts w:ascii="Calibri" w:hAnsi="Calibri" w:cs="Calibri"/>
          <w:b/>
          <w:bCs/>
        </w:rPr>
      </w:pPr>
    </w:p>
    <w:p w14:paraId="09657FD7" w14:textId="7540EAC5" w:rsidR="0014419B" w:rsidRPr="00CF68D9" w:rsidRDefault="0014419B" w:rsidP="0014419B">
      <w:pPr>
        <w:rPr>
          <w:rFonts w:ascii="Calibri" w:hAnsi="Calibri" w:cs="Calibri"/>
          <w:b/>
          <w:bCs/>
        </w:rPr>
      </w:pPr>
      <w:r w:rsidRPr="00CF68D9">
        <w:rPr>
          <w:rFonts w:ascii="Calibri" w:hAnsi="Calibri" w:cs="Calibri"/>
          <w:b/>
          <w:bCs/>
        </w:rPr>
        <w:t xml:space="preserve">Sources: </w:t>
      </w:r>
    </w:p>
    <w:p w14:paraId="68D4131B" w14:textId="5F6BE453" w:rsidR="0014419B" w:rsidRPr="00CF68D9" w:rsidRDefault="0014419B" w:rsidP="0014419B">
      <w:pPr>
        <w:rPr>
          <w:rFonts w:ascii="Calibri" w:hAnsi="Calibri" w:cs="Calibri"/>
        </w:rPr>
      </w:pPr>
      <w:r w:rsidRPr="00CF68D9">
        <w:rPr>
          <w:rFonts w:ascii="Calibri" w:hAnsi="Calibri" w:cs="Calibri"/>
        </w:rPr>
        <w:t>Tesla 10K and annual report</w:t>
      </w:r>
    </w:p>
    <w:p w14:paraId="4638F32C" w14:textId="77777777" w:rsidR="001E7AA2" w:rsidRPr="004B3222" w:rsidRDefault="001E7AA2" w:rsidP="001E7AA2">
      <w:pPr>
        <w:ind w:left="720"/>
      </w:pPr>
    </w:p>
    <w:p w14:paraId="4E34839D" w14:textId="77777777" w:rsidR="004B3222" w:rsidRDefault="004B3222"/>
    <w:sectPr w:rsidR="004B3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3F728" w14:textId="77777777" w:rsidR="00145E10" w:rsidRDefault="00145E10" w:rsidP="00F12F5C">
      <w:pPr>
        <w:spacing w:after="0" w:line="240" w:lineRule="auto"/>
      </w:pPr>
      <w:r>
        <w:separator/>
      </w:r>
    </w:p>
  </w:endnote>
  <w:endnote w:type="continuationSeparator" w:id="0">
    <w:p w14:paraId="05CDA8EB" w14:textId="77777777" w:rsidR="00145E10" w:rsidRDefault="00145E10" w:rsidP="00F1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05F61" w14:textId="77777777" w:rsidR="00145E10" w:rsidRDefault="00145E10" w:rsidP="00F12F5C">
      <w:pPr>
        <w:spacing w:after="0" w:line="240" w:lineRule="auto"/>
      </w:pPr>
      <w:r>
        <w:separator/>
      </w:r>
    </w:p>
  </w:footnote>
  <w:footnote w:type="continuationSeparator" w:id="0">
    <w:p w14:paraId="015A20C1" w14:textId="77777777" w:rsidR="00145E10" w:rsidRDefault="00145E10" w:rsidP="00F12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F4221"/>
    <w:multiLevelType w:val="multilevel"/>
    <w:tmpl w:val="677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4F42"/>
    <w:multiLevelType w:val="hybridMultilevel"/>
    <w:tmpl w:val="42B81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16E27"/>
    <w:multiLevelType w:val="multilevel"/>
    <w:tmpl w:val="2A8ED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7100"/>
    <w:multiLevelType w:val="multilevel"/>
    <w:tmpl w:val="C86A2CF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20D83803"/>
    <w:multiLevelType w:val="multilevel"/>
    <w:tmpl w:val="392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05BA2"/>
    <w:multiLevelType w:val="multilevel"/>
    <w:tmpl w:val="5E72A698"/>
    <w:lvl w:ilvl="0">
      <w:start w:val="1"/>
      <w:numFmt w:val="bullet"/>
      <w:lvlText w:val=""/>
      <w:lvlJc w:val="left"/>
      <w:pPr>
        <w:tabs>
          <w:tab w:val="num" w:pos="720"/>
        </w:tabs>
        <w:ind w:left="720" w:hanging="360"/>
      </w:pPr>
      <w:rPr>
        <w:rFonts w:ascii="Symbol" w:hAnsi="Symbol" w:hint="default"/>
        <w:sz w:val="20"/>
      </w:rPr>
    </w:lvl>
    <w:lvl w:ilvl="1">
      <w:start w:val="2023"/>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865D4"/>
    <w:multiLevelType w:val="multilevel"/>
    <w:tmpl w:val="A5EAA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84CF1"/>
    <w:multiLevelType w:val="multilevel"/>
    <w:tmpl w:val="089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E1A79"/>
    <w:multiLevelType w:val="multilevel"/>
    <w:tmpl w:val="B5C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30E71"/>
    <w:multiLevelType w:val="multilevel"/>
    <w:tmpl w:val="78F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17795"/>
    <w:multiLevelType w:val="multilevel"/>
    <w:tmpl w:val="A7C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C3F0E"/>
    <w:multiLevelType w:val="multilevel"/>
    <w:tmpl w:val="846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C3802"/>
    <w:multiLevelType w:val="multilevel"/>
    <w:tmpl w:val="BBC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336001">
    <w:abstractNumId w:val="2"/>
  </w:num>
  <w:num w:numId="2" w16cid:durableId="699552501">
    <w:abstractNumId w:val="3"/>
  </w:num>
  <w:num w:numId="3" w16cid:durableId="1004093953">
    <w:abstractNumId w:val="6"/>
  </w:num>
  <w:num w:numId="4" w16cid:durableId="1177504090">
    <w:abstractNumId w:val="10"/>
  </w:num>
  <w:num w:numId="5" w16cid:durableId="1262763478">
    <w:abstractNumId w:val="8"/>
  </w:num>
  <w:num w:numId="6" w16cid:durableId="762183807">
    <w:abstractNumId w:val="0"/>
  </w:num>
  <w:num w:numId="7" w16cid:durableId="1472210160">
    <w:abstractNumId w:val="5"/>
  </w:num>
  <w:num w:numId="8" w16cid:durableId="330908280">
    <w:abstractNumId w:val="7"/>
  </w:num>
  <w:num w:numId="9" w16cid:durableId="1872838413">
    <w:abstractNumId w:val="4"/>
  </w:num>
  <w:num w:numId="10" w16cid:durableId="1944147999">
    <w:abstractNumId w:val="12"/>
  </w:num>
  <w:num w:numId="11" w16cid:durableId="1103383745">
    <w:abstractNumId w:val="9"/>
  </w:num>
  <w:num w:numId="12" w16cid:durableId="1123159526">
    <w:abstractNumId w:val="11"/>
  </w:num>
  <w:num w:numId="13" w16cid:durableId="1135682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22"/>
    <w:rsid w:val="000F7908"/>
    <w:rsid w:val="001123AD"/>
    <w:rsid w:val="0014419B"/>
    <w:rsid w:val="00145E10"/>
    <w:rsid w:val="001E7AA2"/>
    <w:rsid w:val="004B3222"/>
    <w:rsid w:val="00576E52"/>
    <w:rsid w:val="005F790E"/>
    <w:rsid w:val="00614F7B"/>
    <w:rsid w:val="00661BCF"/>
    <w:rsid w:val="007B394D"/>
    <w:rsid w:val="008C7028"/>
    <w:rsid w:val="0093489B"/>
    <w:rsid w:val="00982500"/>
    <w:rsid w:val="00AC7CC3"/>
    <w:rsid w:val="00B349D8"/>
    <w:rsid w:val="00B76249"/>
    <w:rsid w:val="00CF68D9"/>
    <w:rsid w:val="00D36DED"/>
    <w:rsid w:val="00EB716B"/>
    <w:rsid w:val="00F12F5C"/>
    <w:rsid w:val="00F44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E3F9"/>
  <w15:chartTrackingRefBased/>
  <w15:docId w15:val="{A62C8530-4F30-452A-956C-08C9E67D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222"/>
    <w:rPr>
      <w:rFonts w:eastAsiaTheme="majorEastAsia" w:cstheme="majorBidi"/>
      <w:color w:val="272727" w:themeColor="text1" w:themeTint="D8"/>
    </w:rPr>
  </w:style>
  <w:style w:type="paragraph" w:styleId="Title">
    <w:name w:val="Title"/>
    <w:basedOn w:val="Normal"/>
    <w:next w:val="Normal"/>
    <w:link w:val="TitleChar"/>
    <w:uiPriority w:val="10"/>
    <w:qFormat/>
    <w:rsid w:val="004B3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222"/>
    <w:pPr>
      <w:spacing w:before="160"/>
      <w:jc w:val="center"/>
    </w:pPr>
    <w:rPr>
      <w:i/>
      <w:iCs/>
      <w:color w:val="404040" w:themeColor="text1" w:themeTint="BF"/>
    </w:rPr>
  </w:style>
  <w:style w:type="character" w:customStyle="1" w:styleId="QuoteChar">
    <w:name w:val="Quote Char"/>
    <w:basedOn w:val="DefaultParagraphFont"/>
    <w:link w:val="Quote"/>
    <w:uiPriority w:val="29"/>
    <w:rsid w:val="004B3222"/>
    <w:rPr>
      <w:i/>
      <w:iCs/>
      <w:color w:val="404040" w:themeColor="text1" w:themeTint="BF"/>
    </w:rPr>
  </w:style>
  <w:style w:type="paragraph" w:styleId="ListParagraph">
    <w:name w:val="List Paragraph"/>
    <w:basedOn w:val="Normal"/>
    <w:uiPriority w:val="34"/>
    <w:qFormat/>
    <w:rsid w:val="004B3222"/>
    <w:pPr>
      <w:ind w:left="720"/>
      <w:contextualSpacing/>
    </w:pPr>
  </w:style>
  <w:style w:type="character" w:styleId="IntenseEmphasis">
    <w:name w:val="Intense Emphasis"/>
    <w:basedOn w:val="DefaultParagraphFont"/>
    <w:uiPriority w:val="21"/>
    <w:qFormat/>
    <w:rsid w:val="004B3222"/>
    <w:rPr>
      <w:i/>
      <w:iCs/>
      <w:color w:val="0F4761" w:themeColor="accent1" w:themeShade="BF"/>
    </w:rPr>
  </w:style>
  <w:style w:type="paragraph" w:styleId="IntenseQuote">
    <w:name w:val="Intense Quote"/>
    <w:basedOn w:val="Normal"/>
    <w:next w:val="Normal"/>
    <w:link w:val="IntenseQuoteChar"/>
    <w:uiPriority w:val="30"/>
    <w:qFormat/>
    <w:rsid w:val="004B3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222"/>
    <w:rPr>
      <w:i/>
      <w:iCs/>
      <w:color w:val="0F4761" w:themeColor="accent1" w:themeShade="BF"/>
    </w:rPr>
  </w:style>
  <w:style w:type="character" w:styleId="IntenseReference">
    <w:name w:val="Intense Reference"/>
    <w:basedOn w:val="DefaultParagraphFont"/>
    <w:uiPriority w:val="32"/>
    <w:qFormat/>
    <w:rsid w:val="004B3222"/>
    <w:rPr>
      <w:b/>
      <w:bCs/>
      <w:smallCaps/>
      <w:color w:val="0F4761" w:themeColor="accent1" w:themeShade="BF"/>
      <w:spacing w:val="5"/>
    </w:rPr>
  </w:style>
  <w:style w:type="paragraph" w:styleId="Header">
    <w:name w:val="header"/>
    <w:basedOn w:val="Normal"/>
    <w:link w:val="HeaderChar"/>
    <w:uiPriority w:val="99"/>
    <w:unhideWhenUsed/>
    <w:rsid w:val="00F12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F5C"/>
  </w:style>
  <w:style w:type="paragraph" w:styleId="Footer">
    <w:name w:val="footer"/>
    <w:basedOn w:val="Normal"/>
    <w:link w:val="FooterChar"/>
    <w:uiPriority w:val="99"/>
    <w:unhideWhenUsed/>
    <w:rsid w:val="00F12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F5C"/>
  </w:style>
  <w:style w:type="paragraph" w:styleId="NormalWeb">
    <w:name w:val="Normal (Web)"/>
    <w:basedOn w:val="Normal"/>
    <w:uiPriority w:val="99"/>
    <w:semiHidden/>
    <w:unhideWhenUsed/>
    <w:rsid w:val="00576E5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7829">
      <w:bodyDiv w:val="1"/>
      <w:marLeft w:val="0"/>
      <w:marRight w:val="0"/>
      <w:marTop w:val="0"/>
      <w:marBottom w:val="0"/>
      <w:divBdr>
        <w:top w:val="none" w:sz="0" w:space="0" w:color="auto"/>
        <w:left w:val="none" w:sz="0" w:space="0" w:color="auto"/>
        <w:bottom w:val="none" w:sz="0" w:space="0" w:color="auto"/>
        <w:right w:val="none" w:sz="0" w:space="0" w:color="auto"/>
      </w:divBdr>
    </w:div>
    <w:div w:id="102002218">
      <w:bodyDiv w:val="1"/>
      <w:marLeft w:val="0"/>
      <w:marRight w:val="0"/>
      <w:marTop w:val="0"/>
      <w:marBottom w:val="0"/>
      <w:divBdr>
        <w:top w:val="none" w:sz="0" w:space="0" w:color="auto"/>
        <w:left w:val="none" w:sz="0" w:space="0" w:color="auto"/>
        <w:bottom w:val="none" w:sz="0" w:space="0" w:color="auto"/>
        <w:right w:val="none" w:sz="0" w:space="0" w:color="auto"/>
      </w:divBdr>
    </w:div>
    <w:div w:id="289825977">
      <w:bodyDiv w:val="1"/>
      <w:marLeft w:val="0"/>
      <w:marRight w:val="0"/>
      <w:marTop w:val="0"/>
      <w:marBottom w:val="0"/>
      <w:divBdr>
        <w:top w:val="none" w:sz="0" w:space="0" w:color="auto"/>
        <w:left w:val="none" w:sz="0" w:space="0" w:color="auto"/>
        <w:bottom w:val="none" w:sz="0" w:space="0" w:color="auto"/>
        <w:right w:val="none" w:sz="0" w:space="0" w:color="auto"/>
      </w:divBdr>
    </w:div>
    <w:div w:id="301928428">
      <w:bodyDiv w:val="1"/>
      <w:marLeft w:val="0"/>
      <w:marRight w:val="0"/>
      <w:marTop w:val="0"/>
      <w:marBottom w:val="0"/>
      <w:divBdr>
        <w:top w:val="none" w:sz="0" w:space="0" w:color="auto"/>
        <w:left w:val="none" w:sz="0" w:space="0" w:color="auto"/>
        <w:bottom w:val="none" w:sz="0" w:space="0" w:color="auto"/>
        <w:right w:val="none" w:sz="0" w:space="0" w:color="auto"/>
      </w:divBdr>
    </w:div>
    <w:div w:id="352195751">
      <w:bodyDiv w:val="1"/>
      <w:marLeft w:val="0"/>
      <w:marRight w:val="0"/>
      <w:marTop w:val="0"/>
      <w:marBottom w:val="0"/>
      <w:divBdr>
        <w:top w:val="none" w:sz="0" w:space="0" w:color="auto"/>
        <w:left w:val="none" w:sz="0" w:space="0" w:color="auto"/>
        <w:bottom w:val="none" w:sz="0" w:space="0" w:color="auto"/>
        <w:right w:val="none" w:sz="0" w:space="0" w:color="auto"/>
      </w:divBdr>
    </w:div>
    <w:div w:id="433408003">
      <w:bodyDiv w:val="1"/>
      <w:marLeft w:val="0"/>
      <w:marRight w:val="0"/>
      <w:marTop w:val="0"/>
      <w:marBottom w:val="0"/>
      <w:divBdr>
        <w:top w:val="none" w:sz="0" w:space="0" w:color="auto"/>
        <w:left w:val="none" w:sz="0" w:space="0" w:color="auto"/>
        <w:bottom w:val="none" w:sz="0" w:space="0" w:color="auto"/>
        <w:right w:val="none" w:sz="0" w:space="0" w:color="auto"/>
      </w:divBdr>
    </w:div>
    <w:div w:id="441071591">
      <w:bodyDiv w:val="1"/>
      <w:marLeft w:val="0"/>
      <w:marRight w:val="0"/>
      <w:marTop w:val="0"/>
      <w:marBottom w:val="0"/>
      <w:divBdr>
        <w:top w:val="none" w:sz="0" w:space="0" w:color="auto"/>
        <w:left w:val="none" w:sz="0" w:space="0" w:color="auto"/>
        <w:bottom w:val="none" w:sz="0" w:space="0" w:color="auto"/>
        <w:right w:val="none" w:sz="0" w:space="0" w:color="auto"/>
      </w:divBdr>
    </w:div>
    <w:div w:id="497119942">
      <w:bodyDiv w:val="1"/>
      <w:marLeft w:val="0"/>
      <w:marRight w:val="0"/>
      <w:marTop w:val="0"/>
      <w:marBottom w:val="0"/>
      <w:divBdr>
        <w:top w:val="none" w:sz="0" w:space="0" w:color="auto"/>
        <w:left w:val="none" w:sz="0" w:space="0" w:color="auto"/>
        <w:bottom w:val="none" w:sz="0" w:space="0" w:color="auto"/>
        <w:right w:val="none" w:sz="0" w:space="0" w:color="auto"/>
      </w:divBdr>
    </w:div>
    <w:div w:id="523593129">
      <w:bodyDiv w:val="1"/>
      <w:marLeft w:val="0"/>
      <w:marRight w:val="0"/>
      <w:marTop w:val="0"/>
      <w:marBottom w:val="0"/>
      <w:divBdr>
        <w:top w:val="none" w:sz="0" w:space="0" w:color="auto"/>
        <w:left w:val="none" w:sz="0" w:space="0" w:color="auto"/>
        <w:bottom w:val="none" w:sz="0" w:space="0" w:color="auto"/>
        <w:right w:val="none" w:sz="0" w:space="0" w:color="auto"/>
      </w:divBdr>
      <w:divsChild>
        <w:div w:id="1078477625">
          <w:marLeft w:val="0"/>
          <w:marRight w:val="0"/>
          <w:marTop w:val="0"/>
          <w:marBottom w:val="0"/>
          <w:divBdr>
            <w:top w:val="none" w:sz="0" w:space="0" w:color="auto"/>
            <w:left w:val="none" w:sz="0" w:space="0" w:color="auto"/>
            <w:bottom w:val="none" w:sz="0" w:space="0" w:color="auto"/>
            <w:right w:val="none" w:sz="0" w:space="0" w:color="auto"/>
          </w:divBdr>
          <w:divsChild>
            <w:div w:id="13692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0044">
      <w:bodyDiv w:val="1"/>
      <w:marLeft w:val="0"/>
      <w:marRight w:val="0"/>
      <w:marTop w:val="0"/>
      <w:marBottom w:val="0"/>
      <w:divBdr>
        <w:top w:val="none" w:sz="0" w:space="0" w:color="auto"/>
        <w:left w:val="none" w:sz="0" w:space="0" w:color="auto"/>
        <w:bottom w:val="none" w:sz="0" w:space="0" w:color="auto"/>
        <w:right w:val="none" w:sz="0" w:space="0" w:color="auto"/>
      </w:divBdr>
    </w:div>
    <w:div w:id="638416908">
      <w:bodyDiv w:val="1"/>
      <w:marLeft w:val="0"/>
      <w:marRight w:val="0"/>
      <w:marTop w:val="0"/>
      <w:marBottom w:val="0"/>
      <w:divBdr>
        <w:top w:val="none" w:sz="0" w:space="0" w:color="auto"/>
        <w:left w:val="none" w:sz="0" w:space="0" w:color="auto"/>
        <w:bottom w:val="none" w:sz="0" w:space="0" w:color="auto"/>
        <w:right w:val="none" w:sz="0" w:space="0" w:color="auto"/>
      </w:divBdr>
    </w:div>
    <w:div w:id="643118368">
      <w:bodyDiv w:val="1"/>
      <w:marLeft w:val="0"/>
      <w:marRight w:val="0"/>
      <w:marTop w:val="0"/>
      <w:marBottom w:val="0"/>
      <w:divBdr>
        <w:top w:val="none" w:sz="0" w:space="0" w:color="auto"/>
        <w:left w:val="none" w:sz="0" w:space="0" w:color="auto"/>
        <w:bottom w:val="none" w:sz="0" w:space="0" w:color="auto"/>
        <w:right w:val="none" w:sz="0" w:space="0" w:color="auto"/>
      </w:divBdr>
      <w:divsChild>
        <w:div w:id="1084108957">
          <w:marLeft w:val="0"/>
          <w:marRight w:val="0"/>
          <w:marTop w:val="0"/>
          <w:marBottom w:val="0"/>
          <w:divBdr>
            <w:top w:val="none" w:sz="0" w:space="0" w:color="auto"/>
            <w:left w:val="none" w:sz="0" w:space="0" w:color="auto"/>
            <w:bottom w:val="none" w:sz="0" w:space="0" w:color="auto"/>
            <w:right w:val="none" w:sz="0" w:space="0" w:color="auto"/>
          </w:divBdr>
          <w:divsChild>
            <w:div w:id="19174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2424">
      <w:bodyDiv w:val="1"/>
      <w:marLeft w:val="0"/>
      <w:marRight w:val="0"/>
      <w:marTop w:val="0"/>
      <w:marBottom w:val="0"/>
      <w:divBdr>
        <w:top w:val="none" w:sz="0" w:space="0" w:color="auto"/>
        <w:left w:val="none" w:sz="0" w:space="0" w:color="auto"/>
        <w:bottom w:val="none" w:sz="0" w:space="0" w:color="auto"/>
        <w:right w:val="none" w:sz="0" w:space="0" w:color="auto"/>
      </w:divBdr>
    </w:div>
    <w:div w:id="744302037">
      <w:bodyDiv w:val="1"/>
      <w:marLeft w:val="0"/>
      <w:marRight w:val="0"/>
      <w:marTop w:val="0"/>
      <w:marBottom w:val="0"/>
      <w:divBdr>
        <w:top w:val="none" w:sz="0" w:space="0" w:color="auto"/>
        <w:left w:val="none" w:sz="0" w:space="0" w:color="auto"/>
        <w:bottom w:val="none" w:sz="0" w:space="0" w:color="auto"/>
        <w:right w:val="none" w:sz="0" w:space="0" w:color="auto"/>
      </w:divBdr>
    </w:div>
    <w:div w:id="797526071">
      <w:bodyDiv w:val="1"/>
      <w:marLeft w:val="0"/>
      <w:marRight w:val="0"/>
      <w:marTop w:val="0"/>
      <w:marBottom w:val="0"/>
      <w:divBdr>
        <w:top w:val="none" w:sz="0" w:space="0" w:color="auto"/>
        <w:left w:val="none" w:sz="0" w:space="0" w:color="auto"/>
        <w:bottom w:val="none" w:sz="0" w:space="0" w:color="auto"/>
        <w:right w:val="none" w:sz="0" w:space="0" w:color="auto"/>
      </w:divBdr>
    </w:div>
    <w:div w:id="805122117">
      <w:bodyDiv w:val="1"/>
      <w:marLeft w:val="0"/>
      <w:marRight w:val="0"/>
      <w:marTop w:val="0"/>
      <w:marBottom w:val="0"/>
      <w:divBdr>
        <w:top w:val="none" w:sz="0" w:space="0" w:color="auto"/>
        <w:left w:val="none" w:sz="0" w:space="0" w:color="auto"/>
        <w:bottom w:val="none" w:sz="0" w:space="0" w:color="auto"/>
        <w:right w:val="none" w:sz="0" w:space="0" w:color="auto"/>
      </w:divBdr>
    </w:div>
    <w:div w:id="820779703">
      <w:bodyDiv w:val="1"/>
      <w:marLeft w:val="0"/>
      <w:marRight w:val="0"/>
      <w:marTop w:val="0"/>
      <w:marBottom w:val="0"/>
      <w:divBdr>
        <w:top w:val="none" w:sz="0" w:space="0" w:color="auto"/>
        <w:left w:val="none" w:sz="0" w:space="0" w:color="auto"/>
        <w:bottom w:val="none" w:sz="0" w:space="0" w:color="auto"/>
        <w:right w:val="none" w:sz="0" w:space="0" w:color="auto"/>
      </w:divBdr>
    </w:div>
    <w:div w:id="828905191">
      <w:bodyDiv w:val="1"/>
      <w:marLeft w:val="0"/>
      <w:marRight w:val="0"/>
      <w:marTop w:val="0"/>
      <w:marBottom w:val="0"/>
      <w:divBdr>
        <w:top w:val="none" w:sz="0" w:space="0" w:color="auto"/>
        <w:left w:val="none" w:sz="0" w:space="0" w:color="auto"/>
        <w:bottom w:val="none" w:sz="0" w:space="0" w:color="auto"/>
        <w:right w:val="none" w:sz="0" w:space="0" w:color="auto"/>
      </w:divBdr>
    </w:div>
    <w:div w:id="849298960">
      <w:bodyDiv w:val="1"/>
      <w:marLeft w:val="0"/>
      <w:marRight w:val="0"/>
      <w:marTop w:val="0"/>
      <w:marBottom w:val="0"/>
      <w:divBdr>
        <w:top w:val="none" w:sz="0" w:space="0" w:color="auto"/>
        <w:left w:val="none" w:sz="0" w:space="0" w:color="auto"/>
        <w:bottom w:val="none" w:sz="0" w:space="0" w:color="auto"/>
        <w:right w:val="none" w:sz="0" w:space="0" w:color="auto"/>
      </w:divBdr>
    </w:div>
    <w:div w:id="850264658">
      <w:bodyDiv w:val="1"/>
      <w:marLeft w:val="0"/>
      <w:marRight w:val="0"/>
      <w:marTop w:val="0"/>
      <w:marBottom w:val="0"/>
      <w:divBdr>
        <w:top w:val="none" w:sz="0" w:space="0" w:color="auto"/>
        <w:left w:val="none" w:sz="0" w:space="0" w:color="auto"/>
        <w:bottom w:val="none" w:sz="0" w:space="0" w:color="auto"/>
        <w:right w:val="none" w:sz="0" w:space="0" w:color="auto"/>
      </w:divBdr>
    </w:div>
    <w:div w:id="857280609">
      <w:bodyDiv w:val="1"/>
      <w:marLeft w:val="0"/>
      <w:marRight w:val="0"/>
      <w:marTop w:val="0"/>
      <w:marBottom w:val="0"/>
      <w:divBdr>
        <w:top w:val="none" w:sz="0" w:space="0" w:color="auto"/>
        <w:left w:val="none" w:sz="0" w:space="0" w:color="auto"/>
        <w:bottom w:val="none" w:sz="0" w:space="0" w:color="auto"/>
        <w:right w:val="none" w:sz="0" w:space="0" w:color="auto"/>
      </w:divBdr>
    </w:div>
    <w:div w:id="886450964">
      <w:bodyDiv w:val="1"/>
      <w:marLeft w:val="0"/>
      <w:marRight w:val="0"/>
      <w:marTop w:val="0"/>
      <w:marBottom w:val="0"/>
      <w:divBdr>
        <w:top w:val="none" w:sz="0" w:space="0" w:color="auto"/>
        <w:left w:val="none" w:sz="0" w:space="0" w:color="auto"/>
        <w:bottom w:val="none" w:sz="0" w:space="0" w:color="auto"/>
        <w:right w:val="none" w:sz="0" w:space="0" w:color="auto"/>
      </w:divBdr>
    </w:div>
    <w:div w:id="897126948">
      <w:bodyDiv w:val="1"/>
      <w:marLeft w:val="0"/>
      <w:marRight w:val="0"/>
      <w:marTop w:val="0"/>
      <w:marBottom w:val="0"/>
      <w:divBdr>
        <w:top w:val="none" w:sz="0" w:space="0" w:color="auto"/>
        <w:left w:val="none" w:sz="0" w:space="0" w:color="auto"/>
        <w:bottom w:val="none" w:sz="0" w:space="0" w:color="auto"/>
        <w:right w:val="none" w:sz="0" w:space="0" w:color="auto"/>
      </w:divBdr>
    </w:div>
    <w:div w:id="970667911">
      <w:bodyDiv w:val="1"/>
      <w:marLeft w:val="0"/>
      <w:marRight w:val="0"/>
      <w:marTop w:val="0"/>
      <w:marBottom w:val="0"/>
      <w:divBdr>
        <w:top w:val="none" w:sz="0" w:space="0" w:color="auto"/>
        <w:left w:val="none" w:sz="0" w:space="0" w:color="auto"/>
        <w:bottom w:val="none" w:sz="0" w:space="0" w:color="auto"/>
        <w:right w:val="none" w:sz="0" w:space="0" w:color="auto"/>
      </w:divBdr>
    </w:div>
    <w:div w:id="988512232">
      <w:bodyDiv w:val="1"/>
      <w:marLeft w:val="0"/>
      <w:marRight w:val="0"/>
      <w:marTop w:val="0"/>
      <w:marBottom w:val="0"/>
      <w:divBdr>
        <w:top w:val="none" w:sz="0" w:space="0" w:color="auto"/>
        <w:left w:val="none" w:sz="0" w:space="0" w:color="auto"/>
        <w:bottom w:val="none" w:sz="0" w:space="0" w:color="auto"/>
        <w:right w:val="none" w:sz="0" w:space="0" w:color="auto"/>
      </w:divBdr>
    </w:div>
    <w:div w:id="1035883479">
      <w:bodyDiv w:val="1"/>
      <w:marLeft w:val="0"/>
      <w:marRight w:val="0"/>
      <w:marTop w:val="0"/>
      <w:marBottom w:val="0"/>
      <w:divBdr>
        <w:top w:val="none" w:sz="0" w:space="0" w:color="auto"/>
        <w:left w:val="none" w:sz="0" w:space="0" w:color="auto"/>
        <w:bottom w:val="none" w:sz="0" w:space="0" w:color="auto"/>
        <w:right w:val="none" w:sz="0" w:space="0" w:color="auto"/>
      </w:divBdr>
    </w:div>
    <w:div w:id="1062295913">
      <w:bodyDiv w:val="1"/>
      <w:marLeft w:val="0"/>
      <w:marRight w:val="0"/>
      <w:marTop w:val="0"/>
      <w:marBottom w:val="0"/>
      <w:divBdr>
        <w:top w:val="none" w:sz="0" w:space="0" w:color="auto"/>
        <w:left w:val="none" w:sz="0" w:space="0" w:color="auto"/>
        <w:bottom w:val="none" w:sz="0" w:space="0" w:color="auto"/>
        <w:right w:val="none" w:sz="0" w:space="0" w:color="auto"/>
      </w:divBdr>
    </w:div>
    <w:div w:id="1205676257">
      <w:bodyDiv w:val="1"/>
      <w:marLeft w:val="0"/>
      <w:marRight w:val="0"/>
      <w:marTop w:val="0"/>
      <w:marBottom w:val="0"/>
      <w:divBdr>
        <w:top w:val="none" w:sz="0" w:space="0" w:color="auto"/>
        <w:left w:val="none" w:sz="0" w:space="0" w:color="auto"/>
        <w:bottom w:val="none" w:sz="0" w:space="0" w:color="auto"/>
        <w:right w:val="none" w:sz="0" w:space="0" w:color="auto"/>
      </w:divBdr>
    </w:div>
    <w:div w:id="1256671520">
      <w:bodyDiv w:val="1"/>
      <w:marLeft w:val="0"/>
      <w:marRight w:val="0"/>
      <w:marTop w:val="0"/>
      <w:marBottom w:val="0"/>
      <w:divBdr>
        <w:top w:val="none" w:sz="0" w:space="0" w:color="auto"/>
        <w:left w:val="none" w:sz="0" w:space="0" w:color="auto"/>
        <w:bottom w:val="none" w:sz="0" w:space="0" w:color="auto"/>
        <w:right w:val="none" w:sz="0" w:space="0" w:color="auto"/>
      </w:divBdr>
    </w:div>
    <w:div w:id="1466120288">
      <w:bodyDiv w:val="1"/>
      <w:marLeft w:val="0"/>
      <w:marRight w:val="0"/>
      <w:marTop w:val="0"/>
      <w:marBottom w:val="0"/>
      <w:divBdr>
        <w:top w:val="none" w:sz="0" w:space="0" w:color="auto"/>
        <w:left w:val="none" w:sz="0" w:space="0" w:color="auto"/>
        <w:bottom w:val="none" w:sz="0" w:space="0" w:color="auto"/>
        <w:right w:val="none" w:sz="0" w:space="0" w:color="auto"/>
      </w:divBdr>
    </w:div>
    <w:div w:id="1523667139">
      <w:bodyDiv w:val="1"/>
      <w:marLeft w:val="0"/>
      <w:marRight w:val="0"/>
      <w:marTop w:val="0"/>
      <w:marBottom w:val="0"/>
      <w:divBdr>
        <w:top w:val="none" w:sz="0" w:space="0" w:color="auto"/>
        <w:left w:val="none" w:sz="0" w:space="0" w:color="auto"/>
        <w:bottom w:val="none" w:sz="0" w:space="0" w:color="auto"/>
        <w:right w:val="none" w:sz="0" w:space="0" w:color="auto"/>
      </w:divBdr>
    </w:div>
    <w:div w:id="1674264956">
      <w:bodyDiv w:val="1"/>
      <w:marLeft w:val="0"/>
      <w:marRight w:val="0"/>
      <w:marTop w:val="0"/>
      <w:marBottom w:val="0"/>
      <w:divBdr>
        <w:top w:val="none" w:sz="0" w:space="0" w:color="auto"/>
        <w:left w:val="none" w:sz="0" w:space="0" w:color="auto"/>
        <w:bottom w:val="none" w:sz="0" w:space="0" w:color="auto"/>
        <w:right w:val="none" w:sz="0" w:space="0" w:color="auto"/>
      </w:divBdr>
    </w:div>
    <w:div w:id="1677465789">
      <w:bodyDiv w:val="1"/>
      <w:marLeft w:val="0"/>
      <w:marRight w:val="0"/>
      <w:marTop w:val="0"/>
      <w:marBottom w:val="0"/>
      <w:divBdr>
        <w:top w:val="none" w:sz="0" w:space="0" w:color="auto"/>
        <w:left w:val="none" w:sz="0" w:space="0" w:color="auto"/>
        <w:bottom w:val="none" w:sz="0" w:space="0" w:color="auto"/>
        <w:right w:val="none" w:sz="0" w:space="0" w:color="auto"/>
      </w:divBdr>
    </w:div>
    <w:div w:id="1793667722">
      <w:bodyDiv w:val="1"/>
      <w:marLeft w:val="0"/>
      <w:marRight w:val="0"/>
      <w:marTop w:val="0"/>
      <w:marBottom w:val="0"/>
      <w:divBdr>
        <w:top w:val="none" w:sz="0" w:space="0" w:color="auto"/>
        <w:left w:val="none" w:sz="0" w:space="0" w:color="auto"/>
        <w:bottom w:val="none" w:sz="0" w:space="0" w:color="auto"/>
        <w:right w:val="none" w:sz="0" w:space="0" w:color="auto"/>
      </w:divBdr>
    </w:div>
    <w:div w:id="1812553182">
      <w:bodyDiv w:val="1"/>
      <w:marLeft w:val="0"/>
      <w:marRight w:val="0"/>
      <w:marTop w:val="0"/>
      <w:marBottom w:val="0"/>
      <w:divBdr>
        <w:top w:val="none" w:sz="0" w:space="0" w:color="auto"/>
        <w:left w:val="none" w:sz="0" w:space="0" w:color="auto"/>
        <w:bottom w:val="none" w:sz="0" w:space="0" w:color="auto"/>
        <w:right w:val="none" w:sz="0" w:space="0" w:color="auto"/>
      </w:divBdr>
    </w:div>
    <w:div w:id="1822189216">
      <w:bodyDiv w:val="1"/>
      <w:marLeft w:val="0"/>
      <w:marRight w:val="0"/>
      <w:marTop w:val="0"/>
      <w:marBottom w:val="0"/>
      <w:divBdr>
        <w:top w:val="none" w:sz="0" w:space="0" w:color="auto"/>
        <w:left w:val="none" w:sz="0" w:space="0" w:color="auto"/>
        <w:bottom w:val="none" w:sz="0" w:space="0" w:color="auto"/>
        <w:right w:val="none" w:sz="0" w:space="0" w:color="auto"/>
      </w:divBdr>
    </w:div>
    <w:div w:id="1938053372">
      <w:bodyDiv w:val="1"/>
      <w:marLeft w:val="0"/>
      <w:marRight w:val="0"/>
      <w:marTop w:val="0"/>
      <w:marBottom w:val="0"/>
      <w:divBdr>
        <w:top w:val="none" w:sz="0" w:space="0" w:color="auto"/>
        <w:left w:val="none" w:sz="0" w:space="0" w:color="auto"/>
        <w:bottom w:val="none" w:sz="0" w:space="0" w:color="auto"/>
        <w:right w:val="none" w:sz="0" w:space="0" w:color="auto"/>
      </w:divBdr>
    </w:div>
    <w:div w:id="1941720127">
      <w:bodyDiv w:val="1"/>
      <w:marLeft w:val="0"/>
      <w:marRight w:val="0"/>
      <w:marTop w:val="0"/>
      <w:marBottom w:val="0"/>
      <w:divBdr>
        <w:top w:val="none" w:sz="0" w:space="0" w:color="auto"/>
        <w:left w:val="none" w:sz="0" w:space="0" w:color="auto"/>
        <w:bottom w:val="none" w:sz="0" w:space="0" w:color="auto"/>
        <w:right w:val="none" w:sz="0" w:space="0" w:color="auto"/>
      </w:divBdr>
    </w:div>
    <w:div w:id="1958288413">
      <w:bodyDiv w:val="1"/>
      <w:marLeft w:val="0"/>
      <w:marRight w:val="0"/>
      <w:marTop w:val="0"/>
      <w:marBottom w:val="0"/>
      <w:divBdr>
        <w:top w:val="none" w:sz="0" w:space="0" w:color="auto"/>
        <w:left w:val="none" w:sz="0" w:space="0" w:color="auto"/>
        <w:bottom w:val="none" w:sz="0" w:space="0" w:color="auto"/>
        <w:right w:val="none" w:sz="0" w:space="0" w:color="auto"/>
      </w:divBdr>
    </w:div>
    <w:div w:id="19712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Ratio%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Ratio%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Ratio%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Ratio%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IN" b="1">
                <a:solidFill>
                  <a:sysClr val="windowText" lastClr="000000"/>
                </a:solidFill>
              </a:rPr>
              <a:t>Profitability Ratios of 2023 vs 2024</a:t>
            </a:r>
          </a:p>
        </c:rich>
      </c:tx>
      <c:overlay val="0"/>
      <c:spPr>
        <a:solidFill>
          <a:sysClr val="window" lastClr="FFFFFF"/>
        </a:solid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58593628654994"/>
          <c:y val="0.15045498351877318"/>
          <c:w val="0.79084908268111409"/>
          <c:h val="0.80313254246573351"/>
        </c:manualLayout>
      </c:layout>
      <c:lineChart>
        <c:grouping val="standard"/>
        <c:varyColors val="0"/>
        <c:ser>
          <c:idx val="0"/>
          <c:order val="0"/>
          <c:tx>
            <c:strRef>
              <c:f>'Profitability Chart'!$A$2</c:f>
              <c:strCache>
                <c:ptCount val="1"/>
                <c:pt idx="0">
                  <c:v> Gross profit Margin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'Profitability Chart'!$B$1:$C$1</c:f>
              <c:numCache>
                <c:formatCode>General</c:formatCode>
                <c:ptCount val="2"/>
                <c:pt idx="0">
                  <c:v>2023</c:v>
                </c:pt>
                <c:pt idx="1">
                  <c:v>2024</c:v>
                </c:pt>
              </c:numCache>
            </c:numRef>
          </c:cat>
          <c:val>
            <c:numRef>
              <c:f>'Profitability Chart'!$B$2:$C$2</c:f>
              <c:numCache>
                <c:formatCode>0.00%</c:formatCode>
                <c:ptCount val="2"/>
                <c:pt idx="0">
                  <c:v>0.18248891736331416</c:v>
                </c:pt>
                <c:pt idx="1">
                  <c:v>0.17862626676220697</c:v>
                </c:pt>
              </c:numCache>
            </c:numRef>
          </c:val>
          <c:smooth val="0"/>
          <c:extLst>
            <c:ext xmlns:c16="http://schemas.microsoft.com/office/drawing/2014/chart" uri="{C3380CC4-5D6E-409C-BE32-E72D297353CC}">
              <c16:uniqueId val="{00000000-117A-4D07-ACC6-2ECF8DF5A9DA}"/>
            </c:ext>
          </c:extLst>
        </c:ser>
        <c:ser>
          <c:idx val="1"/>
          <c:order val="1"/>
          <c:tx>
            <c:strRef>
              <c:f>'Profitability Chart'!$A$3</c:f>
              <c:strCache>
                <c:ptCount val="1"/>
                <c:pt idx="0">
                  <c:v> Operating margin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4620554577117178E-2"/>
                  <c:y val="-3.20013344730949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17A-4D07-ACC6-2ECF8DF5A9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'Profitability Chart'!$B$1:$C$1</c:f>
              <c:numCache>
                <c:formatCode>General</c:formatCode>
                <c:ptCount val="2"/>
                <c:pt idx="0">
                  <c:v>2023</c:v>
                </c:pt>
                <c:pt idx="1">
                  <c:v>2024</c:v>
                </c:pt>
              </c:numCache>
            </c:numRef>
          </c:cat>
          <c:val>
            <c:numRef>
              <c:f>'Profitability Chart'!$B$3:$C$3</c:f>
              <c:numCache>
                <c:formatCode>0.00%</c:formatCode>
                <c:ptCount val="2"/>
                <c:pt idx="0">
                  <c:v>9.1874799789197395E-2</c:v>
                </c:pt>
                <c:pt idx="1">
                  <c:v>7.2433207083631893E-2</c:v>
                </c:pt>
              </c:numCache>
            </c:numRef>
          </c:val>
          <c:smooth val="0"/>
          <c:extLst>
            <c:ext xmlns:c16="http://schemas.microsoft.com/office/drawing/2014/chart" uri="{C3380CC4-5D6E-409C-BE32-E72D297353CC}">
              <c16:uniqueId val="{00000002-117A-4D07-ACC6-2ECF8DF5A9DA}"/>
            </c:ext>
          </c:extLst>
        </c:ser>
        <c:ser>
          <c:idx val="2"/>
          <c:order val="2"/>
          <c:tx>
            <c:strRef>
              <c:f>'Profitability Chart'!$A$4</c:f>
              <c:strCache>
                <c:ptCount val="1"/>
                <c:pt idx="0">
                  <c:v> Net Profit Margin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1"/>
              <c:layout>
                <c:manualLayout>
                  <c:x val="2.7649352256243799E-3"/>
                  <c:y val="6.42326114081322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17A-4D07-ACC6-2ECF8DF5A9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'Profitability Chart'!$B$1:$C$1</c:f>
              <c:numCache>
                <c:formatCode>General</c:formatCode>
                <c:ptCount val="2"/>
                <c:pt idx="0">
                  <c:v>2023</c:v>
                </c:pt>
                <c:pt idx="1">
                  <c:v>2024</c:v>
                </c:pt>
              </c:numCache>
            </c:numRef>
          </c:cat>
          <c:val>
            <c:numRef>
              <c:f>'Profitability Chart'!$B$4:$C$4</c:f>
              <c:numCache>
                <c:formatCode>0.00%</c:formatCode>
                <c:ptCount val="2"/>
                <c:pt idx="0">
                  <c:v>0.1547332417099811</c:v>
                </c:pt>
                <c:pt idx="1">
                  <c:v>7.322141467908691E-2</c:v>
                </c:pt>
              </c:numCache>
            </c:numRef>
          </c:val>
          <c:smooth val="0"/>
          <c:extLst>
            <c:ext xmlns:c16="http://schemas.microsoft.com/office/drawing/2014/chart" uri="{C3380CC4-5D6E-409C-BE32-E72D297353CC}">
              <c16:uniqueId val="{00000004-117A-4D07-ACC6-2ECF8DF5A9DA}"/>
            </c:ext>
          </c:extLst>
        </c:ser>
        <c:ser>
          <c:idx val="3"/>
          <c:order val="3"/>
          <c:tx>
            <c:strRef>
              <c:f>'Profitability Chart'!$A$5</c:f>
              <c:strCache>
                <c:ptCount val="1"/>
                <c:pt idx="0">
                  <c:v> Return on Equity (ROE)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'Profitability Chart'!$B$1:$C$1</c:f>
              <c:numCache>
                <c:formatCode>General</c:formatCode>
                <c:ptCount val="2"/>
                <c:pt idx="0">
                  <c:v>2023</c:v>
                </c:pt>
                <c:pt idx="1">
                  <c:v>2024</c:v>
                </c:pt>
              </c:numCache>
            </c:numRef>
          </c:cat>
          <c:val>
            <c:numRef>
              <c:f>'Profitability Chart'!$B$5:$C$5</c:f>
              <c:numCache>
                <c:formatCode>0.00%</c:formatCode>
                <c:ptCount val="2"/>
                <c:pt idx="0">
                  <c:v>0.23943864354823258</c:v>
                </c:pt>
                <c:pt idx="1">
                  <c:v>9.7252890431061681E-2</c:v>
                </c:pt>
              </c:numCache>
            </c:numRef>
          </c:val>
          <c:smooth val="0"/>
          <c:extLst>
            <c:ext xmlns:c16="http://schemas.microsoft.com/office/drawing/2014/chart" uri="{C3380CC4-5D6E-409C-BE32-E72D297353CC}">
              <c16:uniqueId val="{00000005-117A-4D07-ACC6-2ECF8DF5A9DA}"/>
            </c:ext>
          </c:extLst>
        </c:ser>
        <c:ser>
          <c:idx val="4"/>
          <c:order val="4"/>
          <c:tx>
            <c:strRef>
              <c:f>'Profitability Chart'!$A$6</c:f>
              <c:strCache>
                <c:ptCount val="1"/>
                <c:pt idx="0">
                  <c:v> Return on Assets (ROA)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0"/>
              <c:layout>
                <c:manualLayout>
                  <c:x val="-9.0998071863453739E-2"/>
                  <c:y val="-3.8675160683654098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906987199579545"/>
                      <c:h val="7.8160456320912647E-2"/>
                    </c:manualLayout>
                  </c15:layout>
                </c:ext>
                <c:ext xmlns:c16="http://schemas.microsoft.com/office/drawing/2014/chart" uri="{C3380CC4-5D6E-409C-BE32-E72D297353CC}">
                  <c16:uniqueId val="{00000006-117A-4D07-ACC6-2ECF8DF5A9DA}"/>
                </c:ext>
              </c:extLst>
            </c:dLbl>
            <c:dLbl>
              <c:idx val="1"/>
              <c:layout>
                <c:manualLayout>
                  <c:x val="-1.5957899946558933E-2"/>
                  <c:y val="3.9724577339533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17A-4D07-ACC6-2ECF8DF5A9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'Profitability Chart'!$B$1:$C$1</c:f>
              <c:numCache>
                <c:formatCode>General</c:formatCode>
                <c:ptCount val="2"/>
                <c:pt idx="0">
                  <c:v>2023</c:v>
                </c:pt>
                <c:pt idx="1">
                  <c:v>2024</c:v>
                </c:pt>
              </c:numCache>
            </c:numRef>
          </c:cat>
          <c:val>
            <c:numRef>
              <c:f>'Profitability Chart'!$B$6:$C$6</c:f>
              <c:numCache>
                <c:formatCode>0.00%</c:formatCode>
                <c:ptCount val="2"/>
                <c:pt idx="0">
                  <c:v>0.1406610516047947</c:v>
                </c:pt>
                <c:pt idx="1">
                  <c:v>5.8089620709429017E-2</c:v>
                </c:pt>
              </c:numCache>
            </c:numRef>
          </c:val>
          <c:smooth val="0"/>
          <c:extLst>
            <c:ext xmlns:c16="http://schemas.microsoft.com/office/drawing/2014/chart" uri="{C3380CC4-5D6E-409C-BE32-E72D297353CC}">
              <c16:uniqueId val="{00000008-117A-4D07-ACC6-2ECF8DF5A9DA}"/>
            </c:ext>
          </c:extLst>
        </c:ser>
        <c:dLbls>
          <c:dLblPos val="t"/>
          <c:showLegendKey val="0"/>
          <c:showVal val="1"/>
          <c:showCatName val="0"/>
          <c:showSerName val="0"/>
          <c:showPercent val="0"/>
          <c:showBubbleSize val="0"/>
        </c:dLbls>
        <c:marker val="1"/>
        <c:smooth val="0"/>
        <c:axId val="700224559"/>
        <c:axId val="700227439"/>
      </c:lineChart>
      <c:catAx>
        <c:axId val="700224559"/>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IN" sz="1200" b="1">
                    <a:solidFill>
                      <a:sysClr val="windowText" lastClr="000000"/>
                    </a:solidFill>
                  </a:rPr>
                  <a:t>Year</a:t>
                </a:r>
              </a:p>
            </c:rich>
          </c:tx>
          <c:layout>
            <c:manualLayout>
              <c:xMode val="edge"/>
              <c:yMode val="edge"/>
              <c:x val="0.48592482609294935"/>
              <c:y val="0.86515820456217818"/>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227439"/>
        <c:crosses val="autoZero"/>
        <c:auto val="1"/>
        <c:lblAlgn val="ctr"/>
        <c:lblOffset val="100"/>
        <c:noMultiLvlLbl val="0"/>
      </c:catAx>
      <c:valAx>
        <c:axId val="700227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IN" sz="1200" b="1">
                    <a:solidFill>
                      <a:sysClr val="windowText" lastClr="000000"/>
                    </a:solidFill>
                  </a:rPr>
                  <a:t>Ratios</a:t>
                </a:r>
                <a:r>
                  <a:rPr lang="en-IN" sz="1200" b="1" baseline="0">
                    <a:solidFill>
                      <a:sysClr val="windowText" lastClr="000000"/>
                    </a:solidFill>
                  </a:rPr>
                  <a:t> %</a:t>
                </a:r>
                <a:endParaRPr lang="en-IN" sz="12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22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IN" b="1">
                <a:solidFill>
                  <a:sysClr val="windowText" lastClr="000000"/>
                </a:solidFill>
              </a:rPr>
              <a:t>Liquidity Comparison 2023 vs 2024</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'Liquidity Comparison Chart'!$B$2</c:f>
              <c:strCache>
                <c:ptCount val="1"/>
                <c:pt idx="0">
                  <c:v>2023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'Liquidity Comparison Chart'!$A$3:$A$4</c:f>
              <c:strCache>
                <c:ptCount val="2"/>
                <c:pt idx="0">
                  <c:v> Current Ratio</c:v>
                </c:pt>
                <c:pt idx="1">
                  <c:v> Quick ratio</c:v>
                </c:pt>
              </c:strCache>
            </c:strRef>
          </c:cat>
          <c:val>
            <c:numRef>
              <c:f>'Liquidity Comparison Chart'!$B$3:$B$4</c:f>
              <c:numCache>
                <c:formatCode>General</c:formatCode>
                <c:ptCount val="2"/>
                <c:pt idx="0">
                  <c:v>1.7258939752330598</c:v>
                </c:pt>
                <c:pt idx="1">
                  <c:v>1.1340614999304299</c:v>
                </c:pt>
              </c:numCache>
            </c:numRef>
          </c:val>
          <c:extLst>
            <c:ext xmlns:c16="http://schemas.microsoft.com/office/drawing/2014/chart" uri="{C3380CC4-5D6E-409C-BE32-E72D297353CC}">
              <c16:uniqueId val="{00000000-A023-4130-8FC4-DDC68FE1D53A}"/>
            </c:ext>
          </c:extLst>
        </c:ser>
        <c:ser>
          <c:idx val="1"/>
          <c:order val="1"/>
          <c:tx>
            <c:strRef>
              <c:f>'Liquidity Comparison Chart'!$C$2</c:f>
              <c:strCache>
                <c:ptCount val="1"/>
                <c:pt idx="0">
                  <c:v>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'Liquidity Comparison Chart'!$A$3:$A$4</c:f>
              <c:strCache>
                <c:ptCount val="2"/>
                <c:pt idx="0">
                  <c:v> Current Ratio</c:v>
                </c:pt>
                <c:pt idx="1">
                  <c:v> Quick ratio</c:v>
                </c:pt>
              </c:strCache>
            </c:strRef>
          </c:cat>
          <c:val>
            <c:numRef>
              <c:f>'Liquidity Comparison Chart'!$C$3:$C$4</c:f>
              <c:numCache>
                <c:formatCode>General</c:formatCode>
                <c:ptCount val="2"/>
                <c:pt idx="0">
                  <c:v>2.0249123902709831</c:v>
                </c:pt>
                <c:pt idx="1">
                  <c:v>1.421914576177093</c:v>
                </c:pt>
              </c:numCache>
            </c:numRef>
          </c:val>
          <c:extLst>
            <c:ext xmlns:c16="http://schemas.microsoft.com/office/drawing/2014/chart" uri="{C3380CC4-5D6E-409C-BE32-E72D297353CC}">
              <c16:uniqueId val="{00000001-A023-4130-8FC4-DDC68FE1D53A}"/>
            </c:ext>
          </c:extLst>
        </c:ser>
        <c:dLbls>
          <c:showLegendKey val="0"/>
          <c:showVal val="0"/>
          <c:showCatName val="0"/>
          <c:showSerName val="0"/>
          <c:showPercent val="0"/>
          <c:showBubbleSize val="0"/>
        </c:dLbls>
        <c:gapWidth val="219"/>
        <c:overlap val="-27"/>
        <c:axId val="453070367"/>
        <c:axId val="453067007"/>
      </c:barChart>
      <c:catAx>
        <c:axId val="453070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67007"/>
        <c:crosses val="autoZero"/>
        <c:auto val="1"/>
        <c:lblAlgn val="ctr"/>
        <c:lblOffset val="100"/>
        <c:noMultiLvlLbl val="0"/>
      </c:catAx>
      <c:valAx>
        <c:axId val="45306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Ratio</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70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IN" b="1">
                <a:solidFill>
                  <a:sysClr val="windowText" lastClr="000000"/>
                </a:solidFill>
              </a:rPr>
              <a:t>Efficiency Ratios 2023 vs 2024</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'Leverage Ratios Comparison'!$B$1</c:f>
              <c:strCache>
                <c:ptCount val="1"/>
                <c:pt idx="0">
                  <c:v>2023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'Leverage Ratios Comparison'!$A$2:$A$3</c:f>
              <c:strCache>
                <c:ptCount val="2"/>
                <c:pt idx="0">
                  <c:v> Debt to equity Ratio</c:v>
                </c:pt>
                <c:pt idx="1">
                  <c:v>Debt Ratio</c:v>
                </c:pt>
              </c:strCache>
            </c:strRef>
          </c:cat>
          <c:val>
            <c:numRef>
              <c:f>'Leverage Ratios Comparison'!$B$2:$B$3</c:f>
              <c:numCache>
                <c:formatCode>0.000</c:formatCode>
                <c:ptCount val="2"/>
                <c:pt idx="0">
                  <c:v>0.68667177571287163</c:v>
                </c:pt>
                <c:pt idx="1">
                  <c:v>0.40339342324935751</c:v>
                </c:pt>
              </c:numCache>
            </c:numRef>
          </c:val>
          <c:extLst>
            <c:ext xmlns:c16="http://schemas.microsoft.com/office/drawing/2014/chart" uri="{C3380CC4-5D6E-409C-BE32-E72D297353CC}">
              <c16:uniqueId val="{00000000-F3DB-48DD-BB8D-D13BB817B11B}"/>
            </c:ext>
          </c:extLst>
        </c:ser>
        <c:ser>
          <c:idx val="1"/>
          <c:order val="1"/>
          <c:tx>
            <c:strRef>
              <c:f>'Leverage Ratios Comparison'!$C$1</c:f>
              <c:strCache>
                <c:ptCount val="1"/>
                <c:pt idx="0">
                  <c:v>2024</c:v>
                </c:pt>
              </c:strCache>
            </c:strRef>
          </c:tx>
          <c:spPr>
            <a:solidFill>
              <a:schemeClr val="accent2"/>
            </a:solidFill>
            <a:ln>
              <a:noFill/>
            </a:ln>
            <a:effectLst/>
          </c:spPr>
          <c:invertIfNegative val="0"/>
          <c:dLbls>
            <c:dLbl>
              <c:idx val="0"/>
              <c:layout>
                <c:manualLayout>
                  <c:x val="5.8333333333333286E-2"/>
                  <c:y val="-4.629629629629671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DB-48DD-BB8D-D13BB817B11B}"/>
                </c:ext>
              </c:extLst>
            </c:dLbl>
            <c:dLbl>
              <c:idx val="1"/>
              <c:layout>
                <c:manualLayout>
                  <c:x val="2.500000000000000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3DB-48DD-BB8D-D13BB817B1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'Leverage Ratios Comparison'!$A$2:$A$3</c:f>
              <c:strCache>
                <c:ptCount val="2"/>
                <c:pt idx="0">
                  <c:v> Debt to equity Ratio</c:v>
                </c:pt>
                <c:pt idx="1">
                  <c:v>Debt Ratio</c:v>
                </c:pt>
              </c:strCache>
            </c:strRef>
          </c:cat>
          <c:val>
            <c:numRef>
              <c:f>'Leverage Ratios Comparison'!$C$2:$C$3</c:f>
              <c:numCache>
                <c:formatCode>0.000</c:formatCode>
                <c:ptCount val="2"/>
                <c:pt idx="0">
                  <c:v>0.66366765871655264</c:v>
                </c:pt>
                <c:pt idx="1">
                  <c:v>0.39641189481445072</c:v>
                </c:pt>
              </c:numCache>
            </c:numRef>
          </c:val>
          <c:extLst>
            <c:ext xmlns:c16="http://schemas.microsoft.com/office/drawing/2014/chart" uri="{C3380CC4-5D6E-409C-BE32-E72D297353CC}">
              <c16:uniqueId val="{00000003-F3DB-48DD-BB8D-D13BB817B11B}"/>
            </c:ext>
          </c:extLst>
        </c:ser>
        <c:dLbls>
          <c:showLegendKey val="0"/>
          <c:showVal val="0"/>
          <c:showCatName val="0"/>
          <c:showSerName val="0"/>
          <c:showPercent val="0"/>
          <c:showBubbleSize val="0"/>
        </c:dLbls>
        <c:gapWidth val="219"/>
        <c:overlap val="-27"/>
        <c:axId val="728049343"/>
        <c:axId val="728049823"/>
      </c:barChart>
      <c:catAx>
        <c:axId val="72804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049823"/>
        <c:crosses val="autoZero"/>
        <c:auto val="1"/>
        <c:lblAlgn val="ctr"/>
        <c:lblOffset val="100"/>
        <c:noMultiLvlLbl val="0"/>
      </c:catAx>
      <c:valAx>
        <c:axId val="72804982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Ratios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04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IN" b="1">
                <a:solidFill>
                  <a:sysClr val="windowText" lastClr="000000"/>
                </a:solidFill>
              </a:rPr>
              <a:t>Interest Coverage ratio 2023 vs 2024</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'Leverage Ratios Comparison'!$F$1</c:f>
              <c:strCache>
                <c:ptCount val="1"/>
                <c:pt idx="0">
                  <c:v>2023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'Leverage Ratios Comparison'!$E$2</c:f>
              <c:strCache>
                <c:ptCount val="1"/>
                <c:pt idx="0">
                  <c:v> Interest coverage ratio</c:v>
                </c:pt>
              </c:strCache>
            </c:strRef>
          </c:cat>
          <c:val>
            <c:numRef>
              <c:f>'Leverage Ratios Comparison'!$F$2</c:f>
              <c:numCache>
                <c:formatCode>0.000</c:formatCode>
                <c:ptCount val="1"/>
                <c:pt idx="0">
                  <c:v>56.993589743589745</c:v>
                </c:pt>
              </c:numCache>
            </c:numRef>
          </c:val>
          <c:extLst>
            <c:ext xmlns:c16="http://schemas.microsoft.com/office/drawing/2014/chart" uri="{C3380CC4-5D6E-409C-BE32-E72D297353CC}">
              <c16:uniqueId val="{00000000-F414-49FB-B368-392D7E95F6D6}"/>
            </c:ext>
          </c:extLst>
        </c:ser>
        <c:ser>
          <c:idx val="1"/>
          <c:order val="1"/>
          <c:tx>
            <c:strRef>
              <c:f>'Leverage Ratios Comparison'!$G$1</c:f>
              <c:strCache>
                <c:ptCount val="1"/>
                <c:pt idx="0">
                  <c:v>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'Leverage Ratios Comparison'!$E$2</c:f>
              <c:strCache>
                <c:ptCount val="1"/>
                <c:pt idx="0">
                  <c:v> Interest coverage ratio</c:v>
                </c:pt>
              </c:strCache>
            </c:strRef>
          </c:cat>
          <c:val>
            <c:numRef>
              <c:f>'Leverage Ratios Comparison'!$G$2</c:f>
              <c:numCache>
                <c:formatCode>0.000</c:formatCode>
                <c:ptCount val="1"/>
                <c:pt idx="0">
                  <c:v>20.217142857142857</c:v>
                </c:pt>
              </c:numCache>
            </c:numRef>
          </c:val>
          <c:extLst>
            <c:ext xmlns:c16="http://schemas.microsoft.com/office/drawing/2014/chart" uri="{C3380CC4-5D6E-409C-BE32-E72D297353CC}">
              <c16:uniqueId val="{00000001-F414-49FB-B368-392D7E95F6D6}"/>
            </c:ext>
          </c:extLst>
        </c:ser>
        <c:dLbls>
          <c:dLblPos val="outEnd"/>
          <c:showLegendKey val="0"/>
          <c:showVal val="1"/>
          <c:showCatName val="0"/>
          <c:showSerName val="0"/>
          <c:showPercent val="0"/>
          <c:showBubbleSize val="0"/>
        </c:dLbls>
        <c:gapWidth val="219"/>
        <c:overlap val="-27"/>
        <c:axId val="296692879"/>
        <c:axId val="296711599"/>
      </c:barChart>
      <c:catAx>
        <c:axId val="296692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711599"/>
        <c:crosses val="autoZero"/>
        <c:auto val="1"/>
        <c:lblAlgn val="ctr"/>
        <c:lblOffset val="100"/>
        <c:noMultiLvlLbl val="0"/>
      </c:catAx>
      <c:valAx>
        <c:axId val="29671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Ratios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6928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15</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Suravi Mondal</dc:creator>
  <cp:keywords/>
  <dc:description/>
  <cp:lastModifiedBy>Suravi Mondal</cp:lastModifiedBy>
  <cp:revision>7</cp:revision>
  <dcterms:created xsi:type="dcterms:W3CDTF">2025-06-04T10:53:00Z</dcterms:created>
  <dcterms:modified xsi:type="dcterms:W3CDTF">2025-06-05T05:35:00Z</dcterms:modified>
</cp:coreProperties>
</file>