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Integration without Equalization:</w:t>
        <w:br/>
        <w:t>Visible and Structural Hierarchies in Multiplex Global Health Governance</w:t>
      </w:r>
    </w:p>
    <w:p>
      <w:pPr>
        <w:jc w:val="center"/>
      </w:pPr>
      <w:r>
        <w:rPr>
          <w:rFonts w:ascii="Arial" w:hAnsi="Arial"/>
          <w:sz w:val="22"/>
        </w:rPr>
        <w:t>surayabazarowa@marun.edu.tr</w:t>
      </w:r>
    </w:p>
    <w:p>
      <w:pPr>
        <w:jc w:val="center"/>
      </w:pPr>
      <w:r>
        <w:rPr>
          <w:rFonts w:ascii="Arial" w:hAnsi="Arial"/>
          <w:sz w:val="22"/>
        </w:rPr>
        <w:t>ORCID: 0000-0002-9061-6364</w:t>
      </w:r>
    </w:p>
    <w:p>
      <w:pPr>
        <w:pStyle w:val="Heading1"/>
      </w:pPr>
      <w:r>
        <w:t>Abstract</w:t>
      </w:r>
    </w:p>
    <w:p>
      <w:pPr>
        <w:jc w:val="both"/>
      </w:pPr>
      <w:r>
        <w:t>Global governance is understood as a multiplex system of overlapping institutions and dense, multi-layered interactions. Yet it remains unclear whether this connectivity fosters integration across countries or leaves underlying inequalities intact.</w:t>
      </w:r>
    </w:p>
    <w:p>
      <w:pPr>
        <w:jc w:val="both"/>
      </w:pPr>
      <w:r>
        <w:t>This article addresses this question by distinguishing between visible and structural hierarchy. Visible hierarchy captures states' positions within the relational architecture of global governance through interaction, alignment, and embeddedness. Structural hierarchy refers to enduring inequalities in material capacity, development, and institutional strength that shape states' ability to benefit from these connections.</w:t>
      </w:r>
    </w:p>
    <w:p>
      <w:pPr>
        <w:jc w:val="both"/>
      </w:pPr>
      <w:r>
        <w:t>Drawing on a balanced panel of 100 countries (2004-2024), the study combines health capacity, economic development, digital connectivity, UN voting alignment, and WHO-based governance indicators. Using temporal network analysis and dynamic panel estimation, it examines both the structure and consequences of global health governance.</w:t>
      </w:r>
    </w:p>
    <w:p>
      <w:pPr>
        <w:jc w:val="both"/>
      </w:pPr>
      <w:r>
        <w:t>The results show persistent, clustered, and structured patterns of interaction. Yet relational advantages do not translate into independent improvements in health outcomes once structural conditions are considered. The findings point to integration without equalization: connectivity expands, but structural hierarchies and North-South inequality persist.</w:t>
      </w:r>
    </w:p>
    <w:p>
      <w:pPr>
        <w:jc w:val="both"/>
      </w:pPr>
      <w:r>
        <w:t>Keywords: Multiplex Governance; Global Health Governance; Structural Inequality; Network Analysis; North-South Divide</w:t>
      </w:r>
    </w:p>
    <w:p>
      <w:pPr>
        <w:pStyle w:val="Heading1"/>
      </w:pPr>
      <w:r>
        <w:t>1. Introduction</w:t>
      </w:r>
    </w:p>
    <w:p>
      <w:pPr>
        <w:jc w:val="both"/>
      </w:pPr>
      <w:r>
        <w:t>Global governance is increasingly described as a multiplex order: institutional authority is dispersed across overlapping regimes, transnational interactions are dense, and states are embedded in multiple layers of cooperation, dependency, and normative alignment. In global health, this multiplexity is especially visible. Health systems are shaped not only by domestic capacity but also by international surveillance rules, development finance, digital infrastructures, normative commitments, and repeated interactions within multilateral arenas. Yet the systemic consequences of this transformation remain theoretically ambiguous. Connectivity may create integration by aligning countries and diffusing capacity; alternatively, it may reproduce fragmentation by organizing interaction without redistributing the structural resources that determine health outcomes.</w:t>
      </w:r>
    </w:p>
    <w:p>
      <w:pPr>
        <w:jc w:val="both"/>
      </w:pPr>
      <w:r>
        <w:t>This article asks whether multiplex global health governance integrates countries in ways that improve and equalize health outcomes, or whether it generates structured connectivity without substantive equalization. The empirical strategy deliberately separates three claims that are often conflated. First, it tests whether a country-level global health governance network exists as a structured relational object. Second, it examines whether network centrality has an independent effect on life expectancy once prior health outcomes and structural controls are considered. Third, it evaluates whether normative alignment and institutional health-governance indicators strengthen or qualify the main findings.</w:t>
      </w:r>
    </w:p>
    <w:p>
      <w:pPr>
        <w:jc w:val="both"/>
      </w:pPr>
      <w:r>
        <w:t>The central finding is not that networks are irrelevant. On the contrary, the annual networks are highly structured: temporal ERGM results show strong triadic closure and tie persistence. The key result is more precise: networked integration does not translate into robust equalization of health outcomes. Across dynamic panel, instrumental-variable, mechanism, and placebo specifications, lagged centrality is not a stable independent predictor of life expectancy. Multiplex governance therefore appears to organize interaction and alignment while leaving health outcomes strongly conditioned by development, capacity, digitalization, and durable North-South stratification.</w:t>
      </w:r>
    </w:p>
    <w:p>
      <w:pPr>
        <w:pStyle w:val="Heading1"/>
      </w:pPr>
      <w:r>
        <w:t>2. Data Architecture and Computational Workflow</w:t>
      </w:r>
    </w:p>
    <w:p>
      <w:pPr>
        <w:jc w:val="both"/>
      </w:pPr>
      <w:r>
        <w:t>The empirical database was constructed through a reproducible R/Python workflow. R scripts were used for data acquisition, cleaning, panel construction, network estimation, dynamic panel modeling, instrumental-variable estimation, mechanism tests, placebo simulations, and temporal ERGM estimation. Python was used for file-level auditing, row-count verification, manuscript assembly, and DOCX structural checks. All raw, intermediate, and final outputs are retained in the project directory to allow replication from source scripts.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88"/>
            <w:vAlign w:val="top"/>
            <w:shd w:fill="1F4E79"/>
          </w:tcPr>
          <w:p>
            <w:r/>
            <w:r>
              <w:rPr>
                <w:rFonts w:ascii="Arial" w:hAnsi="Arial"/>
                <w:b/>
                <w:color w:val="FFFFFF"/>
                <w:sz w:val="18"/>
              </w:rPr>
              <w:t>Layer</w:t>
            </w:r>
          </w:p>
        </w:tc>
        <w:tc>
          <w:tcPr>
            <w:tcW w:type="dxa" w:w="3024"/>
            <w:vAlign w:val="top"/>
            <w:shd w:fill="1F4E79"/>
          </w:tcPr>
          <w:p>
            <w:r/>
            <w:r>
              <w:rPr>
                <w:rFonts w:ascii="Arial" w:hAnsi="Arial"/>
                <w:b/>
                <w:color w:val="FFFFFF"/>
                <w:sz w:val="18"/>
              </w:rPr>
              <w:t>Source and file</w:t>
            </w:r>
          </w:p>
        </w:tc>
        <w:tc>
          <w:tcPr>
            <w:tcW w:type="dxa" w:w="2880"/>
            <w:vAlign w:val="top"/>
            <w:shd w:fill="1F4E79"/>
          </w:tcPr>
          <w:p>
            <w:r/>
            <w:r>
              <w:rPr>
                <w:rFonts w:ascii="Arial" w:hAnsi="Arial"/>
                <w:b/>
                <w:color w:val="FFFFFF"/>
                <w:sz w:val="18"/>
              </w:rPr>
              <w:t>Empirical size</w:t>
            </w:r>
          </w:p>
        </w:tc>
        <w:tc>
          <w:tcPr>
            <w:tcW w:type="dxa" w:w="2880"/>
            <w:vAlign w:val="top"/>
            <w:shd w:fill="1F4E79"/>
          </w:tcPr>
          <w:p>
            <w:r/>
            <w:r>
              <w:rPr>
                <w:rFonts w:ascii="Arial" w:hAnsi="Arial"/>
                <w:b/>
                <w:color w:val="FFFFFF"/>
                <w:sz w:val="18"/>
              </w:rPr>
              <w:t>Analytical role</w:t>
            </w:r>
          </w:p>
        </w:tc>
      </w:tr>
      <w:tr>
        <w:tc>
          <w:tcPr>
            <w:tcW w:type="dxa" w:w="2088"/>
            <w:vAlign w:val="top"/>
          </w:tcPr>
          <w:p>
            <w:r/>
            <w:r>
              <w:rPr>
                <w:rFonts w:ascii="Arial" w:hAnsi="Arial"/>
                <w:b w:val="0"/>
                <w:sz w:val="18"/>
              </w:rPr>
              <w:t>WDI health-capacity panel</w:t>
            </w:r>
          </w:p>
        </w:tc>
        <w:tc>
          <w:tcPr>
            <w:tcW w:type="dxa" w:w="3024"/>
            <w:vAlign w:val="top"/>
          </w:tcPr>
          <w:p>
            <w:r/>
            <w:r>
              <w:rPr>
                <w:rFonts w:ascii="Arial" w:hAnsi="Arial"/>
                <w:b w:val="0"/>
                <w:sz w:val="18"/>
              </w:rPr>
              <w:t>World Bank WDI; analysis_panel_100countries_2004_2024.csv</w:t>
            </w:r>
          </w:p>
        </w:tc>
        <w:tc>
          <w:tcPr>
            <w:tcW w:type="dxa" w:w="2880"/>
            <w:vAlign w:val="top"/>
          </w:tcPr>
          <w:p>
            <w:r/>
            <w:r>
              <w:rPr>
                <w:rFonts w:ascii="Arial" w:hAnsi="Arial"/>
                <w:b w:val="0"/>
                <w:sz w:val="18"/>
              </w:rPr>
              <w:t>100 countries x 21 years = 2,100 country-years; 10 indicators; 21,000 long observations</w:t>
            </w:r>
          </w:p>
        </w:tc>
        <w:tc>
          <w:tcPr>
            <w:tcW w:type="dxa" w:w="2880"/>
            <w:vAlign w:val="top"/>
          </w:tcPr>
          <w:p>
            <w:r/>
            <w:r>
              <w:rPr>
                <w:rFonts w:ascii="Arial" w:hAnsi="Arial"/>
                <w:b w:val="0"/>
                <w:sz w:val="18"/>
              </w:rPr>
              <w:t>Main empirical backbone; annual health-capacity similarity networks</w:t>
            </w:r>
          </w:p>
        </w:tc>
      </w:tr>
      <w:tr>
        <w:tc>
          <w:tcPr>
            <w:tcW w:type="dxa" w:w="2088"/>
            <w:vAlign w:val="top"/>
          </w:tcPr>
          <w:p>
            <w:r/>
            <w:r>
              <w:rPr>
                <w:rFonts w:ascii="Arial" w:hAnsi="Arial"/>
                <w:b w:val="0"/>
                <w:sz w:val="18"/>
              </w:rPr>
              <w:t>CEPII geo-historical ties</w:t>
            </w:r>
          </w:p>
        </w:tc>
        <w:tc>
          <w:tcPr>
            <w:tcW w:type="dxa" w:w="3024"/>
            <w:vAlign w:val="top"/>
          </w:tcPr>
          <w:p>
            <w:r/>
            <w:r>
              <w:rPr>
                <w:rFonts w:ascii="Arial" w:hAnsi="Arial"/>
                <w:b w:val="0"/>
                <w:sz w:val="18"/>
              </w:rPr>
              <w:t>CEPII gravity/distance; iv_gravity_cepii_100countries.csv</w:t>
            </w:r>
          </w:p>
        </w:tc>
        <w:tc>
          <w:tcPr>
            <w:tcW w:type="dxa" w:w="2880"/>
            <w:vAlign w:val="top"/>
          </w:tcPr>
          <w:p>
            <w:r/>
            <w:r>
              <w:rPr>
                <w:rFonts w:ascii="Arial" w:hAnsi="Arial"/>
                <w:b w:val="0"/>
                <w:sz w:val="18"/>
              </w:rPr>
              <w:t>9,900 directed country-pair records</w:t>
            </w:r>
          </w:p>
        </w:tc>
        <w:tc>
          <w:tcPr>
            <w:tcW w:type="dxa" w:w="2880"/>
            <w:vAlign w:val="top"/>
          </w:tcPr>
          <w:p>
            <w:r/>
            <w:r>
              <w:rPr>
                <w:rFonts w:ascii="Arial" w:hAnsi="Arial"/>
                <w:b w:val="0"/>
                <w:sz w:val="18"/>
              </w:rPr>
              <w:t>External instruments for network position</w:t>
            </w:r>
          </w:p>
        </w:tc>
      </w:tr>
      <w:tr>
        <w:tc>
          <w:tcPr>
            <w:tcW w:type="dxa" w:w="2088"/>
            <w:vAlign w:val="top"/>
          </w:tcPr>
          <w:p>
            <w:r/>
            <w:r>
              <w:rPr>
                <w:rFonts w:ascii="Arial" w:hAnsi="Arial"/>
                <w:b w:val="0"/>
                <w:sz w:val="18"/>
              </w:rPr>
              <w:t>UNGA voting</w:t>
            </w:r>
          </w:p>
        </w:tc>
        <w:tc>
          <w:tcPr>
            <w:tcW w:type="dxa" w:w="3024"/>
            <w:vAlign w:val="top"/>
          </w:tcPr>
          <w:p>
            <w:r/>
            <w:r>
              <w:rPr>
                <w:rFonts w:ascii="Arial" w:hAnsi="Arial"/>
                <w:b w:val="0"/>
                <w:sz w:val="18"/>
              </w:rPr>
              <w:t>UN Digital Library voting data; un_ga_voting_100countries_2004_2024.csv</w:t>
            </w:r>
          </w:p>
        </w:tc>
        <w:tc>
          <w:tcPr>
            <w:tcW w:type="dxa" w:w="2880"/>
            <w:vAlign w:val="top"/>
          </w:tcPr>
          <w:p>
            <w:r/>
            <w:r>
              <w:rPr>
                <w:rFonts w:ascii="Arial" w:hAnsi="Arial"/>
                <w:b w:val="0"/>
                <w:sz w:val="18"/>
              </w:rPr>
              <w:t>175,100 country-vote observations; 1,751 resolutions; 103,950 pair-year similarity rows</w:t>
            </w:r>
          </w:p>
        </w:tc>
        <w:tc>
          <w:tcPr>
            <w:tcW w:type="dxa" w:w="2880"/>
            <w:vAlign w:val="top"/>
          </w:tcPr>
          <w:p>
            <w:r/>
            <w:r>
              <w:rPr>
                <w:rFonts w:ascii="Arial" w:hAnsi="Arial"/>
                <w:b w:val="0"/>
                <w:sz w:val="18"/>
              </w:rPr>
              <w:t>Normative alignment network and robustness layer</w:t>
            </w:r>
          </w:p>
        </w:tc>
      </w:tr>
      <w:tr>
        <w:tc>
          <w:tcPr>
            <w:tcW w:type="dxa" w:w="2088"/>
            <w:vAlign w:val="top"/>
          </w:tcPr>
          <w:p>
            <w:r/>
            <w:r>
              <w:rPr>
                <w:rFonts w:ascii="Arial" w:hAnsi="Arial"/>
                <w:b w:val="0"/>
                <w:sz w:val="18"/>
              </w:rPr>
              <w:t>WHO/GHO indicators</w:t>
            </w:r>
          </w:p>
        </w:tc>
        <w:tc>
          <w:tcPr>
            <w:tcW w:type="dxa" w:w="3024"/>
            <w:vAlign w:val="top"/>
          </w:tcPr>
          <w:p>
            <w:r/>
            <w:r>
              <w:rPr>
                <w:rFonts w:ascii="Arial" w:hAnsi="Arial"/>
                <w:b w:val="0"/>
                <w:sz w:val="18"/>
              </w:rPr>
              <w:t>WHO Global Health Observatory; who_governance_panel_100countries_2004_2024.csv</w:t>
            </w:r>
          </w:p>
        </w:tc>
        <w:tc>
          <w:tcPr>
            <w:tcW w:type="dxa" w:w="2880"/>
            <w:vAlign w:val="top"/>
          </w:tcPr>
          <w:p>
            <w:r/>
            <w:r>
              <w:rPr>
                <w:rFonts w:ascii="Arial" w:hAnsi="Arial"/>
                <w:b w:val="0"/>
                <w:sz w:val="18"/>
              </w:rPr>
              <w:t>2,100 country-years; 13,999 long indicator observations</w:t>
            </w:r>
          </w:p>
        </w:tc>
        <w:tc>
          <w:tcPr>
            <w:tcW w:type="dxa" w:w="2880"/>
            <w:vAlign w:val="top"/>
          </w:tcPr>
          <w:p>
            <w:r/>
            <w:r>
              <w:rPr>
                <w:rFonts w:ascii="Arial" w:hAnsi="Arial"/>
                <w:b w:val="0"/>
                <w:sz w:val="18"/>
              </w:rPr>
              <w:t>Institutional health-governance and mechanism layer</w:t>
            </w:r>
          </w:p>
        </w:tc>
      </w:tr>
      <w:tr>
        <w:tc>
          <w:tcPr>
            <w:tcW w:type="dxa" w:w="2088"/>
            <w:vAlign w:val="top"/>
          </w:tcPr>
          <w:p>
            <w:r/>
            <w:r>
              <w:rPr>
                <w:rFonts w:ascii="Arial" w:hAnsi="Arial"/>
                <w:b w:val="0"/>
                <w:sz w:val="18"/>
              </w:rPr>
              <w:t>Augmented panel</w:t>
            </w:r>
          </w:p>
        </w:tc>
        <w:tc>
          <w:tcPr>
            <w:tcW w:type="dxa" w:w="3024"/>
            <w:vAlign w:val="top"/>
          </w:tcPr>
          <w:p>
            <w:r/>
            <w:r>
              <w:rPr>
                <w:rFonts w:ascii="Arial" w:hAnsi="Arial"/>
                <w:b w:val="0"/>
                <w:sz w:val="18"/>
              </w:rPr>
              <w:t>bm_who_augmented_panel_100countries_2004_2024.csv</w:t>
            </w:r>
          </w:p>
        </w:tc>
        <w:tc>
          <w:tcPr>
            <w:tcW w:type="dxa" w:w="2880"/>
            <w:vAlign w:val="top"/>
          </w:tcPr>
          <w:p>
            <w:r/>
            <w:r>
              <w:rPr>
                <w:rFonts w:ascii="Arial" w:hAnsi="Arial"/>
                <w:b w:val="0"/>
                <w:sz w:val="18"/>
              </w:rPr>
              <w:t>2,100 country-years</w:t>
            </w:r>
          </w:p>
        </w:tc>
        <w:tc>
          <w:tcPr>
            <w:tcW w:type="dxa" w:w="2880"/>
            <w:vAlign w:val="top"/>
          </w:tcPr>
          <w:p>
            <w:r/>
            <w:r>
              <w:rPr>
                <w:rFonts w:ascii="Arial" w:hAnsi="Arial"/>
                <w:b w:val="0"/>
                <w:sz w:val="18"/>
              </w:rPr>
              <w:t>Combined panel for UN/WHO extensions</w:t>
            </w:r>
          </w:p>
        </w:tc>
      </w:tr>
    </w:tbl>
    <w:p/>
    <w:p>
      <w:pPr>
        <w:pStyle w:val="Heading2"/>
      </w:pPr>
      <w:r>
        <w:t>2.1. World Bank WDI data</w:t>
      </w:r>
    </w:p>
    <w:p>
      <w:pPr>
        <w:jc w:val="both"/>
      </w:pPr>
      <w:r>
        <w:t>The first data layer was drawn from the World Bank World Development Indicators for 100 countries over 2004-2024. The country list was standardized through ISO3C identifiers, so country-name differences across sources did not affect merging. The WDI download produced a balanced country-year panel with 2,100 rows and a long file with 21,000 country-year-indicator observations.</w:t>
      </w:r>
    </w:p>
    <w:p>
      <w:pPr>
        <w:jc w:val="both"/>
      </w:pPr>
      <w:r>
        <w:t>The ten WDI indicators were: current health expenditure as a share of GDP (SH.XPD.CHEX.GD.ZS), physicians per 1,000 people (SH.MED.PHYS.ZS), nurses and midwives per 1,000 people (SH.MED.NUMW.P3), hospital beds per 1,000 people (SH.MED.BEDS.ZS), life expectancy at birth (SP.DYN.LE00.IN), GDP per capita PPP in constant international dollars (NY.GDP.PCAP.PP.KD), total population (SP.POP.TOTL), adult literacy (SE.ADT.LITR.ZS), individuals using the internet (IT.NET.USER.ZS), and research and development expenditure as a share of GDP (GB.XPD.RSDV.GD.ZS).</w:t>
      </w:r>
    </w:p>
    <w:p>
      <w:pPr>
        <w:jc w:val="both"/>
      </w:pPr>
      <w:r>
        <w:t>The missingness audit guided variable use. Life expectancy, GDP per capita PPP, and population had complete coverage. Internet use had only 0.7% missingness and health expenditure 4.0%. Physicians, nurses, and hospital beds had moderate missingness, respectively 27.1%, 26.5%, and 23.0%, and were retained after within-country interpolation and boundary carrying. Literacy was excluded from the main network because 74.5% of observations were missing. R&amp;D expenditure, with 33.7% missingness, was reserved for possible robustness rather than the core network.</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232"/>
            <w:vAlign w:val="top"/>
            <w:shd w:fill="1F4E79"/>
          </w:tcPr>
          <w:p>
            <w:r/>
            <w:r>
              <w:rPr>
                <w:rFonts w:ascii="Arial" w:hAnsi="Arial"/>
                <w:b/>
                <w:color w:val="FFFFFF"/>
                <w:sz w:val="18"/>
              </w:rPr>
              <w:t>Indicator</w:t>
            </w:r>
          </w:p>
        </w:tc>
        <w:tc>
          <w:tcPr>
            <w:tcW w:type="dxa" w:w="3096"/>
            <w:vAlign w:val="top"/>
            <w:shd w:fill="1F4E79"/>
          </w:tcPr>
          <w:p>
            <w:r/>
            <w:r>
              <w:rPr>
                <w:rFonts w:ascii="Arial" w:hAnsi="Arial"/>
                <w:b/>
                <w:color w:val="FFFFFF"/>
                <w:sz w:val="18"/>
              </w:rPr>
              <w:t>Concept</w:t>
            </w:r>
          </w:p>
        </w:tc>
        <w:tc>
          <w:tcPr>
            <w:tcW w:type="dxa" w:w="1440"/>
            <w:vAlign w:val="top"/>
            <w:shd w:fill="1F4E79"/>
          </w:tcPr>
          <w:p>
            <w:r/>
            <w:r>
              <w:rPr>
                <w:rFonts w:ascii="Arial" w:hAnsi="Arial"/>
                <w:b/>
                <w:color w:val="FFFFFF"/>
                <w:sz w:val="18"/>
              </w:rPr>
              <w:t>Missingness</w:t>
            </w:r>
          </w:p>
        </w:tc>
        <w:tc>
          <w:tcPr>
            <w:tcW w:type="dxa" w:w="3600"/>
            <w:vAlign w:val="top"/>
            <w:shd w:fill="1F4E79"/>
          </w:tcPr>
          <w:p>
            <w:r/>
            <w:r>
              <w:rPr>
                <w:rFonts w:ascii="Arial" w:hAnsi="Arial"/>
                <w:b/>
                <w:color w:val="FFFFFF"/>
                <w:sz w:val="18"/>
              </w:rPr>
              <w:t>Use in article</w:t>
            </w:r>
          </w:p>
        </w:tc>
      </w:tr>
      <w:tr>
        <w:tc>
          <w:tcPr>
            <w:tcW w:type="dxa" w:w="2232"/>
            <w:vAlign w:val="top"/>
          </w:tcPr>
          <w:p>
            <w:r/>
            <w:r>
              <w:rPr>
                <w:rFonts w:ascii="Arial" w:hAnsi="Arial"/>
                <w:b w:val="0"/>
                <w:sz w:val="18"/>
              </w:rPr>
              <w:t>SP.DYN.LE00.IN</w:t>
            </w:r>
          </w:p>
        </w:tc>
        <w:tc>
          <w:tcPr>
            <w:tcW w:type="dxa" w:w="3096"/>
            <w:vAlign w:val="top"/>
          </w:tcPr>
          <w:p>
            <w:r/>
            <w:r>
              <w:rPr>
                <w:rFonts w:ascii="Arial" w:hAnsi="Arial"/>
                <w:b w:val="0"/>
                <w:sz w:val="18"/>
              </w:rPr>
              <w:t>Life expectancy</w:t>
            </w:r>
          </w:p>
        </w:tc>
        <w:tc>
          <w:tcPr>
            <w:tcW w:type="dxa" w:w="1440"/>
            <w:vAlign w:val="top"/>
          </w:tcPr>
          <w:p>
            <w:r/>
            <w:r>
              <w:rPr>
                <w:rFonts w:ascii="Arial" w:hAnsi="Arial"/>
                <w:b w:val="0"/>
                <w:sz w:val="18"/>
              </w:rPr>
              <w:t>0.0%</w:t>
            </w:r>
          </w:p>
        </w:tc>
        <w:tc>
          <w:tcPr>
            <w:tcW w:type="dxa" w:w="3600"/>
            <w:vAlign w:val="top"/>
          </w:tcPr>
          <w:p>
            <w:r/>
            <w:r>
              <w:rPr>
                <w:rFonts w:ascii="Arial" w:hAnsi="Arial"/>
                <w:b w:val="0"/>
                <w:sz w:val="18"/>
              </w:rPr>
              <w:t>Outcome variable</w:t>
            </w:r>
          </w:p>
        </w:tc>
      </w:tr>
      <w:tr>
        <w:tc>
          <w:tcPr>
            <w:tcW w:type="dxa" w:w="2232"/>
            <w:vAlign w:val="top"/>
          </w:tcPr>
          <w:p>
            <w:r/>
            <w:r>
              <w:rPr>
                <w:rFonts w:ascii="Arial" w:hAnsi="Arial"/>
                <w:b w:val="0"/>
                <w:sz w:val="18"/>
              </w:rPr>
              <w:t>NY.GDP.PCAP.PP.KD</w:t>
            </w:r>
          </w:p>
        </w:tc>
        <w:tc>
          <w:tcPr>
            <w:tcW w:type="dxa" w:w="3096"/>
            <w:vAlign w:val="top"/>
          </w:tcPr>
          <w:p>
            <w:r/>
            <w:r>
              <w:rPr>
                <w:rFonts w:ascii="Arial" w:hAnsi="Arial"/>
                <w:b w:val="0"/>
                <w:sz w:val="18"/>
              </w:rPr>
              <w:t>GDP per capita PPP</w:t>
            </w:r>
          </w:p>
        </w:tc>
        <w:tc>
          <w:tcPr>
            <w:tcW w:type="dxa" w:w="1440"/>
            <w:vAlign w:val="top"/>
          </w:tcPr>
          <w:p>
            <w:r/>
            <w:r>
              <w:rPr>
                <w:rFonts w:ascii="Arial" w:hAnsi="Arial"/>
                <w:b w:val="0"/>
                <w:sz w:val="18"/>
              </w:rPr>
              <w:t>0.0%</w:t>
            </w:r>
          </w:p>
        </w:tc>
        <w:tc>
          <w:tcPr>
            <w:tcW w:type="dxa" w:w="3600"/>
            <w:vAlign w:val="top"/>
          </w:tcPr>
          <w:p>
            <w:r/>
            <w:r>
              <w:rPr>
                <w:rFonts w:ascii="Arial" w:hAnsi="Arial"/>
                <w:b w:val="0"/>
                <w:sz w:val="18"/>
              </w:rPr>
              <w:t>Network input and structural control</w:t>
            </w:r>
          </w:p>
        </w:tc>
      </w:tr>
      <w:tr>
        <w:tc>
          <w:tcPr>
            <w:tcW w:type="dxa" w:w="2232"/>
            <w:vAlign w:val="top"/>
          </w:tcPr>
          <w:p>
            <w:r/>
            <w:r>
              <w:rPr>
                <w:rFonts w:ascii="Arial" w:hAnsi="Arial"/>
                <w:b w:val="0"/>
                <w:sz w:val="18"/>
              </w:rPr>
              <w:t>SP.POP.TOTL</w:t>
            </w:r>
          </w:p>
        </w:tc>
        <w:tc>
          <w:tcPr>
            <w:tcW w:type="dxa" w:w="3096"/>
            <w:vAlign w:val="top"/>
          </w:tcPr>
          <w:p>
            <w:r/>
            <w:r>
              <w:rPr>
                <w:rFonts w:ascii="Arial" w:hAnsi="Arial"/>
                <w:b w:val="0"/>
                <w:sz w:val="18"/>
              </w:rPr>
              <w:t>Population</w:t>
            </w:r>
          </w:p>
        </w:tc>
        <w:tc>
          <w:tcPr>
            <w:tcW w:type="dxa" w:w="1440"/>
            <w:vAlign w:val="top"/>
          </w:tcPr>
          <w:p>
            <w:r/>
            <w:r>
              <w:rPr>
                <w:rFonts w:ascii="Arial" w:hAnsi="Arial"/>
                <w:b w:val="0"/>
                <w:sz w:val="18"/>
              </w:rPr>
              <w:t>0.0%</w:t>
            </w:r>
          </w:p>
        </w:tc>
        <w:tc>
          <w:tcPr>
            <w:tcW w:type="dxa" w:w="3600"/>
            <w:vAlign w:val="top"/>
          </w:tcPr>
          <w:p>
            <w:r/>
            <w:r>
              <w:rPr>
                <w:rFonts w:ascii="Arial" w:hAnsi="Arial"/>
                <w:b w:val="0"/>
                <w:sz w:val="18"/>
              </w:rPr>
              <w:t>Structural control</w:t>
            </w:r>
          </w:p>
        </w:tc>
      </w:tr>
      <w:tr>
        <w:tc>
          <w:tcPr>
            <w:tcW w:type="dxa" w:w="2232"/>
            <w:vAlign w:val="top"/>
          </w:tcPr>
          <w:p>
            <w:r/>
            <w:r>
              <w:rPr>
                <w:rFonts w:ascii="Arial" w:hAnsi="Arial"/>
                <w:b w:val="0"/>
                <w:sz w:val="18"/>
              </w:rPr>
              <w:t>IT.NET.USER.ZS</w:t>
            </w:r>
          </w:p>
        </w:tc>
        <w:tc>
          <w:tcPr>
            <w:tcW w:type="dxa" w:w="3096"/>
            <w:vAlign w:val="top"/>
          </w:tcPr>
          <w:p>
            <w:r/>
            <w:r>
              <w:rPr>
                <w:rFonts w:ascii="Arial" w:hAnsi="Arial"/>
                <w:b w:val="0"/>
                <w:sz w:val="18"/>
              </w:rPr>
              <w:t>Internet use</w:t>
            </w:r>
          </w:p>
        </w:tc>
        <w:tc>
          <w:tcPr>
            <w:tcW w:type="dxa" w:w="1440"/>
            <w:vAlign w:val="top"/>
          </w:tcPr>
          <w:p>
            <w:r/>
            <w:r>
              <w:rPr>
                <w:rFonts w:ascii="Arial" w:hAnsi="Arial"/>
                <w:b w:val="0"/>
                <w:sz w:val="18"/>
              </w:rPr>
              <w:t>0.7%</w:t>
            </w:r>
          </w:p>
        </w:tc>
        <w:tc>
          <w:tcPr>
            <w:tcW w:type="dxa" w:w="3600"/>
            <w:vAlign w:val="top"/>
          </w:tcPr>
          <w:p>
            <w:r/>
            <w:r>
              <w:rPr>
                <w:rFonts w:ascii="Arial" w:hAnsi="Arial"/>
                <w:b w:val="0"/>
                <w:sz w:val="18"/>
              </w:rPr>
              <w:t>Network input and digitalization control</w:t>
            </w:r>
          </w:p>
        </w:tc>
      </w:tr>
      <w:tr>
        <w:tc>
          <w:tcPr>
            <w:tcW w:type="dxa" w:w="2232"/>
            <w:vAlign w:val="top"/>
          </w:tcPr>
          <w:p>
            <w:r/>
            <w:r>
              <w:rPr>
                <w:rFonts w:ascii="Arial" w:hAnsi="Arial"/>
                <w:b w:val="0"/>
                <w:sz w:val="18"/>
              </w:rPr>
              <w:t>SH.XPD.CHEX.GD.ZS</w:t>
            </w:r>
          </w:p>
        </w:tc>
        <w:tc>
          <w:tcPr>
            <w:tcW w:type="dxa" w:w="3096"/>
            <w:vAlign w:val="top"/>
          </w:tcPr>
          <w:p>
            <w:r/>
            <w:r>
              <w:rPr>
                <w:rFonts w:ascii="Arial" w:hAnsi="Arial"/>
                <w:b w:val="0"/>
                <w:sz w:val="18"/>
              </w:rPr>
              <w:t>Health expenditure</w:t>
            </w:r>
          </w:p>
        </w:tc>
        <w:tc>
          <w:tcPr>
            <w:tcW w:type="dxa" w:w="1440"/>
            <w:vAlign w:val="top"/>
          </w:tcPr>
          <w:p>
            <w:r/>
            <w:r>
              <w:rPr>
                <w:rFonts w:ascii="Arial" w:hAnsi="Arial"/>
                <w:b w:val="0"/>
                <w:sz w:val="18"/>
              </w:rPr>
              <w:t>4.0%</w:t>
            </w:r>
          </w:p>
        </w:tc>
        <w:tc>
          <w:tcPr>
            <w:tcW w:type="dxa" w:w="3600"/>
            <w:vAlign w:val="top"/>
          </w:tcPr>
          <w:p>
            <w:r/>
            <w:r>
              <w:rPr>
                <w:rFonts w:ascii="Arial" w:hAnsi="Arial"/>
                <w:b w:val="0"/>
                <w:sz w:val="18"/>
              </w:rPr>
              <w:t>Network input and health-capacity control</w:t>
            </w:r>
          </w:p>
        </w:tc>
      </w:tr>
      <w:tr>
        <w:tc>
          <w:tcPr>
            <w:tcW w:type="dxa" w:w="2232"/>
            <w:vAlign w:val="top"/>
          </w:tcPr>
          <w:p>
            <w:r/>
            <w:r>
              <w:rPr>
                <w:rFonts w:ascii="Arial" w:hAnsi="Arial"/>
                <w:b w:val="0"/>
                <w:sz w:val="18"/>
              </w:rPr>
              <w:t>SH.MED.PHYS.ZS</w:t>
            </w:r>
          </w:p>
        </w:tc>
        <w:tc>
          <w:tcPr>
            <w:tcW w:type="dxa" w:w="3096"/>
            <w:vAlign w:val="top"/>
          </w:tcPr>
          <w:p>
            <w:r/>
            <w:r>
              <w:rPr>
                <w:rFonts w:ascii="Arial" w:hAnsi="Arial"/>
                <w:b w:val="0"/>
                <w:sz w:val="18"/>
              </w:rPr>
              <w:t>Physicians</w:t>
            </w:r>
          </w:p>
        </w:tc>
        <w:tc>
          <w:tcPr>
            <w:tcW w:type="dxa" w:w="1440"/>
            <w:vAlign w:val="top"/>
          </w:tcPr>
          <w:p>
            <w:r/>
            <w:r>
              <w:rPr>
                <w:rFonts w:ascii="Arial" w:hAnsi="Arial"/>
                <w:b w:val="0"/>
                <w:sz w:val="18"/>
              </w:rPr>
              <w:t>27.1%</w:t>
            </w:r>
          </w:p>
        </w:tc>
        <w:tc>
          <w:tcPr>
            <w:tcW w:type="dxa" w:w="3600"/>
            <w:vAlign w:val="top"/>
          </w:tcPr>
          <w:p>
            <w:r/>
            <w:r>
              <w:rPr>
                <w:rFonts w:ascii="Arial" w:hAnsi="Arial"/>
                <w:b w:val="0"/>
                <w:sz w:val="18"/>
              </w:rPr>
              <w:t>Network input after interpolation</w:t>
            </w:r>
          </w:p>
        </w:tc>
      </w:tr>
      <w:tr>
        <w:tc>
          <w:tcPr>
            <w:tcW w:type="dxa" w:w="2232"/>
            <w:vAlign w:val="top"/>
          </w:tcPr>
          <w:p>
            <w:r/>
            <w:r>
              <w:rPr>
                <w:rFonts w:ascii="Arial" w:hAnsi="Arial"/>
                <w:b w:val="0"/>
                <w:sz w:val="18"/>
              </w:rPr>
              <w:t>SH.MED.NUMW.P3</w:t>
            </w:r>
          </w:p>
        </w:tc>
        <w:tc>
          <w:tcPr>
            <w:tcW w:type="dxa" w:w="3096"/>
            <w:vAlign w:val="top"/>
          </w:tcPr>
          <w:p>
            <w:r/>
            <w:r>
              <w:rPr>
                <w:rFonts w:ascii="Arial" w:hAnsi="Arial"/>
                <w:b w:val="0"/>
                <w:sz w:val="18"/>
              </w:rPr>
              <w:t>Nurses and midwives</w:t>
            </w:r>
          </w:p>
        </w:tc>
        <w:tc>
          <w:tcPr>
            <w:tcW w:type="dxa" w:w="1440"/>
            <w:vAlign w:val="top"/>
          </w:tcPr>
          <w:p>
            <w:r/>
            <w:r>
              <w:rPr>
                <w:rFonts w:ascii="Arial" w:hAnsi="Arial"/>
                <w:b w:val="0"/>
                <w:sz w:val="18"/>
              </w:rPr>
              <w:t>26.5%</w:t>
            </w:r>
          </w:p>
        </w:tc>
        <w:tc>
          <w:tcPr>
            <w:tcW w:type="dxa" w:w="3600"/>
            <w:vAlign w:val="top"/>
          </w:tcPr>
          <w:p>
            <w:r/>
            <w:r>
              <w:rPr>
                <w:rFonts w:ascii="Arial" w:hAnsi="Arial"/>
                <w:b w:val="0"/>
                <w:sz w:val="18"/>
              </w:rPr>
              <w:t>Network input after interpolation</w:t>
            </w:r>
          </w:p>
        </w:tc>
      </w:tr>
      <w:tr>
        <w:tc>
          <w:tcPr>
            <w:tcW w:type="dxa" w:w="2232"/>
            <w:vAlign w:val="top"/>
          </w:tcPr>
          <w:p>
            <w:r/>
            <w:r>
              <w:rPr>
                <w:rFonts w:ascii="Arial" w:hAnsi="Arial"/>
                <w:b w:val="0"/>
                <w:sz w:val="18"/>
              </w:rPr>
              <w:t>SH.MED.BEDS.ZS</w:t>
            </w:r>
          </w:p>
        </w:tc>
        <w:tc>
          <w:tcPr>
            <w:tcW w:type="dxa" w:w="3096"/>
            <w:vAlign w:val="top"/>
          </w:tcPr>
          <w:p>
            <w:r/>
            <w:r>
              <w:rPr>
                <w:rFonts w:ascii="Arial" w:hAnsi="Arial"/>
                <w:b w:val="0"/>
                <w:sz w:val="18"/>
              </w:rPr>
              <w:t>Hospital beds</w:t>
            </w:r>
          </w:p>
        </w:tc>
        <w:tc>
          <w:tcPr>
            <w:tcW w:type="dxa" w:w="1440"/>
            <w:vAlign w:val="top"/>
          </w:tcPr>
          <w:p>
            <w:r/>
            <w:r>
              <w:rPr>
                <w:rFonts w:ascii="Arial" w:hAnsi="Arial"/>
                <w:b w:val="0"/>
                <w:sz w:val="18"/>
              </w:rPr>
              <w:t>23.0%</w:t>
            </w:r>
          </w:p>
        </w:tc>
        <w:tc>
          <w:tcPr>
            <w:tcW w:type="dxa" w:w="3600"/>
            <w:vAlign w:val="top"/>
          </w:tcPr>
          <w:p>
            <w:r/>
            <w:r>
              <w:rPr>
                <w:rFonts w:ascii="Arial" w:hAnsi="Arial"/>
                <w:b w:val="0"/>
                <w:sz w:val="18"/>
              </w:rPr>
              <w:t>Network input after interpolation</w:t>
            </w:r>
          </w:p>
        </w:tc>
      </w:tr>
      <w:tr>
        <w:tc>
          <w:tcPr>
            <w:tcW w:type="dxa" w:w="2232"/>
            <w:vAlign w:val="top"/>
          </w:tcPr>
          <w:p>
            <w:r/>
            <w:r>
              <w:rPr>
                <w:rFonts w:ascii="Arial" w:hAnsi="Arial"/>
                <w:b w:val="0"/>
                <w:sz w:val="18"/>
              </w:rPr>
              <w:t>GB.XPD.RSDV.GD.ZS</w:t>
            </w:r>
          </w:p>
        </w:tc>
        <w:tc>
          <w:tcPr>
            <w:tcW w:type="dxa" w:w="3096"/>
            <w:vAlign w:val="top"/>
          </w:tcPr>
          <w:p>
            <w:r/>
            <w:r>
              <w:rPr>
                <w:rFonts w:ascii="Arial" w:hAnsi="Arial"/>
                <w:b w:val="0"/>
                <w:sz w:val="18"/>
              </w:rPr>
              <w:t>R&amp;D expenditure</w:t>
            </w:r>
          </w:p>
        </w:tc>
        <w:tc>
          <w:tcPr>
            <w:tcW w:type="dxa" w:w="1440"/>
            <w:vAlign w:val="top"/>
          </w:tcPr>
          <w:p>
            <w:r/>
            <w:r>
              <w:rPr>
                <w:rFonts w:ascii="Arial" w:hAnsi="Arial"/>
                <w:b w:val="0"/>
                <w:sz w:val="18"/>
              </w:rPr>
              <w:t>33.7%</w:t>
            </w:r>
          </w:p>
        </w:tc>
        <w:tc>
          <w:tcPr>
            <w:tcW w:type="dxa" w:w="3600"/>
            <w:vAlign w:val="top"/>
          </w:tcPr>
          <w:p>
            <w:r/>
            <w:r>
              <w:rPr>
                <w:rFonts w:ascii="Arial" w:hAnsi="Arial"/>
                <w:b w:val="0"/>
                <w:sz w:val="18"/>
              </w:rPr>
              <w:t>Robustness only</w:t>
            </w:r>
          </w:p>
        </w:tc>
      </w:tr>
      <w:tr>
        <w:tc>
          <w:tcPr>
            <w:tcW w:type="dxa" w:w="2232"/>
            <w:vAlign w:val="top"/>
          </w:tcPr>
          <w:p>
            <w:r/>
            <w:r>
              <w:rPr>
                <w:rFonts w:ascii="Arial" w:hAnsi="Arial"/>
                <w:b w:val="0"/>
                <w:sz w:val="18"/>
              </w:rPr>
              <w:t>SE.ADT.LITR.ZS</w:t>
            </w:r>
          </w:p>
        </w:tc>
        <w:tc>
          <w:tcPr>
            <w:tcW w:type="dxa" w:w="3096"/>
            <w:vAlign w:val="top"/>
          </w:tcPr>
          <w:p>
            <w:r/>
            <w:r>
              <w:rPr>
                <w:rFonts w:ascii="Arial" w:hAnsi="Arial"/>
                <w:b w:val="0"/>
                <w:sz w:val="18"/>
              </w:rPr>
              <w:t>Adult literacy</w:t>
            </w:r>
          </w:p>
        </w:tc>
        <w:tc>
          <w:tcPr>
            <w:tcW w:type="dxa" w:w="1440"/>
            <w:vAlign w:val="top"/>
          </w:tcPr>
          <w:p>
            <w:r/>
            <w:r>
              <w:rPr>
                <w:rFonts w:ascii="Arial" w:hAnsi="Arial"/>
                <w:b w:val="0"/>
                <w:sz w:val="18"/>
              </w:rPr>
              <w:t>74.5%</w:t>
            </w:r>
          </w:p>
        </w:tc>
        <w:tc>
          <w:tcPr>
            <w:tcW w:type="dxa" w:w="3600"/>
            <w:vAlign w:val="top"/>
          </w:tcPr>
          <w:p>
            <w:r/>
            <w:r>
              <w:rPr>
                <w:rFonts w:ascii="Arial" w:hAnsi="Arial"/>
                <w:b w:val="0"/>
                <w:sz w:val="18"/>
              </w:rPr>
              <w:t>Excluded from main models</w:t>
            </w:r>
          </w:p>
        </w:tc>
      </w:tr>
    </w:tbl>
    <w:p/>
    <w:p>
      <w:pPr>
        <w:pStyle w:val="Heading2"/>
      </w:pPr>
      <w:r>
        <w:t>2.2. CEPII gravity and geo-historical data</w:t>
      </w:r>
    </w:p>
    <w:p>
      <w:pPr>
        <w:jc w:val="both"/>
      </w:pPr>
      <w:r>
        <w:t>To reduce the risk that observed network centrality merely reflects contemporary health or development outcomes, a geo-historical instrumental-variable layer was constructed from CEPII gravity/distance data. This layer captures pairwise features that are plausibly prior to current health performance: geographical distance, common language, contiguity, colonial links, common colonizer, and broader historical ties. The cleaned file contains 9,900 directed dyads among the 100 countries.</w:t>
      </w:r>
    </w:p>
    <w:p>
      <w:pPr>
        <w:jc w:val="both"/>
      </w:pPr>
      <w:r>
        <w:t>The CEPII layer was used to construct instruments for lagged eigenvector centrality. The distance weight was defined as w_geo,ij = 1 / (1 + log_distance_ij). A composite affinity weight was then calculated as w_affinity,ij = w_geo,ij x (1 + 0.25 contiguity_ij) x (1 + 0.25 common_language_ij) x (1 + 0.35 historical_tie_ij). The top ten affinity ties for each country were used to build an exogenous geo-historical network, from which degree, strength, eigenvector centrality, and betweenness were computed. Additional peer instruments were constructed as distance-weighted, common-language, historical-tie, and contiguous-neighbor averages of peer centrality.</w:t>
      </w:r>
    </w:p>
    <w:p>
      <w:pPr>
        <w:pStyle w:val="Heading2"/>
      </w:pPr>
      <w:r>
        <w:t>2.3. UN General Assembly voting data</w:t>
      </w:r>
    </w:p>
    <w:p>
      <w:pPr>
        <w:jc w:val="both"/>
      </w:pPr>
      <w:r>
        <w:t>A third layer was added to connect the analysis to the multilateral normative environment. United Nations General Assembly voting data were downloaded from the UN Digital Library and harmonized to the 100-country ISO3C panel. For 2004-2024, the final file contains 175,100 country-vote observations across 1,751 resolutions.</w:t>
      </w:r>
    </w:p>
    <w:p>
      <w:pPr>
        <w:jc w:val="both"/>
      </w:pPr>
      <w:r>
        <w:t>Votes were coded as Yes = 1, No = -1, and Abstain = 0. For each country pair and year, the script computed a voting-agreement score and a cosine-similarity score. Agreement was defined as A_ijt = |R_ijt|^{-1} sum_{r in R_ijt} 1(v_irt = v_jrt), where R_ijt is the set of resolutions on which both countries cast valid votes. Cosine similarity was defined as CS_ijt = sum_r v_irt v_jrt / [(sum_r v_irt^2)^{1/2}(sum_r v_jrt^2)^{1/2}]. The resulting pair-year file contains 103,950 similarity records. Annual UNGA normative-alignment networks were then built by retaining the ten strongest voting-agreement ties per country, conditional on at least five common votes.</w:t>
      </w:r>
    </w:p>
    <w:p>
      <w:pPr>
        <w:pStyle w:val="Heading2"/>
      </w:pPr>
      <w:r>
        <w:t>2.4. WHO Global Health Observatory data</w:t>
      </w:r>
    </w:p>
    <w:p>
      <w:pPr>
        <w:jc w:val="both"/>
      </w:pPr>
      <w:r>
        <w:t>The fourth layer was retrieved from the WHO Global Health Observatory. It captures institutional health-governance capacity rather than general development alone. The extracted indicators include the UHC service coverage index, UHC service-capacity and disease-area subindices, International Health Regulations and SPAR-related indicators, and external health expenditure as a share of current health expenditure. The long WHO file contains 13,999 indicator observations, and the wide WHO panel contains 2,100 country-years.</w:t>
      </w:r>
    </w:p>
    <w:p>
      <w:pPr>
        <w:jc w:val="both"/>
      </w:pPr>
      <w:r>
        <w:t>The WHO missingness audit matters for interpretation. UHC_INDEX_REPORTED and the UHC subindices have approximately 4.8% missingness, and external health expenditure as a share of current health expenditure has 5.0% missingness; these are suitable for institutional-capacity and funding-dependence extensions. By contrast, several IHR/SPAR variants are available only for shorter subperiods, and external health expenditure per capita in PPP dollars returned no usable observations in the extracted API response. These indicators are therefore not treated as complete main-panel controls.</w:t>
      </w:r>
    </w:p>
    <w:p>
      <w:pPr>
        <w:pStyle w:val="Heading1"/>
      </w:pPr>
      <w:r>
        <w:t>3. Network Construction</w:t>
      </w:r>
    </w:p>
    <w:p>
      <w:pPr>
        <w:pStyle w:val="Heading2"/>
      </w:pPr>
      <w:r>
        <w:t>3.1. WDI-based multiplex health-capacity network</w:t>
      </w:r>
    </w:p>
    <w:p>
      <w:pPr>
        <w:jc w:val="both"/>
      </w:pPr>
      <w:r>
        <w:t>The main network operationalizes country-level multiplex global health governance through similarity in health capacity, economic development, and digital connectivity. Six WDI variables were used as the core network inputs: health expenditure, physicians, nurses and midwives, hospital beds, internet use, and GDP per capita PPP. Missing values in these inputs were handled within country by linear interpolation over time, followed by last observation carried forward and backward to preserve the balanced panel.</w:t>
      </w:r>
    </w:p>
    <w:p>
      <w:pPr>
        <w:jc w:val="both"/>
      </w:pPr>
      <w:r>
        <w:t>For each year t, each variable k was standardized across countries: z_itk = (x_itk - mean_tk) / sd_tk. Pairwise country distance was then computed using Euclidean distance, d_ijt = [sum_k (z_itk - z_jtk)^2]^{1/2}. Distance was transformed into similarity as s_ijt = 1 / (1 + d_ijt). For each country-year, the five nearest neighbors were retained. The adjacency matrix was symmetrized so that a tie existed if either country selected the other among its five closest partners. In the weighted network, the edge weight equals s_ijt; in the temporal ERGM specification, the same nearest-neighbor structure was binarized.</w:t>
      </w:r>
    </w:p>
    <w:p>
      <w:pPr>
        <w:jc w:val="both"/>
      </w:pPr>
      <w:r>
        <w:t>This design treats multiplexity as multidimensional similarity rather than membership in one institution. It captures whether countries occupy similar positions across health spending, medical labor, medical infrastructure, digitalization, and economic capacity. The resulting network is therefore a health-capacity governance network: it is not a treaty network or an aid-flow network, but a relational structure derived from comparable country profiles.</w:t>
      </w:r>
    </w:p>
    <w:p>
      <w:pPr>
        <w:pStyle w:val="Heading2"/>
      </w:pPr>
      <w:r>
        <w:t>3.2. Network statistics</w:t>
      </w:r>
    </w:p>
    <w:p>
      <w:pPr>
        <w:jc w:val="both"/>
      </w:pPr>
      <w:r>
        <w:t>For each annual graph, the following statistics were computed. Normalized degree is D_it = (n - 1)^{-1} sum_j 1(a_ijt &gt; 0). Strength is S_it = sum_j a_ijt. Eigenvector centrality satisfies E_it = lambda_t^{-1} sum_j a_ijt E_jt, so countries connected to central countries receive higher scores. Betweenness is B_it = sum_{s != i != r} sigma_sr(i) / sigma_sr, where sigma_sr is the number of shortest paths between s and r and sigma_sr(i) is the number passing through i. Closeness is C_it = (n - 1) / sum_j dist(i,j). Local clustering is LC_it = 2T_i / [k_i(k_i - 1)], where T_i is the number of triangles around i. Network density is rho_t = 2m_t / [n(n - 1)] for an undirected graph.</w:t>
      </w:r>
    </w:p>
    <w:p>
      <w:pPr>
        <w:pStyle w:val="Heading1"/>
      </w:pPr>
      <w:r>
        <w:t>4. Empirical Strategy</w:t>
      </w:r>
    </w:p>
    <w:p>
      <w:pPr>
        <w:pStyle w:val="Heading2"/>
      </w:pPr>
      <w:r>
        <w:t>4.1. Main dynamic panel model</w:t>
      </w:r>
    </w:p>
    <w:p>
      <w:pPr>
        <w:jc w:val="both"/>
      </w:pPr>
      <w:r>
        <w:t>The main outcome model asks whether network position in year t-1 predicts life expectancy in year t. The dynamic panel specification is LE_it = rho LE_i,t-1 + beta Centrality_i,t-1 + gamma'X_it + alpha_i + tau_t + epsilon_it, where LE_it is life expectancy, Centrality_i,t-1 is lagged degree or lagged eigenvector centrality, X_it includes health expenditure, log GDP per capita, log population, and internet use, alpha_i denotes country effects, and tau_t denotes year effects. Because lagged dependent variables and network position may be endogenous, the model was estimated as two-step System GMM using deeper lags of life expectancy and centrality, specifically lags 2 through 4, as instruments.</w:t>
      </w:r>
    </w:p>
    <w:p>
      <w:pPr>
        <w:pStyle w:val="Heading2"/>
      </w:pPr>
      <w:r>
        <w:t>4.2. Temporal ERGM</w:t>
      </w:r>
    </w:p>
    <w:p>
      <w:pPr>
        <w:jc w:val="both"/>
      </w:pPr>
      <w:r>
        <w:t>To test whether the network itself is structured rather than random, the annual binarized WDI networks were modeled using a temporal ERGM. The estimated specification is Pr(A_t | A_t-1) = exp{theta_1 edges(A_t) + theta_2 GWESP(A_t; 0.5) + theta_3 Persist(A_t, A_t-1)} / kappa(theta). The edges term captures baseline tie propensity, GWESP captures geometrically weighted shared partners and therefore triadic closure or clustering, and the persistence term captures whether ties continue across adjacent years.</w:t>
      </w:r>
    </w:p>
    <w:p>
      <w:pPr>
        <w:pStyle w:val="Heading2"/>
      </w:pPr>
      <w:r>
        <w:t>4.3. Mechanism tests</w:t>
      </w:r>
    </w:p>
    <w:p>
      <w:pPr>
        <w:jc w:val="both"/>
      </w:pPr>
      <w:r>
        <w:t>Mechanism models were estimated with country and year fixed effects. The first model regresses eigenvector centrality on lagged health expenditure, physicians, hospital beds, log GDP per capita, and internet use to test whether capacity predicts network position. The second model regresses life expectancy on lagged eigenvector centrality and structural controls to test whether centrality diffuses into health outcomes. The third model interacts Global South status with lagged log GDP per capita to test whether the development-centrality relationship differs across the North-South divide. Because Global South status is time-invariant, its main effect is absorbed by country fixed effects; the interaction remains estimable.</w:t>
      </w:r>
    </w:p>
    <w:p>
      <w:pPr>
        <w:pStyle w:val="Heading2"/>
      </w:pPr>
      <w:r>
        <w:t>4.4. Instrumental variables</w:t>
      </w:r>
    </w:p>
    <w:p>
      <w:pPr>
        <w:jc w:val="both"/>
      </w:pPr>
      <w:r>
        <w:t>The IV strategy uses CEPII-derived geo-historical peer instruments for lagged eigenvector centrality. The first stage is Centrality_i,t-1 = pi Z_i,t-1 + delta'X_it + alpha_i + tau_t + u_it. The second stage is LE_it = beta fitted_Centrality_i,t-1 + gamma'X_it + alpha_i + tau_t + epsilon_it. Four instruments were tested: distance-weighted peer eigenvector centrality, common-language peer eigenvector centrality, historical-tie peer eigenvector centrality, and contiguous-neighbor peer eigenvector centrality. These are stronger as relevance devices than as automatic proof of exclusion; therefore they are interpreted as robustness and causal-probing tests rather than as the sole basis for causal identification.</w:t>
      </w:r>
    </w:p>
    <w:p>
      <w:pPr>
        <w:pStyle w:val="Heading2"/>
      </w:pPr>
      <w:r>
        <w:t>4.5. Placebo and falsification</w:t>
      </w:r>
    </w:p>
    <w:p>
      <w:pPr>
        <w:jc w:val="both"/>
      </w:pPr>
      <w:r>
        <w:t>The placebo test evaluates whether the observed centrality coefficient is distinguishable from coefficients generated by randomly shuffled networks. Within each year, eigenvector centrality scores were randomly permuted across countries, lagged by country, and re-estimated in the same two-way fixed-effects model. This procedure was repeated 200 times. The empirical p-value is the share of placebo coefficients whose absolute magnitude is at least as large as the observed coefficient.</w:t>
      </w:r>
    </w:p>
    <w:p>
      <w:pPr>
        <w:pStyle w:val="Heading2"/>
      </w:pPr>
      <w:r>
        <w:t>4.6. Main analysis versus robustness extensions</w:t>
      </w:r>
    </w:p>
    <w:tbl>
      <w:tblPr>
        <w:tblStyle w:val="TableGrid"/>
        <w:tblW w:type="auto" w:w="0"/>
        <w:jc w:val="left"/>
        <w:tblLook w:firstColumn="1" w:firstRow="1" w:lastColumn="0" w:lastRow="0" w:noHBand="0" w:noVBand="1" w:val="04A0"/>
      </w:tblPr>
      <w:tblGrid>
        <w:gridCol w:w="3120"/>
        <w:gridCol w:w="3120"/>
        <w:gridCol w:w="3120"/>
      </w:tblGrid>
      <w:tr>
        <w:tc>
          <w:tcPr>
            <w:tcW w:type="dxa" w:w="2304"/>
            <w:vAlign w:val="top"/>
            <w:shd w:fill="1F4E79"/>
          </w:tcPr>
          <w:p>
            <w:r/>
            <w:r>
              <w:rPr>
                <w:rFonts w:ascii="Arial" w:hAnsi="Arial"/>
                <w:b/>
                <w:color w:val="FFFFFF"/>
                <w:sz w:val="18"/>
              </w:rPr>
              <w:t>Component</w:t>
            </w:r>
          </w:p>
        </w:tc>
        <w:tc>
          <w:tcPr>
            <w:tcW w:type="dxa" w:w="3888"/>
            <w:vAlign w:val="top"/>
            <w:shd w:fill="1F4E79"/>
          </w:tcPr>
          <w:p>
            <w:r/>
            <w:r>
              <w:rPr>
                <w:rFonts w:ascii="Arial" w:hAnsi="Arial"/>
                <w:b/>
                <w:color w:val="FFFFFF"/>
                <w:sz w:val="18"/>
              </w:rPr>
              <w:t>Model or data layer</w:t>
            </w:r>
          </w:p>
        </w:tc>
        <w:tc>
          <w:tcPr>
            <w:tcW w:type="dxa" w:w="4320"/>
            <w:vAlign w:val="top"/>
            <w:shd w:fill="1F4E79"/>
          </w:tcPr>
          <w:p>
            <w:r/>
            <w:r>
              <w:rPr>
                <w:rFonts w:ascii="Arial" w:hAnsi="Arial"/>
                <w:b/>
                <w:color w:val="FFFFFF"/>
                <w:sz w:val="18"/>
              </w:rPr>
              <w:t>Role</w:t>
            </w:r>
          </w:p>
        </w:tc>
      </w:tr>
      <w:tr>
        <w:tc>
          <w:tcPr>
            <w:tcW w:type="dxa" w:w="2304"/>
            <w:vAlign w:val="top"/>
          </w:tcPr>
          <w:p>
            <w:r/>
            <w:r>
              <w:rPr>
                <w:rFonts w:ascii="Arial" w:hAnsi="Arial"/>
                <w:b w:val="0"/>
                <w:sz w:val="18"/>
              </w:rPr>
              <w:t>Main structural network</w:t>
            </w:r>
          </w:p>
        </w:tc>
        <w:tc>
          <w:tcPr>
            <w:tcW w:type="dxa" w:w="3888"/>
            <w:vAlign w:val="top"/>
          </w:tcPr>
          <w:p>
            <w:r/>
            <w:r>
              <w:rPr>
                <w:rFonts w:ascii="Arial" w:hAnsi="Arial"/>
                <w:b w:val="0"/>
                <w:sz w:val="18"/>
              </w:rPr>
              <w:t>WDI-based health-capacity similarity network</w:t>
            </w:r>
          </w:p>
        </w:tc>
        <w:tc>
          <w:tcPr>
            <w:tcW w:type="dxa" w:w="4320"/>
            <w:vAlign w:val="top"/>
          </w:tcPr>
          <w:p>
            <w:r/>
            <w:r>
              <w:rPr>
                <w:rFonts w:ascii="Arial" w:hAnsi="Arial"/>
                <w:b w:val="0"/>
                <w:sz w:val="18"/>
              </w:rPr>
              <w:t>Core operationalization of multiplex health governance</w:t>
            </w:r>
          </w:p>
        </w:tc>
      </w:tr>
      <w:tr>
        <w:tc>
          <w:tcPr>
            <w:tcW w:type="dxa" w:w="2304"/>
            <w:vAlign w:val="top"/>
          </w:tcPr>
          <w:p>
            <w:r/>
            <w:r>
              <w:rPr>
                <w:rFonts w:ascii="Arial" w:hAnsi="Arial"/>
                <w:b w:val="0"/>
                <w:sz w:val="18"/>
              </w:rPr>
              <w:t>Main outcome test</w:t>
            </w:r>
          </w:p>
        </w:tc>
        <w:tc>
          <w:tcPr>
            <w:tcW w:type="dxa" w:w="3888"/>
            <w:vAlign w:val="top"/>
          </w:tcPr>
          <w:p>
            <w:r/>
            <w:r>
              <w:rPr>
                <w:rFonts w:ascii="Arial" w:hAnsi="Arial"/>
                <w:b w:val="0"/>
                <w:sz w:val="18"/>
              </w:rPr>
              <w:t>Dynamic System GMM</w:t>
            </w:r>
          </w:p>
        </w:tc>
        <w:tc>
          <w:tcPr>
            <w:tcW w:type="dxa" w:w="4320"/>
            <w:vAlign w:val="top"/>
          </w:tcPr>
          <w:p>
            <w:r/>
            <w:r>
              <w:rPr>
                <w:rFonts w:ascii="Arial" w:hAnsi="Arial"/>
                <w:b w:val="0"/>
                <w:sz w:val="18"/>
              </w:rPr>
              <w:t>Primary test of lagged network centrality -&gt; life expectancy</w:t>
            </w:r>
          </w:p>
        </w:tc>
      </w:tr>
      <w:tr>
        <w:tc>
          <w:tcPr>
            <w:tcW w:type="dxa" w:w="2304"/>
            <w:vAlign w:val="top"/>
          </w:tcPr>
          <w:p>
            <w:r/>
            <w:r>
              <w:rPr>
                <w:rFonts w:ascii="Arial" w:hAnsi="Arial"/>
                <w:b w:val="0"/>
                <w:sz w:val="18"/>
              </w:rPr>
              <w:t>Network-formation test</w:t>
            </w:r>
          </w:p>
        </w:tc>
        <w:tc>
          <w:tcPr>
            <w:tcW w:type="dxa" w:w="3888"/>
            <w:vAlign w:val="top"/>
          </w:tcPr>
          <w:p>
            <w:r/>
            <w:r>
              <w:rPr>
                <w:rFonts w:ascii="Arial" w:hAnsi="Arial"/>
                <w:b w:val="0"/>
                <w:sz w:val="18"/>
              </w:rPr>
              <w:t>Temporal ERGM</w:t>
            </w:r>
          </w:p>
        </w:tc>
        <w:tc>
          <w:tcPr>
            <w:tcW w:type="dxa" w:w="4320"/>
            <w:vAlign w:val="top"/>
          </w:tcPr>
          <w:p>
            <w:r/>
            <w:r>
              <w:rPr>
                <w:rFonts w:ascii="Arial" w:hAnsi="Arial"/>
                <w:b w:val="0"/>
                <w:sz w:val="18"/>
              </w:rPr>
              <w:t>Tests whether the network is non-random, clustered, and persistent</w:t>
            </w:r>
          </w:p>
        </w:tc>
      </w:tr>
      <w:tr>
        <w:tc>
          <w:tcPr>
            <w:tcW w:type="dxa" w:w="2304"/>
            <w:vAlign w:val="top"/>
          </w:tcPr>
          <w:p>
            <w:r/>
            <w:r>
              <w:rPr>
                <w:rFonts w:ascii="Arial" w:hAnsi="Arial"/>
                <w:b w:val="0"/>
                <w:sz w:val="18"/>
              </w:rPr>
              <w:t>Mechanism tests</w:t>
            </w:r>
          </w:p>
        </w:tc>
        <w:tc>
          <w:tcPr>
            <w:tcW w:type="dxa" w:w="3888"/>
            <w:vAlign w:val="top"/>
          </w:tcPr>
          <w:p>
            <w:r/>
            <w:r>
              <w:rPr>
                <w:rFonts w:ascii="Arial" w:hAnsi="Arial"/>
                <w:b w:val="0"/>
                <w:sz w:val="18"/>
              </w:rPr>
              <w:t>Two-way fixed-effects models</w:t>
            </w:r>
          </w:p>
        </w:tc>
        <w:tc>
          <w:tcPr>
            <w:tcW w:type="dxa" w:w="4320"/>
            <w:vAlign w:val="top"/>
          </w:tcPr>
          <w:p>
            <w:r/>
            <w:r>
              <w:rPr>
                <w:rFonts w:ascii="Arial" w:hAnsi="Arial"/>
                <w:b w:val="0"/>
                <w:sz w:val="18"/>
              </w:rPr>
              <w:t>Tests capacity, diffusion, and North-South stratification mechanisms</w:t>
            </w:r>
          </w:p>
        </w:tc>
      </w:tr>
      <w:tr>
        <w:tc>
          <w:tcPr>
            <w:tcW w:type="dxa" w:w="2304"/>
            <w:vAlign w:val="top"/>
          </w:tcPr>
          <w:p>
            <w:r/>
            <w:r>
              <w:rPr>
                <w:rFonts w:ascii="Arial" w:hAnsi="Arial"/>
                <w:b w:val="0"/>
                <w:sz w:val="18"/>
              </w:rPr>
              <w:t>Causal probing</w:t>
            </w:r>
          </w:p>
        </w:tc>
        <w:tc>
          <w:tcPr>
            <w:tcW w:type="dxa" w:w="3888"/>
            <w:vAlign w:val="top"/>
          </w:tcPr>
          <w:p>
            <w:r/>
            <w:r>
              <w:rPr>
                <w:rFonts w:ascii="Arial" w:hAnsi="Arial"/>
                <w:b w:val="0"/>
                <w:sz w:val="18"/>
              </w:rPr>
              <w:t>CEPII IV models</w:t>
            </w:r>
          </w:p>
        </w:tc>
        <w:tc>
          <w:tcPr>
            <w:tcW w:type="dxa" w:w="4320"/>
            <w:vAlign w:val="top"/>
          </w:tcPr>
          <w:p>
            <w:r/>
            <w:r>
              <w:rPr>
                <w:rFonts w:ascii="Arial" w:hAnsi="Arial"/>
                <w:b w:val="0"/>
                <w:sz w:val="18"/>
              </w:rPr>
              <w:t>Robustness to reverse causality and omitted contemporary capacity</w:t>
            </w:r>
          </w:p>
        </w:tc>
      </w:tr>
      <w:tr>
        <w:tc>
          <w:tcPr>
            <w:tcW w:type="dxa" w:w="2304"/>
            <w:vAlign w:val="top"/>
          </w:tcPr>
          <w:p>
            <w:r/>
            <w:r>
              <w:rPr>
                <w:rFonts w:ascii="Arial" w:hAnsi="Arial"/>
                <w:b w:val="0"/>
                <w:sz w:val="18"/>
              </w:rPr>
              <w:t>Falsification</w:t>
            </w:r>
          </w:p>
        </w:tc>
        <w:tc>
          <w:tcPr>
            <w:tcW w:type="dxa" w:w="3888"/>
            <w:vAlign w:val="top"/>
          </w:tcPr>
          <w:p>
            <w:r/>
            <w:r>
              <w:rPr>
                <w:rFonts w:ascii="Arial" w:hAnsi="Arial"/>
                <w:b w:val="0"/>
                <w:sz w:val="18"/>
              </w:rPr>
              <w:t>Shuffled-network placebo</w:t>
            </w:r>
          </w:p>
        </w:tc>
        <w:tc>
          <w:tcPr>
            <w:tcW w:type="dxa" w:w="4320"/>
            <w:vAlign w:val="top"/>
          </w:tcPr>
          <w:p>
            <w:r/>
            <w:r>
              <w:rPr>
                <w:rFonts w:ascii="Arial" w:hAnsi="Arial"/>
                <w:b w:val="0"/>
                <w:sz w:val="18"/>
              </w:rPr>
              <w:t>Tests whether the observed centrality effect exceeds random assignment</w:t>
            </w:r>
          </w:p>
        </w:tc>
      </w:tr>
      <w:tr>
        <w:tc>
          <w:tcPr>
            <w:tcW w:type="dxa" w:w="2304"/>
            <w:vAlign w:val="top"/>
          </w:tcPr>
          <w:p>
            <w:r/>
            <w:r>
              <w:rPr>
                <w:rFonts w:ascii="Arial" w:hAnsi="Arial"/>
                <w:b w:val="0"/>
                <w:sz w:val="18"/>
              </w:rPr>
              <w:t>Normative-institutional extension</w:t>
            </w:r>
          </w:p>
        </w:tc>
        <w:tc>
          <w:tcPr>
            <w:tcW w:type="dxa" w:w="3888"/>
            <w:vAlign w:val="top"/>
          </w:tcPr>
          <w:p>
            <w:r/>
            <w:r>
              <w:rPr>
                <w:rFonts w:ascii="Arial" w:hAnsi="Arial"/>
                <w:b w:val="0"/>
                <w:sz w:val="18"/>
              </w:rPr>
              <w:t>UNGA voting and WHO/GHO indicators</w:t>
            </w:r>
          </w:p>
        </w:tc>
        <w:tc>
          <w:tcPr>
            <w:tcW w:type="dxa" w:w="4320"/>
            <w:vAlign w:val="top"/>
          </w:tcPr>
          <w:p>
            <w:r/>
            <w:r>
              <w:rPr>
                <w:rFonts w:ascii="Arial" w:hAnsi="Arial"/>
                <w:b w:val="0"/>
                <w:sz w:val="18"/>
              </w:rPr>
              <w:t>Robustness and theory extension; not overclaimed as the main causal result until modeled fully</w:t>
            </w:r>
          </w:p>
        </w:tc>
      </w:tr>
    </w:tbl>
    <w:p/>
    <w:p>
      <w:pPr>
        <w:pStyle w:val="Heading2"/>
      </w:pPr>
      <w:r>
        <w:t>4.7. Bayesian and Monte Carlo computational extension</w:t>
      </w:r>
    </w:p>
    <w:p>
      <w:pPr>
        <w:jc w:val="both"/>
      </w:pPr>
      <w:r>
        <w:t>The main reported results are frequentist because the completed estimation pipeline currently consists of System GMM, temporal ERGM, fixed-effects mechanism models, IV regressions, and shuffled-network placebo tests. A Q1-level computational extension can be added by estimating Bayesian and Monte Carlo versions of the same research design. This extension should be reported as Bayesian robustness only after the models are run and diagnostics are checked; it should not be presented as an empirical finding before estimation.</w:t>
      </w:r>
    </w:p>
    <w:p>
      <w:pPr>
        <w:jc w:val="both"/>
      </w:pPr>
      <w:r>
        <w:t>The Bayesian dynamic panel version can be written as LE_it ~ Normal(mu_it, sigma_y), with mu_it = alpha_i + tau_t + rho LE_i,t-1 + beta C_i,t-1 + gamma'X_it. Country effects follow alpha_i ~ Normal(alpha_0, sigma_alpha), year effects follow tau_t ~ Normal(0, sigma_tau), and the main coefficients follow weakly informative priors such as beta, rho, gamma_k ~ Normal(0, 1). The posterior estimand is not only the coefficient beta but also Pr(beta &gt; 0 | data), the posterior probability that centrality has a positive effect.</w:t>
      </w:r>
    </w:p>
    <w:p>
      <w:pPr>
        <w:spacing w:before="60" w:after="160"/>
        <w:ind w:left="360" w:right="144"/>
      </w:pPr>
      <w:r>
        <w:rPr>
          <w:rFonts w:ascii="Courier New" w:hAnsi="Courier New"/>
          <w:sz w:val="17"/>
        </w:rPr>
        <w:t># R / brms syntax: Bayesian dynamic panel robustness</w:t>
      </w:r>
      <w:r>
        <w:br/>
      </w:r>
      <w:r>
        <w:rPr>
          <w:rFonts w:ascii="Courier New" w:hAnsi="Courier New"/>
          <w:sz w:val="17"/>
        </w:rPr>
        <w:t>library(brms)</w:t>
      </w:r>
      <w:r>
        <w:br/>
      </w:r>
      <w:r>
        <w:rPr>
          <w:rFonts w:ascii="Courier New" w:hAnsi="Courier New"/>
          <w:sz w:val="17"/>
        </w:rPr>
      </w:r>
      <w:r>
        <w:br/>
      </w:r>
      <w:r>
        <w:rPr>
          <w:rFonts w:ascii="Courier New" w:hAnsi="Courier New"/>
          <w:sz w:val="17"/>
        </w:rPr>
        <w:t>df_bayes &lt;- df |&gt;</w:t>
      </w:r>
      <w:r>
        <w:br/>
      </w:r>
      <w:r>
        <w:rPr>
          <w:rFonts w:ascii="Courier New" w:hAnsi="Courier New"/>
          <w:sz w:val="17"/>
        </w:rPr>
        <w:t xml:space="preserve">  dplyr::mutate(</w:t>
      </w:r>
      <w:r>
        <w:br/>
      </w:r>
      <w:r>
        <w:rPr>
          <w:rFonts w:ascii="Courier New" w:hAnsi="Courier New"/>
          <w:sz w:val="17"/>
        </w:rPr>
        <w:t xml:space="preserve">    lag_life = dplyr::lag(life_expectancy),</w:t>
      </w:r>
      <w:r>
        <w:br/>
      </w:r>
      <w:r>
        <w:rPr>
          <w:rFonts w:ascii="Courier New" w:hAnsi="Courier New"/>
          <w:sz w:val="17"/>
        </w:rPr>
        <w:t xml:space="preserve">    log_gdp_pc = log(gdp_pc_ppp),</w:t>
      </w:r>
      <w:r>
        <w:br/>
      </w:r>
      <w:r>
        <w:rPr>
          <w:rFonts w:ascii="Courier New" w:hAnsi="Courier New"/>
          <w:sz w:val="17"/>
        </w:rPr>
        <w:t xml:space="preserve">    log_population = log(population)</w:t>
      </w:r>
      <w:r>
        <w:br/>
      </w:r>
      <w:r>
        <w:rPr>
          <w:rFonts w:ascii="Courier New" w:hAnsi="Courier New"/>
          <w:sz w:val="17"/>
        </w:rPr>
        <w:t xml:space="preserve">  ) |&gt;</w:t>
      </w:r>
      <w:r>
        <w:br/>
      </w:r>
      <w:r>
        <w:rPr>
          <w:rFonts w:ascii="Courier New" w:hAnsi="Courier New"/>
          <w:sz w:val="17"/>
        </w:rPr>
        <w:t xml:space="preserve">  dplyr::filter(!is.na(lag_life), !is.na(l_eigen))</w:t>
      </w:r>
      <w:r>
        <w:br/>
      </w:r>
      <w:r>
        <w:rPr>
          <w:rFonts w:ascii="Courier New" w:hAnsi="Courier New"/>
          <w:sz w:val="17"/>
        </w:rPr>
      </w:r>
      <w:r>
        <w:br/>
      </w:r>
      <w:r>
        <w:rPr>
          <w:rFonts w:ascii="Courier New" w:hAnsi="Courier New"/>
          <w:sz w:val="17"/>
        </w:rPr>
        <w:t>fit_bayes_panel &lt;- brm(</w:t>
      </w:r>
      <w:r>
        <w:br/>
      </w:r>
      <w:r>
        <w:rPr>
          <w:rFonts w:ascii="Courier New" w:hAnsi="Courier New"/>
          <w:sz w:val="17"/>
        </w:rPr>
        <w:t xml:space="preserve">  life_expectancy ~ lag_life + l_eigen + health_spending +</w:t>
      </w:r>
      <w:r>
        <w:br/>
      </w:r>
      <w:r>
        <w:rPr>
          <w:rFonts w:ascii="Courier New" w:hAnsi="Courier New"/>
          <w:sz w:val="17"/>
        </w:rPr>
        <w:t xml:space="preserve">    log_gdp_pc + log_population + internet + (1 | iso3c) + (1 | year),</w:t>
      </w:r>
      <w:r>
        <w:br/>
      </w:r>
      <w:r>
        <w:rPr>
          <w:rFonts w:ascii="Courier New" w:hAnsi="Courier New"/>
          <w:sz w:val="17"/>
        </w:rPr>
        <w:t xml:space="preserve">  data = df_bayes,</w:t>
      </w:r>
      <w:r>
        <w:br/>
      </w:r>
      <w:r>
        <w:rPr>
          <w:rFonts w:ascii="Courier New" w:hAnsi="Courier New"/>
          <w:sz w:val="17"/>
        </w:rPr>
        <w:t xml:space="preserve">  family = gaussian(),</w:t>
      </w:r>
      <w:r>
        <w:br/>
      </w:r>
      <w:r>
        <w:rPr>
          <w:rFonts w:ascii="Courier New" w:hAnsi="Courier New"/>
          <w:sz w:val="17"/>
        </w:rPr>
        <w:t xml:space="preserve">  prior = c(</w:t>
      </w:r>
      <w:r>
        <w:br/>
      </w:r>
      <w:r>
        <w:rPr>
          <w:rFonts w:ascii="Courier New" w:hAnsi="Courier New"/>
          <w:sz w:val="17"/>
        </w:rPr>
        <w:t xml:space="preserve">    prior(normal(0, 1), class = "b"),</w:t>
      </w:r>
      <w:r>
        <w:br/>
      </w:r>
      <w:r>
        <w:rPr>
          <w:rFonts w:ascii="Courier New" w:hAnsi="Courier New"/>
          <w:sz w:val="17"/>
        </w:rPr>
        <w:t xml:space="preserve">    prior(student_t(3, 0, 2.5), class = "sigma"),</w:t>
      </w:r>
      <w:r>
        <w:br/>
      </w:r>
      <w:r>
        <w:rPr>
          <w:rFonts w:ascii="Courier New" w:hAnsi="Courier New"/>
          <w:sz w:val="17"/>
        </w:rPr>
        <w:t xml:space="preserve">    prior(student_t(3, 0, 2.5), class = "sd")</w:t>
      </w:r>
      <w:r>
        <w:br/>
      </w:r>
      <w:r>
        <w:rPr>
          <w:rFonts w:ascii="Courier New" w:hAnsi="Courier New"/>
          <w:sz w:val="17"/>
        </w:rPr>
        <w:t xml:space="preserve">  ),</w:t>
      </w:r>
      <w:r>
        <w:br/>
      </w:r>
      <w:r>
        <w:rPr>
          <w:rFonts w:ascii="Courier New" w:hAnsi="Courier New"/>
          <w:sz w:val="17"/>
        </w:rPr>
        <w:t xml:space="preserve">  chains = 4, iter = 4000, warmup = 1000,</w:t>
      </w:r>
      <w:r>
        <w:br/>
      </w:r>
      <w:r>
        <w:rPr>
          <w:rFonts w:ascii="Courier New" w:hAnsi="Courier New"/>
          <w:sz w:val="17"/>
        </w:rPr>
        <w:t xml:space="preserve">  cores = 4, seed = 20240504,</w:t>
      </w:r>
      <w:r>
        <w:br/>
      </w:r>
      <w:r>
        <w:rPr>
          <w:rFonts w:ascii="Courier New" w:hAnsi="Courier New"/>
          <w:sz w:val="17"/>
        </w:rPr>
        <w:t xml:space="preserve">  control = list(adapt_delta = 0.95)</w:t>
      </w:r>
      <w:r>
        <w:br/>
      </w:r>
      <w:r>
        <w:rPr>
          <w:rFonts w:ascii="Courier New" w:hAnsi="Courier New"/>
          <w:sz w:val="17"/>
        </w:rPr>
        <w:t>)</w:t>
      </w:r>
      <w:r>
        <w:br/>
      </w:r>
      <w:r>
        <w:rPr>
          <w:rFonts w:ascii="Courier New" w:hAnsi="Courier New"/>
          <w:sz w:val="17"/>
        </w:rPr>
      </w:r>
      <w:r>
        <w:br/>
      </w:r>
      <w:r>
        <w:rPr>
          <w:rFonts w:ascii="Courier New" w:hAnsi="Courier New"/>
          <w:sz w:val="17"/>
        </w:rPr>
        <w:t>summary(fit_bayes_panel)</w:t>
      </w:r>
      <w:r>
        <w:br/>
      </w:r>
      <w:r>
        <w:rPr>
          <w:rFonts w:ascii="Courier New" w:hAnsi="Courier New"/>
          <w:sz w:val="17"/>
        </w:rPr>
        <w:t>posterior_summary(fit_bayes_panel, pars = "b_l_eigen")</w:t>
      </w:r>
      <w:r>
        <w:br/>
      </w:r>
      <w:r>
        <w:rPr>
          <w:rFonts w:ascii="Courier New" w:hAnsi="Courier New"/>
          <w:sz w:val="17"/>
        </w:rPr>
        <w:t>mean(as_draws_df(fit_bayes_panel)$b_l_eigen &gt; 0)</w:t>
      </w:r>
    </w:p>
    <w:p>
      <w:pPr>
        <w:jc w:val="both"/>
      </w:pPr>
      <w:r>
        <w:t>A Bayesian approximation to the temporal network model can be estimated at the dyad-year level as a logistic model for tie formation. This does not replace the TERGM because it does not fully reproduce the dependence structure of an ERGM, but it is useful as a transparent Monte Carlo robustness check. Let A_ijt be the binary tie indicator. A dyadic Bayesian model can be written as A_ijt ~ Bernoulli(p_ijt), logit(p_ijt) = eta_t + theta_1 A_ij,t-1 + theta_2 SharedPartners_ijt + theta_3 Similarity_ijt + u_i + u_j. Posterior predictive checks should compare observed and simulated density, clustering, degree distribution, and tie persistence.</w:t>
      </w:r>
    </w:p>
    <w:p>
      <w:pPr>
        <w:spacing w:before="60" w:after="160"/>
        <w:ind w:left="360" w:right="144"/>
      </w:pPr>
      <w:r>
        <w:rPr>
          <w:rFonts w:ascii="Courier New" w:hAnsi="Courier New"/>
          <w:sz w:val="17"/>
        </w:rPr>
        <w:t># R / brms syntax: Bayesian dyad-year network robustness</w:t>
      </w:r>
      <w:r>
        <w:br/>
      </w:r>
      <w:r>
        <w:rPr>
          <w:rFonts w:ascii="Courier New" w:hAnsi="Courier New"/>
          <w:sz w:val="17"/>
        </w:rPr>
        <w:t>fit_bayes_network &lt;- brm(</w:t>
      </w:r>
      <w:r>
        <w:br/>
      </w:r>
      <w:r>
        <w:rPr>
          <w:rFonts w:ascii="Courier New" w:hAnsi="Courier New"/>
          <w:sz w:val="17"/>
        </w:rPr>
        <w:t xml:space="preserve">  edge ~ lag_edge + shared_partners + similarity +</w:t>
      </w:r>
      <w:r>
        <w:br/>
      </w:r>
      <w:r>
        <w:rPr>
          <w:rFonts w:ascii="Courier New" w:hAnsi="Courier New"/>
          <w:sz w:val="17"/>
        </w:rPr>
        <w:t xml:space="preserve">    (1 | year) + (1 | ego) + (1 | alter),</w:t>
      </w:r>
      <w:r>
        <w:br/>
      </w:r>
      <w:r>
        <w:rPr>
          <w:rFonts w:ascii="Courier New" w:hAnsi="Courier New"/>
          <w:sz w:val="17"/>
        </w:rPr>
        <w:t xml:space="preserve">  data = dyad_panel,</w:t>
      </w:r>
      <w:r>
        <w:br/>
      </w:r>
      <w:r>
        <w:rPr>
          <w:rFonts w:ascii="Courier New" w:hAnsi="Courier New"/>
          <w:sz w:val="17"/>
        </w:rPr>
        <w:t xml:space="preserve">  family = bernoulli(link = "logit"),</w:t>
      </w:r>
      <w:r>
        <w:br/>
      </w:r>
      <w:r>
        <w:rPr>
          <w:rFonts w:ascii="Courier New" w:hAnsi="Courier New"/>
          <w:sz w:val="17"/>
        </w:rPr>
        <w:t xml:space="preserve">  prior = c(</w:t>
      </w:r>
      <w:r>
        <w:br/>
      </w:r>
      <w:r>
        <w:rPr>
          <w:rFonts w:ascii="Courier New" w:hAnsi="Courier New"/>
          <w:sz w:val="17"/>
        </w:rPr>
        <w:t xml:space="preserve">    prior(normal(0, 1), class = "b"),</w:t>
      </w:r>
      <w:r>
        <w:br/>
      </w:r>
      <w:r>
        <w:rPr>
          <w:rFonts w:ascii="Courier New" w:hAnsi="Courier New"/>
          <w:sz w:val="17"/>
        </w:rPr>
        <w:t xml:space="preserve">    prior(student_t(3, 0, 2.5), class = "sd")</w:t>
      </w:r>
      <w:r>
        <w:br/>
      </w:r>
      <w:r>
        <w:rPr>
          <w:rFonts w:ascii="Courier New" w:hAnsi="Courier New"/>
          <w:sz w:val="17"/>
        </w:rPr>
        <w:t xml:space="preserve">  ),</w:t>
      </w:r>
      <w:r>
        <w:br/>
      </w:r>
      <w:r>
        <w:rPr>
          <w:rFonts w:ascii="Courier New" w:hAnsi="Courier New"/>
          <w:sz w:val="17"/>
        </w:rPr>
        <w:t xml:space="preserve">  chains = 4, iter = 4000, warmup = 1000,</w:t>
      </w:r>
      <w:r>
        <w:br/>
      </w:r>
      <w:r>
        <w:rPr>
          <w:rFonts w:ascii="Courier New" w:hAnsi="Courier New"/>
          <w:sz w:val="17"/>
        </w:rPr>
        <w:t xml:space="preserve">  cores = 4, seed = 20240504,</w:t>
      </w:r>
      <w:r>
        <w:br/>
      </w:r>
      <w:r>
        <w:rPr>
          <w:rFonts w:ascii="Courier New" w:hAnsi="Courier New"/>
          <w:sz w:val="17"/>
        </w:rPr>
        <w:t xml:space="preserve">  control = list(adapt_delta = 0.95)</w:t>
      </w:r>
      <w:r>
        <w:br/>
      </w:r>
      <w:r>
        <w:rPr>
          <w:rFonts w:ascii="Courier New" w:hAnsi="Courier New"/>
          <w:sz w:val="17"/>
        </w:rPr>
        <w:t>)</w:t>
      </w:r>
      <w:r>
        <w:br/>
      </w:r>
      <w:r>
        <w:rPr>
          <w:rFonts w:ascii="Courier New" w:hAnsi="Courier New"/>
          <w:sz w:val="17"/>
        </w:rPr>
      </w:r>
      <w:r>
        <w:br/>
      </w:r>
      <w:r>
        <w:rPr>
          <w:rFonts w:ascii="Courier New" w:hAnsi="Courier New"/>
          <w:sz w:val="17"/>
        </w:rPr>
        <w:t>pp_check(fit_bayes_network)</w:t>
      </w:r>
      <w:r>
        <w:br/>
      </w:r>
      <w:r>
        <w:rPr>
          <w:rFonts w:ascii="Courier New" w:hAnsi="Courier New"/>
          <w:sz w:val="17"/>
        </w:rPr>
        <w:t>bayes_R2(fit_bayes_network)</w:t>
      </w:r>
    </w:p>
    <w:p>
      <w:pPr>
        <w:jc w:val="both"/>
      </w:pPr>
      <w:r>
        <w:t>A Bayesian IV model can be specified as a joint system. The first stage is C_i,t-1 = pi Z_i,t-1 + delta'X_it + alpha_i + tau_t + nu_it. The outcome stage is LE_it = beta C_i,t-1 + gamma'X_it + alpha_i + tau_t + epsilon_it. A fully Bayesian implementation estimates the two equations jointly and allows correlation between nu_it and epsilon_it. This is especially useful when the instrument is plausible but exclusion is theoretically contestable.</w:t>
      </w:r>
    </w:p>
    <w:p>
      <w:pPr>
        <w:spacing w:before="60" w:after="160"/>
        <w:ind w:left="360" w:right="144"/>
      </w:pPr>
      <w:r>
        <w:rPr>
          <w:rFonts w:ascii="Courier New" w:hAnsi="Courier New"/>
          <w:sz w:val="17"/>
        </w:rPr>
        <w:t># Python / PyMC syntax: Bayesian panel outcome model</w:t>
      </w:r>
      <w:r>
        <w:br/>
      </w:r>
      <w:r>
        <w:rPr>
          <w:rFonts w:ascii="Courier New" w:hAnsi="Courier New"/>
          <w:sz w:val="17"/>
        </w:rPr>
        <w:t>import pymc as pm</w:t>
      </w:r>
      <w:r>
        <w:br/>
      </w:r>
      <w:r>
        <w:rPr>
          <w:rFonts w:ascii="Courier New" w:hAnsi="Courier New"/>
          <w:sz w:val="17"/>
        </w:rPr>
        <w:t>import numpy as np</w:t>
      </w:r>
      <w:r>
        <w:br/>
      </w:r>
      <w:r>
        <w:rPr>
          <w:rFonts w:ascii="Courier New" w:hAnsi="Courier New"/>
          <w:sz w:val="17"/>
        </w:rPr>
      </w:r>
      <w:r>
        <w:br/>
      </w:r>
      <w:r>
        <w:rPr>
          <w:rFonts w:ascii="Courier New" w:hAnsi="Courier New"/>
          <w:sz w:val="17"/>
        </w:rPr>
        <w:t>coords = {"obs": np.arange(len(df_bayes))}</w:t>
      </w:r>
      <w:r>
        <w:br/>
      </w:r>
      <w:r>
        <w:rPr>
          <w:rFonts w:ascii="Courier New" w:hAnsi="Courier New"/>
          <w:sz w:val="17"/>
        </w:rPr>
        <w:t>with pm.Model(coords=coords) as bayes_panel:</w:t>
      </w:r>
      <w:r>
        <w:br/>
      </w:r>
      <w:r>
        <w:rPr>
          <w:rFonts w:ascii="Courier New" w:hAnsi="Courier New"/>
          <w:sz w:val="17"/>
        </w:rPr>
        <w:t xml:space="preserve">    beta0 = pm.Normal("beta0", 0, 5)</w:t>
      </w:r>
      <w:r>
        <w:br/>
      </w:r>
      <w:r>
        <w:rPr>
          <w:rFonts w:ascii="Courier New" w:hAnsi="Courier New"/>
          <w:sz w:val="17"/>
        </w:rPr>
        <w:t xml:space="preserve">    rho = pm.Normal("rho_lag_life", 0, 1)</w:t>
      </w:r>
      <w:r>
        <w:br/>
      </w:r>
      <w:r>
        <w:rPr>
          <w:rFonts w:ascii="Courier New" w:hAnsi="Courier New"/>
          <w:sz w:val="17"/>
        </w:rPr>
        <w:t xml:space="preserve">    beta_c = pm.Normal("beta_lag_eigen", 0, 1)</w:t>
      </w:r>
      <w:r>
        <w:br/>
      </w:r>
      <w:r>
        <w:rPr>
          <w:rFonts w:ascii="Courier New" w:hAnsi="Courier New"/>
          <w:sz w:val="17"/>
        </w:rPr>
        <w:t xml:space="preserve">    beta_gdp = pm.Normal("beta_log_gdp", 0, 1)</w:t>
      </w:r>
      <w:r>
        <w:br/>
      </w:r>
      <w:r>
        <w:rPr>
          <w:rFonts w:ascii="Courier New" w:hAnsi="Courier New"/>
          <w:sz w:val="17"/>
        </w:rPr>
        <w:t xml:space="preserve">    beta_net = pm.Normal("beta_internet", 0, 1)</w:t>
      </w:r>
      <w:r>
        <w:br/>
      </w:r>
      <w:r>
        <w:rPr>
          <w:rFonts w:ascii="Courier New" w:hAnsi="Courier New"/>
          <w:sz w:val="17"/>
        </w:rPr>
        <w:t xml:space="preserve">    sigma = pm.HalfStudentT("sigma", nu=3, sigma=2.5)</w:t>
      </w:r>
      <w:r>
        <w:br/>
      </w:r>
      <w:r>
        <w:rPr>
          <w:rFonts w:ascii="Courier New" w:hAnsi="Courier New"/>
          <w:sz w:val="17"/>
        </w:rPr>
      </w:r>
      <w:r>
        <w:br/>
      </w:r>
      <w:r>
        <w:rPr>
          <w:rFonts w:ascii="Courier New" w:hAnsi="Courier New"/>
          <w:sz w:val="17"/>
        </w:rPr>
        <w:t xml:space="preserve">    mu = (</w:t>
      </w:r>
      <w:r>
        <w:br/>
      </w:r>
      <w:r>
        <w:rPr>
          <w:rFonts w:ascii="Courier New" w:hAnsi="Courier New"/>
          <w:sz w:val="17"/>
        </w:rPr>
        <w:t xml:space="preserve">        beta0</w:t>
      </w:r>
      <w:r>
        <w:br/>
      </w:r>
      <w:r>
        <w:rPr>
          <w:rFonts w:ascii="Courier New" w:hAnsi="Courier New"/>
          <w:sz w:val="17"/>
        </w:rPr>
        <w:t xml:space="preserve">        + rho * df_bayes["lag_life"].to_numpy()</w:t>
      </w:r>
      <w:r>
        <w:br/>
      </w:r>
      <w:r>
        <w:rPr>
          <w:rFonts w:ascii="Courier New" w:hAnsi="Courier New"/>
          <w:sz w:val="17"/>
        </w:rPr>
        <w:t xml:space="preserve">        + beta_c * df_bayes["l_eigen"].to_numpy()</w:t>
      </w:r>
      <w:r>
        <w:br/>
      </w:r>
      <w:r>
        <w:rPr>
          <w:rFonts w:ascii="Courier New" w:hAnsi="Courier New"/>
          <w:sz w:val="17"/>
        </w:rPr>
        <w:t xml:space="preserve">        + beta_gdp * df_bayes["log_gdp_pc"].to_numpy()</w:t>
      </w:r>
      <w:r>
        <w:br/>
      </w:r>
      <w:r>
        <w:rPr>
          <w:rFonts w:ascii="Courier New" w:hAnsi="Courier New"/>
          <w:sz w:val="17"/>
        </w:rPr>
        <w:t xml:space="preserve">        + beta_net * df_bayes["internet"].to_numpy()</w:t>
      </w:r>
      <w:r>
        <w:br/>
      </w:r>
      <w:r>
        <w:rPr>
          <w:rFonts w:ascii="Courier New" w:hAnsi="Courier New"/>
          <w:sz w:val="17"/>
        </w:rPr>
        <w:t xml:space="preserve">    )</w:t>
      </w:r>
      <w:r>
        <w:br/>
      </w:r>
      <w:r>
        <w:rPr>
          <w:rFonts w:ascii="Courier New" w:hAnsi="Courier New"/>
          <w:sz w:val="17"/>
        </w:rPr>
      </w:r>
      <w:r>
        <w:br/>
      </w:r>
      <w:r>
        <w:rPr>
          <w:rFonts w:ascii="Courier New" w:hAnsi="Courier New"/>
          <w:sz w:val="17"/>
        </w:rPr>
        <w:t xml:space="preserve">    y = pm.Normal("life_expectancy", mu=mu, sigma=sigma,</w:t>
      </w:r>
      <w:r>
        <w:br/>
      </w:r>
      <w:r>
        <w:rPr>
          <w:rFonts w:ascii="Courier New" w:hAnsi="Courier New"/>
          <w:sz w:val="17"/>
        </w:rPr>
        <w:t xml:space="preserve">                  observed=df_bayes["life_expectancy"].to_numpy())</w:t>
      </w:r>
      <w:r>
        <w:br/>
      </w:r>
      <w:r>
        <w:rPr>
          <w:rFonts w:ascii="Courier New" w:hAnsi="Courier New"/>
          <w:sz w:val="17"/>
        </w:rPr>
        <w:t xml:space="preserve">    idata = pm.sample(4000, tune=1000, chains=4,</w:t>
      </w:r>
      <w:r>
        <w:br/>
      </w:r>
      <w:r>
        <w:rPr>
          <w:rFonts w:ascii="Courier New" w:hAnsi="Courier New"/>
          <w:sz w:val="17"/>
        </w:rPr>
        <w:t xml:space="preserve">                      target_accept=0.95, random_seed=20240504)</w:t>
      </w:r>
      <w:r>
        <w:br/>
      </w:r>
      <w:r>
        <w:rPr>
          <w:rFonts w:ascii="Courier New" w:hAnsi="Courier New"/>
          <w:sz w:val="17"/>
        </w:rPr>
      </w:r>
      <w:r>
        <w:br/>
      </w:r>
      <w:r>
        <w:rPr>
          <w:rFonts w:ascii="Courier New" w:hAnsi="Courier New"/>
          <w:sz w:val="17"/>
        </w:rPr>
        <w:t>pm.summary(idata, var_names=["beta_lag_eigen"])</w:t>
      </w:r>
      <w:r>
        <w:br/>
      </w:r>
      <w:r>
        <w:rPr>
          <w:rFonts w:ascii="Courier New" w:hAnsi="Courier New"/>
          <w:sz w:val="17"/>
        </w:rPr>
        <w:t>prob_positive = (idata.posterior["beta_lag_eigen"] &gt; 0).mean().item()</w:t>
      </w:r>
    </w:p>
    <w:p>
      <w:pPr>
        <w:jc w:val="both"/>
      </w:pPr>
      <w:r>
        <w:t>The Monte Carlo part should vary key modeling decisions rather than merely repeat one model. The recommended uncertainty design is: k-nearest-neighbor threshold k in {3, 5, 7, 10}; alternative network weights using similarity, rank-based ties, and binary ties; bootstrap or posterior draws for interpolated health-capacity variables; 200-1,000 shuffled-network placebo replications; and posterior predictive checks for network density, clustering, degree distribution, and persistence. A result should be treated as robust only if the sign, magnitude, and uncertainty of beta are stable across these perturbations.</w:t>
      </w:r>
    </w:p>
    <w:p>
      <w:pPr>
        <w:spacing w:before="60" w:after="160"/>
        <w:ind w:left="360" w:right="144"/>
      </w:pPr>
      <w:r>
        <w:rPr>
          <w:rFonts w:ascii="Courier New" w:hAnsi="Courier New"/>
          <w:sz w:val="17"/>
        </w:rPr>
        <w:t># R syntax: Monte Carlo threshold robustness skeleton</w:t>
      </w:r>
      <w:r>
        <w:br/>
      </w:r>
      <w:r>
        <w:rPr>
          <w:rFonts w:ascii="Courier New" w:hAnsi="Courier New"/>
          <w:sz w:val="17"/>
        </w:rPr>
        <w:t>k_grid &lt;- c(3, 5, 7, 10)</w:t>
      </w:r>
      <w:r>
        <w:br/>
      </w:r>
      <w:r>
        <w:rPr>
          <w:rFonts w:ascii="Courier New" w:hAnsi="Courier New"/>
          <w:sz w:val="17"/>
        </w:rPr>
        <w:t>B &lt;- 500</w:t>
      </w:r>
      <w:r>
        <w:br/>
      </w:r>
      <w:r>
        <w:rPr>
          <w:rFonts w:ascii="Courier New" w:hAnsi="Courier New"/>
          <w:sz w:val="17"/>
        </w:rPr>
      </w:r>
      <w:r>
        <w:br/>
      </w:r>
      <w:r>
        <w:rPr>
          <w:rFonts w:ascii="Courier New" w:hAnsi="Courier New"/>
          <w:sz w:val="17"/>
        </w:rPr>
        <w:t>mc_results &lt;- purrr::map_dfr(k_grid, function(k) {</w:t>
      </w:r>
      <w:r>
        <w:br/>
      </w:r>
      <w:r>
        <w:rPr>
          <w:rFonts w:ascii="Courier New" w:hAnsi="Courier New"/>
          <w:sz w:val="17"/>
        </w:rPr>
        <w:t xml:space="preserve">  network_k &lt;- build_all_year_networks(panel_clean, k = k)</w:t>
      </w:r>
      <w:r>
        <w:br/>
      </w:r>
      <w:r>
        <w:rPr>
          <w:rFonts w:ascii="Courier New" w:hAnsi="Courier New"/>
          <w:sz w:val="17"/>
        </w:rPr>
        <w:t xml:space="preserve">  panel_k &lt;- panel_clean |&gt;</w:t>
      </w:r>
      <w:r>
        <w:br/>
      </w:r>
      <w:r>
        <w:rPr>
          <w:rFonts w:ascii="Courier New" w:hAnsi="Courier New"/>
          <w:sz w:val="17"/>
        </w:rPr>
        <w:t xml:space="preserve">    dplyr::left_join(network_k, by = c("iso3c", "year")) |&gt;</w:t>
      </w:r>
      <w:r>
        <w:br/>
      </w:r>
      <w:r>
        <w:rPr>
          <w:rFonts w:ascii="Courier New" w:hAnsi="Courier New"/>
          <w:sz w:val="17"/>
        </w:rPr>
        <w:t xml:space="preserve">    dplyr::group_by(iso3c) |&gt;</w:t>
      </w:r>
      <w:r>
        <w:br/>
      </w:r>
      <w:r>
        <w:rPr>
          <w:rFonts w:ascii="Courier New" w:hAnsi="Courier New"/>
          <w:sz w:val="17"/>
        </w:rPr>
        <w:t xml:space="preserve">    dplyr::arrange(year, .by_group = TRUE) |&gt;</w:t>
      </w:r>
      <w:r>
        <w:br/>
      </w:r>
      <w:r>
        <w:rPr>
          <w:rFonts w:ascii="Courier New" w:hAnsi="Courier New"/>
          <w:sz w:val="17"/>
        </w:rPr>
        <w:t xml:space="preserve">    dplyr::mutate(l_eigen = dplyr::lag(eigen, 1)) |&gt;</w:t>
      </w:r>
      <w:r>
        <w:br/>
      </w:r>
      <w:r>
        <w:rPr>
          <w:rFonts w:ascii="Courier New" w:hAnsi="Courier New"/>
          <w:sz w:val="17"/>
        </w:rPr>
        <w:t xml:space="preserve">    dplyr::ungroup()</w:t>
      </w:r>
      <w:r>
        <w:br/>
      </w:r>
      <w:r>
        <w:rPr>
          <w:rFonts w:ascii="Courier New" w:hAnsi="Courier New"/>
          <w:sz w:val="17"/>
        </w:rPr>
      </w:r>
      <w:r>
        <w:br/>
      </w:r>
      <w:r>
        <w:rPr>
          <w:rFonts w:ascii="Courier New" w:hAnsi="Courier New"/>
          <w:sz w:val="17"/>
        </w:rPr>
        <w:t xml:space="preserve">  model_k &lt;- fixest::feols(</w:t>
      </w:r>
      <w:r>
        <w:br/>
      </w:r>
      <w:r>
        <w:rPr>
          <w:rFonts w:ascii="Courier New" w:hAnsi="Courier New"/>
          <w:sz w:val="17"/>
        </w:rPr>
        <w:t xml:space="preserve">    life_expectancy ~ l_eigen + health_spending + log_gdp_pc + internet |</w:t>
      </w:r>
      <w:r>
        <w:br/>
      </w:r>
      <w:r>
        <w:rPr>
          <w:rFonts w:ascii="Courier New" w:hAnsi="Courier New"/>
          <w:sz w:val="17"/>
        </w:rPr>
        <w:t xml:space="preserve">      iso3c + year,</w:t>
      </w:r>
      <w:r>
        <w:br/>
      </w:r>
      <w:r>
        <w:rPr>
          <w:rFonts w:ascii="Courier New" w:hAnsi="Courier New"/>
          <w:sz w:val="17"/>
        </w:rPr>
        <w:t xml:space="preserve">    data = panel_k,</w:t>
      </w:r>
      <w:r>
        <w:br/>
      </w:r>
      <w:r>
        <w:rPr>
          <w:rFonts w:ascii="Courier New" w:hAnsi="Courier New"/>
          <w:sz w:val="17"/>
        </w:rPr>
        <w:t xml:space="preserve">    cluster = ~ iso3c</w:t>
      </w:r>
      <w:r>
        <w:br/>
      </w:r>
      <w:r>
        <w:rPr>
          <w:rFonts w:ascii="Courier New" w:hAnsi="Courier New"/>
          <w:sz w:val="17"/>
        </w:rPr>
        <w:t xml:space="preserve">  )</w:t>
      </w:r>
      <w:r>
        <w:br/>
      </w:r>
      <w:r>
        <w:rPr>
          <w:rFonts w:ascii="Courier New" w:hAnsi="Courier New"/>
          <w:sz w:val="17"/>
        </w:rPr>
      </w:r>
      <w:r>
        <w:br/>
      </w:r>
      <w:r>
        <w:rPr>
          <w:rFonts w:ascii="Courier New" w:hAnsi="Courier New"/>
          <w:sz w:val="17"/>
        </w:rPr>
        <w:t xml:space="preserve">  tibble::tibble(</w:t>
      </w:r>
      <w:r>
        <w:br/>
      </w:r>
      <w:r>
        <w:rPr>
          <w:rFonts w:ascii="Courier New" w:hAnsi="Courier New"/>
          <w:sz w:val="17"/>
        </w:rPr>
        <w:t xml:space="preserve">    k = k,</w:t>
      </w:r>
      <w:r>
        <w:br/>
      </w:r>
      <w:r>
        <w:rPr>
          <w:rFonts w:ascii="Courier New" w:hAnsi="Courier New"/>
          <w:sz w:val="17"/>
        </w:rPr>
        <w:t xml:space="preserve">    beta_l_eigen = coef(model_k)["l_eigen"],</w:t>
      </w:r>
      <w:r>
        <w:br/>
      </w:r>
      <w:r>
        <w:rPr>
          <w:rFonts w:ascii="Courier New" w:hAnsi="Courier New"/>
          <w:sz w:val="17"/>
        </w:rPr>
        <w:t xml:space="preserve">    se_l_eigen = sqrt(diag(vcov(model_k)))["l_eigen"]</w:t>
      </w:r>
      <w:r>
        <w:br/>
      </w:r>
      <w:r>
        <w:rPr>
          <w:rFonts w:ascii="Courier New" w:hAnsi="Courier New"/>
          <w:sz w:val="17"/>
        </w:rPr>
        <w:t xml:space="preserve">  )</w:t>
      </w:r>
      <w:r>
        <w:br/>
      </w:r>
      <w:r>
        <w:rPr>
          <w:rFonts w:ascii="Courier New" w:hAnsi="Courier New"/>
          <w:sz w:val="17"/>
        </w:rPr>
        <w:t>})</w:t>
      </w:r>
    </w:p>
    <w:p>
      <w:pPr>
        <w:jc w:val="both"/>
      </w:pPr>
      <w:r>
        <w:t>Bayesian and Monte Carlo results should be reported with standard computational diagnostics: R-hat below 1.01, adequate effective sample size, trace-plot mixing, posterior predictive checks, sensitivity to priors, and robustness across network thresholds. The article should report posterior means, 95% credible intervals, and posterior probabilities such as Pr(beta &gt; 0 | data), rather than only p-values.</w:t>
      </w:r>
    </w:p>
    <w:p>
      <w:pPr>
        <w:pStyle w:val="Heading1"/>
      </w:pPr>
      <w:r>
        <w:t>5. Results</w:t>
      </w:r>
    </w:p>
    <w:p>
      <w:pPr>
        <w:pStyle w:val="Heading2"/>
      </w:pPr>
      <w:r>
        <w:t>5.1. Data coverage and network descriptives</w:t>
      </w:r>
    </w:p>
    <w:p>
      <w:pPr>
        <w:jc w:val="both"/>
      </w:pPr>
      <w:r>
        <w:t>The final WDI panel is balanced at the country-year level. The main network file contains 2,100 country-year network observations. Because the WDI network retains the five nearest neighbors and then symmetrizes ties, the graph is sparse but connected enough to support centrality estimation. Across years, mean network density is approximately 0.070, mean local/network clustering is approximately 0.532, mean eigenvector centrality is approximately 0.179, and mean strength is approximately 3.592. These descriptive results already point away from a fully random or fully integrated system: the network is sparse, clustered, and structured.</w:t>
      </w:r>
    </w:p>
    <w:p>
      <w:pPr>
        <w:pStyle w:val="Heading2"/>
      </w:pPr>
      <w:r>
        <w:t>5.2. Temporal ERGM: the network is structured</w:t>
      </w:r>
    </w:p>
    <w:p>
      <w:pPr>
        <w:jc w:val="both"/>
      </w:pPr>
      <w:r>
        <w:t>The temporal ERGM confirms that the health-capacity network is not random. The edges coefficient is negative and significant (theta = -8.018, p &lt; .001), as expected in a sparse network. More substantively, the GWESP term is positive and highly significant (theta = 2.817, p &lt; .001), indicating strong triadic closure: countries tend to form ties in clustered neighborhoods rather than as independent dyads. The persistence term is also positive and highly significant (theta = 1.651, p &lt; .001), indicating that network ties tend to carry over from one year to the next. The MCMC diagnostic joint p-value is 0.523, suggesting acceptable model behavior for this working specification.</w:t>
      </w:r>
    </w:p>
    <w:p>
      <w:pPr>
        <w:jc w:val="both"/>
      </w:pPr>
      <w:r>
        <w:t>This is the first key empirical result. Multiplex global health governance, operationalized as multidimensional similarity in capacity and development, has a durable relational structure. The network is therefore not merely a statistical artifact of annual cross-sectional variation.</w:t>
      </w:r>
    </w:p>
    <w:p>
      <w:pPr>
        <w:pStyle w:val="Heading2"/>
      </w:pPr>
      <w:r>
        <w:t>5.3. System GMM: centrality does not independently predict life expectancy</w:t>
      </w:r>
    </w:p>
    <w:p>
      <w:pPr>
        <w:jc w:val="both"/>
      </w:pPr>
      <w:r>
        <w:t>The dynamic panel results do not support the stronger claim that centrality independently improves health outcomes. In the degree model, lagged life expectancy is strongly significant (rho = 0.909, p &lt; .001), confirming strong outcome persistence. Lagged degree is positive but statistically insignificant (beta = 2.680, p = .624). GDP per capita and internet use are significant predictors, while health expenditure and population are not significant in this specification. The Arellano-Bond AR(2) test is not significant (p = .307), which is consistent with the absence of second-order serial correlation in the differenced errors.</w:t>
      </w:r>
    </w:p>
    <w:p>
      <w:pPr>
        <w:jc w:val="both"/>
      </w:pPr>
      <w:r>
        <w:t>The eigenvector-centrality model produces the same substantive conclusion. Lagged life expectancy remains highly significant (rho = 0.921, p &lt; .001). Lagged eigenvector centrality is not significant (beta = 0.116, p = .385). GDP per capita and internet use remain significant. The AR(2) test is again not significant (p = .305). The Sargan p-values equal 1 in both GMM specifications, which should be interpreted cautiously because very high p-values may indicate instrument proliferation or weak discriminatory power of overidentification tests in finite samples. The substantive conclusion does not rest on the Sargan result: it rests on the consistent non-significance of lagged network centrality across the dynamic specifications.</w:t>
      </w:r>
    </w:p>
    <w:p>
      <w:pPr>
        <w:pStyle w:val="Heading2"/>
      </w:pPr>
      <w:r>
        <w:t>5.4. Mechanisms: capacity matters, but diffusion through centrality is weak</w:t>
      </w:r>
    </w:p>
    <w:p>
      <w:pPr>
        <w:jc w:val="both"/>
      </w:pPr>
      <w:r>
        <w:t>The mechanism tests refine the interpretation. In the model explaining eigenvector centrality from lagged capacity variables, health expenditure, physicians, hospital beds, GDP per capita, and internet use are not jointly transformed into a strong within-country centrality mechanism; the within R-squared is low and coefficients are mostly insignificant. In the model explaining life expectancy, lagged eigenvector centrality is effectively zero and insignificant (beta = -0.013, p = .960). This weakens a simple diffusion story in which more central countries automatically obtain better health outcomes.</w:t>
      </w:r>
    </w:p>
    <w:p>
      <w:pPr>
        <w:jc w:val="both"/>
      </w:pPr>
      <w:r>
        <w:t>The North-South stratification model is more theoretically important. Lagged log GDP per capita is positively associated with eigenvector centrality in the reference category (beta = 0.311, p &lt; .001), while the Global South interaction is negative and highly significant (beta = -0.454, p &lt; .001). This means that the translation of development into centrality is not uniform across the global system. Structural location conditions how economic capacity becomes network position. This is the clearest mechanism behind the article's central claim: integration exists, but it is filtered through persistent stratification.</w:t>
      </w:r>
    </w:p>
    <w:p>
      <w:pPr>
        <w:pStyle w:val="Heading2"/>
      </w:pPr>
      <w:r>
        <w:t>5.5. IV models: geo-historical instruments do not recover a centrality effect</w:t>
      </w:r>
    </w:p>
    <w:p>
      <w:pPr>
        <w:jc w:val="both"/>
      </w:pPr>
      <w:r>
        <w:t>The CEPII-based IV models provide causal probing. The distance-weighted peer instrument has a weak first stage by conventional standards (F = 5.389), and its second-stage fitted centrality effect is not significant (p = .695). The common-language, historical-tie, and contiguous-neighbor instruments show strong first-stage relevance, with first-stage F-statistics of 247.6, 278.9, and 724.8 respectively. However, none of their second-stage fitted centrality coefficients is statistically significant: common-language fitted centrality p = .328, historical-tie fitted centrality p = .270, and contiguous-neighbor fitted centrality p = .637.</w:t>
      </w:r>
    </w:p>
    <w:p>
      <w:pPr>
        <w:jc w:val="both"/>
      </w:pPr>
      <w:r>
        <w:t>The IV evidence therefore supports the main interpretation rather than overturning it. Geo-historical ties help predict network position, but the component of network centrality predicted by these external ties does not produce a robust independent effect on life expectancy once country effects, year effects, and structural controls are included.</w:t>
      </w:r>
    </w:p>
    <w:p>
      <w:pPr>
        <w:pStyle w:val="Heading2"/>
      </w:pPr>
      <w:r>
        <w:t>5.6. Placebo: observed centrality is not stronger than shuffled centrality</w:t>
      </w:r>
    </w:p>
    <w:p>
      <w:pPr>
        <w:jc w:val="both"/>
      </w:pPr>
      <w:r>
        <w:t>The shuffled-network placebo test also supports a cautious interpretation. In the actual two-way fixed-effects model, lagged eigenvector centrality has beta = -0.073 and p = .774. Across 200 shuffled-network simulations, the placebo mean is 0.008, the placebo standard deviation is 0.107, and the empirical p-value is 0.435. The actual centrality coefficient is therefore not statistically distinguishable from coefficients obtained after randomly reallocating centrality scores within years.</w:t>
      </w:r>
    </w:p>
    <w:p>
      <w:pPr>
        <w:pStyle w:val="Heading2"/>
      </w:pPr>
      <w:r>
        <w:t>5.7. UNGA and WHO layers: what the expanded data add</w:t>
      </w:r>
    </w:p>
    <w:p>
      <w:pPr>
        <w:jc w:val="both"/>
      </w:pPr>
      <w:r>
        <w:t>The UNGA and WHO layers substantially strengthen the empirical architecture of the article, but they should be interpreted with appropriate scope. The UNGA layer provides a normative-alignment network based on voting similarity rather than health-capacity similarity. It allows the article to examine whether countries that are close in the health-capacity network are also close in multilateral normative space. The WHO layer adds institutional health-governance indicators, including UHC capacity and external health expenditure, that are closer to global health governance than broad economic indicators alone.</w:t>
      </w:r>
    </w:p>
    <w:p>
      <w:pPr>
        <w:jc w:val="both"/>
      </w:pPr>
      <w:r>
        <w:t>At the current stage, these layers primarily serve as robustness and mechanism extensions rather than as the source of the main causal finding. They justify the article's broader claim that global health governance is multiplex: it contains a material-capacity layer, a normative-alignment layer, and an institutional health-governance layer. The existing main results show that the material-capacity network is structured but does not equalize outcomes. The UNGA and WHO layers make it possible to test whether this pattern also holds when governance is measured through multilateral voting alignment and WHO-related institutional capacity.</w:t>
      </w:r>
    </w:p>
    <w:p>
      <w:pPr>
        <w:pStyle w:val="Heading1"/>
      </w:pPr>
      <w:r>
        <w:t>6. Discussion</w:t>
      </w:r>
    </w:p>
    <w:p>
      <w:pPr>
        <w:jc w:val="both"/>
      </w:pPr>
      <w:r>
        <w:t>The findings clarify the meaning of integration in multiplex governance. If integration means the presence of structured and persistent relational ties, then the global health governance system is integrated. The temporal ERGM shows clustering and tie persistence, and the UNGA layer confirms that countries can also be embedded in a structured normative space. However, if integration means convergence or equalization in substantive health outcomes, the evidence is much weaker. Dynamic panel, IV, and placebo tests do not show that network centrality produces a robust independent improvement in life expectancy.</w:t>
      </w:r>
    </w:p>
    <w:p>
      <w:pPr>
        <w:jc w:val="both"/>
      </w:pPr>
      <w:r>
        <w:t>This distinction is theoretically important. Much of the literature on global governance treats connectivity as a potential solution to fragmentation. The results here suggest a more conditional account. Multiplex governance can organize interactions without redistributing the resources, capacities, and structural advantages that shape outcomes. In such a system, countries may become more connected, more aligned, and more visible within governance networks while still remaining unequal in their ability to convert that connectivity into health gains.</w:t>
      </w:r>
    </w:p>
    <w:p>
      <w:pPr>
        <w:jc w:val="both"/>
      </w:pPr>
      <w:r>
        <w:t>The article therefore contributes to multiplex governance theory by moving the empirical focus from institutional architecture to systemic consequences. It does not ask only whether global health governance has many overlapping institutions. It asks whether the relational structures associated with that multiplexity generate outcome-level integration. The answer is mixed but analytically powerful: global health governance exhibits structured integration, but not automatic equalization.</w:t>
      </w:r>
    </w:p>
    <w:p>
      <w:pPr>
        <w:jc w:val="both"/>
      </w:pPr>
      <w:r>
        <w:t>The results also speak to global health policy. If centrality alone does not generate better health outcomes, then policy efforts should not assume that inclusion in networks is sufficient. The decisive channels appear to remain capacity, development, digital access, institutional health-system capability, and global stratification. Network participation may matter, but its effects are mediated by whether countries have the domestic and institutional capacity to use those connections.</w:t>
      </w:r>
    </w:p>
    <w:p>
      <w:pPr>
        <w:pStyle w:val="Heading1"/>
      </w:pPr>
      <w:r>
        <w:t>7. Conclusion</w:t>
      </w:r>
    </w:p>
    <w:p>
      <w:pPr>
        <w:jc w:val="both"/>
      </w:pPr>
      <w:r>
        <w:t>This study constructed and analyzed a large-N, cross-temporal dataset to test whether multiplex global health governance produces integration or fragmentation. It combined a balanced 100-country WDI panel, a WDI-derived annual health-capacity network, CEPII geo-historical instruments, UNGA normative-alignment data, and WHO health-governance indicators. The empirical strategy combined network analysis, dynamic System GMM, temporal ERGM, mechanism tests, instrumental-variable models, and placebo falsification.</w:t>
      </w:r>
    </w:p>
    <w:p>
      <w:pPr>
        <w:jc w:val="both"/>
      </w:pPr>
      <w:r>
        <w:t>The evidence supports a clear conclusion: global health governance is integrated in relational form but not equalizing in outcome. Network ties are clustered and persistent, but centrality does not robustly predict life expectancy after controlling for prior outcomes and structural conditions. IV and placebo results reinforce this conclusion. The strongest mechanism is not simple diffusion from the network center to better outcomes; it is structural stratification in the conversion of capacity into network position.</w:t>
      </w:r>
    </w:p>
    <w:p>
      <w:pPr>
        <w:jc w:val="both"/>
      </w:pPr>
      <w:r>
        <w:t>The article's core contribution is therefore the concept of integration without equalization. Multiplex governance does not necessarily fail because it lacks connectivity. It may fail, or at least remain limited, because connectivity is organized through unequal structural positions. This finding provides a more precise empirical basis for debates on global governance fragmentation and suggests that future research should examine not only whether states are connected, but whether those connections alter the distribution of capacity and outcomes.</w:t>
      </w:r>
    </w:p>
    <w:p>
      <w:pPr>
        <w:pStyle w:val="Heading1"/>
      </w:pPr>
      <w:r>
        <w:t>References and Data Sources to Retain</w:t>
      </w:r>
    </w:p>
    <w:p>
      <w:pPr>
        <w:pStyle w:val="ListBullet"/>
        <w:jc w:val="both"/>
      </w:pPr>
      <w:r>
        <w:t>World Bank. World Development Indicators. Indicators used for health expenditure, medical personnel, hospital beds, life expectancy, GDP per capita PPP, population, literacy, internet use, and R&amp;D expenditure.</w:t>
      </w:r>
    </w:p>
    <w:p>
      <w:pPr>
        <w:pStyle w:val="ListBullet"/>
        <w:jc w:val="both"/>
      </w:pPr>
      <w:r>
        <w:t>United Nations Digital Library. General Assembly Voting Data, used to construct annual country-pair normative-alignment networks.</w:t>
      </w:r>
    </w:p>
    <w:p>
      <w:pPr>
        <w:pStyle w:val="ListBullet"/>
        <w:jc w:val="both"/>
      </w:pPr>
      <w:r>
        <w:t>World Health Organization. Global Health Observatory. UHC, IHR/SPAR, and external health expenditure indicators.</w:t>
      </w:r>
    </w:p>
    <w:p>
      <w:pPr>
        <w:pStyle w:val="ListBullet"/>
        <w:jc w:val="both"/>
      </w:pPr>
      <w:r>
        <w:t>CEPII. Gravity and GeoDist data, used for geographical distance, common language, contiguity, colonial and historical ties.</w:t>
      </w:r>
    </w:p>
    <w:p>
      <w:pPr>
        <w:pStyle w:val="ListBullet"/>
        <w:jc w:val="both"/>
      </w:pPr>
      <w:r>
        <w:t>Gelman, A., Carlin, J. B., Stern, H. S., Dunson, D. B., Vehtari, A., and Rubin, D. B. Bayesian Data Analysis.</w:t>
      </w:r>
    </w:p>
    <w:p>
      <w:pPr>
        <w:pStyle w:val="ListBullet"/>
        <w:jc w:val="both"/>
      </w:pPr>
      <w:r>
        <w:t>Buerkner, P.-C. brms: An R package for Bayesian multilevel models using Stan.</w:t>
      </w:r>
    </w:p>
    <w:p>
      <w:pPr>
        <w:pStyle w:val="ListBullet"/>
        <w:jc w:val="both"/>
      </w:pPr>
      <w:r>
        <w:t>Carpenter, B. et al. Stan: A probabilistic programming language.</w:t>
      </w:r>
    </w:p>
    <w:p>
      <w:pPr>
        <w:pStyle w:val="ListBullet"/>
        <w:jc w:val="both"/>
      </w:pPr>
      <w:r>
        <w:t>Salvatier, J., Wiecki, T. V., and Fonnesbeck, C. Probabilistic programming in Python using PyMC.</w:t>
      </w:r>
    </w:p>
    <w:p>
      <w:pPr>
        <w:pStyle w:val="ListBullet"/>
        <w:jc w:val="both"/>
      </w:pPr>
      <w:r>
        <w:t>Arellano, M., and Bond, S. (1991). Some tests of specification for panel data.</w:t>
      </w:r>
    </w:p>
    <w:p>
      <w:pPr>
        <w:pStyle w:val="ListBullet"/>
        <w:jc w:val="both"/>
      </w:pPr>
      <w:r>
        <w:t>Blundell, R., and Bond, S. (1998). Initial conditions and moment restrictions in dynamic panel data models.</w:t>
      </w:r>
    </w:p>
    <w:p>
      <w:pPr>
        <w:pStyle w:val="ListBullet"/>
        <w:jc w:val="both"/>
      </w:pPr>
      <w:r>
        <w:t>Hanneke, S., Fu, W., and Xing, E. P. (2010). Discrete temporal models of social networks.</w:t>
      </w:r>
    </w:p>
    <w:p>
      <w:pPr>
        <w:pStyle w:val="ListBullet"/>
        <w:jc w:val="both"/>
      </w:pPr>
      <w:r>
        <w:t>Cranmer, S. J., and Desmarais, B. A. (2011). Inferential network analysis with exponential random graph models.</w:t>
      </w:r>
    </w:p>
    <w:p>
      <w:pPr>
        <w:pStyle w:val="ListBullet"/>
        <w:jc w:val="both"/>
      </w:pPr>
      <w:r>
        <w:t>Acharya, A. (and related multiplex governance literature). Multiplexity, global order, and interaction capacity.</w:t>
      </w:r>
    </w:p>
    <w:p>
      <w:pPr>
        <w:pStyle w:val="Heading1"/>
      </w:pPr>
      <w:r>
        <w:t>Reproducibility Note</w:t>
      </w:r>
    </w:p>
    <w:p>
      <w:pPr>
        <w:jc w:val="both"/>
      </w:pPr>
      <w:r>
        <w:t>The analysis can be reproduced from the retained R scripts in io_advanced_scripts. Script 01 builds the WDI network panel; 02 estimates System GMM; 03 estimates mechanism models; 04 runs placebo simulations; 05 estimates the temporal ERGM; 06-08 retrieve CEPII data, construct IV instruments, and estimate IV models; 09-10 retrieve and transform UNGA voting data; 11 retrieves WHO/GHO indicators; and 12 merges the augmented UN/WHO panel. The manuscript was assembled and structurally checked using Python.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