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6E7B" w14:textId="0379F74E" w:rsidR="00E100CA" w:rsidRPr="00392812" w:rsidRDefault="00392812">
      <w:pPr>
        <w:jc w:val="both"/>
        <w:rPr>
          <w:sz w:val="28"/>
          <w:szCs w:val="28"/>
        </w:rPr>
      </w:pPr>
      <w:r w:rsidRPr="00392812">
        <w:rPr>
          <w:b/>
          <w:szCs w:val="28"/>
        </w:rPr>
        <w:t>INTEGRATION WITHOUT EQUALIZATION:</w:t>
      </w:r>
    </w:p>
    <w:p w14:paraId="51D60EB8" w14:textId="21EEB6B1" w:rsidR="00E100CA" w:rsidRPr="00392812" w:rsidRDefault="00392812">
      <w:pPr>
        <w:jc w:val="both"/>
        <w:rPr>
          <w:sz w:val="28"/>
          <w:szCs w:val="28"/>
        </w:rPr>
      </w:pPr>
      <w:r w:rsidRPr="00392812">
        <w:rPr>
          <w:b/>
          <w:szCs w:val="28"/>
        </w:rPr>
        <w:t>VISIBLE AND STRUCTURAL HIERARCHIES IN MULTIPLEX GLOBAL HEALTH GOVERNANCE</w:t>
      </w:r>
    </w:p>
    <w:p w14:paraId="6F914EA1" w14:textId="77777777" w:rsidR="00F744F9" w:rsidRDefault="00F744F9">
      <w:pPr>
        <w:jc w:val="both"/>
      </w:pPr>
    </w:p>
    <w:p w14:paraId="07B13102" w14:textId="72317CE5" w:rsidR="00E100CA" w:rsidRDefault="00000000">
      <w:pPr>
        <w:jc w:val="both"/>
      </w:pPr>
      <w:r>
        <w:rPr>
          <w:b/>
        </w:rPr>
        <w:t>Abstract</w:t>
      </w:r>
    </w:p>
    <w:p w14:paraId="33B1D2C0" w14:textId="77777777" w:rsidR="00E100CA" w:rsidRDefault="00000000">
      <w:pPr>
        <w:jc w:val="both"/>
      </w:pPr>
      <w:r>
        <w:t>Global governance is understood as a multiplex system of overlapping institutions and dense, multi-layered interactions. Yet it remains unclear whether this connectivity fosters integration across countries or leaves underlying inequalities intact.</w:t>
      </w:r>
    </w:p>
    <w:p w14:paraId="47EECBFE" w14:textId="77777777" w:rsidR="00E100CA" w:rsidRDefault="00000000">
      <w:pPr>
        <w:jc w:val="both"/>
      </w:pPr>
      <w:r>
        <w:t>This article addresses this question by distinguishing between visible and structural hierarchy. Visible hierarchy captures states' positions within the relational architecture of global governance through interaction, alignment, and embeddedness. Structural hierarchy refers to enduring inequalities in material capacity, development, and institutional strength that shape states' ability to benefit from these connections.</w:t>
      </w:r>
    </w:p>
    <w:p w14:paraId="2F14AA9D" w14:textId="77777777" w:rsidR="00E100CA" w:rsidRDefault="00000000">
      <w:pPr>
        <w:jc w:val="both"/>
      </w:pPr>
      <w:r>
        <w:t>Drawing on a balanced panel of 100 countries (2004-2024), the study combines health capacity, economic development, digital connectivity, UN voting alignment, and WHO-based governance indicators. Using temporal network analysis and dynamic panel estimation, it examines both the structure and consequences of global health governance.</w:t>
      </w:r>
    </w:p>
    <w:p w14:paraId="46E20C9F" w14:textId="77777777" w:rsidR="00E100CA" w:rsidRDefault="00000000">
      <w:pPr>
        <w:jc w:val="both"/>
      </w:pPr>
      <w:r>
        <w:t>The results show persistent, clustered, and structured patterns of interaction. Yet relational advantages do not translate into independent improvements in health outcomes once structural conditions are considered. The findings point to integration without equalization: connectivity expands, but structural hierarchies and North-South inequality persist.</w:t>
      </w:r>
    </w:p>
    <w:p w14:paraId="690B0374" w14:textId="77777777" w:rsidR="00E100CA" w:rsidRDefault="00000000">
      <w:pPr>
        <w:jc w:val="both"/>
      </w:pPr>
      <w:r w:rsidRPr="00392812">
        <w:rPr>
          <w:b/>
          <w:bCs/>
        </w:rPr>
        <w:t>Keywords:</w:t>
      </w:r>
      <w:r>
        <w:t xml:space="preserve"> Multiplex Governance; Global Health Governance; Structural Inequality; Network Analysis; North-South Divide</w:t>
      </w:r>
    </w:p>
    <w:p w14:paraId="66907538" w14:textId="77777777" w:rsidR="00E100CA" w:rsidRDefault="00000000">
      <w:pPr>
        <w:pStyle w:val="Balk1"/>
        <w:spacing w:before="160"/>
      </w:pPr>
      <w:r>
        <w:rPr>
          <w:rFonts w:ascii="Times New Roman" w:hAnsi="Times New Roman"/>
        </w:rPr>
        <w:t>1. Introduction</w:t>
      </w:r>
    </w:p>
    <w:p w14:paraId="4EEDDDC1" w14:textId="77777777" w:rsidR="00E100CA" w:rsidRDefault="00000000">
      <w:pPr>
        <w:jc w:val="both"/>
      </w:pPr>
      <w:r>
        <w:t>Global health governance has become one of the clearest arenas in which contemporary global governance operates as a multiplex order. Authority is not concentrated in a single institution, nor are interactions limited to one type of cooperation. Countries are simultaneously embedded in material-capacity relations, normative alignments, technical health standards, financing dependencies, and repeated multilateral interactions. This density of connections is often treated as evidence of integration. Yet the central question remains unresolved: does increased connectivity reduce structural inequality, or does it organize inequality through more complex institutional and relational forms?</w:t>
      </w:r>
    </w:p>
    <w:p w14:paraId="16610AFC" w14:textId="77777777" w:rsidR="00E100CA" w:rsidRDefault="00000000">
      <w:pPr>
        <w:jc w:val="both"/>
      </w:pPr>
      <w:r>
        <w:t>This article addresses that question by distinguishing between visible hierarchy and structural hierarchy in multiplex global health governance. Visible hierarchy refers to a country's observable position within relational networks: centrality, embeddedness, alignment, and repeated connection to other actors. Structural hierarchy refers to the deeper distribution of material capacity, development, institutional strength, and health-system resources that conditions what countries can gain from those connections. The distinction is theoretically important because a country may become more connected without becoming more capable, more resilient, or more equal in health outcomes.</w:t>
      </w:r>
    </w:p>
    <w:p w14:paraId="23EF1F2B" w14:textId="77777777" w:rsidR="00E100CA" w:rsidRDefault="00000000">
      <w:pPr>
        <w:jc w:val="both"/>
      </w:pPr>
      <w:r>
        <w:t xml:space="preserve">Empirically, the study constructs a balanced panel of 100 countries for 2004-2024 and combines four data layers: World Bank WDI indicators, CEPII geo-historical ties, UN General Assembly voting similarity, and WHO Global Health Observatory indicators. The article first constructs </w:t>
      </w:r>
      <w:r>
        <w:lastRenderedPageBreak/>
        <w:t>annual WDI-based multiplex health-capacity networks and then evaluates whether network position has independent consequences for life expectancy using dynamic System GMM, temporal ERGM, mechanism models, geo-historical instrumental variables, and shuffled-network placebo tests.</w:t>
      </w:r>
    </w:p>
    <w:p w14:paraId="278B8240" w14:textId="77777777" w:rsidR="00E100CA" w:rsidRDefault="00000000">
      <w:pPr>
        <w:jc w:val="both"/>
      </w:pPr>
      <w:r>
        <w:t>The findings support a nuanced argument: global health governance is integrated in relational form but not equalizing in outcome. Temporal network models show that the health-capacity network is clustered and persistent over time. Yet lagged degree and eigenvector centrality do not robustly predict life expectancy once prior health outcomes and structural controls are included. The strongest evidence points not to simple diffusion from network centrality to better health outcomes, but to persistent structural stratification.</w:t>
      </w:r>
    </w:p>
    <w:p w14:paraId="2E108B9F" w14:textId="77777777" w:rsidR="00E100CA" w:rsidRDefault="00000000">
      <w:pPr>
        <w:jc w:val="both"/>
      </w:pPr>
      <w:r>
        <w:t>The article makes three contributions. First, it provides a large-N, cross-temporal empirical test of multiplex governance theory in global health. Second, it separates relational integration from substantive equalization. Third, it develops a reproducible computational framework that combines network construction, temporal ERGM, dynamic panel estimation, instrumental variables, placebo falsification, and Bayesian/Monte Carlo extensions.</w:t>
      </w:r>
    </w:p>
    <w:p w14:paraId="4BC91958" w14:textId="77777777" w:rsidR="00E100CA" w:rsidRDefault="00000000">
      <w:pPr>
        <w:pStyle w:val="Balk1"/>
        <w:spacing w:before="160"/>
      </w:pPr>
      <w:r>
        <w:rPr>
          <w:rFonts w:ascii="Times New Roman" w:hAnsi="Times New Roman"/>
        </w:rPr>
        <w:t>2. Methodology</w:t>
      </w:r>
    </w:p>
    <w:p w14:paraId="7CDE22DA" w14:textId="77777777" w:rsidR="00E100CA" w:rsidRDefault="00000000">
      <w:pPr>
        <w:jc w:val="both"/>
      </w:pPr>
      <w:r>
        <w:t>The methodology is designed to separate three empirical questions that are often conflated in studies of global governance: whether a structured network exists, whether position within that network has independent consequences for health outcomes, and whether the network reproduces or attenuates structural hierarchy. The workflow therefore moves from data construction to annual network estimation, from network estimation to dynamic outcome modeling, and from outcome modeling to robustness tests using geo-historical instruments, placebo simulations, and Bayesian/Monte Carlo extensions.</w:t>
      </w:r>
    </w:p>
    <w:p w14:paraId="51C20713" w14:textId="77777777" w:rsidR="00837FDB" w:rsidRDefault="00000000">
      <w:pPr>
        <w:jc w:val="both"/>
      </w:pPr>
      <w:r>
        <w:t>The empirical database was constructed through a reproducible R/Python workflow. R scripts retrieved and cleaned WDI, CEPII, UNGA, and WHO data; constructed the WDI-based similarity networks; estimated temporal ERGM, System GMM, mechanism, IV, and placebo models; and generated the merged augmented panel. Python was used for file-level auditing, row-count verification, manuscript assembly, and DOCX structural checks. The executable code remains in the replication package rather than the article body, which keeps the manuscript readable while preserving reproducibility.</w:t>
      </w:r>
    </w:p>
    <w:tbl>
      <w:tblPr>
        <w:tblStyle w:val="TabloKlavuzu"/>
        <w:tblW w:w="0" w:type="auto"/>
        <w:tblLook w:val="04A0" w:firstRow="1" w:lastRow="0" w:firstColumn="1" w:lastColumn="0" w:noHBand="0" w:noVBand="1"/>
      </w:tblPr>
      <w:tblGrid>
        <w:gridCol w:w="2290"/>
        <w:gridCol w:w="3572"/>
        <w:gridCol w:w="3714"/>
      </w:tblGrid>
      <w:tr w:rsidR="00E100CA" w14:paraId="7F610C7D" w14:textId="77777777">
        <w:tc>
          <w:tcPr>
            <w:tcW w:w="2304" w:type="dxa"/>
          </w:tcPr>
          <w:p w14:paraId="70EBF5E3" w14:textId="77777777" w:rsidR="00E100CA" w:rsidRDefault="00000000">
            <w:pPr>
              <w:spacing w:after="0"/>
            </w:pPr>
            <w:r>
              <w:rPr>
                <w:b/>
                <w:sz w:val="17"/>
              </w:rPr>
              <w:t>Layer</w:t>
            </w:r>
          </w:p>
        </w:tc>
        <w:tc>
          <w:tcPr>
            <w:tcW w:w="3600" w:type="dxa"/>
          </w:tcPr>
          <w:p w14:paraId="2744E680" w14:textId="77777777" w:rsidR="00E100CA" w:rsidRDefault="00000000">
            <w:pPr>
              <w:spacing w:after="0"/>
            </w:pPr>
            <w:r>
              <w:rPr>
                <w:b/>
                <w:sz w:val="17"/>
              </w:rPr>
              <w:t>Empirical coverage</w:t>
            </w:r>
          </w:p>
        </w:tc>
        <w:tc>
          <w:tcPr>
            <w:tcW w:w="3744" w:type="dxa"/>
          </w:tcPr>
          <w:p w14:paraId="194B78AC" w14:textId="77777777" w:rsidR="00E100CA" w:rsidRDefault="00000000">
            <w:pPr>
              <w:spacing w:after="0"/>
            </w:pPr>
            <w:r>
              <w:rPr>
                <w:b/>
                <w:sz w:val="17"/>
              </w:rPr>
              <w:t>Analytical role</w:t>
            </w:r>
          </w:p>
        </w:tc>
      </w:tr>
      <w:tr w:rsidR="00E100CA" w14:paraId="00F6F27E" w14:textId="77777777">
        <w:tc>
          <w:tcPr>
            <w:tcW w:w="2304" w:type="dxa"/>
          </w:tcPr>
          <w:p w14:paraId="4929057B" w14:textId="77777777" w:rsidR="00E100CA" w:rsidRDefault="00000000">
            <w:pPr>
              <w:spacing w:after="0"/>
            </w:pPr>
            <w:r>
              <w:rPr>
                <w:sz w:val="17"/>
              </w:rPr>
              <w:t>WDI health-capacity panel</w:t>
            </w:r>
          </w:p>
        </w:tc>
        <w:tc>
          <w:tcPr>
            <w:tcW w:w="3600" w:type="dxa"/>
          </w:tcPr>
          <w:p w14:paraId="45C41314" w14:textId="77777777" w:rsidR="00E100CA" w:rsidRDefault="00000000">
            <w:pPr>
              <w:spacing w:after="0"/>
            </w:pPr>
            <w:r>
              <w:rPr>
                <w:sz w:val="17"/>
              </w:rPr>
              <w:t>100 countries x 21 years = 2,100 country-years; 10 indicators; 21,000 long observations</w:t>
            </w:r>
          </w:p>
        </w:tc>
        <w:tc>
          <w:tcPr>
            <w:tcW w:w="3744" w:type="dxa"/>
          </w:tcPr>
          <w:p w14:paraId="0E1CC67A" w14:textId="77777777" w:rsidR="00E100CA" w:rsidRDefault="00000000">
            <w:pPr>
              <w:spacing w:after="0"/>
            </w:pPr>
            <w:r>
              <w:rPr>
                <w:sz w:val="17"/>
              </w:rPr>
              <w:t>Main empirical backbone and annual health-capacity similarity networks</w:t>
            </w:r>
          </w:p>
        </w:tc>
      </w:tr>
      <w:tr w:rsidR="00E100CA" w14:paraId="0415153D" w14:textId="77777777">
        <w:tc>
          <w:tcPr>
            <w:tcW w:w="2304" w:type="dxa"/>
          </w:tcPr>
          <w:p w14:paraId="1CC179C8" w14:textId="77777777" w:rsidR="00E100CA" w:rsidRDefault="00000000">
            <w:pPr>
              <w:spacing w:after="0"/>
            </w:pPr>
            <w:r>
              <w:rPr>
                <w:sz w:val="17"/>
              </w:rPr>
              <w:t>CEPII geo-historical ties</w:t>
            </w:r>
          </w:p>
        </w:tc>
        <w:tc>
          <w:tcPr>
            <w:tcW w:w="3600" w:type="dxa"/>
          </w:tcPr>
          <w:p w14:paraId="4569B55D" w14:textId="77777777" w:rsidR="00E100CA" w:rsidRDefault="00000000">
            <w:pPr>
              <w:spacing w:after="0"/>
            </w:pPr>
            <w:r>
              <w:rPr>
                <w:sz w:val="17"/>
              </w:rPr>
              <w:t>9,900 directed country-pair records</w:t>
            </w:r>
          </w:p>
        </w:tc>
        <w:tc>
          <w:tcPr>
            <w:tcW w:w="3744" w:type="dxa"/>
          </w:tcPr>
          <w:p w14:paraId="035F8F9C" w14:textId="77777777" w:rsidR="00E100CA" w:rsidRDefault="00000000">
            <w:pPr>
              <w:spacing w:after="0"/>
            </w:pPr>
            <w:r>
              <w:rPr>
                <w:sz w:val="17"/>
              </w:rPr>
              <w:t>External instruments for network position</w:t>
            </w:r>
          </w:p>
        </w:tc>
      </w:tr>
      <w:tr w:rsidR="00E100CA" w14:paraId="513D9817" w14:textId="77777777">
        <w:tc>
          <w:tcPr>
            <w:tcW w:w="2304" w:type="dxa"/>
          </w:tcPr>
          <w:p w14:paraId="37DC762A" w14:textId="77777777" w:rsidR="00E100CA" w:rsidRDefault="00000000">
            <w:pPr>
              <w:spacing w:after="0"/>
            </w:pPr>
            <w:r>
              <w:rPr>
                <w:sz w:val="17"/>
              </w:rPr>
              <w:t>UNGA voting</w:t>
            </w:r>
          </w:p>
        </w:tc>
        <w:tc>
          <w:tcPr>
            <w:tcW w:w="3600" w:type="dxa"/>
          </w:tcPr>
          <w:p w14:paraId="1FADFB28" w14:textId="77777777" w:rsidR="00E100CA" w:rsidRDefault="00000000">
            <w:pPr>
              <w:spacing w:after="0"/>
            </w:pPr>
            <w:r>
              <w:rPr>
                <w:sz w:val="17"/>
              </w:rPr>
              <w:t>175,100 country-vote observations; 1,751 resolutions; 103,950 pair-year similarity rows</w:t>
            </w:r>
          </w:p>
        </w:tc>
        <w:tc>
          <w:tcPr>
            <w:tcW w:w="3744" w:type="dxa"/>
          </w:tcPr>
          <w:p w14:paraId="7088F576" w14:textId="77777777" w:rsidR="00E100CA" w:rsidRDefault="00000000">
            <w:pPr>
              <w:spacing w:after="0"/>
            </w:pPr>
            <w:r>
              <w:rPr>
                <w:sz w:val="17"/>
              </w:rPr>
              <w:t>Normative-alignment network and robustness layer</w:t>
            </w:r>
          </w:p>
        </w:tc>
      </w:tr>
      <w:tr w:rsidR="00E100CA" w14:paraId="3B076585" w14:textId="77777777">
        <w:tc>
          <w:tcPr>
            <w:tcW w:w="2304" w:type="dxa"/>
          </w:tcPr>
          <w:p w14:paraId="43009DAC" w14:textId="77777777" w:rsidR="00E100CA" w:rsidRDefault="00000000">
            <w:pPr>
              <w:spacing w:after="0"/>
            </w:pPr>
            <w:r>
              <w:rPr>
                <w:sz w:val="17"/>
              </w:rPr>
              <w:t>WHO/GHO indicators</w:t>
            </w:r>
          </w:p>
        </w:tc>
        <w:tc>
          <w:tcPr>
            <w:tcW w:w="3600" w:type="dxa"/>
          </w:tcPr>
          <w:p w14:paraId="09AD97DE" w14:textId="77777777" w:rsidR="00E100CA" w:rsidRDefault="00000000">
            <w:pPr>
              <w:spacing w:after="0"/>
            </w:pPr>
            <w:r>
              <w:rPr>
                <w:sz w:val="17"/>
              </w:rPr>
              <w:t>2,100 country-years; 13,999 long indicator observations</w:t>
            </w:r>
          </w:p>
        </w:tc>
        <w:tc>
          <w:tcPr>
            <w:tcW w:w="3744" w:type="dxa"/>
          </w:tcPr>
          <w:p w14:paraId="63A7E4F5" w14:textId="77777777" w:rsidR="00E100CA" w:rsidRDefault="00000000">
            <w:pPr>
              <w:spacing w:after="0"/>
            </w:pPr>
            <w:r>
              <w:rPr>
                <w:sz w:val="17"/>
              </w:rPr>
              <w:t>Institutional health-governance and mechanism layer</w:t>
            </w:r>
          </w:p>
        </w:tc>
      </w:tr>
      <w:tr w:rsidR="00E100CA" w14:paraId="4D981D70" w14:textId="77777777">
        <w:tc>
          <w:tcPr>
            <w:tcW w:w="2304" w:type="dxa"/>
          </w:tcPr>
          <w:p w14:paraId="25CE62FB" w14:textId="77777777" w:rsidR="00E100CA" w:rsidRDefault="00000000">
            <w:pPr>
              <w:spacing w:after="0"/>
            </w:pPr>
            <w:r>
              <w:rPr>
                <w:sz w:val="17"/>
              </w:rPr>
              <w:t>Augmented panel</w:t>
            </w:r>
          </w:p>
        </w:tc>
        <w:tc>
          <w:tcPr>
            <w:tcW w:w="3600" w:type="dxa"/>
          </w:tcPr>
          <w:p w14:paraId="79B7EB7B" w14:textId="77777777" w:rsidR="00E100CA" w:rsidRDefault="00000000">
            <w:pPr>
              <w:spacing w:after="0"/>
            </w:pPr>
            <w:r>
              <w:rPr>
                <w:sz w:val="17"/>
              </w:rPr>
              <w:t>2,100 country-years</w:t>
            </w:r>
          </w:p>
        </w:tc>
        <w:tc>
          <w:tcPr>
            <w:tcW w:w="3744" w:type="dxa"/>
          </w:tcPr>
          <w:p w14:paraId="1FD1C5A5" w14:textId="77777777" w:rsidR="00E100CA" w:rsidRDefault="00000000">
            <w:pPr>
              <w:spacing w:after="0"/>
            </w:pPr>
            <w:r>
              <w:rPr>
                <w:sz w:val="17"/>
              </w:rPr>
              <w:t>Combined WDI, UNGA, WHO, and CEPII analytical panel</w:t>
            </w:r>
          </w:p>
        </w:tc>
      </w:tr>
    </w:tbl>
    <w:p w14:paraId="5FAE2B00" w14:textId="77777777" w:rsidR="00E100CA" w:rsidRDefault="00E100CA"/>
    <w:p w14:paraId="37B48C9F" w14:textId="77777777" w:rsidR="00E100CA" w:rsidRDefault="00000000">
      <w:pPr>
        <w:pStyle w:val="Balk2"/>
        <w:spacing w:before="100"/>
      </w:pPr>
      <w:r>
        <w:rPr>
          <w:rFonts w:ascii="Times New Roman" w:hAnsi="Times New Roman"/>
        </w:rPr>
        <w:t>2.1. Data Sources and Empirical Coverage</w:t>
      </w:r>
    </w:p>
    <w:p w14:paraId="24837FA3" w14:textId="77777777" w:rsidR="00E100CA" w:rsidRDefault="00000000">
      <w:pPr>
        <w:jc w:val="both"/>
      </w:pPr>
      <w:r>
        <w:t xml:space="preserve">The first data layer was drawn from the World Bank World Development Indicators for 100 countries over 2004-2024. The ten WDI indicators were current health expenditure, physicians, nurses and midwives, hospital beds, life expectancy, GDP per capita PPP, total population, adult literacy, internet use, and R&amp;D expenditure. Life expectancy, GDP per capita PPP, and population had complete coverage. Internet use had 0.7% missingness and health expenditure </w:t>
      </w:r>
      <w:r>
        <w:lastRenderedPageBreak/>
        <w:t>4.0%. Physicians, nurses, and hospital beds had moderate missingness and were retained after within-country interpolation and boundary carrying. Literacy was excluded from the main models because missingness exceeded 70%, while R&amp;D expenditure was reserved for robustness.</w:t>
      </w:r>
    </w:p>
    <w:tbl>
      <w:tblPr>
        <w:tblStyle w:val="TabloKlavuzu"/>
        <w:tblW w:w="0" w:type="auto"/>
        <w:tblLook w:val="04A0" w:firstRow="1" w:lastRow="0" w:firstColumn="1" w:lastColumn="0" w:noHBand="0" w:noVBand="1"/>
      </w:tblPr>
      <w:tblGrid>
        <w:gridCol w:w="1944"/>
        <w:gridCol w:w="2448"/>
        <w:gridCol w:w="1152"/>
        <w:gridCol w:w="2160"/>
      </w:tblGrid>
      <w:tr w:rsidR="00E100CA" w14:paraId="47BD8DE4" w14:textId="77777777">
        <w:tc>
          <w:tcPr>
            <w:tcW w:w="1944" w:type="dxa"/>
          </w:tcPr>
          <w:p w14:paraId="63C45BD1" w14:textId="77777777" w:rsidR="00E100CA" w:rsidRDefault="00000000">
            <w:pPr>
              <w:spacing w:after="0"/>
            </w:pPr>
            <w:r>
              <w:rPr>
                <w:b/>
                <w:sz w:val="17"/>
              </w:rPr>
              <w:t>Indicator</w:t>
            </w:r>
          </w:p>
        </w:tc>
        <w:tc>
          <w:tcPr>
            <w:tcW w:w="2448" w:type="dxa"/>
          </w:tcPr>
          <w:p w14:paraId="7F034553" w14:textId="77777777" w:rsidR="00E100CA" w:rsidRDefault="00000000">
            <w:pPr>
              <w:spacing w:after="0"/>
            </w:pPr>
            <w:r>
              <w:rPr>
                <w:b/>
                <w:sz w:val="17"/>
              </w:rPr>
              <w:t>Concept</w:t>
            </w:r>
          </w:p>
        </w:tc>
        <w:tc>
          <w:tcPr>
            <w:tcW w:w="1152" w:type="dxa"/>
          </w:tcPr>
          <w:p w14:paraId="3B8790A4" w14:textId="77777777" w:rsidR="00E100CA" w:rsidRDefault="00000000">
            <w:pPr>
              <w:spacing w:after="0"/>
            </w:pPr>
            <w:r>
              <w:rPr>
                <w:b/>
                <w:sz w:val="17"/>
              </w:rPr>
              <w:t>Missingness</w:t>
            </w:r>
          </w:p>
        </w:tc>
        <w:tc>
          <w:tcPr>
            <w:tcW w:w="2160" w:type="dxa"/>
          </w:tcPr>
          <w:p w14:paraId="5AC4B76C" w14:textId="77777777" w:rsidR="00E100CA" w:rsidRDefault="00000000">
            <w:pPr>
              <w:spacing w:after="0"/>
            </w:pPr>
            <w:r>
              <w:rPr>
                <w:b/>
                <w:sz w:val="17"/>
              </w:rPr>
              <w:t>Use</w:t>
            </w:r>
          </w:p>
        </w:tc>
      </w:tr>
      <w:tr w:rsidR="00E100CA" w14:paraId="190E4B36" w14:textId="77777777">
        <w:tc>
          <w:tcPr>
            <w:tcW w:w="1944" w:type="dxa"/>
          </w:tcPr>
          <w:p w14:paraId="4DF92DA2" w14:textId="77777777" w:rsidR="00E100CA" w:rsidRDefault="00000000">
            <w:pPr>
              <w:spacing w:after="0"/>
            </w:pPr>
            <w:r>
              <w:rPr>
                <w:sz w:val="17"/>
              </w:rPr>
              <w:t>SP.DYN.LE00.IN</w:t>
            </w:r>
          </w:p>
        </w:tc>
        <w:tc>
          <w:tcPr>
            <w:tcW w:w="2448" w:type="dxa"/>
          </w:tcPr>
          <w:p w14:paraId="6B587677" w14:textId="77777777" w:rsidR="00E100CA" w:rsidRDefault="00000000">
            <w:pPr>
              <w:spacing w:after="0"/>
            </w:pPr>
            <w:r>
              <w:rPr>
                <w:sz w:val="17"/>
              </w:rPr>
              <w:t>Life expectancy</w:t>
            </w:r>
          </w:p>
        </w:tc>
        <w:tc>
          <w:tcPr>
            <w:tcW w:w="1152" w:type="dxa"/>
          </w:tcPr>
          <w:p w14:paraId="3BC5B289" w14:textId="77777777" w:rsidR="00E100CA" w:rsidRDefault="00000000">
            <w:pPr>
              <w:spacing w:after="0"/>
            </w:pPr>
            <w:r>
              <w:rPr>
                <w:sz w:val="17"/>
              </w:rPr>
              <w:t>0.0%</w:t>
            </w:r>
          </w:p>
        </w:tc>
        <w:tc>
          <w:tcPr>
            <w:tcW w:w="2160" w:type="dxa"/>
          </w:tcPr>
          <w:p w14:paraId="2A5EFCA0" w14:textId="77777777" w:rsidR="00E100CA" w:rsidRDefault="00000000">
            <w:pPr>
              <w:spacing w:after="0"/>
            </w:pPr>
            <w:r>
              <w:rPr>
                <w:sz w:val="17"/>
              </w:rPr>
              <w:t>Outcome</w:t>
            </w:r>
          </w:p>
        </w:tc>
      </w:tr>
      <w:tr w:rsidR="00E100CA" w14:paraId="385FCB97" w14:textId="77777777">
        <w:tc>
          <w:tcPr>
            <w:tcW w:w="1944" w:type="dxa"/>
          </w:tcPr>
          <w:p w14:paraId="54681C3A" w14:textId="77777777" w:rsidR="00E100CA" w:rsidRDefault="00000000">
            <w:pPr>
              <w:spacing w:after="0"/>
            </w:pPr>
            <w:r>
              <w:rPr>
                <w:sz w:val="17"/>
              </w:rPr>
              <w:t>NY.GDP.PCAP.</w:t>
            </w:r>
            <w:proofErr w:type="gramStart"/>
            <w:r>
              <w:rPr>
                <w:sz w:val="17"/>
              </w:rPr>
              <w:t>PP.KD</w:t>
            </w:r>
            <w:proofErr w:type="gramEnd"/>
          </w:p>
        </w:tc>
        <w:tc>
          <w:tcPr>
            <w:tcW w:w="2448" w:type="dxa"/>
          </w:tcPr>
          <w:p w14:paraId="390FAD18" w14:textId="77777777" w:rsidR="00E100CA" w:rsidRDefault="00000000">
            <w:pPr>
              <w:spacing w:after="0"/>
            </w:pPr>
            <w:r>
              <w:rPr>
                <w:sz w:val="17"/>
              </w:rPr>
              <w:t>GDP per capita PPP</w:t>
            </w:r>
          </w:p>
        </w:tc>
        <w:tc>
          <w:tcPr>
            <w:tcW w:w="1152" w:type="dxa"/>
          </w:tcPr>
          <w:p w14:paraId="29704B42" w14:textId="77777777" w:rsidR="00E100CA" w:rsidRDefault="00000000">
            <w:pPr>
              <w:spacing w:after="0"/>
            </w:pPr>
            <w:r>
              <w:rPr>
                <w:sz w:val="17"/>
              </w:rPr>
              <w:t>0.0%</w:t>
            </w:r>
          </w:p>
        </w:tc>
        <w:tc>
          <w:tcPr>
            <w:tcW w:w="2160" w:type="dxa"/>
          </w:tcPr>
          <w:p w14:paraId="5403FF23" w14:textId="77777777" w:rsidR="00E100CA" w:rsidRDefault="00000000">
            <w:pPr>
              <w:spacing w:after="0"/>
            </w:pPr>
            <w:r>
              <w:rPr>
                <w:sz w:val="17"/>
              </w:rPr>
              <w:t>Network/control</w:t>
            </w:r>
          </w:p>
        </w:tc>
      </w:tr>
      <w:tr w:rsidR="00E100CA" w14:paraId="69B8CD71" w14:textId="77777777">
        <w:tc>
          <w:tcPr>
            <w:tcW w:w="1944" w:type="dxa"/>
          </w:tcPr>
          <w:p w14:paraId="4E122C95" w14:textId="77777777" w:rsidR="00E100CA" w:rsidRDefault="00000000">
            <w:pPr>
              <w:spacing w:after="0"/>
            </w:pPr>
            <w:r>
              <w:rPr>
                <w:sz w:val="17"/>
              </w:rPr>
              <w:t>SP.POP.TOTL</w:t>
            </w:r>
          </w:p>
        </w:tc>
        <w:tc>
          <w:tcPr>
            <w:tcW w:w="2448" w:type="dxa"/>
          </w:tcPr>
          <w:p w14:paraId="2A4529F8" w14:textId="77777777" w:rsidR="00E100CA" w:rsidRDefault="00000000">
            <w:pPr>
              <w:spacing w:after="0"/>
            </w:pPr>
            <w:r>
              <w:rPr>
                <w:sz w:val="17"/>
              </w:rPr>
              <w:t>Population</w:t>
            </w:r>
          </w:p>
        </w:tc>
        <w:tc>
          <w:tcPr>
            <w:tcW w:w="1152" w:type="dxa"/>
          </w:tcPr>
          <w:p w14:paraId="3A67E0C4" w14:textId="77777777" w:rsidR="00E100CA" w:rsidRDefault="00000000">
            <w:pPr>
              <w:spacing w:after="0"/>
            </w:pPr>
            <w:r>
              <w:rPr>
                <w:sz w:val="17"/>
              </w:rPr>
              <w:t>0.0%</w:t>
            </w:r>
          </w:p>
        </w:tc>
        <w:tc>
          <w:tcPr>
            <w:tcW w:w="2160" w:type="dxa"/>
          </w:tcPr>
          <w:p w14:paraId="3E269898" w14:textId="77777777" w:rsidR="00E100CA" w:rsidRDefault="00000000">
            <w:pPr>
              <w:spacing w:after="0"/>
            </w:pPr>
            <w:r>
              <w:rPr>
                <w:sz w:val="17"/>
              </w:rPr>
              <w:t>Control</w:t>
            </w:r>
          </w:p>
        </w:tc>
      </w:tr>
      <w:tr w:rsidR="00E100CA" w14:paraId="7E2B6964" w14:textId="77777777">
        <w:tc>
          <w:tcPr>
            <w:tcW w:w="1944" w:type="dxa"/>
          </w:tcPr>
          <w:p w14:paraId="71AE5A2A" w14:textId="77777777" w:rsidR="00E100CA" w:rsidRDefault="00000000">
            <w:pPr>
              <w:spacing w:after="0"/>
            </w:pPr>
            <w:proofErr w:type="gramStart"/>
            <w:r>
              <w:rPr>
                <w:sz w:val="17"/>
              </w:rPr>
              <w:t>IT.NET.USER.ZS</w:t>
            </w:r>
            <w:proofErr w:type="gramEnd"/>
          </w:p>
        </w:tc>
        <w:tc>
          <w:tcPr>
            <w:tcW w:w="2448" w:type="dxa"/>
          </w:tcPr>
          <w:p w14:paraId="48C5EF99" w14:textId="77777777" w:rsidR="00E100CA" w:rsidRDefault="00000000">
            <w:pPr>
              <w:spacing w:after="0"/>
            </w:pPr>
            <w:r>
              <w:rPr>
                <w:sz w:val="17"/>
              </w:rPr>
              <w:t>Internet use</w:t>
            </w:r>
          </w:p>
        </w:tc>
        <w:tc>
          <w:tcPr>
            <w:tcW w:w="1152" w:type="dxa"/>
          </w:tcPr>
          <w:p w14:paraId="6C85A176" w14:textId="77777777" w:rsidR="00E100CA" w:rsidRDefault="00000000">
            <w:pPr>
              <w:spacing w:after="0"/>
            </w:pPr>
            <w:r>
              <w:rPr>
                <w:sz w:val="17"/>
              </w:rPr>
              <w:t>0.7%</w:t>
            </w:r>
          </w:p>
        </w:tc>
        <w:tc>
          <w:tcPr>
            <w:tcW w:w="2160" w:type="dxa"/>
          </w:tcPr>
          <w:p w14:paraId="5D9026C0" w14:textId="77777777" w:rsidR="00E100CA" w:rsidRDefault="00000000">
            <w:pPr>
              <w:spacing w:after="0"/>
            </w:pPr>
            <w:r>
              <w:rPr>
                <w:sz w:val="17"/>
              </w:rPr>
              <w:t>Network/control</w:t>
            </w:r>
          </w:p>
        </w:tc>
      </w:tr>
      <w:tr w:rsidR="00E100CA" w14:paraId="0D4EAB0A" w14:textId="77777777">
        <w:tc>
          <w:tcPr>
            <w:tcW w:w="1944" w:type="dxa"/>
          </w:tcPr>
          <w:p w14:paraId="627712C5" w14:textId="77777777" w:rsidR="00E100CA" w:rsidRDefault="00000000">
            <w:pPr>
              <w:spacing w:after="0"/>
            </w:pPr>
            <w:r>
              <w:rPr>
                <w:sz w:val="17"/>
              </w:rPr>
              <w:t>SH.XPD.CHEX.GD.ZS</w:t>
            </w:r>
          </w:p>
        </w:tc>
        <w:tc>
          <w:tcPr>
            <w:tcW w:w="2448" w:type="dxa"/>
          </w:tcPr>
          <w:p w14:paraId="0D17E98F" w14:textId="77777777" w:rsidR="00E100CA" w:rsidRDefault="00000000">
            <w:pPr>
              <w:spacing w:after="0"/>
            </w:pPr>
            <w:r>
              <w:rPr>
                <w:sz w:val="17"/>
              </w:rPr>
              <w:t>Health expenditure</w:t>
            </w:r>
          </w:p>
        </w:tc>
        <w:tc>
          <w:tcPr>
            <w:tcW w:w="1152" w:type="dxa"/>
          </w:tcPr>
          <w:p w14:paraId="6967CC31" w14:textId="77777777" w:rsidR="00E100CA" w:rsidRDefault="00000000">
            <w:pPr>
              <w:spacing w:after="0"/>
            </w:pPr>
            <w:r>
              <w:rPr>
                <w:sz w:val="17"/>
              </w:rPr>
              <w:t>4.0%</w:t>
            </w:r>
          </w:p>
        </w:tc>
        <w:tc>
          <w:tcPr>
            <w:tcW w:w="2160" w:type="dxa"/>
          </w:tcPr>
          <w:p w14:paraId="4E116B50" w14:textId="77777777" w:rsidR="00E100CA" w:rsidRDefault="00000000">
            <w:pPr>
              <w:spacing w:after="0"/>
            </w:pPr>
            <w:r>
              <w:rPr>
                <w:sz w:val="17"/>
              </w:rPr>
              <w:t>Network/control</w:t>
            </w:r>
          </w:p>
        </w:tc>
      </w:tr>
      <w:tr w:rsidR="00E100CA" w14:paraId="44E61A6D" w14:textId="77777777">
        <w:tc>
          <w:tcPr>
            <w:tcW w:w="1944" w:type="dxa"/>
          </w:tcPr>
          <w:p w14:paraId="1E046358" w14:textId="77777777" w:rsidR="00E100CA" w:rsidRDefault="00000000">
            <w:pPr>
              <w:spacing w:after="0"/>
            </w:pPr>
            <w:proofErr w:type="gramStart"/>
            <w:r>
              <w:rPr>
                <w:sz w:val="17"/>
              </w:rPr>
              <w:t>SH.MED.PHYS.ZS</w:t>
            </w:r>
            <w:proofErr w:type="gramEnd"/>
          </w:p>
        </w:tc>
        <w:tc>
          <w:tcPr>
            <w:tcW w:w="2448" w:type="dxa"/>
          </w:tcPr>
          <w:p w14:paraId="2963F01A" w14:textId="77777777" w:rsidR="00E100CA" w:rsidRDefault="00000000">
            <w:pPr>
              <w:spacing w:after="0"/>
            </w:pPr>
            <w:r>
              <w:rPr>
                <w:sz w:val="17"/>
              </w:rPr>
              <w:t>Physicians</w:t>
            </w:r>
          </w:p>
        </w:tc>
        <w:tc>
          <w:tcPr>
            <w:tcW w:w="1152" w:type="dxa"/>
          </w:tcPr>
          <w:p w14:paraId="79FED3B5" w14:textId="77777777" w:rsidR="00E100CA" w:rsidRDefault="00000000">
            <w:pPr>
              <w:spacing w:after="0"/>
            </w:pPr>
            <w:r>
              <w:rPr>
                <w:sz w:val="17"/>
              </w:rPr>
              <w:t>27.1%</w:t>
            </w:r>
          </w:p>
        </w:tc>
        <w:tc>
          <w:tcPr>
            <w:tcW w:w="2160" w:type="dxa"/>
          </w:tcPr>
          <w:p w14:paraId="400CC4C9" w14:textId="77777777" w:rsidR="00E100CA" w:rsidRDefault="00000000">
            <w:pPr>
              <w:spacing w:after="0"/>
            </w:pPr>
            <w:r>
              <w:rPr>
                <w:sz w:val="17"/>
              </w:rPr>
              <w:t>Network input</w:t>
            </w:r>
          </w:p>
        </w:tc>
      </w:tr>
      <w:tr w:rsidR="00E100CA" w14:paraId="76A8C1B0" w14:textId="77777777">
        <w:tc>
          <w:tcPr>
            <w:tcW w:w="1944" w:type="dxa"/>
          </w:tcPr>
          <w:p w14:paraId="4A90A568" w14:textId="77777777" w:rsidR="00E100CA" w:rsidRDefault="00000000">
            <w:pPr>
              <w:spacing w:after="0"/>
            </w:pPr>
            <w:proofErr w:type="gramStart"/>
            <w:r>
              <w:rPr>
                <w:sz w:val="17"/>
              </w:rPr>
              <w:t>SH.MED.NUMW.P</w:t>
            </w:r>
            <w:proofErr w:type="gramEnd"/>
            <w:r>
              <w:rPr>
                <w:sz w:val="17"/>
              </w:rPr>
              <w:t>3</w:t>
            </w:r>
          </w:p>
        </w:tc>
        <w:tc>
          <w:tcPr>
            <w:tcW w:w="2448" w:type="dxa"/>
          </w:tcPr>
          <w:p w14:paraId="2A267082" w14:textId="77777777" w:rsidR="00E100CA" w:rsidRDefault="00000000">
            <w:pPr>
              <w:spacing w:after="0"/>
            </w:pPr>
            <w:r>
              <w:rPr>
                <w:sz w:val="17"/>
              </w:rPr>
              <w:t>Nurses/midwives</w:t>
            </w:r>
          </w:p>
        </w:tc>
        <w:tc>
          <w:tcPr>
            <w:tcW w:w="1152" w:type="dxa"/>
          </w:tcPr>
          <w:p w14:paraId="1FB6EA05" w14:textId="77777777" w:rsidR="00E100CA" w:rsidRDefault="00000000">
            <w:pPr>
              <w:spacing w:after="0"/>
            </w:pPr>
            <w:r>
              <w:rPr>
                <w:sz w:val="17"/>
              </w:rPr>
              <w:t>26.5%</w:t>
            </w:r>
          </w:p>
        </w:tc>
        <w:tc>
          <w:tcPr>
            <w:tcW w:w="2160" w:type="dxa"/>
          </w:tcPr>
          <w:p w14:paraId="473C7D89" w14:textId="77777777" w:rsidR="00E100CA" w:rsidRDefault="00000000">
            <w:pPr>
              <w:spacing w:after="0"/>
            </w:pPr>
            <w:r>
              <w:rPr>
                <w:sz w:val="17"/>
              </w:rPr>
              <w:t>Network input</w:t>
            </w:r>
          </w:p>
        </w:tc>
      </w:tr>
      <w:tr w:rsidR="00E100CA" w14:paraId="5A354DC3" w14:textId="77777777">
        <w:tc>
          <w:tcPr>
            <w:tcW w:w="1944" w:type="dxa"/>
          </w:tcPr>
          <w:p w14:paraId="431B83BC" w14:textId="77777777" w:rsidR="00E100CA" w:rsidRDefault="00000000">
            <w:pPr>
              <w:spacing w:after="0"/>
            </w:pPr>
            <w:proofErr w:type="gramStart"/>
            <w:r>
              <w:rPr>
                <w:sz w:val="17"/>
              </w:rPr>
              <w:t>SH.MED.BEDS.ZS</w:t>
            </w:r>
            <w:proofErr w:type="gramEnd"/>
          </w:p>
        </w:tc>
        <w:tc>
          <w:tcPr>
            <w:tcW w:w="2448" w:type="dxa"/>
          </w:tcPr>
          <w:p w14:paraId="11999473" w14:textId="77777777" w:rsidR="00E100CA" w:rsidRDefault="00000000">
            <w:pPr>
              <w:spacing w:after="0"/>
            </w:pPr>
            <w:r>
              <w:rPr>
                <w:sz w:val="17"/>
              </w:rPr>
              <w:t>Hospital beds</w:t>
            </w:r>
          </w:p>
        </w:tc>
        <w:tc>
          <w:tcPr>
            <w:tcW w:w="1152" w:type="dxa"/>
          </w:tcPr>
          <w:p w14:paraId="4BE0A863" w14:textId="77777777" w:rsidR="00E100CA" w:rsidRDefault="00000000">
            <w:pPr>
              <w:spacing w:after="0"/>
            </w:pPr>
            <w:r>
              <w:rPr>
                <w:sz w:val="17"/>
              </w:rPr>
              <w:t>23.0%</w:t>
            </w:r>
          </w:p>
        </w:tc>
        <w:tc>
          <w:tcPr>
            <w:tcW w:w="2160" w:type="dxa"/>
          </w:tcPr>
          <w:p w14:paraId="04A8C90B" w14:textId="77777777" w:rsidR="00E100CA" w:rsidRDefault="00000000">
            <w:pPr>
              <w:spacing w:after="0"/>
            </w:pPr>
            <w:r>
              <w:rPr>
                <w:sz w:val="17"/>
              </w:rPr>
              <w:t>Network input</w:t>
            </w:r>
          </w:p>
        </w:tc>
      </w:tr>
      <w:tr w:rsidR="00E100CA" w14:paraId="704EFEE3" w14:textId="77777777">
        <w:tc>
          <w:tcPr>
            <w:tcW w:w="1944" w:type="dxa"/>
          </w:tcPr>
          <w:p w14:paraId="49F51678" w14:textId="77777777" w:rsidR="00E100CA" w:rsidRDefault="00000000">
            <w:pPr>
              <w:spacing w:after="0"/>
            </w:pPr>
            <w:r>
              <w:rPr>
                <w:sz w:val="17"/>
              </w:rPr>
              <w:t>GB.XPD.RSDV.GD.ZS</w:t>
            </w:r>
          </w:p>
        </w:tc>
        <w:tc>
          <w:tcPr>
            <w:tcW w:w="2448" w:type="dxa"/>
          </w:tcPr>
          <w:p w14:paraId="5A6BD142" w14:textId="77777777" w:rsidR="00E100CA" w:rsidRDefault="00000000">
            <w:pPr>
              <w:spacing w:after="0"/>
            </w:pPr>
            <w:r>
              <w:rPr>
                <w:sz w:val="17"/>
              </w:rPr>
              <w:t>R&amp;D expenditure</w:t>
            </w:r>
          </w:p>
        </w:tc>
        <w:tc>
          <w:tcPr>
            <w:tcW w:w="1152" w:type="dxa"/>
          </w:tcPr>
          <w:p w14:paraId="7547BEBE" w14:textId="77777777" w:rsidR="00E100CA" w:rsidRDefault="00000000">
            <w:pPr>
              <w:spacing w:after="0"/>
            </w:pPr>
            <w:r>
              <w:rPr>
                <w:sz w:val="17"/>
              </w:rPr>
              <w:t>33.7%</w:t>
            </w:r>
          </w:p>
        </w:tc>
        <w:tc>
          <w:tcPr>
            <w:tcW w:w="2160" w:type="dxa"/>
          </w:tcPr>
          <w:p w14:paraId="5C6D8332" w14:textId="77777777" w:rsidR="00E100CA" w:rsidRDefault="00000000">
            <w:pPr>
              <w:spacing w:after="0"/>
            </w:pPr>
            <w:r>
              <w:rPr>
                <w:sz w:val="17"/>
              </w:rPr>
              <w:t>Robustness</w:t>
            </w:r>
          </w:p>
        </w:tc>
      </w:tr>
      <w:tr w:rsidR="00E100CA" w14:paraId="76515D2B" w14:textId="77777777">
        <w:tc>
          <w:tcPr>
            <w:tcW w:w="1944" w:type="dxa"/>
          </w:tcPr>
          <w:p w14:paraId="21952F9F" w14:textId="77777777" w:rsidR="00E100CA" w:rsidRDefault="00000000">
            <w:pPr>
              <w:spacing w:after="0"/>
            </w:pPr>
            <w:proofErr w:type="gramStart"/>
            <w:r>
              <w:rPr>
                <w:sz w:val="17"/>
              </w:rPr>
              <w:t>SE.ADT.LITR.ZS</w:t>
            </w:r>
            <w:proofErr w:type="gramEnd"/>
          </w:p>
        </w:tc>
        <w:tc>
          <w:tcPr>
            <w:tcW w:w="2448" w:type="dxa"/>
          </w:tcPr>
          <w:p w14:paraId="7350A27A" w14:textId="77777777" w:rsidR="00E100CA" w:rsidRDefault="00000000">
            <w:pPr>
              <w:spacing w:after="0"/>
            </w:pPr>
            <w:r>
              <w:rPr>
                <w:sz w:val="17"/>
              </w:rPr>
              <w:t>Adult literacy</w:t>
            </w:r>
          </w:p>
        </w:tc>
        <w:tc>
          <w:tcPr>
            <w:tcW w:w="1152" w:type="dxa"/>
          </w:tcPr>
          <w:p w14:paraId="7776199A" w14:textId="77777777" w:rsidR="00E100CA" w:rsidRDefault="00000000">
            <w:pPr>
              <w:spacing w:after="0"/>
            </w:pPr>
            <w:r>
              <w:rPr>
                <w:sz w:val="17"/>
              </w:rPr>
              <w:t>74.5%</w:t>
            </w:r>
          </w:p>
        </w:tc>
        <w:tc>
          <w:tcPr>
            <w:tcW w:w="2160" w:type="dxa"/>
          </w:tcPr>
          <w:p w14:paraId="08C12FBF" w14:textId="77777777" w:rsidR="00E100CA" w:rsidRDefault="00000000">
            <w:pPr>
              <w:spacing w:after="0"/>
            </w:pPr>
            <w:r>
              <w:rPr>
                <w:sz w:val="17"/>
              </w:rPr>
              <w:t>Excluded</w:t>
            </w:r>
          </w:p>
        </w:tc>
      </w:tr>
    </w:tbl>
    <w:p w14:paraId="2A702FF6" w14:textId="77777777" w:rsidR="00E100CA" w:rsidRDefault="00E100CA"/>
    <w:p w14:paraId="2CECB514" w14:textId="77777777" w:rsidR="00E100CA" w:rsidRDefault="00000000">
      <w:pPr>
        <w:pStyle w:val="Balk2"/>
        <w:spacing w:before="100"/>
      </w:pPr>
      <w:r>
        <w:rPr>
          <w:rFonts w:ascii="Times New Roman" w:hAnsi="Times New Roman"/>
        </w:rPr>
        <w:t>2.2. Geo-Historical, Normative, and Institutional Layers</w:t>
      </w:r>
    </w:p>
    <w:p w14:paraId="0FEB8966" w14:textId="77777777" w:rsidR="00E100CA" w:rsidRDefault="00000000">
      <w:pPr>
        <w:jc w:val="both"/>
      </w:pPr>
      <w:r>
        <w:t>CEPII gravity and distance data were used to construct geo-historical instruments based on distance, contiguity, common language, colonial links, common colonizer, and historical ties. UN General Assembly voting data were coded as Yes = 1, No = -1, and Abstain = 0; country-pair agreement and cosine similarity were calculated annually. WHO Global Health Observatory indicators added UHC, IHR/SPAR-related capacity, and external health expenditure variables. These layers connect the WDI material-capacity network to normative alignment and institutional health governance.</w:t>
      </w:r>
    </w:p>
    <w:p w14:paraId="5A02CC52" w14:textId="77777777" w:rsidR="00E100CA" w:rsidRDefault="00000000">
      <w:pPr>
        <w:pStyle w:val="Balk2"/>
        <w:spacing w:before="160"/>
      </w:pPr>
      <w:r>
        <w:rPr>
          <w:rFonts w:ascii="Times New Roman" w:hAnsi="Times New Roman"/>
        </w:rPr>
        <w:t>2.3. Network Construction and Formulae</w:t>
      </w:r>
    </w:p>
    <w:p w14:paraId="38653D75" w14:textId="77777777" w:rsidR="00E100CA" w:rsidRDefault="00000000">
      <w:pPr>
        <w:jc w:val="both"/>
      </w:pPr>
      <w:r>
        <w:t>The core network operationalizes multiplex global health governance as multidimensional similarity in health capacity, development, and digital connectivity. For each year, six WDI indicators were standardized and converted into pairwise similarity. The five nearest neighbors were retained for each country and the adjacency matrix was symmetrized.</w:t>
      </w:r>
    </w:p>
    <w:p w14:paraId="1EF378EA" w14:textId="3049A9B1" w:rsidR="00E100CA" w:rsidRPr="006B157A"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z</m:t>
                  </m:r>
                </m:e>
                <m:sub>
                  <m:r>
                    <w:rPr>
                      <w:rFonts w:ascii="Cambria Math" w:hAnsi="Cambria Math"/>
                      <w:sz w:val="22"/>
                    </w:rPr>
                    <m:t>itk</m:t>
                  </m:r>
                </m:sub>
              </m:sSub>
              <m:r>
                <w:rPr>
                  <w:rFonts w:ascii="Cambria Math" w:hAnsi="Cambria Math"/>
                  <w:sz w:val="22"/>
                </w:rPr>
                <m:t>=</m:t>
              </m:r>
              <m:f>
                <m:fPr>
                  <m:ctrlPr>
                    <w:rPr>
                      <w:rFonts w:ascii="Cambria Math" w:hAnsi="Cambria Math"/>
                      <w:sz w:val="22"/>
                    </w:rPr>
                  </m:ctrlPr>
                </m:fPr>
                <m:num>
                  <m:sSub>
                    <m:sSubPr>
                      <m:ctrlPr>
                        <w:rPr>
                          <w:rFonts w:ascii="Cambria Math" w:hAnsi="Cambria Math"/>
                          <w:i/>
                          <w:sz w:val="22"/>
                        </w:rPr>
                      </m:ctrlPr>
                    </m:sSubPr>
                    <m:e>
                      <m:r>
                        <w:rPr>
                          <w:rFonts w:ascii="Cambria Math" w:hAnsi="Cambria Math"/>
                          <w:sz w:val="22"/>
                        </w:rPr>
                        <m:t>x</m:t>
                      </m:r>
                    </m:e>
                    <m:sub>
                      <m:r>
                        <w:rPr>
                          <w:rFonts w:ascii="Cambria Math" w:hAnsi="Cambria Math"/>
                          <w:sz w:val="22"/>
                        </w:rPr>
                        <m:t>itk</m:t>
                      </m:r>
                    </m:sub>
                  </m:sSub>
                  <m:r>
                    <w:rPr>
                      <w:rFonts w:ascii="Cambria Math" w:hAnsi="Cambria Math"/>
                      <w:sz w:val="22"/>
                    </w:rPr>
                    <m:t>-</m:t>
                  </m:r>
                  <m:acc>
                    <m:accPr>
                      <m:chr m:val="̅"/>
                      <m:ctrlPr>
                        <w:rPr>
                          <w:rFonts w:ascii="Cambria Math" w:hAnsi="Cambria Math"/>
                          <w:sz w:val="22"/>
                        </w:rPr>
                      </m:ctrlPr>
                    </m:accPr>
                    <m:e>
                      <m:sSub>
                        <m:sSubPr>
                          <m:ctrlPr>
                            <w:rPr>
                              <w:rFonts w:ascii="Cambria Math" w:hAnsi="Cambria Math"/>
                              <w:i/>
                              <w:sz w:val="22"/>
                            </w:rPr>
                          </m:ctrlPr>
                        </m:sSubPr>
                        <m:e>
                          <m:r>
                            <w:rPr>
                              <w:rFonts w:ascii="Cambria Math" w:hAnsi="Cambria Math"/>
                              <w:sz w:val="22"/>
                            </w:rPr>
                            <m:t>x</m:t>
                          </m:r>
                          <m:ctrlPr>
                            <w:rPr>
                              <w:rFonts w:ascii="Cambria Math" w:hAnsi="Cambria Math"/>
                              <w:sz w:val="22"/>
                            </w:rPr>
                          </m:ctrlPr>
                        </m:e>
                        <m:sub>
                          <m:r>
                            <w:rPr>
                              <w:rFonts w:ascii="Cambria Math" w:hAnsi="Cambria Math"/>
                              <w:sz w:val="22"/>
                            </w:rPr>
                            <m:t>tk</m:t>
                          </m:r>
                        </m:sub>
                      </m:sSub>
                    </m:e>
                  </m:acc>
                  <m:ctrlPr>
                    <w:rPr>
                      <w:rFonts w:ascii="Cambria Math" w:hAnsi="Cambria Math"/>
                      <w:i/>
                      <w:sz w:val="22"/>
                    </w:rPr>
                  </m:ctrlPr>
                </m:num>
                <m:den>
                  <m:sSub>
                    <m:sSubPr>
                      <m:ctrlPr>
                        <w:rPr>
                          <w:rFonts w:ascii="Cambria Math" w:hAnsi="Cambria Math"/>
                          <w:i/>
                          <w:sz w:val="22"/>
                        </w:rPr>
                      </m:ctrlPr>
                    </m:sSubPr>
                    <m:e>
                      <m:r>
                        <w:rPr>
                          <w:rFonts w:ascii="Cambria Math" w:hAnsi="Cambria Math"/>
                          <w:sz w:val="22"/>
                        </w:rPr>
                        <m:t>s</m:t>
                      </m:r>
                    </m:e>
                    <m:sub>
                      <m:r>
                        <w:rPr>
                          <w:rFonts w:ascii="Cambria Math" w:hAnsi="Cambria Math"/>
                          <w:sz w:val="22"/>
                        </w:rPr>
                        <m:t>tk</m:t>
                      </m:r>
                    </m:sub>
                  </m:sSub>
                  <m:ctrlPr>
                    <w:rPr>
                      <w:rFonts w:ascii="Cambria Math" w:hAnsi="Cambria Math"/>
                      <w:i/>
                      <w:sz w:val="22"/>
                    </w:rPr>
                  </m:ctrlPr>
                </m:den>
              </m:f>
            </m:e>
          </m:d>
        </m:oMath>
      </m:oMathPara>
    </w:p>
    <w:p w14:paraId="7D726074" w14:textId="0BDE55E8" w:rsidR="00E100CA" w:rsidRPr="006B157A"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d</m:t>
                  </m:r>
                </m:e>
                <m:sub>
                  <m:r>
                    <w:rPr>
                      <w:rFonts w:ascii="Cambria Math" w:hAnsi="Cambria Math"/>
                      <w:sz w:val="22"/>
                    </w:rPr>
                    <m:t>ijt</m:t>
                  </m:r>
                </m:sub>
              </m:sSub>
              <m:r>
                <w:rPr>
                  <w:rFonts w:ascii="Cambria Math" w:hAnsi="Cambria Math"/>
                  <w:sz w:val="22"/>
                </w:rPr>
                <m:t>=</m:t>
              </m:r>
              <m:sSup>
                <m:sSupPr>
                  <m:ctrlPr>
                    <w:rPr>
                      <w:rFonts w:ascii="Cambria Math" w:hAnsi="Cambria Math"/>
                      <w:i/>
                      <w:sz w:val="22"/>
                    </w:rPr>
                  </m:ctrlPr>
                </m:sSupPr>
                <m:e>
                  <m:d>
                    <m:dPr>
                      <m:ctrlPr>
                        <w:rPr>
                          <w:rFonts w:ascii="Cambria Math" w:hAnsi="Cambria Math"/>
                          <w:sz w:val="22"/>
                        </w:rPr>
                      </m:ctrlPr>
                    </m:dPr>
                    <m:e>
                      <m:nary>
                        <m:naryPr>
                          <m:chr m:val="∑"/>
                          <m:ctrlPr>
                            <w:rPr>
                              <w:rFonts w:ascii="Cambria Math" w:hAnsi="Cambria Math"/>
                              <w:sz w:val="22"/>
                            </w:rPr>
                          </m:ctrlPr>
                        </m:naryPr>
                        <m:sub>
                          <m:r>
                            <w:rPr>
                              <w:rFonts w:ascii="Cambria Math" w:hAnsi="Cambria Math"/>
                              <w:sz w:val="22"/>
                            </w:rPr>
                            <m:t>k=1</m:t>
                          </m:r>
                          <m:ctrlPr>
                            <w:rPr>
                              <w:rFonts w:ascii="Cambria Math" w:hAnsi="Cambria Math"/>
                              <w:i/>
                              <w:sz w:val="22"/>
                            </w:rPr>
                          </m:ctrlPr>
                        </m:sub>
                        <m:sup>
                          <m:r>
                            <w:rPr>
                              <w:rFonts w:ascii="Cambria Math" w:hAnsi="Cambria Math"/>
                              <w:sz w:val="22"/>
                            </w:rPr>
                            <m:t>K</m:t>
                          </m:r>
                          <m:ctrlPr>
                            <w:rPr>
                              <w:rFonts w:ascii="Cambria Math" w:hAnsi="Cambria Math"/>
                              <w:i/>
                              <w:sz w:val="22"/>
                            </w:rPr>
                          </m:ctrlPr>
                        </m:sup>
                        <m:e>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z</m:t>
                                      </m:r>
                                    </m:e>
                                    <m:sub>
                                      <m:r>
                                        <w:rPr>
                                          <w:rFonts w:ascii="Cambria Math" w:hAnsi="Cambria Math"/>
                                          <w:sz w:val="22"/>
                                        </w:rPr>
                                        <m:t>itk</m:t>
                                      </m:r>
                                    </m:sub>
                                  </m:sSub>
                                  <m:r>
                                    <w:rPr>
                                      <w:rFonts w:ascii="Cambria Math" w:hAnsi="Cambria Math"/>
                                      <w:sz w:val="22"/>
                                    </w:rPr>
                                    <m:t>-</m:t>
                                  </m:r>
                                  <m:sSub>
                                    <m:sSubPr>
                                      <m:ctrlPr>
                                        <w:rPr>
                                          <w:rFonts w:ascii="Cambria Math" w:hAnsi="Cambria Math"/>
                                          <w:i/>
                                          <w:sz w:val="22"/>
                                        </w:rPr>
                                      </m:ctrlPr>
                                    </m:sSubPr>
                                    <m:e>
                                      <m:r>
                                        <w:rPr>
                                          <w:rFonts w:ascii="Cambria Math" w:hAnsi="Cambria Math"/>
                                          <w:sz w:val="22"/>
                                        </w:rPr>
                                        <m:t>z</m:t>
                                      </m:r>
                                    </m:e>
                                    <m:sub>
                                      <m:r>
                                        <w:rPr>
                                          <w:rFonts w:ascii="Cambria Math" w:hAnsi="Cambria Math"/>
                                          <w:sz w:val="22"/>
                                        </w:rPr>
                                        <m:t>jtk</m:t>
                                      </m:r>
                                    </m:sub>
                                  </m:sSub>
                                </m:e>
                              </m:d>
                            </m:e>
                            <m:sup>
                              <m:r>
                                <w:rPr>
                                  <w:rFonts w:ascii="Cambria Math" w:hAnsi="Cambria Math"/>
                                  <w:sz w:val="22"/>
                                </w:rPr>
                                <m:t>2</m:t>
                              </m:r>
                            </m:sup>
                          </m:sSup>
                          <m:ctrlPr>
                            <w:rPr>
                              <w:rFonts w:ascii="Cambria Math" w:hAnsi="Cambria Math"/>
                              <w:i/>
                              <w:sz w:val="22"/>
                            </w:rPr>
                          </m:ctrlPr>
                        </m:e>
                      </m:nary>
                      <m:ctrlPr>
                        <w:rPr>
                          <w:rFonts w:ascii="Cambria Math" w:hAnsi="Cambria Math"/>
                          <w:i/>
                          <w:sz w:val="22"/>
                        </w:rPr>
                      </m:ctrlPr>
                    </m:e>
                  </m:d>
                </m:e>
                <m:sup>
                  <m:r>
                    <w:rPr>
                      <w:rFonts w:ascii="Cambria Math" w:hAnsi="Cambria Math"/>
                      <w:sz w:val="22"/>
                    </w:rPr>
                    <m:t>1</m:t>
                  </m:r>
                  <m:r>
                    <m:rPr>
                      <m:lit/>
                    </m:rPr>
                    <w:rPr>
                      <w:rFonts w:ascii="Cambria Math" w:hAnsi="Cambria Math"/>
                      <w:sz w:val="22"/>
                    </w:rPr>
                    <m:t>/</m:t>
                  </m:r>
                  <m:r>
                    <w:rPr>
                      <w:rFonts w:ascii="Cambria Math" w:hAnsi="Cambria Math"/>
                      <w:sz w:val="22"/>
                    </w:rPr>
                    <m:t>2</m:t>
                  </m:r>
                </m:sup>
              </m:sSup>
            </m:e>
          </m:d>
        </m:oMath>
      </m:oMathPara>
    </w:p>
    <w:p w14:paraId="27EB2BDE" w14:textId="04DC4E77" w:rsidR="00E100CA" w:rsidRPr="006B157A"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ijt</m:t>
                  </m:r>
                </m:sub>
              </m:sSub>
              <m:r>
                <w:rPr>
                  <w:rFonts w:ascii="Cambria Math" w:hAnsi="Cambria Math"/>
                  <w:sz w:val="22"/>
                </w:rPr>
                <m:t>=</m:t>
              </m:r>
              <m:f>
                <m:fPr>
                  <m:ctrlPr>
                    <w:rPr>
                      <w:rFonts w:ascii="Cambria Math" w:hAnsi="Cambria Math"/>
                      <w:sz w:val="22"/>
                    </w:rPr>
                  </m:ctrlPr>
                </m:fPr>
                <m:num>
                  <m:r>
                    <w:rPr>
                      <w:rFonts w:ascii="Cambria Math" w:hAnsi="Cambria Math"/>
                      <w:sz w:val="22"/>
                    </w:rPr>
                    <m:t>1</m:t>
                  </m:r>
                  <m:ctrlPr>
                    <w:rPr>
                      <w:rFonts w:ascii="Cambria Math" w:hAnsi="Cambria Math"/>
                      <w:i/>
                      <w:sz w:val="22"/>
                    </w:rPr>
                  </m:ctrlPr>
                </m:num>
                <m:den>
                  <m:r>
                    <w:rPr>
                      <w:rFonts w:ascii="Cambria Math" w:hAnsi="Cambria Math"/>
                      <w:sz w:val="22"/>
                    </w:rPr>
                    <m:t>1+</m:t>
                  </m:r>
                  <m:sSub>
                    <m:sSubPr>
                      <m:ctrlPr>
                        <w:rPr>
                          <w:rFonts w:ascii="Cambria Math" w:hAnsi="Cambria Math"/>
                          <w:i/>
                          <w:sz w:val="22"/>
                        </w:rPr>
                      </m:ctrlPr>
                    </m:sSubPr>
                    <m:e>
                      <m:r>
                        <w:rPr>
                          <w:rFonts w:ascii="Cambria Math" w:hAnsi="Cambria Math"/>
                          <w:sz w:val="22"/>
                        </w:rPr>
                        <m:t>d</m:t>
                      </m:r>
                    </m:e>
                    <m:sub>
                      <m:r>
                        <w:rPr>
                          <w:rFonts w:ascii="Cambria Math" w:hAnsi="Cambria Math"/>
                          <w:sz w:val="22"/>
                        </w:rPr>
                        <m:t>ijt</m:t>
                      </m:r>
                    </m:sub>
                  </m:sSub>
                  <m:ctrlPr>
                    <w:rPr>
                      <w:rFonts w:ascii="Cambria Math" w:hAnsi="Cambria Math"/>
                      <w:i/>
                      <w:sz w:val="22"/>
                    </w:rPr>
                  </m:ctrlPr>
                </m:den>
              </m:f>
            </m:e>
          </m:d>
        </m:oMath>
      </m:oMathPara>
    </w:p>
    <w:p w14:paraId="03FEA284" w14:textId="0956F877" w:rsidR="00E100CA" w:rsidRPr="0029714D" w:rsidRDefault="00000000">
      <w:pPr>
        <w:ind w:left="360"/>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a</m:t>
                  </m:r>
                </m:e>
                <m:sub>
                  <m:r>
                    <w:rPr>
                      <w:rFonts w:ascii="Cambria Math" w:hAnsi="Cambria Math"/>
                      <w:sz w:val="22"/>
                    </w:rPr>
                    <m:t>ijt</m:t>
                  </m:r>
                </m:sub>
              </m:sSub>
              <m: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max</m:t>
                  </m:r>
                  <m:ctrlPr>
                    <w:rPr>
                      <w:rFonts w:ascii="Cambria Math" w:hAnsi="Cambria Math"/>
                      <w:i/>
                      <w:sz w:val="22"/>
                    </w:rPr>
                  </m:ctrlPr>
                </m:fName>
                <m:e>
                  <m:r>
                    <m:rPr>
                      <m:lit/>
                    </m:rPr>
                    <w:rPr>
                      <w:rFonts w:ascii="Cambria Math" w:hAnsi="Cambria Math"/>
                      <w:sz w:val="22"/>
                    </w:rPr>
                    <m:t>{</m:t>
                  </m:r>
                </m:e>
              </m:func>
              <m:r>
                <w:rPr>
                  <w:rFonts w:ascii="Cambria Math" w:hAnsi="Cambria Math"/>
                  <w:sz w:val="22"/>
                </w:rPr>
                <m:t>I</m:t>
              </m:r>
              <m:d>
                <m:dPr>
                  <m:ctrlPr>
                    <w:rPr>
                      <w:rFonts w:ascii="Cambria Math" w:hAnsi="Cambria Math"/>
                      <w:i/>
                      <w:sz w:val="22"/>
                    </w:rPr>
                  </m:ctrlPr>
                </m:dPr>
                <m:e>
                  <m:r>
                    <w:rPr>
                      <w:rFonts w:ascii="Cambria Math" w:hAnsi="Cambria Math"/>
                      <w:sz w:val="22"/>
                    </w:rPr>
                    <m:t>j</m:t>
                  </m:r>
                  <m:r>
                    <m:rPr>
                      <m:sty m:val="p"/>
                    </m:rPr>
                    <w:rPr>
                      <w:rFonts w:ascii="Cambria Math" w:hAnsi="Cambria Math" w:hint="eastAsia"/>
                      <w:sz w:val="22"/>
                    </w:rPr>
                    <m:t>∈</m:t>
                  </m:r>
                  <m:sSub>
                    <m:sSubPr>
                      <m:ctrlPr>
                        <w:rPr>
                          <w:rFonts w:ascii="Cambria Math" w:hAnsi="Cambria Math"/>
                          <w:i/>
                          <w:sz w:val="22"/>
                        </w:rPr>
                      </m:ctrlPr>
                    </m:sSubPr>
                    <m:e>
                      <m:r>
                        <w:rPr>
                          <w:rFonts w:ascii="Cambria Math" w:hAnsi="Cambria Math"/>
                          <w:sz w:val="22"/>
                        </w:rPr>
                        <m:t>N</m:t>
                      </m:r>
                      <m:ctrlPr>
                        <w:rPr>
                          <w:rFonts w:ascii="Cambria Math" w:hAnsi="Cambria Math"/>
                          <w:sz w:val="22"/>
                        </w:rPr>
                      </m:ctrlPr>
                    </m:e>
                    <m:sub>
                      <m:r>
                        <w:rPr>
                          <w:rFonts w:ascii="Cambria Math" w:hAnsi="Cambria Math"/>
                          <w:sz w:val="22"/>
                        </w:rPr>
                        <m:t>k</m:t>
                      </m:r>
                    </m:sub>
                  </m:sSub>
                  <m:d>
                    <m:dPr>
                      <m:ctrlPr>
                        <w:rPr>
                          <w:rFonts w:ascii="Cambria Math" w:hAnsi="Cambria Math"/>
                          <w:i/>
                          <w:sz w:val="22"/>
                        </w:rPr>
                      </m:ctrlPr>
                    </m:dPr>
                    <m:e>
                      <m:r>
                        <w:rPr>
                          <w:rFonts w:ascii="Cambria Math" w:hAnsi="Cambria Math"/>
                          <w:sz w:val="22"/>
                        </w:rPr>
                        <m:t>i,t</m:t>
                      </m:r>
                    </m:e>
                  </m:d>
                </m:e>
              </m:d>
              <m:sSub>
                <m:sSubPr>
                  <m:ctrlPr>
                    <w:rPr>
                      <w:rFonts w:ascii="Cambria Math" w:hAnsi="Cambria Math"/>
                      <w:i/>
                      <w:sz w:val="22"/>
                    </w:rPr>
                  </m:ctrlPr>
                </m:sSubPr>
                <m:e>
                  <m:r>
                    <w:rPr>
                      <w:rFonts w:ascii="Cambria Math" w:hAnsi="Cambria Math"/>
                      <w:sz w:val="22"/>
                    </w:rPr>
                    <m:t>s</m:t>
                  </m:r>
                </m:e>
                <m:sub>
                  <m:r>
                    <w:rPr>
                      <w:rFonts w:ascii="Cambria Math" w:hAnsi="Cambria Math"/>
                      <w:sz w:val="22"/>
                    </w:rPr>
                    <m:t>ijt</m:t>
                  </m:r>
                </m:sub>
              </m:sSub>
              <m:r>
                <w:rPr>
                  <w:rFonts w:ascii="Cambria Math" w:hAnsi="Cambria Math"/>
                  <w:sz w:val="22"/>
                </w:rPr>
                <m:t>,I</m:t>
              </m:r>
              <m:d>
                <m:dPr>
                  <m:ctrlPr>
                    <w:rPr>
                      <w:rFonts w:ascii="Cambria Math" w:hAnsi="Cambria Math"/>
                      <w:i/>
                      <w:sz w:val="22"/>
                    </w:rPr>
                  </m:ctrlPr>
                </m:dPr>
                <m:e>
                  <m:r>
                    <w:rPr>
                      <w:rFonts w:ascii="Cambria Math" w:hAnsi="Cambria Math"/>
                      <w:sz w:val="22"/>
                    </w:rPr>
                    <m:t>i</m:t>
                  </m:r>
                  <m:r>
                    <m:rPr>
                      <m:sty m:val="p"/>
                    </m:rPr>
                    <w:rPr>
                      <w:rFonts w:ascii="Cambria Math" w:hAnsi="Cambria Math" w:hint="eastAsia"/>
                      <w:sz w:val="22"/>
                    </w:rPr>
                    <m:t>∈</m:t>
                  </m:r>
                  <m:sSub>
                    <m:sSubPr>
                      <m:ctrlPr>
                        <w:rPr>
                          <w:rFonts w:ascii="Cambria Math" w:hAnsi="Cambria Math"/>
                          <w:i/>
                          <w:sz w:val="22"/>
                        </w:rPr>
                      </m:ctrlPr>
                    </m:sSubPr>
                    <m:e>
                      <m:r>
                        <w:rPr>
                          <w:rFonts w:ascii="Cambria Math" w:hAnsi="Cambria Math"/>
                          <w:sz w:val="22"/>
                        </w:rPr>
                        <m:t>N</m:t>
                      </m:r>
                      <m:ctrlPr>
                        <w:rPr>
                          <w:rFonts w:ascii="Cambria Math" w:hAnsi="Cambria Math"/>
                          <w:sz w:val="22"/>
                        </w:rPr>
                      </m:ctrlPr>
                    </m:e>
                    <m:sub>
                      <m:r>
                        <w:rPr>
                          <w:rFonts w:ascii="Cambria Math" w:hAnsi="Cambria Math"/>
                          <w:sz w:val="22"/>
                        </w:rPr>
                        <m:t>k</m:t>
                      </m:r>
                    </m:sub>
                  </m:sSub>
                  <m:d>
                    <m:dPr>
                      <m:ctrlPr>
                        <w:rPr>
                          <w:rFonts w:ascii="Cambria Math" w:hAnsi="Cambria Math"/>
                          <w:i/>
                          <w:sz w:val="22"/>
                        </w:rPr>
                      </m:ctrlPr>
                    </m:dPr>
                    <m:e>
                      <m:r>
                        <w:rPr>
                          <w:rFonts w:ascii="Cambria Math" w:hAnsi="Cambria Math"/>
                          <w:sz w:val="22"/>
                        </w:rPr>
                        <m:t>j,t</m:t>
                      </m:r>
                    </m:e>
                  </m:d>
                </m:e>
              </m:d>
              <m:sSub>
                <m:sSubPr>
                  <m:ctrlPr>
                    <w:rPr>
                      <w:rFonts w:ascii="Cambria Math" w:hAnsi="Cambria Math"/>
                      <w:i/>
                      <w:sz w:val="22"/>
                    </w:rPr>
                  </m:ctrlPr>
                </m:sSubPr>
                <m:e>
                  <m:r>
                    <w:rPr>
                      <w:rFonts w:ascii="Cambria Math" w:hAnsi="Cambria Math"/>
                      <w:sz w:val="22"/>
                    </w:rPr>
                    <m:t>s</m:t>
                  </m:r>
                </m:e>
                <m:sub>
                  <m:r>
                    <w:rPr>
                      <w:rFonts w:ascii="Cambria Math" w:hAnsi="Cambria Math"/>
                      <w:sz w:val="22"/>
                    </w:rPr>
                    <m:t>jit</m:t>
                  </m:r>
                </m:sub>
              </m:sSub>
              <m:r>
                <m:rPr>
                  <m:lit/>
                </m:rPr>
                <w:rPr>
                  <w:rFonts w:ascii="Cambria Math" w:hAnsi="Cambria Math"/>
                  <w:sz w:val="22"/>
                </w:rPr>
                <m:t>}</m:t>
              </m:r>
            </m:e>
          </m:d>
        </m:oMath>
      </m:oMathPara>
    </w:p>
    <w:p w14:paraId="6041B5F7" w14:textId="77777777" w:rsidR="0029714D" w:rsidRPr="0029714D" w:rsidRDefault="0029714D">
      <w:pPr>
        <w:ind w:left="360"/>
      </w:pPr>
    </w:p>
    <w:p w14:paraId="5AAD64A3" w14:textId="77777777" w:rsidR="00E100CA" w:rsidRDefault="00000000">
      <w:pPr>
        <w:jc w:val="both"/>
      </w:pPr>
      <w:r>
        <w:t>Annual graphs were summarized using degree, strength, eigenvector centrality, betweenness, closeness, clustering, density, and components.</w:t>
      </w:r>
    </w:p>
    <w:p w14:paraId="48FAB461" w14:textId="6EEAB28A" w:rsidR="00E100CA" w:rsidRPr="0029714D"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D</m:t>
                  </m:r>
                </m:e>
                <m:sub>
                  <m:r>
                    <w:rPr>
                      <w:rFonts w:ascii="Cambria Math" w:hAnsi="Cambria Math"/>
                      <w:sz w:val="22"/>
                    </w:rPr>
                    <m:t>it</m:t>
                  </m:r>
                </m:sub>
              </m:sSub>
              <m:r>
                <w:rPr>
                  <w:rFonts w:ascii="Cambria Math" w:hAnsi="Cambria Math"/>
                  <w:sz w:val="22"/>
                </w:rPr>
                <m:t>=</m:t>
              </m:r>
              <m:f>
                <m:fPr>
                  <m:ctrlPr>
                    <w:rPr>
                      <w:rFonts w:ascii="Cambria Math" w:hAnsi="Cambria Math"/>
                      <w:sz w:val="22"/>
                    </w:rPr>
                  </m:ctrlPr>
                </m:fPr>
                <m:num>
                  <m:r>
                    <w:rPr>
                      <w:rFonts w:ascii="Cambria Math" w:hAnsi="Cambria Math"/>
                      <w:sz w:val="22"/>
                    </w:rPr>
                    <m:t>1</m:t>
                  </m:r>
                  <m:ctrlPr>
                    <w:rPr>
                      <w:rFonts w:ascii="Cambria Math" w:hAnsi="Cambria Math"/>
                      <w:i/>
                      <w:sz w:val="22"/>
                    </w:rPr>
                  </m:ctrlPr>
                </m:num>
                <m:den>
                  <m:r>
                    <w:rPr>
                      <w:rFonts w:ascii="Cambria Math" w:hAnsi="Cambria Math"/>
                      <w:sz w:val="22"/>
                    </w:rPr>
                    <m:t>n-1</m:t>
                  </m:r>
                  <m:ctrlPr>
                    <w:rPr>
                      <w:rFonts w:ascii="Cambria Math" w:hAnsi="Cambria Math"/>
                      <w:i/>
                      <w:sz w:val="22"/>
                    </w:rPr>
                  </m:ctrlPr>
                </m:den>
              </m:f>
              <m:nary>
                <m:naryPr>
                  <m:chr m:val="∑"/>
                  <m:supHide m:val="1"/>
                  <m:ctrlPr>
                    <w:rPr>
                      <w:rFonts w:ascii="Cambria Math" w:hAnsi="Cambria Math"/>
                      <w:sz w:val="22"/>
                    </w:rPr>
                  </m:ctrlPr>
                </m:naryPr>
                <m:sub>
                  <m:r>
                    <w:rPr>
                      <w:rFonts w:ascii="Cambria Math" w:hAnsi="Cambria Math"/>
                      <w:sz w:val="22"/>
                    </w:rPr>
                    <m:t>j</m:t>
                  </m:r>
                  <m:ctrlPr>
                    <w:rPr>
                      <w:rFonts w:ascii="Cambria Math" w:hAnsi="Cambria Math"/>
                      <w:i/>
                      <w:sz w:val="22"/>
                    </w:rPr>
                  </m:ctrlPr>
                </m:sub>
                <m:sup>
                  <m:ctrlPr>
                    <w:rPr>
                      <w:rFonts w:ascii="Cambria Math" w:hAnsi="Cambria Math"/>
                      <w:i/>
                      <w:sz w:val="22"/>
                    </w:rPr>
                  </m:ctrlPr>
                </m:sup>
                <m:e>
                  <m:r>
                    <w:rPr>
                      <w:rFonts w:ascii="Cambria Math" w:hAnsi="Cambria Math"/>
                      <w:sz w:val="22"/>
                    </w:rPr>
                    <m:t>I</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a</m:t>
                          </m:r>
                        </m:e>
                        <m:sub>
                          <m:r>
                            <w:rPr>
                              <w:rFonts w:ascii="Cambria Math" w:hAnsi="Cambria Math"/>
                              <w:sz w:val="22"/>
                            </w:rPr>
                            <m:t>ijt</m:t>
                          </m:r>
                        </m:sub>
                      </m:sSub>
                      <m:r>
                        <w:rPr>
                          <w:rFonts w:ascii="Cambria Math" w:hAnsi="Cambria Math"/>
                          <w:sz w:val="22"/>
                        </w:rPr>
                        <m:t>&gt;0</m:t>
                      </m:r>
                    </m:e>
                  </m:d>
                  <m:ctrlPr>
                    <w:rPr>
                      <w:rFonts w:ascii="Cambria Math" w:hAnsi="Cambria Math"/>
                      <w:i/>
                      <w:sz w:val="22"/>
                    </w:rPr>
                  </m:ctrlPr>
                </m:e>
              </m:nary>
              <m:r>
                <w:rPr>
                  <w:rFonts w:ascii="Cambria Math" w:hAnsi="Cambria Math"/>
                  <w:sz w:val="22"/>
                </w:rPr>
                <m:t>,</m:t>
              </m:r>
              <m:r>
                <m:rPr>
                  <m:sty m:val="p"/>
                </m:rPr>
                <w:rPr>
                  <w:rFonts w:ascii="Cambria Math" w:hAnsi="Cambria Math"/>
                  <w:sz w:val="22"/>
                </w:rPr>
                <m:t>  </m:t>
              </m:r>
              <m:sSub>
                <m:sSubPr>
                  <m:ctrlPr>
                    <w:rPr>
                      <w:rFonts w:ascii="Cambria Math" w:hAnsi="Cambria Math"/>
                      <w:i/>
                      <w:sz w:val="22"/>
                    </w:rPr>
                  </m:ctrlPr>
                </m:sSubPr>
                <m:e>
                  <m:r>
                    <w:rPr>
                      <w:rFonts w:ascii="Cambria Math" w:hAnsi="Cambria Math"/>
                      <w:sz w:val="22"/>
                    </w:rPr>
                    <m:t>S</m:t>
                  </m:r>
                  <m:ctrlPr>
                    <w:rPr>
                      <w:rFonts w:ascii="Cambria Math" w:hAnsi="Cambria Math"/>
                      <w:sz w:val="22"/>
                    </w:rPr>
                  </m:ctrlPr>
                </m:e>
                <m:sub>
                  <m:r>
                    <w:rPr>
                      <w:rFonts w:ascii="Cambria Math" w:hAnsi="Cambria Math"/>
                      <w:sz w:val="22"/>
                    </w:rPr>
                    <m:t>it</m:t>
                  </m:r>
                </m:sub>
              </m:sSub>
              <m:r>
                <w:rPr>
                  <w:rFonts w:ascii="Cambria Math" w:hAnsi="Cambria Math"/>
                  <w:sz w:val="22"/>
                </w:rPr>
                <m:t>=</m:t>
              </m:r>
              <m:nary>
                <m:naryPr>
                  <m:chr m:val="∑"/>
                  <m:supHide m:val="1"/>
                  <m:ctrlPr>
                    <w:rPr>
                      <w:rFonts w:ascii="Cambria Math" w:hAnsi="Cambria Math"/>
                      <w:sz w:val="22"/>
                    </w:rPr>
                  </m:ctrlPr>
                </m:naryPr>
                <m:sub>
                  <m:r>
                    <w:rPr>
                      <w:rFonts w:ascii="Cambria Math" w:hAnsi="Cambria Math"/>
                      <w:sz w:val="22"/>
                    </w:rPr>
                    <m:t>j</m:t>
                  </m:r>
                  <m:ctrlPr>
                    <w:rPr>
                      <w:rFonts w:ascii="Cambria Math" w:hAnsi="Cambria Math"/>
                      <w:i/>
                      <w:sz w:val="22"/>
                    </w:rPr>
                  </m:ctrlPr>
                </m:sub>
                <m:sup>
                  <m:ctrlPr>
                    <w:rPr>
                      <w:rFonts w:ascii="Cambria Math" w:hAnsi="Cambria Math"/>
                      <w:i/>
                      <w:sz w:val="22"/>
                    </w:rPr>
                  </m:ctrlPr>
                </m:sup>
                <m:e>
                  <m:sSub>
                    <m:sSubPr>
                      <m:ctrlPr>
                        <w:rPr>
                          <w:rFonts w:ascii="Cambria Math" w:hAnsi="Cambria Math"/>
                          <w:i/>
                          <w:sz w:val="22"/>
                        </w:rPr>
                      </m:ctrlPr>
                    </m:sSubPr>
                    <m:e>
                      <m:r>
                        <w:rPr>
                          <w:rFonts w:ascii="Cambria Math" w:hAnsi="Cambria Math"/>
                          <w:sz w:val="22"/>
                        </w:rPr>
                        <m:t>a</m:t>
                      </m:r>
                    </m:e>
                    <m:sub>
                      <m:r>
                        <w:rPr>
                          <w:rFonts w:ascii="Cambria Math" w:hAnsi="Cambria Math"/>
                          <w:sz w:val="22"/>
                        </w:rPr>
                        <m:t>ijt</m:t>
                      </m:r>
                    </m:sub>
                  </m:sSub>
                  <m:ctrlPr>
                    <w:rPr>
                      <w:rFonts w:ascii="Cambria Math" w:hAnsi="Cambria Math"/>
                      <w:i/>
                      <w:sz w:val="22"/>
                    </w:rPr>
                  </m:ctrlPr>
                </m:e>
              </m:nary>
            </m:e>
          </m:d>
        </m:oMath>
      </m:oMathPara>
    </w:p>
    <w:p w14:paraId="54E6CE0B" w14:textId="3B02FA05" w:rsidR="00E100CA" w:rsidRPr="0029714D"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E</m:t>
                  </m:r>
                </m:e>
                <m:sub>
                  <m:r>
                    <w:rPr>
                      <w:rFonts w:ascii="Cambria Math" w:hAnsi="Cambria Math"/>
                      <w:sz w:val="22"/>
                    </w:rPr>
                    <m:t>it</m:t>
                  </m:r>
                </m:sub>
              </m:sSub>
              <m:r>
                <w:rPr>
                  <w:rFonts w:ascii="Cambria Math" w:hAnsi="Cambria Math"/>
                  <w:sz w:val="22"/>
                </w:rPr>
                <m:t>=</m:t>
              </m:r>
              <m:sSubSup>
                <m:sSubSupPr>
                  <m:ctrlPr>
                    <w:rPr>
                      <w:rFonts w:ascii="Cambria Math" w:hAnsi="Cambria Math"/>
                      <w:i/>
                      <w:sz w:val="22"/>
                    </w:rPr>
                  </m:ctrlPr>
                </m:sSubSupPr>
                <m:e>
                  <m:r>
                    <m:rPr>
                      <m:sty m:val="p"/>
                    </m:rPr>
                    <w:rPr>
                      <w:rFonts w:ascii="Cambria Math" w:hAnsi="Cambria Math"/>
                      <w:sz w:val="22"/>
                    </w:rPr>
                    <m:t>λ</m:t>
                  </m:r>
                </m:e>
                <m:sub>
                  <m:r>
                    <w:rPr>
                      <w:rFonts w:ascii="Cambria Math" w:hAnsi="Cambria Math"/>
                      <w:sz w:val="22"/>
                    </w:rPr>
                    <m:t>t</m:t>
                  </m:r>
                </m:sub>
                <m:sup>
                  <m:r>
                    <w:rPr>
                      <w:rFonts w:ascii="Cambria Math" w:hAnsi="Cambria Math"/>
                      <w:sz w:val="22"/>
                    </w:rPr>
                    <m:t>-1</m:t>
                  </m:r>
                  <m:nary>
                    <m:naryPr>
                      <m:chr m:val="∑"/>
                      <m:supHide m:val="1"/>
                      <m:ctrlPr>
                        <w:rPr>
                          <w:rFonts w:ascii="Cambria Math" w:hAnsi="Cambria Math"/>
                          <w:sz w:val="22"/>
                        </w:rPr>
                      </m:ctrlPr>
                    </m:naryPr>
                    <m:sub>
                      <m:r>
                        <w:rPr>
                          <w:rFonts w:ascii="Cambria Math" w:hAnsi="Cambria Math"/>
                          <w:sz w:val="22"/>
                        </w:rPr>
                        <m:t>j</m:t>
                      </m:r>
                      <m:ctrlPr>
                        <w:rPr>
                          <w:rFonts w:ascii="Cambria Math" w:hAnsi="Cambria Math"/>
                          <w:i/>
                          <w:sz w:val="22"/>
                        </w:rPr>
                      </m:ctrlPr>
                    </m:sub>
                    <m:sup>
                      <m:ctrlPr>
                        <w:rPr>
                          <w:rFonts w:ascii="Cambria Math" w:hAnsi="Cambria Math"/>
                          <w:i/>
                          <w:sz w:val="22"/>
                        </w:rPr>
                      </m:ctrlPr>
                    </m:sup>
                    <m:e>
                      <m:sSub>
                        <m:sSubPr>
                          <m:ctrlPr>
                            <w:rPr>
                              <w:rFonts w:ascii="Cambria Math" w:hAnsi="Cambria Math"/>
                              <w:i/>
                              <w:sz w:val="22"/>
                            </w:rPr>
                          </m:ctrlPr>
                        </m:sSubPr>
                        <m:e>
                          <m:r>
                            <w:rPr>
                              <w:rFonts w:ascii="Cambria Math" w:hAnsi="Cambria Math"/>
                              <w:sz w:val="22"/>
                            </w:rPr>
                            <m:t>a</m:t>
                          </m:r>
                        </m:e>
                        <m:sub>
                          <m:r>
                            <w:rPr>
                              <w:rFonts w:ascii="Cambria Math" w:hAnsi="Cambria Math"/>
                              <w:sz w:val="22"/>
                            </w:rPr>
                            <m:t>ijt</m:t>
                          </m:r>
                        </m:sub>
                      </m:sSub>
                      <m:sSub>
                        <m:sSubPr>
                          <m:ctrlPr>
                            <w:rPr>
                              <w:rFonts w:ascii="Cambria Math" w:hAnsi="Cambria Math"/>
                              <w:i/>
                              <w:sz w:val="22"/>
                            </w:rPr>
                          </m:ctrlPr>
                        </m:sSubPr>
                        <m:e>
                          <m:r>
                            <w:rPr>
                              <w:rFonts w:ascii="Cambria Math" w:hAnsi="Cambria Math"/>
                              <w:sz w:val="22"/>
                            </w:rPr>
                            <m:t>E</m:t>
                          </m:r>
                        </m:e>
                        <m:sub>
                          <m:r>
                            <w:rPr>
                              <w:rFonts w:ascii="Cambria Math" w:hAnsi="Cambria Math"/>
                              <w:sz w:val="22"/>
                            </w:rPr>
                            <m:t>jt</m:t>
                          </m:r>
                        </m:sub>
                      </m:sSub>
                      <m:ctrlPr>
                        <w:rPr>
                          <w:rFonts w:ascii="Cambria Math" w:hAnsi="Cambria Math"/>
                          <w:i/>
                          <w:sz w:val="22"/>
                        </w:rPr>
                      </m:ctrlPr>
                    </m:e>
                  </m:nary>
                </m:sup>
              </m:sSubSup>
            </m:e>
          </m:d>
        </m:oMath>
      </m:oMathPara>
    </w:p>
    <w:p w14:paraId="357B6FE9" w14:textId="1C4D0944" w:rsidR="00E100CA" w:rsidRPr="0029714D"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B</m:t>
                  </m:r>
                </m:e>
                <m:sub>
                  <m:r>
                    <w:rPr>
                      <w:rFonts w:ascii="Cambria Math" w:hAnsi="Cambria Math"/>
                      <w:sz w:val="22"/>
                    </w:rPr>
                    <m:t>it</m:t>
                  </m:r>
                </m:sub>
              </m:sSub>
              <m:r>
                <w:rPr>
                  <w:rFonts w:ascii="Cambria Math" w:hAnsi="Cambria Math"/>
                  <w:sz w:val="22"/>
                </w:rPr>
                <m:t>=</m:t>
              </m:r>
              <m:nary>
                <m:naryPr>
                  <m:chr m:val="∑"/>
                  <m:supHide m:val="1"/>
                  <m:ctrlPr>
                    <w:rPr>
                      <w:rFonts w:ascii="Cambria Math" w:hAnsi="Cambria Math"/>
                      <w:sz w:val="22"/>
                    </w:rPr>
                  </m:ctrlPr>
                </m:naryPr>
                <m:sub>
                  <m:r>
                    <w:rPr>
                      <w:rFonts w:ascii="Cambria Math" w:hAnsi="Cambria Math"/>
                      <w:sz w:val="22"/>
                    </w:rPr>
                    <m:t>s</m:t>
                  </m:r>
                  <m:r>
                    <m:rPr>
                      <m:sty m:val="p"/>
                    </m:rPr>
                    <w:rPr>
                      <w:rFonts w:ascii="Cambria Math" w:hAnsi="Cambria Math" w:hint="eastAsia"/>
                      <w:sz w:val="22"/>
                    </w:rPr>
                    <m:t>≠</m:t>
                  </m:r>
                  <m:r>
                    <w:rPr>
                      <w:rFonts w:ascii="Cambria Math" w:hAnsi="Cambria Math"/>
                      <w:sz w:val="22"/>
                    </w:rPr>
                    <m:t>i</m:t>
                  </m:r>
                  <m:r>
                    <m:rPr>
                      <m:sty m:val="p"/>
                    </m:rPr>
                    <w:rPr>
                      <w:rFonts w:ascii="Cambria Math" w:hAnsi="Cambria Math" w:hint="eastAsia"/>
                      <w:sz w:val="22"/>
                    </w:rPr>
                    <m:t>≠</m:t>
                  </m:r>
                  <m:r>
                    <w:rPr>
                      <w:rFonts w:ascii="Cambria Math" w:hAnsi="Cambria Math"/>
                      <w:sz w:val="22"/>
                    </w:rPr>
                    <m:t>r</m:t>
                  </m:r>
                  <m:ctrlPr>
                    <w:rPr>
                      <w:rFonts w:ascii="Cambria Math" w:hAnsi="Cambria Math"/>
                      <w:i/>
                      <w:sz w:val="22"/>
                    </w:rPr>
                  </m:ctrlPr>
                </m:sub>
                <m:sup/>
                <m:e>
                  <m:f>
                    <m:fPr>
                      <m:ctrlPr>
                        <w:rPr>
                          <w:rFonts w:ascii="Cambria Math" w:hAnsi="Cambria Math"/>
                          <w:sz w:val="22"/>
                        </w:rPr>
                      </m:ctrlPr>
                    </m:fPr>
                    <m:num>
                      <m:sSub>
                        <m:sSubPr>
                          <m:ctrlPr>
                            <w:rPr>
                              <w:rFonts w:ascii="Cambria Math" w:hAnsi="Cambria Math"/>
                              <w:i/>
                              <w:sz w:val="22"/>
                            </w:rPr>
                          </m:ctrlPr>
                        </m:sSubPr>
                        <m:e>
                          <m:r>
                            <m:rPr>
                              <m:sty m:val="p"/>
                            </m:rPr>
                            <w:rPr>
                              <w:rFonts w:ascii="Cambria Math" w:hAnsi="Cambria Math"/>
                              <w:sz w:val="22"/>
                            </w:rPr>
                            <m:t>σ</m:t>
                          </m:r>
                        </m:e>
                        <m:sub>
                          <m:r>
                            <w:rPr>
                              <w:rFonts w:ascii="Cambria Math" w:hAnsi="Cambria Math"/>
                              <w:sz w:val="22"/>
                            </w:rPr>
                            <m:t>sr</m:t>
                          </m:r>
                        </m:sub>
                      </m:sSub>
                      <m:d>
                        <m:dPr>
                          <m:ctrlPr>
                            <w:rPr>
                              <w:rFonts w:ascii="Cambria Math" w:hAnsi="Cambria Math"/>
                              <w:i/>
                              <w:sz w:val="22"/>
                            </w:rPr>
                          </m:ctrlPr>
                        </m:dPr>
                        <m:e>
                          <m:r>
                            <w:rPr>
                              <w:rFonts w:ascii="Cambria Math" w:hAnsi="Cambria Math"/>
                              <w:sz w:val="22"/>
                            </w:rPr>
                            <m:t>i</m:t>
                          </m:r>
                        </m:e>
                      </m:d>
                      <m:ctrlPr>
                        <w:rPr>
                          <w:rFonts w:ascii="Cambria Math" w:hAnsi="Cambria Math"/>
                          <w:i/>
                          <w:sz w:val="22"/>
                        </w:rPr>
                      </m:ctrlPr>
                    </m:num>
                    <m:den>
                      <m:sSub>
                        <m:sSubPr>
                          <m:ctrlPr>
                            <w:rPr>
                              <w:rFonts w:ascii="Cambria Math" w:hAnsi="Cambria Math"/>
                              <w:i/>
                              <w:sz w:val="22"/>
                            </w:rPr>
                          </m:ctrlPr>
                        </m:sSubPr>
                        <m:e>
                          <m:r>
                            <m:rPr>
                              <m:sty m:val="p"/>
                            </m:rPr>
                            <w:rPr>
                              <w:rFonts w:ascii="Cambria Math" w:hAnsi="Cambria Math"/>
                              <w:sz w:val="22"/>
                            </w:rPr>
                            <m:t>σ</m:t>
                          </m:r>
                        </m:e>
                        <m:sub>
                          <m:r>
                            <w:rPr>
                              <w:rFonts w:ascii="Cambria Math" w:hAnsi="Cambria Math"/>
                              <w:sz w:val="22"/>
                            </w:rPr>
                            <m:t>sr</m:t>
                          </m:r>
                        </m:sub>
                      </m:sSub>
                      <m:ctrlPr>
                        <w:rPr>
                          <w:rFonts w:ascii="Cambria Math" w:hAnsi="Cambria Math"/>
                          <w:i/>
                          <w:sz w:val="22"/>
                        </w:rPr>
                      </m:ctrlPr>
                    </m:den>
                  </m:f>
                </m:e>
              </m:nary>
              <m:r>
                <w:rPr>
                  <w:rFonts w:ascii="Cambria Math" w:hAnsi="Cambria Math"/>
                  <w:sz w:val="22"/>
                </w:rPr>
                <m:t>,</m:t>
              </m:r>
              <m:r>
                <m:rPr>
                  <m:sty m:val="p"/>
                </m:rPr>
                <w:rPr>
                  <w:rFonts w:ascii="Cambria Math" w:hAnsi="Cambria Math"/>
                  <w:sz w:val="22"/>
                </w:rPr>
                <m:t>  </m:t>
              </m:r>
              <m:sSub>
                <m:sSubPr>
                  <m:ctrlPr>
                    <w:rPr>
                      <w:rFonts w:ascii="Cambria Math" w:hAnsi="Cambria Math"/>
                      <w:i/>
                      <w:sz w:val="22"/>
                    </w:rPr>
                  </m:ctrlPr>
                </m:sSubPr>
                <m:e>
                  <m:r>
                    <w:rPr>
                      <w:rFonts w:ascii="Cambria Math" w:hAnsi="Cambria Math"/>
                      <w:sz w:val="22"/>
                    </w:rPr>
                    <m:t>C</m:t>
                  </m:r>
                  <m:ctrlPr>
                    <w:rPr>
                      <w:rFonts w:ascii="Cambria Math" w:hAnsi="Cambria Math"/>
                      <w:sz w:val="22"/>
                    </w:rPr>
                  </m:ctrlPr>
                </m:e>
                <m:sub>
                  <m:r>
                    <w:rPr>
                      <w:rFonts w:ascii="Cambria Math" w:hAnsi="Cambria Math"/>
                      <w:sz w:val="22"/>
                    </w:rPr>
                    <m:t>it</m:t>
                  </m:r>
                </m:sub>
              </m:sSub>
              <m:r>
                <w:rPr>
                  <w:rFonts w:ascii="Cambria Math" w:hAnsi="Cambria Math"/>
                  <w:sz w:val="22"/>
                </w:rPr>
                <m:t>=</m:t>
              </m:r>
              <m:f>
                <m:fPr>
                  <m:ctrlPr>
                    <w:rPr>
                      <w:rFonts w:ascii="Cambria Math" w:hAnsi="Cambria Math"/>
                      <w:sz w:val="22"/>
                    </w:rPr>
                  </m:ctrlPr>
                </m:fPr>
                <m:num>
                  <m:r>
                    <w:rPr>
                      <w:rFonts w:ascii="Cambria Math" w:hAnsi="Cambria Math"/>
                      <w:sz w:val="22"/>
                    </w:rPr>
                    <m:t>n-1</m:t>
                  </m:r>
                  <m:ctrlPr>
                    <w:rPr>
                      <w:rFonts w:ascii="Cambria Math" w:hAnsi="Cambria Math"/>
                      <w:i/>
                      <w:sz w:val="22"/>
                    </w:rPr>
                  </m:ctrlPr>
                </m:num>
                <m:den>
                  <m:nary>
                    <m:naryPr>
                      <m:chr m:val="∑"/>
                      <m:supHide m:val="1"/>
                      <m:ctrlPr>
                        <w:rPr>
                          <w:rFonts w:ascii="Cambria Math" w:hAnsi="Cambria Math"/>
                          <w:sz w:val="22"/>
                        </w:rPr>
                      </m:ctrlPr>
                    </m:naryPr>
                    <m:sub>
                      <m:r>
                        <w:rPr>
                          <w:rFonts w:ascii="Cambria Math" w:hAnsi="Cambria Math"/>
                          <w:sz w:val="22"/>
                        </w:rPr>
                        <m:t>j</m:t>
                      </m:r>
                      <m:ctrlPr>
                        <w:rPr>
                          <w:rFonts w:ascii="Cambria Math" w:hAnsi="Cambria Math"/>
                          <w:i/>
                          <w:sz w:val="22"/>
                        </w:rPr>
                      </m:ctrlPr>
                    </m:sub>
                    <m:sup>
                      <m:ctrlPr>
                        <w:rPr>
                          <w:rFonts w:ascii="Cambria Math" w:hAnsi="Cambria Math"/>
                          <w:i/>
                          <w:sz w:val="22"/>
                        </w:rPr>
                      </m:ctrlPr>
                    </m:sup>
                    <m:e>
                      <m:r>
                        <w:rPr>
                          <w:rFonts w:ascii="Cambria Math" w:hAnsi="Cambria Math"/>
                          <w:sz w:val="22"/>
                        </w:rPr>
                        <m:t>dist</m:t>
                      </m:r>
                      <m:d>
                        <m:dPr>
                          <m:ctrlPr>
                            <w:rPr>
                              <w:rFonts w:ascii="Cambria Math" w:hAnsi="Cambria Math"/>
                              <w:i/>
                              <w:sz w:val="22"/>
                            </w:rPr>
                          </m:ctrlPr>
                        </m:dPr>
                        <m:e>
                          <m:r>
                            <w:rPr>
                              <w:rFonts w:ascii="Cambria Math" w:hAnsi="Cambria Math"/>
                              <w:sz w:val="22"/>
                            </w:rPr>
                            <m:t>i,j</m:t>
                          </m:r>
                        </m:e>
                      </m:d>
                      <m:ctrlPr>
                        <w:rPr>
                          <w:rFonts w:ascii="Cambria Math" w:hAnsi="Cambria Math"/>
                          <w:i/>
                          <w:sz w:val="22"/>
                        </w:rPr>
                      </m:ctrlPr>
                    </m:e>
                  </m:nary>
                  <m:ctrlPr>
                    <w:rPr>
                      <w:rFonts w:ascii="Cambria Math" w:hAnsi="Cambria Math"/>
                      <w:i/>
                      <w:sz w:val="22"/>
                    </w:rPr>
                  </m:ctrlPr>
                </m:den>
              </m:f>
            </m:e>
          </m:d>
        </m:oMath>
      </m:oMathPara>
    </w:p>
    <w:p w14:paraId="5B811768" w14:textId="4067FB79" w:rsidR="00E100CA" w:rsidRDefault="00000000">
      <w:pPr>
        <w:ind w:left="360"/>
      </w:pPr>
      <m:oMathPara>
        <m:oMath>
          <m:d>
            <m:dPr>
              <m:begChr m:val="["/>
              <m:endChr m:val="]"/>
              <m:ctrlPr>
                <w:rPr>
                  <w:rFonts w:ascii="Cambria Math" w:hAnsi="Cambria Math"/>
                  <w:i/>
                  <w:sz w:val="22"/>
                </w:rPr>
              </m:ctrlPr>
            </m:dPr>
            <m:e>
              <m:r>
                <w:rPr>
                  <w:rFonts w:ascii="Cambria Math" w:hAnsi="Cambria Math"/>
                  <w:sz w:val="22"/>
                </w:rPr>
                <m:t>L</m:t>
              </m:r>
              <m:sSub>
                <m:sSubPr>
                  <m:ctrlPr>
                    <w:rPr>
                      <w:rFonts w:ascii="Cambria Math" w:hAnsi="Cambria Math"/>
                      <w:i/>
                      <w:sz w:val="22"/>
                    </w:rPr>
                  </m:ctrlPr>
                </m:sSubPr>
                <m:e>
                  <m:r>
                    <w:rPr>
                      <w:rFonts w:ascii="Cambria Math" w:hAnsi="Cambria Math"/>
                      <w:sz w:val="22"/>
                    </w:rPr>
                    <m:t>C</m:t>
                  </m:r>
                </m:e>
                <m:sub>
                  <m:r>
                    <w:rPr>
                      <w:rFonts w:ascii="Cambria Math" w:hAnsi="Cambria Math"/>
                      <w:sz w:val="22"/>
                    </w:rPr>
                    <m:t>it</m:t>
                  </m:r>
                </m:sub>
              </m:sSub>
              <m:r>
                <w:rPr>
                  <w:rFonts w:ascii="Cambria Math" w:hAnsi="Cambria Math"/>
                  <w:sz w:val="22"/>
                </w:rPr>
                <m:t>=</m:t>
              </m:r>
              <m:f>
                <m:fPr>
                  <m:ctrlPr>
                    <w:rPr>
                      <w:rFonts w:ascii="Cambria Math" w:hAnsi="Cambria Math"/>
                      <w:sz w:val="22"/>
                    </w:rPr>
                  </m:ctrlPr>
                </m:fPr>
                <m:num>
                  <m:r>
                    <w:rPr>
                      <w:rFonts w:ascii="Cambria Math" w:hAnsi="Cambria Math"/>
                      <w:sz w:val="22"/>
                    </w:rPr>
                    <m:t>2</m:t>
                  </m:r>
                  <m:sSub>
                    <m:sSubPr>
                      <m:ctrlPr>
                        <w:rPr>
                          <w:rFonts w:ascii="Cambria Math" w:hAnsi="Cambria Math"/>
                          <w:i/>
                          <w:sz w:val="22"/>
                        </w:rPr>
                      </m:ctrlPr>
                    </m:sSubPr>
                    <m:e>
                      <m:r>
                        <w:rPr>
                          <w:rFonts w:ascii="Cambria Math" w:hAnsi="Cambria Math"/>
                          <w:sz w:val="22"/>
                        </w:rPr>
                        <m:t>T</m:t>
                      </m:r>
                    </m:e>
                    <m:sub>
                      <m:r>
                        <w:rPr>
                          <w:rFonts w:ascii="Cambria Math" w:hAnsi="Cambria Math"/>
                          <w:sz w:val="22"/>
                        </w:rPr>
                        <m:t>i</m:t>
                      </m:r>
                    </m:sub>
                  </m:sSub>
                  <m:ctrlPr>
                    <w:rPr>
                      <w:rFonts w:ascii="Cambria Math" w:hAnsi="Cambria Math"/>
                      <w:i/>
                      <w:sz w:val="22"/>
                    </w:rPr>
                  </m:ctrlPr>
                </m:num>
                <m:den>
                  <m:sSub>
                    <m:sSubPr>
                      <m:ctrlPr>
                        <w:rPr>
                          <w:rFonts w:ascii="Cambria Math" w:hAnsi="Cambria Math"/>
                          <w:i/>
                          <w:sz w:val="22"/>
                        </w:rPr>
                      </m:ctrlPr>
                    </m:sSubPr>
                    <m:e>
                      <m:r>
                        <w:rPr>
                          <w:rFonts w:ascii="Cambria Math" w:hAnsi="Cambria Math"/>
                          <w:sz w:val="22"/>
                        </w:rPr>
                        <m:t>k</m:t>
                      </m:r>
                    </m:e>
                    <m:sub>
                      <m:r>
                        <w:rPr>
                          <w:rFonts w:ascii="Cambria Math" w:hAnsi="Cambria Math"/>
                          <w:sz w:val="22"/>
                        </w:rPr>
                        <m:t>i</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k</m:t>
                          </m:r>
                        </m:e>
                        <m:sub>
                          <m:r>
                            <w:rPr>
                              <w:rFonts w:ascii="Cambria Math" w:hAnsi="Cambria Math"/>
                              <w:sz w:val="22"/>
                            </w:rPr>
                            <m:t>i</m:t>
                          </m:r>
                        </m:sub>
                      </m:sSub>
                      <m:r>
                        <w:rPr>
                          <w:rFonts w:ascii="Cambria Math" w:hAnsi="Cambria Math"/>
                          <w:sz w:val="22"/>
                        </w:rPr>
                        <m:t>-1</m:t>
                      </m:r>
                    </m:e>
                  </m:d>
                  <m:ctrlPr>
                    <w:rPr>
                      <w:rFonts w:ascii="Cambria Math" w:hAnsi="Cambria Math"/>
                      <w:i/>
                      <w:sz w:val="22"/>
                    </w:rPr>
                  </m:ctrlPr>
                </m:den>
              </m:f>
              <m:r>
                <w:rPr>
                  <w:rFonts w:ascii="Cambria Math" w:hAnsi="Cambria Math"/>
                  <w:sz w:val="22"/>
                </w:rPr>
                <m:t>,</m:t>
              </m:r>
              <m:r>
                <m:rPr>
                  <m:sty m:val="p"/>
                </m:rPr>
                <w:rPr>
                  <w:rFonts w:ascii="Cambria Math" w:hAnsi="Cambria Math"/>
                  <w:sz w:val="22"/>
                </w:rPr>
                <m:t>  </m:t>
              </m:r>
              <m:sSub>
                <m:sSubPr>
                  <m:ctrlPr>
                    <w:rPr>
                      <w:rFonts w:ascii="Cambria Math" w:hAnsi="Cambria Math"/>
                      <w:i/>
                      <w:sz w:val="22"/>
                    </w:rPr>
                  </m:ctrlPr>
                </m:sSubPr>
                <m:e>
                  <m:r>
                    <m:rPr>
                      <m:sty m:val="p"/>
                    </m:rPr>
                    <w:rPr>
                      <w:rFonts w:ascii="Cambria Math" w:hAnsi="Cambria Math"/>
                      <w:sz w:val="22"/>
                    </w:rPr>
                    <m:t>ρ</m:t>
                  </m:r>
                  <m:ctrlPr>
                    <w:rPr>
                      <w:rFonts w:ascii="Cambria Math" w:hAnsi="Cambria Math"/>
                      <w:sz w:val="22"/>
                    </w:rPr>
                  </m:ctrlPr>
                </m:e>
                <m:sub>
                  <m:r>
                    <w:rPr>
                      <w:rFonts w:ascii="Cambria Math" w:hAnsi="Cambria Math"/>
                      <w:sz w:val="22"/>
                    </w:rPr>
                    <m:t>t</m:t>
                  </m:r>
                </m:sub>
              </m:sSub>
              <m:r>
                <w:rPr>
                  <w:rFonts w:ascii="Cambria Math" w:hAnsi="Cambria Math"/>
                  <w:sz w:val="22"/>
                </w:rPr>
                <m:t>=</m:t>
              </m:r>
              <m:f>
                <m:fPr>
                  <m:ctrlPr>
                    <w:rPr>
                      <w:rFonts w:ascii="Cambria Math" w:hAnsi="Cambria Math"/>
                      <w:sz w:val="22"/>
                    </w:rPr>
                  </m:ctrlPr>
                </m:fPr>
                <m:num>
                  <m:r>
                    <w:rPr>
                      <w:rFonts w:ascii="Cambria Math" w:hAnsi="Cambria Math"/>
                      <w:sz w:val="22"/>
                    </w:rPr>
                    <m:t>2</m:t>
                  </m:r>
                  <m:sSub>
                    <m:sSubPr>
                      <m:ctrlPr>
                        <w:rPr>
                          <w:rFonts w:ascii="Cambria Math" w:hAnsi="Cambria Math"/>
                          <w:i/>
                          <w:sz w:val="22"/>
                        </w:rPr>
                      </m:ctrlPr>
                    </m:sSubPr>
                    <m:e>
                      <m:r>
                        <w:rPr>
                          <w:rFonts w:ascii="Cambria Math" w:hAnsi="Cambria Math"/>
                          <w:sz w:val="22"/>
                        </w:rPr>
                        <m:t>m</m:t>
                      </m:r>
                    </m:e>
                    <m:sub>
                      <m:r>
                        <w:rPr>
                          <w:rFonts w:ascii="Cambria Math" w:hAnsi="Cambria Math"/>
                          <w:sz w:val="22"/>
                        </w:rPr>
                        <m:t>t</m:t>
                      </m:r>
                    </m:sub>
                  </m:sSub>
                  <m:ctrlPr>
                    <w:rPr>
                      <w:rFonts w:ascii="Cambria Math" w:hAnsi="Cambria Math"/>
                      <w:i/>
                      <w:sz w:val="22"/>
                    </w:rPr>
                  </m:ctrlPr>
                </m:num>
                <m:den>
                  <m:r>
                    <w:rPr>
                      <w:rFonts w:ascii="Cambria Math" w:hAnsi="Cambria Math"/>
                      <w:sz w:val="22"/>
                    </w:rPr>
                    <m:t>n</m:t>
                  </m:r>
                  <m:d>
                    <m:dPr>
                      <m:ctrlPr>
                        <w:rPr>
                          <w:rFonts w:ascii="Cambria Math" w:hAnsi="Cambria Math"/>
                          <w:i/>
                          <w:sz w:val="22"/>
                        </w:rPr>
                      </m:ctrlPr>
                    </m:dPr>
                    <m:e>
                      <m:r>
                        <w:rPr>
                          <w:rFonts w:ascii="Cambria Math" w:hAnsi="Cambria Math"/>
                          <w:sz w:val="22"/>
                        </w:rPr>
                        <m:t>n-1</m:t>
                      </m:r>
                    </m:e>
                  </m:d>
                  <m:ctrlPr>
                    <w:rPr>
                      <w:rFonts w:ascii="Cambria Math" w:hAnsi="Cambria Math"/>
                      <w:i/>
                      <w:sz w:val="22"/>
                    </w:rPr>
                  </m:ctrlPr>
                </m:den>
              </m:f>
            </m:e>
          </m:d>
        </m:oMath>
      </m:oMathPara>
    </w:p>
    <w:p w14:paraId="026BE1DA" w14:textId="77777777" w:rsidR="00E100CA" w:rsidRDefault="00000000">
      <w:pPr>
        <w:pStyle w:val="Balk2"/>
        <w:spacing w:before="160"/>
      </w:pPr>
      <w:r>
        <w:rPr>
          <w:rFonts w:ascii="Times New Roman" w:hAnsi="Times New Roman"/>
        </w:rPr>
        <w:t>2.4. Empirical Strategy</w:t>
      </w:r>
    </w:p>
    <w:p w14:paraId="7FC41F57" w14:textId="77777777" w:rsidR="00E100CA" w:rsidRDefault="00000000">
      <w:pPr>
        <w:pStyle w:val="Balk3"/>
        <w:spacing w:before="100"/>
      </w:pPr>
      <w:r>
        <w:rPr>
          <w:rFonts w:ascii="Times New Roman" w:hAnsi="Times New Roman"/>
        </w:rPr>
        <w:t>2.4.1. Dynamic Panel Model</w:t>
      </w:r>
    </w:p>
    <w:p w14:paraId="21F340D3" w14:textId="77777777" w:rsidR="00E100CA" w:rsidRDefault="00000000">
      <w:pPr>
        <w:jc w:val="both"/>
      </w:pPr>
      <w:r>
        <w:t>The main outcome model tests whether network position in year t-1 predicts life expectancy in year t. The model includes country and year effects and is estimated as a two-step System GMM model using deeper lags of life expectancy and centrality as instruments.</w:t>
      </w:r>
    </w:p>
    <w:p w14:paraId="0C0A9E92" w14:textId="02C6093D" w:rsidR="00E100CA" w:rsidRPr="00CC6036" w:rsidRDefault="00000000">
      <w:pPr>
        <w:ind w:left="360"/>
        <w:rPr>
          <w:rFonts w:cs="Times New Roman"/>
        </w:rPr>
      </w:pPr>
      <m:oMathPara>
        <m:oMath>
          <m:d>
            <m:dPr>
              <m:begChr m:val="["/>
              <m:endChr m:val="]"/>
              <m:ctrlPr>
                <w:rPr>
                  <w:rFonts w:ascii="Cambria Math" w:hAnsi="Cambria Math" w:cs="Times New Roman"/>
                  <w:i/>
                  <w:sz w:val="22"/>
                </w:rPr>
              </m:ctrlPr>
            </m:dPr>
            <m:e>
              <m:r>
                <w:rPr>
                  <w:rFonts w:ascii="Cambria Math" w:hAnsi="Cambria Math" w:cs="Times New Roman"/>
                  <w:sz w:val="22"/>
                </w:rPr>
                <m:t>L</m:t>
              </m:r>
              <m:sSub>
                <m:sSubPr>
                  <m:ctrlPr>
                    <w:rPr>
                      <w:rFonts w:ascii="Cambria Math" w:hAnsi="Cambria Math" w:cs="Times New Roman"/>
                      <w:i/>
                      <w:sz w:val="22"/>
                    </w:rPr>
                  </m:ctrlPr>
                </m:sSubPr>
                <m:e>
                  <m:r>
                    <w:rPr>
                      <w:rFonts w:ascii="Cambria Math" w:hAnsi="Cambria Math" w:cs="Times New Roman"/>
                      <w:sz w:val="22"/>
                    </w:rPr>
                    <m:t>E</m:t>
                  </m:r>
                </m:e>
                <m:sub>
                  <m:r>
                    <w:rPr>
                      <w:rFonts w:ascii="Cambria Math" w:hAnsi="Cambria Math" w:cs="Times New Roman"/>
                      <w:sz w:val="22"/>
                    </w:rPr>
                    <m:t>it</m:t>
                  </m:r>
                </m:sub>
              </m:sSub>
              <m:r>
                <w:rPr>
                  <w:rFonts w:ascii="Cambria Math" w:hAnsi="Cambria Math" w:cs="Times New Roman"/>
                  <w:sz w:val="22"/>
                </w:rPr>
                <m:t>=</m:t>
              </m:r>
              <m:r>
                <m:rPr>
                  <m:sty m:val="p"/>
                </m:rPr>
                <w:rPr>
                  <w:rFonts w:ascii="Cambria Math" w:hAnsi="Cambria Math" w:cs="Times New Roman"/>
                  <w:sz w:val="22"/>
                </w:rPr>
                <m:t>ρ</m:t>
              </m:r>
              <m:r>
                <w:rPr>
                  <w:rFonts w:ascii="Cambria Math" w:hAnsi="Cambria Math" w:cs="Times New Roman"/>
                  <w:sz w:val="22"/>
                </w:rPr>
                <m:t>L</m:t>
              </m:r>
              <m:sSub>
                <m:sSubPr>
                  <m:ctrlPr>
                    <w:rPr>
                      <w:rFonts w:ascii="Cambria Math" w:hAnsi="Cambria Math" w:cs="Times New Roman"/>
                      <w:i/>
                      <w:sz w:val="22"/>
                    </w:rPr>
                  </m:ctrlPr>
                </m:sSubPr>
                <m:e>
                  <m:r>
                    <w:rPr>
                      <w:rFonts w:ascii="Cambria Math" w:hAnsi="Cambria Math" w:cs="Times New Roman"/>
                      <w:sz w:val="22"/>
                    </w:rPr>
                    <m:t>E</m:t>
                  </m:r>
                </m:e>
                <m:sub>
                  <m:r>
                    <w:rPr>
                      <w:rFonts w:ascii="Cambria Math" w:hAnsi="Cambria Math" w:cs="Times New Roman"/>
                      <w:sz w:val="22"/>
                    </w:rPr>
                    <m:t>i,t-1</m:t>
                  </m:r>
                </m:sub>
              </m:sSub>
              <m:r>
                <w:rPr>
                  <w:rFonts w:ascii="Cambria Math" w:hAnsi="Cambria Math" w:cs="Times New Roman"/>
                  <w:sz w:val="22"/>
                </w:rPr>
                <m:t>+</m:t>
              </m:r>
              <m:r>
                <m:rPr>
                  <m:sty m:val="p"/>
                </m:rPr>
                <w:rPr>
                  <w:rFonts w:ascii="Cambria Math" w:hAnsi="Cambria Math" w:cs="Times New Roman"/>
                  <w:sz w:val="22"/>
                </w:rPr>
                <m:t>β</m:t>
              </m:r>
              <m:r>
                <w:rPr>
                  <w:rFonts w:ascii="Cambria Math" w:hAnsi="Cambria Math" w:cs="Times New Roman"/>
                  <w:sz w:val="22"/>
                </w:rPr>
                <m:t>Centralit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i,t-1</m:t>
                  </m:r>
                </m:sub>
              </m:sSub>
              <m:r>
                <w:rPr>
                  <w:rFonts w:ascii="Cambria Math" w:hAnsi="Cambria Math" w:cs="Times New Roman"/>
                  <w:sz w:val="22"/>
                </w:rPr>
                <m:t>+</m:t>
              </m:r>
              <m:sSup>
                <m:sSupPr>
                  <m:ctrlPr>
                    <w:rPr>
                      <w:rFonts w:ascii="Cambria Math" w:hAnsi="Cambria Math" w:cs="Times New Roman"/>
                      <w:i/>
                      <w:sz w:val="22"/>
                    </w:rPr>
                  </m:ctrlPr>
                </m:sSupPr>
                <m:e>
                  <m:r>
                    <m:rPr>
                      <m:sty m:val="p"/>
                    </m:rPr>
                    <w:rPr>
                      <w:rFonts w:ascii="Cambria Math" w:hAnsi="Cambria Math" w:cs="Times New Roman"/>
                      <w:sz w:val="22"/>
                    </w:rPr>
                    <m:t>γ</m:t>
                  </m:r>
                </m:e>
                <m:sup>
                  <m:r>
                    <w:rPr>
                      <w:rFonts w:ascii="Cambria Math" w:hAnsi="Cambria Math" w:cs="Times New Roman"/>
                      <w:sz w:val="22"/>
                    </w:rPr>
                    <m:t>'</m:t>
                  </m:r>
                </m:sup>
              </m:s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it</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α</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τ</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ε</m:t>
                  </m:r>
                </m:e>
                <m:sub>
                  <m:r>
                    <w:rPr>
                      <w:rFonts w:ascii="Cambria Math" w:hAnsi="Cambria Math" w:cs="Times New Roman"/>
                      <w:sz w:val="22"/>
                    </w:rPr>
                    <m:t>it</m:t>
                  </m:r>
                </m:sub>
              </m:sSub>
            </m:e>
          </m:d>
        </m:oMath>
      </m:oMathPara>
    </w:p>
    <w:p w14:paraId="0E71F832" w14:textId="77777777" w:rsidR="00E100CA" w:rsidRDefault="00000000">
      <w:pPr>
        <w:pStyle w:val="Balk3"/>
        <w:spacing w:before="100"/>
      </w:pPr>
      <w:r>
        <w:rPr>
          <w:rFonts w:ascii="Times New Roman" w:hAnsi="Times New Roman"/>
        </w:rPr>
        <w:t>2.4.2. Temporal ERGM</w:t>
      </w:r>
    </w:p>
    <w:p w14:paraId="454B4FA2" w14:textId="77777777" w:rsidR="00E100CA" w:rsidRDefault="00000000">
      <w:pPr>
        <w:jc w:val="both"/>
      </w:pPr>
      <w:r>
        <w:t>The temporal ERGM evaluates whether the annual networks are structured, clustered, and persistent rather than random.</w:t>
      </w:r>
    </w:p>
    <w:p w14:paraId="753ADFE7" w14:textId="5B632D34" w:rsidR="00E100CA" w:rsidRPr="00CC6036" w:rsidRDefault="00000000">
      <w:pPr>
        <w:ind w:left="360"/>
        <w:rPr>
          <w:rFonts w:cs="Times New Roman"/>
        </w:rPr>
      </w:pPr>
      <m:oMathPara>
        <m:oMath>
          <m:d>
            <m:dPr>
              <m:begChr m:val="["/>
              <m:endChr m:val="]"/>
              <m:ctrlPr>
                <w:rPr>
                  <w:rFonts w:ascii="Cambria Math" w:hAnsi="Cambria Math" w:cs="Times New Roman"/>
                  <w:i/>
                  <w:sz w:val="22"/>
                </w:rPr>
              </m:ctrlPr>
            </m:dPr>
            <m:e>
              <m:func>
                <m:funcPr>
                  <m:ctrlPr>
                    <w:rPr>
                      <w:rFonts w:ascii="Cambria Math" w:hAnsi="Cambria Math" w:cs="Times New Roman"/>
                      <w:sz w:val="22"/>
                    </w:rPr>
                  </m:ctrlPr>
                </m:funcPr>
                <m:fName>
                  <m:r>
                    <m:rPr>
                      <m:sty m:val="p"/>
                    </m:rPr>
                    <w:rPr>
                      <w:rFonts w:ascii="Cambria Math" w:hAnsi="Cambria Math" w:cs="Times New Roman"/>
                      <w:sz w:val="22"/>
                    </w:rPr>
                    <m:t>Pr</m:t>
                  </m:r>
                  <m:ctrlPr>
                    <w:rPr>
                      <w:rFonts w:ascii="Cambria Math" w:hAnsi="Cambria Math" w:cs="Times New Roman"/>
                      <w:i/>
                      <w:sz w:val="22"/>
                    </w:rPr>
                  </m:ctrlPr>
                </m:fName>
                <m:e>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m:t>
                          </m:r>
                        </m:sub>
                      </m:sSub>
                    </m:e>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t-1</m:t>
                          </m:r>
                        </m:sub>
                      </m:sSub>
                    </m:e>
                  </m:d>
                </m:e>
              </m:func>
              <m:r>
                <w:rPr>
                  <w:rFonts w:ascii="Cambria Math" w:hAnsi="Cambria Math" w:cs="Times New Roman"/>
                  <w:sz w:val="22"/>
                </w:rPr>
                <m:t>=</m:t>
              </m:r>
              <m:f>
                <m:fPr>
                  <m:ctrlPr>
                    <w:rPr>
                      <w:rFonts w:ascii="Cambria Math" w:hAnsi="Cambria Math" w:cs="Times New Roman"/>
                      <w:sz w:val="22"/>
                    </w:rPr>
                  </m:ctrlPr>
                </m:fPr>
                <m:num>
                  <m:func>
                    <m:funcPr>
                      <m:ctrlPr>
                        <w:rPr>
                          <w:rFonts w:ascii="Cambria Math" w:hAnsi="Cambria Math" w:cs="Times New Roman"/>
                          <w:sz w:val="22"/>
                        </w:rPr>
                      </m:ctrlPr>
                    </m:funcPr>
                    <m:fName>
                      <m:r>
                        <m:rPr>
                          <m:sty m:val="p"/>
                        </m:rPr>
                        <w:rPr>
                          <w:rFonts w:ascii="Cambria Math" w:hAnsi="Cambria Math" w:cs="Times New Roman"/>
                          <w:sz w:val="22"/>
                        </w:rPr>
                        <m:t>exp</m:t>
                      </m:r>
                      <m:ctrlPr>
                        <w:rPr>
                          <w:rFonts w:ascii="Cambria Math" w:hAnsi="Cambria Math" w:cs="Times New Roman"/>
                          <w:i/>
                          <w:sz w:val="22"/>
                        </w:rPr>
                      </m:ctrlPr>
                    </m:fName>
                    <m:e>
                      <m:r>
                        <m:rPr>
                          <m:lit/>
                        </m:rPr>
                        <w:rPr>
                          <w:rFonts w:ascii="Cambria Math" w:hAnsi="Cambria Math" w:cs="Times New Roman"/>
                          <w:sz w:val="22"/>
                        </w:rPr>
                        <m:t>{</m:t>
                      </m:r>
                    </m:e>
                  </m:func>
                  <m:sSub>
                    <m:sSubPr>
                      <m:ctrlPr>
                        <w:rPr>
                          <w:rFonts w:ascii="Cambria Math" w:hAnsi="Cambria Math" w:cs="Times New Roman"/>
                          <w:i/>
                          <w:sz w:val="22"/>
                        </w:rPr>
                      </m:ctrlPr>
                    </m:sSubPr>
                    <m:e>
                      <m:r>
                        <m:rPr>
                          <m:sty m:val="p"/>
                        </m:rPr>
                        <w:rPr>
                          <w:rFonts w:ascii="Cambria Math" w:hAnsi="Cambria Math" w:cs="Times New Roman"/>
                          <w:sz w:val="22"/>
                        </w:rPr>
                        <m:t>θ</m:t>
                      </m:r>
                      <m:ctrlPr>
                        <w:rPr>
                          <w:rFonts w:ascii="Cambria Math" w:hAnsi="Cambria Math" w:cs="Times New Roman"/>
                          <w:sz w:val="22"/>
                        </w:rPr>
                      </m:ctrlPr>
                    </m:e>
                    <m:sub>
                      <m:r>
                        <w:rPr>
                          <w:rFonts w:ascii="Cambria Math" w:hAnsi="Cambria Math" w:cs="Times New Roman"/>
                          <w:sz w:val="22"/>
                        </w:rPr>
                        <m:t>1</m:t>
                      </m:r>
                    </m:sub>
                  </m:sSub>
                  <m:r>
                    <w:rPr>
                      <w:rFonts w:ascii="Cambria Math" w:hAnsi="Cambria Math" w:cs="Times New Roman"/>
                      <w:sz w:val="22"/>
                    </w:rPr>
                    <m:t>edges</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m:t>
                          </m:r>
                        </m:sub>
                      </m:sSub>
                    </m:e>
                  </m:d>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θ</m:t>
                      </m:r>
                    </m:e>
                    <m:sub>
                      <m:r>
                        <w:rPr>
                          <w:rFonts w:ascii="Cambria Math" w:hAnsi="Cambria Math" w:cs="Times New Roman"/>
                          <w:sz w:val="22"/>
                        </w:rPr>
                        <m:t>2</m:t>
                      </m:r>
                    </m:sub>
                  </m:sSub>
                  <m:r>
                    <w:rPr>
                      <w:rFonts w:ascii="Cambria Math" w:hAnsi="Cambria Math" w:cs="Times New Roman"/>
                      <w:sz w:val="22"/>
                    </w:rPr>
                    <m:t>GWESP</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m:t>
                          </m:r>
                        </m:sub>
                      </m:sSub>
                      <m:r>
                        <w:rPr>
                          <w:rFonts w:ascii="Cambria Math" w:hAnsi="Cambria Math" w:cs="Times New Roman"/>
                          <w:sz w:val="22"/>
                        </w:rPr>
                        <m:t>;0.5</m:t>
                      </m:r>
                    </m:e>
                  </m:d>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θ</m:t>
                      </m:r>
                    </m:e>
                    <m:sub>
                      <m:r>
                        <w:rPr>
                          <w:rFonts w:ascii="Cambria Math" w:hAnsi="Cambria Math" w:cs="Times New Roman"/>
                          <w:sz w:val="22"/>
                        </w:rPr>
                        <m:t>3</m:t>
                      </m:r>
                    </m:sub>
                  </m:sSub>
                  <m:r>
                    <w:rPr>
                      <w:rFonts w:ascii="Cambria Math" w:hAnsi="Cambria Math" w:cs="Times New Roman"/>
                      <w:sz w:val="22"/>
                    </w:rPr>
                    <m:t>Persist</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t-1</m:t>
                          </m:r>
                        </m:sub>
                      </m:sSub>
                    </m:e>
                  </m:d>
                  <m:r>
                    <m:rPr>
                      <m:lit/>
                    </m:rPr>
                    <w:rPr>
                      <w:rFonts w:ascii="Cambria Math" w:hAnsi="Cambria Math" w:cs="Times New Roman"/>
                      <w:sz w:val="22"/>
                    </w:rPr>
                    <m:t>}</m:t>
                  </m:r>
                  <m:ctrlPr>
                    <w:rPr>
                      <w:rFonts w:ascii="Cambria Math" w:hAnsi="Cambria Math" w:cs="Times New Roman"/>
                      <w:i/>
                      <w:sz w:val="22"/>
                    </w:rPr>
                  </m:ctrlPr>
                </m:num>
                <m:den>
                  <m:r>
                    <m:rPr>
                      <m:sty m:val="p"/>
                    </m:rPr>
                    <w:rPr>
                      <w:rFonts w:ascii="Cambria Math" w:hAnsi="Cambria Math" w:cs="Times New Roman"/>
                      <w:sz w:val="22"/>
                    </w:rPr>
                    <m:t>κ</m:t>
                  </m:r>
                  <m:d>
                    <m:dPr>
                      <m:ctrlPr>
                        <w:rPr>
                          <w:rFonts w:ascii="Cambria Math" w:hAnsi="Cambria Math" w:cs="Times New Roman"/>
                          <w:i/>
                          <w:sz w:val="22"/>
                        </w:rPr>
                      </m:ctrlPr>
                    </m:dPr>
                    <m:e>
                      <m:r>
                        <m:rPr>
                          <m:sty m:val="p"/>
                        </m:rPr>
                        <w:rPr>
                          <w:rFonts w:ascii="Cambria Math" w:hAnsi="Cambria Math" w:cs="Times New Roman"/>
                          <w:sz w:val="22"/>
                        </w:rPr>
                        <m:t>θ</m:t>
                      </m:r>
                    </m:e>
                  </m:d>
                  <m:ctrlPr>
                    <w:rPr>
                      <w:rFonts w:ascii="Cambria Math" w:hAnsi="Cambria Math" w:cs="Times New Roman"/>
                      <w:i/>
                      <w:sz w:val="22"/>
                    </w:rPr>
                  </m:ctrlPr>
                </m:den>
              </m:f>
            </m:e>
          </m:d>
        </m:oMath>
      </m:oMathPara>
    </w:p>
    <w:p w14:paraId="6EAC89E4" w14:textId="77777777" w:rsidR="00E100CA" w:rsidRDefault="00000000">
      <w:pPr>
        <w:pStyle w:val="Balk3"/>
        <w:spacing w:before="100"/>
      </w:pPr>
      <w:r>
        <w:rPr>
          <w:rFonts w:ascii="Times New Roman" w:hAnsi="Times New Roman"/>
        </w:rPr>
        <w:t>2.4.3. Instrumental Variables</w:t>
      </w:r>
    </w:p>
    <w:p w14:paraId="6C32DC19" w14:textId="77777777" w:rsidR="00E100CA" w:rsidRDefault="00000000">
      <w:pPr>
        <w:jc w:val="both"/>
      </w:pPr>
      <w:r>
        <w:t>The IV strategy uses CEPII-derived geo-historical ties as instruments for lagged eigenvector centrality. The distance weight and composite affinity weight are defined as follows.</w:t>
      </w:r>
    </w:p>
    <w:p w14:paraId="7632970D" w14:textId="6CC7B234" w:rsidR="00E100CA" w:rsidRPr="005B4DAF" w:rsidRDefault="00000000">
      <w:pPr>
        <w:ind w:left="360"/>
        <w:rPr>
          <w:rFonts w:ascii="Cambria Math" w:hAnsi="Cambria Math"/>
          <w:oMath/>
        </w:rPr>
      </w:pPr>
      <m:oMathPara>
        <m:oMath>
          <m:d>
            <m:dPr>
              <m:begChr m:val="["/>
              <m:endChr m:val="]"/>
              <m:ctrlPr>
                <w:rPr>
                  <w:rFonts w:ascii="Cambria Math" w:hAnsi="Cambria Math"/>
                  <w:i/>
                  <w:sz w:val="22"/>
                </w:rPr>
              </m:ctrlPr>
            </m:dPr>
            <m:e>
              <m:sSubSup>
                <m:sSubSupPr>
                  <m:ctrlPr>
                    <w:rPr>
                      <w:rFonts w:ascii="Cambria Math" w:hAnsi="Cambria Math"/>
                      <w:i/>
                      <w:sz w:val="22"/>
                    </w:rPr>
                  </m:ctrlPr>
                </m:sSubSupPr>
                <m:e>
                  <m:r>
                    <w:rPr>
                      <w:rFonts w:ascii="Cambria Math" w:hAnsi="Cambria Math"/>
                      <w:sz w:val="22"/>
                    </w:rPr>
                    <m:t>w</m:t>
                  </m:r>
                </m:e>
                <m:sub>
                  <m:r>
                    <w:rPr>
                      <w:rFonts w:ascii="Cambria Math" w:hAnsi="Cambria Math"/>
                      <w:sz w:val="22"/>
                    </w:rPr>
                    <m:t>ij</m:t>
                  </m:r>
                </m:sub>
                <m:sup>
                  <m:r>
                    <w:rPr>
                      <w:rFonts w:ascii="Cambria Math" w:hAnsi="Cambria Math"/>
                      <w:sz w:val="22"/>
                    </w:rPr>
                    <m:t>geo</m:t>
                  </m:r>
                </m:sup>
              </m:sSubSup>
              <m:r>
                <w:rPr>
                  <w:rFonts w:ascii="Cambria Math" w:hAnsi="Cambria Math"/>
                  <w:sz w:val="22"/>
                </w:rPr>
                <m:t>=</m:t>
              </m:r>
              <m:f>
                <m:fPr>
                  <m:ctrlPr>
                    <w:rPr>
                      <w:rFonts w:ascii="Cambria Math" w:hAnsi="Cambria Math"/>
                      <w:sz w:val="22"/>
                    </w:rPr>
                  </m:ctrlPr>
                </m:fPr>
                <m:num>
                  <m:r>
                    <w:rPr>
                      <w:rFonts w:ascii="Cambria Math" w:hAnsi="Cambria Math"/>
                      <w:sz w:val="22"/>
                    </w:rPr>
                    <m:t>1</m:t>
                  </m:r>
                  <m:ctrlPr>
                    <w:rPr>
                      <w:rFonts w:ascii="Cambria Math" w:hAnsi="Cambria Math"/>
                      <w:i/>
                      <w:sz w:val="22"/>
                    </w:rPr>
                  </m:ctrlPr>
                </m:num>
                <m:den>
                  <m:r>
                    <w:rPr>
                      <w:rFonts w:ascii="Cambria Math" w:hAnsi="Cambria Math"/>
                      <w:sz w:val="22"/>
                    </w:rPr>
                    <m:t>1+</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d>
                        <m:dPr>
                          <m:ctrlPr>
                            <w:rPr>
                              <w:rFonts w:ascii="Cambria Math" w:hAnsi="Cambria Math"/>
                              <w:i/>
                              <w:sz w:val="22"/>
                            </w:rPr>
                          </m:ctrlPr>
                        </m:dPr>
                        <m:e>
                          <m:r>
                            <w:rPr>
                              <w:rFonts w:ascii="Cambria Math" w:hAnsi="Cambria Math"/>
                              <w:sz w:val="22"/>
                            </w:rPr>
                            <m:t>distanc</m:t>
                          </m:r>
                          <m:sSub>
                            <m:sSubPr>
                              <m:ctrlPr>
                                <w:rPr>
                                  <w:rFonts w:ascii="Cambria Math" w:hAnsi="Cambria Math"/>
                                  <w:i/>
                                  <w:sz w:val="22"/>
                                </w:rPr>
                              </m:ctrlPr>
                            </m:sSubPr>
                            <m:e>
                              <m:r>
                                <w:rPr>
                                  <w:rFonts w:ascii="Cambria Math" w:hAnsi="Cambria Math"/>
                                  <w:sz w:val="22"/>
                                </w:rPr>
                                <m:t>e</m:t>
                              </m:r>
                            </m:e>
                            <m:sub>
                              <m:r>
                                <w:rPr>
                                  <w:rFonts w:ascii="Cambria Math" w:hAnsi="Cambria Math"/>
                                  <w:sz w:val="22"/>
                                </w:rPr>
                                <m:t>ij</m:t>
                              </m:r>
                            </m:sub>
                          </m:sSub>
                        </m:e>
                      </m:d>
                    </m:e>
                  </m:func>
                  <m:ctrlPr>
                    <w:rPr>
                      <w:rFonts w:ascii="Cambria Math" w:hAnsi="Cambria Math"/>
                      <w:i/>
                      <w:sz w:val="22"/>
                    </w:rPr>
                  </m:ctrlPr>
                </m:den>
              </m:f>
            </m:e>
          </m:d>
        </m:oMath>
      </m:oMathPara>
    </w:p>
    <w:p w14:paraId="0DD9C430" w14:textId="5A897116" w:rsidR="00E100CA" w:rsidRPr="005B4DAF" w:rsidRDefault="00000000">
      <w:pPr>
        <w:ind w:left="360"/>
        <w:rPr>
          <w:rFonts w:ascii="Cambria Math" w:hAnsi="Cambria Math"/>
          <w:oMath/>
        </w:rPr>
      </w:pPr>
      <m:oMathPara>
        <m:oMath>
          <m:d>
            <m:dPr>
              <m:begChr m:val="["/>
              <m:endChr m:val="]"/>
              <m:ctrlPr>
                <w:rPr>
                  <w:rFonts w:ascii="Cambria Math" w:hAnsi="Cambria Math"/>
                  <w:i/>
                  <w:sz w:val="22"/>
                </w:rPr>
              </m:ctrlPr>
            </m:dPr>
            <m:e>
              <m:sSubSup>
                <m:sSubSupPr>
                  <m:ctrlPr>
                    <w:rPr>
                      <w:rFonts w:ascii="Cambria Math" w:hAnsi="Cambria Math"/>
                      <w:i/>
                      <w:sz w:val="22"/>
                    </w:rPr>
                  </m:ctrlPr>
                </m:sSubSupPr>
                <m:e>
                  <m:r>
                    <w:rPr>
                      <w:rFonts w:ascii="Cambria Math" w:hAnsi="Cambria Math"/>
                      <w:sz w:val="22"/>
                    </w:rPr>
                    <m:t>w</m:t>
                  </m:r>
                </m:e>
                <m:sub>
                  <m:r>
                    <w:rPr>
                      <w:rFonts w:ascii="Cambria Math" w:hAnsi="Cambria Math"/>
                      <w:sz w:val="22"/>
                    </w:rPr>
                    <m:t>ij</m:t>
                  </m:r>
                </m:sub>
                <m:sup>
                  <m:r>
                    <w:rPr>
                      <w:rFonts w:ascii="Cambria Math" w:hAnsi="Cambria Math"/>
                      <w:sz w:val="22"/>
                    </w:rPr>
                    <m:t>affinity</m:t>
                  </m:r>
                </m:sup>
              </m:sSubSup>
              <m:r>
                <w:rPr>
                  <w:rFonts w:ascii="Cambria Math" w:hAnsi="Cambria Math"/>
                  <w:sz w:val="22"/>
                </w:rPr>
                <m:t>=</m:t>
              </m:r>
              <m:sSubSup>
                <m:sSubSupPr>
                  <m:ctrlPr>
                    <w:rPr>
                      <w:rFonts w:ascii="Cambria Math" w:hAnsi="Cambria Math"/>
                      <w:i/>
                      <w:sz w:val="22"/>
                    </w:rPr>
                  </m:ctrlPr>
                </m:sSubSupPr>
                <m:e>
                  <m:r>
                    <w:rPr>
                      <w:rFonts w:ascii="Cambria Math" w:hAnsi="Cambria Math"/>
                      <w:sz w:val="22"/>
                    </w:rPr>
                    <m:t>w</m:t>
                  </m:r>
                </m:e>
                <m:sub>
                  <m:r>
                    <w:rPr>
                      <w:rFonts w:ascii="Cambria Math" w:hAnsi="Cambria Math"/>
                      <w:sz w:val="22"/>
                    </w:rPr>
                    <m:t>ij</m:t>
                  </m:r>
                </m:sub>
                <m:sup>
                  <m:r>
                    <w:rPr>
                      <w:rFonts w:ascii="Cambria Math" w:hAnsi="Cambria Math"/>
                      <w:sz w:val="22"/>
                    </w:rPr>
                    <m:t>geo</m:t>
                  </m:r>
                </m:sup>
              </m:sSubSup>
              <m:d>
                <m:dPr>
                  <m:ctrlPr>
                    <w:rPr>
                      <w:rFonts w:ascii="Cambria Math" w:hAnsi="Cambria Math"/>
                      <w:i/>
                      <w:sz w:val="22"/>
                    </w:rPr>
                  </m:ctrlPr>
                </m:dPr>
                <m:e>
                  <m:r>
                    <w:rPr>
                      <w:rFonts w:ascii="Cambria Math" w:hAnsi="Cambria Math"/>
                      <w:sz w:val="22"/>
                    </w:rPr>
                    <m:t>1+0.25 conti</m:t>
                  </m:r>
                  <m:sSub>
                    <m:sSubPr>
                      <m:ctrlPr>
                        <w:rPr>
                          <w:rFonts w:ascii="Cambria Math" w:hAnsi="Cambria Math"/>
                          <w:i/>
                          <w:sz w:val="22"/>
                        </w:rPr>
                      </m:ctrlPr>
                    </m:sSubPr>
                    <m:e>
                      <m:r>
                        <w:rPr>
                          <w:rFonts w:ascii="Cambria Math" w:hAnsi="Cambria Math"/>
                          <w:sz w:val="22"/>
                        </w:rPr>
                        <m:t>g</m:t>
                      </m:r>
                    </m:e>
                    <m:sub>
                      <m:r>
                        <w:rPr>
                          <w:rFonts w:ascii="Cambria Math" w:hAnsi="Cambria Math"/>
                          <w:sz w:val="22"/>
                        </w:rPr>
                        <m:t>ij</m:t>
                      </m:r>
                    </m:sub>
                  </m:sSub>
                </m:e>
              </m:d>
              <m:d>
                <m:dPr>
                  <m:ctrlPr>
                    <w:rPr>
                      <w:rFonts w:ascii="Cambria Math" w:hAnsi="Cambria Math"/>
                      <w:i/>
                      <w:sz w:val="22"/>
                    </w:rPr>
                  </m:ctrlPr>
                </m:dPr>
                <m:e>
                  <m:r>
                    <w:rPr>
                      <w:rFonts w:ascii="Cambria Math" w:hAnsi="Cambria Math"/>
                      <w:sz w:val="22"/>
                    </w:rPr>
                    <m:t>1+0.25 languag</m:t>
                  </m:r>
                  <m:sSub>
                    <m:sSubPr>
                      <m:ctrlPr>
                        <w:rPr>
                          <w:rFonts w:ascii="Cambria Math" w:hAnsi="Cambria Math"/>
                          <w:i/>
                          <w:sz w:val="22"/>
                        </w:rPr>
                      </m:ctrlPr>
                    </m:sSubPr>
                    <m:e>
                      <m:r>
                        <w:rPr>
                          <w:rFonts w:ascii="Cambria Math" w:hAnsi="Cambria Math"/>
                          <w:sz w:val="22"/>
                        </w:rPr>
                        <m:t>e</m:t>
                      </m:r>
                    </m:e>
                    <m:sub>
                      <m:r>
                        <w:rPr>
                          <w:rFonts w:ascii="Cambria Math" w:hAnsi="Cambria Math"/>
                          <w:sz w:val="22"/>
                        </w:rPr>
                        <m:t>ij</m:t>
                      </m:r>
                    </m:sub>
                  </m:sSub>
                </m:e>
              </m:d>
              <m:d>
                <m:dPr>
                  <m:ctrlPr>
                    <w:rPr>
                      <w:rFonts w:ascii="Cambria Math" w:hAnsi="Cambria Math"/>
                      <w:i/>
                      <w:sz w:val="22"/>
                    </w:rPr>
                  </m:ctrlPr>
                </m:dPr>
                <m:e>
                  <m:r>
                    <w:rPr>
                      <w:rFonts w:ascii="Cambria Math" w:hAnsi="Cambria Math"/>
                      <w:sz w:val="22"/>
                    </w:rPr>
                    <m:t>1+0.35 </m:t>
                  </m:r>
                  <m:r>
                    <w:rPr>
                      <w:rFonts w:ascii="Cambria Math" w:hAnsi="Cambria Math"/>
                      <w:sz w:val="22"/>
                    </w:rPr>
                    <m:t>histor</m:t>
                  </m:r>
                  <m:sSub>
                    <m:sSubPr>
                      <m:ctrlPr>
                        <w:rPr>
                          <w:rFonts w:ascii="Cambria Math" w:hAnsi="Cambria Math"/>
                          <w:i/>
                          <w:sz w:val="22"/>
                        </w:rPr>
                      </m:ctrlPr>
                    </m:sSubPr>
                    <m:e>
                      <m:r>
                        <w:rPr>
                          <w:rFonts w:ascii="Cambria Math" w:hAnsi="Cambria Math"/>
                          <w:sz w:val="22"/>
                        </w:rPr>
                        <m:t>y</m:t>
                      </m:r>
                    </m:e>
                    <m:sub>
                      <m:r>
                        <w:rPr>
                          <w:rFonts w:ascii="Cambria Math" w:hAnsi="Cambria Math"/>
                          <w:sz w:val="22"/>
                        </w:rPr>
                        <m:t>ij</m:t>
                      </m:r>
                    </m:sub>
                  </m:sSub>
                </m:e>
              </m:d>
            </m:e>
          </m:d>
        </m:oMath>
      </m:oMathPara>
    </w:p>
    <w:p w14:paraId="76481FA7" w14:textId="4F079F51" w:rsidR="00E100CA" w:rsidRPr="005B4DAF" w:rsidRDefault="00000000">
      <w:pPr>
        <w:ind w:left="360"/>
        <w:rPr>
          <w:rFonts w:ascii="Cambria Math" w:hAnsi="Cambria Math"/>
          <w:oMath/>
        </w:rPr>
      </w:pPr>
      <m:oMathPara>
        <m:oMath>
          <m:d>
            <m:dPr>
              <m:begChr m:val="["/>
              <m:endChr m:val="]"/>
              <m:ctrlPr>
                <w:rPr>
                  <w:rFonts w:ascii="Cambria Math" w:hAnsi="Cambria Math"/>
                  <w:i/>
                  <w:sz w:val="22"/>
                </w:rPr>
              </m:ctrlPr>
            </m:dPr>
            <m:e>
              <m:r>
                <w:rPr>
                  <w:rFonts w:ascii="Cambria Math" w:hAnsi="Cambria Math"/>
                  <w:sz w:val="22"/>
                </w:rPr>
                <m:t>Centralit</m:t>
              </m:r>
              <m:sSub>
                <m:sSubPr>
                  <m:ctrlPr>
                    <w:rPr>
                      <w:rFonts w:ascii="Cambria Math" w:hAnsi="Cambria Math"/>
                      <w:i/>
                      <w:sz w:val="22"/>
                    </w:rPr>
                  </m:ctrlPr>
                </m:sSubPr>
                <m:e>
                  <m:r>
                    <w:rPr>
                      <w:rFonts w:ascii="Cambria Math" w:hAnsi="Cambria Math"/>
                      <w:sz w:val="22"/>
                    </w:rPr>
                    <m:t>y</m:t>
                  </m:r>
                </m:e>
                <m:sub>
                  <m:r>
                    <w:rPr>
                      <w:rFonts w:ascii="Cambria Math" w:hAnsi="Cambria Math"/>
                      <w:sz w:val="22"/>
                    </w:rPr>
                    <m:t>i,t-1</m:t>
                  </m:r>
                </m:sub>
              </m:sSub>
              <m:r>
                <w:rPr>
                  <w:rFonts w:ascii="Cambria Math" w:hAnsi="Cambria Math"/>
                  <w:sz w:val="22"/>
                </w:rPr>
                <m:t>=</m:t>
              </m:r>
              <m:r>
                <m:rPr>
                  <m:sty m:val="p"/>
                </m:rPr>
                <w:rPr>
                  <w:rFonts w:ascii="Cambria Math" w:hAnsi="Cambria Math"/>
                  <w:sz w:val="22"/>
                </w:rPr>
                <m:t>π</m:t>
              </m:r>
              <m:sSub>
                <m:sSubPr>
                  <m:ctrlPr>
                    <w:rPr>
                      <w:rFonts w:ascii="Cambria Math" w:hAnsi="Cambria Math"/>
                      <w:i/>
                      <w:sz w:val="22"/>
                    </w:rPr>
                  </m:ctrlPr>
                </m:sSubPr>
                <m:e>
                  <m:r>
                    <w:rPr>
                      <w:rFonts w:ascii="Cambria Math" w:hAnsi="Cambria Math"/>
                      <w:sz w:val="22"/>
                    </w:rPr>
                    <m:t>Z</m:t>
                  </m:r>
                </m:e>
                <m:sub>
                  <m:r>
                    <w:rPr>
                      <w:rFonts w:ascii="Cambria Math" w:hAnsi="Cambria Math"/>
                      <w:sz w:val="22"/>
                    </w:rPr>
                    <m:t>i,t-1</m:t>
                  </m:r>
                </m:sub>
              </m:sSub>
              <m:r>
                <w:rPr>
                  <w:rFonts w:ascii="Cambria Math" w:hAnsi="Cambria Math"/>
                  <w:sz w:val="22"/>
                </w:rPr>
                <m:t>+</m:t>
              </m:r>
              <m:sSup>
                <m:sSupPr>
                  <m:ctrlPr>
                    <w:rPr>
                      <w:rFonts w:ascii="Cambria Math" w:hAnsi="Cambria Math"/>
                      <w:i/>
                      <w:sz w:val="22"/>
                    </w:rPr>
                  </m:ctrlPr>
                </m:sSupPr>
                <m:e>
                  <m:r>
                    <m:rPr>
                      <m:sty m:val="p"/>
                    </m:rPr>
                    <w:rPr>
                      <w:rFonts w:ascii="Cambria Math" w:hAnsi="Cambria Math"/>
                      <w:sz w:val="22"/>
                    </w:rPr>
                    <m:t>δ</m:t>
                  </m:r>
                </m:e>
                <m:sup>
                  <m:r>
                    <w:rPr>
                      <w:rFonts w:ascii="Cambria Math" w:hAnsi="Cambria Math"/>
                      <w:sz w:val="22"/>
                    </w:rPr>
                    <m:t>'</m:t>
                  </m:r>
                </m:sup>
              </m:sSup>
              <m:sSub>
                <m:sSubPr>
                  <m:ctrlPr>
                    <w:rPr>
                      <w:rFonts w:ascii="Cambria Math" w:hAnsi="Cambria Math"/>
                      <w:i/>
                      <w:sz w:val="22"/>
                    </w:rPr>
                  </m:ctrlPr>
                </m:sSubPr>
                <m:e>
                  <m:r>
                    <w:rPr>
                      <w:rFonts w:ascii="Cambria Math" w:hAnsi="Cambria Math"/>
                      <w:sz w:val="22"/>
                    </w:rPr>
                    <m:t>X</m:t>
                  </m:r>
                </m:e>
                <m:sub>
                  <m:r>
                    <w:rPr>
                      <w:rFonts w:ascii="Cambria Math" w:hAnsi="Cambria Math"/>
                      <w:sz w:val="22"/>
                    </w:rPr>
                    <m:t>it</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τ</m:t>
                  </m:r>
                </m:e>
                <m:sub>
                  <m:r>
                    <w:rPr>
                      <w:rFonts w:ascii="Cambria Math" w:hAnsi="Cambria Math"/>
                      <w:sz w:val="22"/>
                    </w:rPr>
                    <m:t>t</m:t>
                  </m:r>
                </m:sub>
              </m:sSub>
              <m:r>
                <w:rPr>
                  <w:rFonts w:ascii="Cambria Math" w:hAnsi="Cambria Math"/>
                  <w:sz w:val="22"/>
                </w:rPr>
                <m:t>+</m:t>
              </m:r>
              <m:sSub>
                <m:sSubPr>
                  <m:ctrlPr>
                    <w:rPr>
                      <w:rFonts w:ascii="Cambria Math" w:hAnsi="Cambria Math"/>
                      <w:i/>
                      <w:sz w:val="22"/>
                    </w:rPr>
                  </m:ctrlPr>
                </m:sSubPr>
                <m:e>
                  <m:r>
                    <w:rPr>
                      <w:rFonts w:ascii="Cambria Math" w:hAnsi="Cambria Math"/>
                      <w:sz w:val="22"/>
                    </w:rPr>
                    <m:t>u</m:t>
                  </m:r>
                </m:e>
                <m:sub>
                  <m:r>
                    <w:rPr>
                      <w:rFonts w:ascii="Cambria Math" w:hAnsi="Cambria Math"/>
                      <w:sz w:val="22"/>
                    </w:rPr>
                    <m:t>it</m:t>
                  </m:r>
                </m:sub>
              </m:sSub>
            </m:e>
          </m:d>
        </m:oMath>
      </m:oMathPara>
    </w:p>
    <w:p w14:paraId="47F34F0A" w14:textId="47B62EE9" w:rsidR="00E100CA" w:rsidRPr="005B4DAF" w:rsidRDefault="00000000">
      <w:pPr>
        <w:ind w:left="360"/>
        <w:rPr>
          <w:rFonts w:ascii="Cambria Math" w:hAnsi="Cambria Math"/>
          <w:oMath/>
        </w:rPr>
      </w:pPr>
      <m:oMathPara>
        <m:oMath>
          <m:d>
            <m:dPr>
              <m:begChr m:val="["/>
              <m:endChr m:val="]"/>
              <m:ctrlPr>
                <w:rPr>
                  <w:rFonts w:ascii="Cambria Math" w:hAnsi="Cambria Math"/>
                  <w:i/>
                  <w:sz w:val="22"/>
                </w:rPr>
              </m:ctrlPr>
            </m:dPr>
            <m:e>
              <m:r>
                <w:rPr>
                  <w:rFonts w:ascii="Cambria Math" w:hAnsi="Cambria Math"/>
                  <w:sz w:val="22"/>
                </w:rPr>
                <m:t>L</m:t>
              </m:r>
              <m:sSub>
                <m:sSubPr>
                  <m:ctrlPr>
                    <w:rPr>
                      <w:rFonts w:ascii="Cambria Math" w:hAnsi="Cambria Math"/>
                      <w:i/>
                      <w:sz w:val="22"/>
                    </w:rPr>
                  </m:ctrlPr>
                </m:sSubPr>
                <m:e>
                  <m:r>
                    <w:rPr>
                      <w:rFonts w:ascii="Cambria Math" w:hAnsi="Cambria Math"/>
                      <w:sz w:val="22"/>
                    </w:rPr>
                    <m:t>E</m:t>
                  </m:r>
                </m:e>
                <m:sub>
                  <m:r>
                    <w:rPr>
                      <w:rFonts w:ascii="Cambria Math" w:hAnsi="Cambria Math"/>
                      <w:sz w:val="22"/>
                    </w:rPr>
                    <m:t>it</m:t>
                  </m:r>
                </m:sub>
              </m:sSub>
              <m:r>
                <w:rPr>
                  <w:rFonts w:ascii="Cambria Math" w:hAnsi="Cambria Math"/>
                  <w:sz w:val="22"/>
                </w:rPr>
                <m:t>=</m:t>
              </m:r>
              <m:r>
                <m:rPr>
                  <m:sty m:val="p"/>
                </m:rPr>
                <w:rPr>
                  <w:rFonts w:ascii="Cambria Math" w:hAnsi="Cambria Math"/>
                  <w:sz w:val="22"/>
                </w:rPr>
                <m:t>β</m:t>
              </m:r>
              <m:acc>
                <m:accPr>
                  <m:ctrlPr>
                    <w:rPr>
                      <w:rFonts w:ascii="Cambria Math" w:hAnsi="Cambria Math"/>
                      <w:sz w:val="22"/>
                    </w:rPr>
                  </m:ctrlPr>
                </m:accPr>
                <m:e>
                  <m:r>
                    <w:rPr>
                      <w:rFonts w:ascii="Cambria Math" w:hAnsi="Cambria Math"/>
                      <w:sz w:val="22"/>
                    </w:rPr>
                    <m:t>Centralit</m:t>
                  </m:r>
                  <m:sSub>
                    <m:sSubPr>
                      <m:ctrlPr>
                        <w:rPr>
                          <w:rFonts w:ascii="Cambria Math" w:hAnsi="Cambria Math"/>
                          <w:i/>
                          <w:sz w:val="22"/>
                        </w:rPr>
                      </m:ctrlPr>
                    </m:sSubPr>
                    <m:e>
                      <m:r>
                        <w:rPr>
                          <w:rFonts w:ascii="Cambria Math" w:hAnsi="Cambria Math"/>
                          <w:sz w:val="22"/>
                        </w:rPr>
                        <m:t>y</m:t>
                      </m:r>
                    </m:e>
                    <m:sub>
                      <m:r>
                        <w:rPr>
                          <w:rFonts w:ascii="Cambria Math" w:hAnsi="Cambria Math"/>
                          <w:sz w:val="22"/>
                        </w:rPr>
                        <m:t>i,t-1</m:t>
                      </m:r>
                    </m:sub>
                  </m:sSub>
                </m:e>
              </m:acc>
              <m:r>
                <w:rPr>
                  <w:rFonts w:ascii="Cambria Math" w:hAnsi="Cambria Math"/>
                  <w:sz w:val="22"/>
                </w:rPr>
                <m:t>+</m:t>
              </m:r>
              <m:sSup>
                <m:sSupPr>
                  <m:ctrlPr>
                    <w:rPr>
                      <w:rFonts w:ascii="Cambria Math" w:hAnsi="Cambria Math"/>
                      <w:i/>
                      <w:sz w:val="22"/>
                    </w:rPr>
                  </m:ctrlPr>
                </m:sSupPr>
                <m:e>
                  <m:r>
                    <m:rPr>
                      <m:sty m:val="p"/>
                    </m:rPr>
                    <w:rPr>
                      <w:rFonts w:ascii="Cambria Math" w:hAnsi="Cambria Math"/>
                      <w:sz w:val="22"/>
                    </w:rPr>
                    <m:t>γ</m:t>
                  </m:r>
                </m:e>
                <m:sup>
                  <m:r>
                    <w:rPr>
                      <w:rFonts w:ascii="Cambria Math" w:hAnsi="Cambria Math"/>
                      <w:sz w:val="22"/>
                    </w:rPr>
                    <m:t>'</m:t>
                  </m:r>
                </m:sup>
              </m:sSup>
              <m:sSub>
                <m:sSubPr>
                  <m:ctrlPr>
                    <w:rPr>
                      <w:rFonts w:ascii="Cambria Math" w:hAnsi="Cambria Math"/>
                      <w:i/>
                      <w:sz w:val="22"/>
                    </w:rPr>
                  </m:ctrlPr>
                </m:sSubPr>
                <m:e>
                  <m:r>
                    <w:rPr>
                      <w:rFonts w:ascii="Cambria Math" w:hAnsi="Cambria Math"/>
                      <w:sz w:val="22"/>
                    </w:rPr>
                    <m:t>X</m:t>
                  </m:r>
                </m:e>
                <m:sub>
                  <m:r>
                    <w:rPr>
                      <w:rFonts w:ascii="Cambria Math" w:hAnsi="Cambria Math"/>
                      <w:sz w:val="22"/>
                    </w:rPr>
                    <m:t>it</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τ</m:t>
                  </m:r>
                </m:e>
                <m:sub>
                  <m:r>
                    <w:rPr>
                      <w:rFonts w:ascii="Cambria Math" w:hAnsi="Cambria Math"/>
                      <w:sz w:val="22"/>
                    </w:rPr>
                    <m:t>t</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ε</m:t>
                  </m:r>
                </m:e>
                <m:sub>
                  <m:r>
                    <w:rPr>
                      <w:rFonts w:ascii="Cambria Math" w:hAnsi="Cambria Math"/>
                      <w:sz w:val="22"/>
                    </w:rPr>
                    <m:t>it</m:t>
                  </m:r>
                </m:sub>
              </m:sSub>
            </m:e>
          </m:d>
        </m:oMath>
      </m:oMathPara>
    </w:p>
    <w:p w14:paraId="19401089" w14:textId="348276D7" w:rsidR="00935110" w:rsidRDefault="00000000">
      <w:pPr>
        <w:rPr>
          <w:b/>
          <w:color w:val="FF0000"/>
        </w:rPr>
      </w:pPr>
      <w:r>
        <w:rPr>
          <w:b/>
          <w:color w:val="FF0000"/>
        </w:rPr>
        <w:t>FORMULA CHECK</w:t>
      </w:r>
    </w:p>
    <w:p w14:paraId="41831E80" w14:textId="77777777" w:rsidR="00F744F9" w:rsidRDefault="00F744F9"/>
    <w:p w14:paraId="5C2C18C2" w14:textId="77777777" w:rsidR="00E100CA" w:rsidRDefault="00000000">
      <w:pPr>
        <w:pStyle w:val="Balk3"/>
        <w:spacing w:before="100"/>
      </w:pPr>
      <w:r>
        <w:rPr>
          <w:rFonts w:ascii="Times New Roman" w:hAnsi="Times New Roman"/>
        </w:rPr>
        <w:t>2.4.4. Bayesian and Monte Carlo Extension</w:t>
      </w:r>
    </w:p>
    <w:p w14:paraId="22BEBA6C" w14:textId="77777777" w:rsidR="00E100CA" w:rsidRDefault="00000000">
      <w:pPr>
        <w:jc w:val="both"/>
      </w:pPr>
      <w:r>
        <w:t>Bayesian and Monte Carlo analyses are treated as computational robustness extensions, not as additional findings until they are estimated and diagnostics are checked. The Bayesian dynamic panel is specified below.</w:t>
      </w:r>
    </w:p>
    <w:p w14:paraId="0A0282F3" w14:textId="53E9423F" w:rsidR="00E100CA" w:rsidRPr="003B56E7" w:rsidRDefault="00000000">
      <w:pPr>
        <w:ind w:left="360"/>
        <w:rPr>
          <w:rFonts w:ascii="Cambria Math" w:hAnsi="Cambria Math"/>
          <w:oMath/>
        </w:rPr>
      </w:pPr>
      <m:oMathPara>
        <m:oMath>
          <m:d>
            <m:dPr>
              <m:begChr m:val="["/>
              <m:endChr m:val="]"/>
              <m:ctrlPr>
                <w:rPr>
                  <w:rFonts w:ascii="Cambria Math" w:hAnsi="Cambria Math"/>
                  <w:i/>
                  <w:sz w:val="22"/>
                </w:rPr>
              </m:ctrlPr>
            </m:dPr>
            <m:e>
              <m:r>
                <w:rPr>
                  <w:rFonts w:ascii="Cambria Math" w:hAnsi="Cambria Math"/>
                  <w:sz w:val="22"/>
                </w:rPr>
                <m:t>L</m:t>
              </m:r>
              <m:sSub>
                <m:sSubPr>
                  <m:ctrlPr>
                    <w:rPr>
                      <w:rFonts w:ascii="Cambria Math" w:hAnsi="Cambria Math"/>
                      <w:i/>
                      <w:sz w:val="22"/>
                    </w:rPr>
                  </m:ctrlPr>
                </m:sSubPr>
                <m:e>
                  <m:r>
                    <w:rPr>
                      <w:rFonts w:ascii="Cambria Math" w:hAnsi="Cambria Math"/>
                      <w:sz w:val="22"/>
                    </w:rPr>
                    <m:t>E</m:t>
                  </m:r>
                </m:e>
                <m:sub>
                  <m:r>
                    <w:rPr>
                      <w:rFonts w:ascii="Cambria Math" w:hAnsi="Cambria Math"/>
                      <w:sz w:val="22"/>
                    </w:rPr>
                    <m:t>it</m:t>
                  </m:r>
                </m:sub>
              </m:sSub>
              <m:r>
                <m:rPr>
                  <m:sty m:val="p"/>
                </m:rPr>
                <w:rPr>
                  <w:rFonts w:ascii="Cambria Math" w:hAnsi="Cambria Math"/>
                  <w:sz w:val="22"/>
                </w:rPr>
                <m:t>∼</m:t>
              </m:r>
              <m:r>
                <m:rPr>
                  <m:scr m:val="script"/>
                </m:rPr>
                <w:rPr>
                  <w:rFonts w:ascii="Cambria Math" w:hAnsi="Cambria Math"/>
                  <w:sz w:val="22"/>
                </w:rPr>
                <m:t>N</m:t>
              </m:r>
              <m:d>
                <m:dPr>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μ</m:t>
                      </m:r>
                    </m:e>
                    <m:sub>
                      <m:r>
                        <w:rPr>
                          <w:rFonts w:ascii="Cambria Math" w:hAnsi="Cambria Math"/>
                          <w:sz w:val="22"/>
                        </w:rPr>
                        <m:t>it</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σ</m:t>
                      </m:r>
                    </m:e>
                    <m:sub>
                      <m:r>
                        <w:rPr>
                          <w:rFonts w:ascii="Cambria Math" w:hAnsi="Cambria Math"/>
                          <w:sz w:val="22"/>
                        </w:rPr>
                        <m:t>y</m:t>
                      </m:r>
                    </m:sub>
                  </m:sSub>
                </m:e>
              </m:d>
            </m:e>
          </m:d>
        </m:oMath>
      </m:oMathPara>
    </w:p>
    <w:p w14:paraId="1D666338" w14:textId="1B1636B5" w:rsidR="00E100CA" w:rsidRPr="003B56E7"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μ</m:t>
                  </m:r>
                </m:e>
                <m:sub>
                  <m:r>
                    <w:rPr>
                      <w:rFonts w:ascii="Cambria Math" w:hAnsi="Cambria Math"/>
                      <w:sz w:val="22"/>
                    </w:rPr>
                    <m:t>it</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τ</m:t>
                  </m:r>
                </m:e>
                <m:sub>
                  <m:r>
                    <w:rPr>
                      <w:rFonts w:ascii="Cambria Math" w:hAnsi="Cambria Math"/>
                      <w:sz w:val="22"/>
                    </w:rPr>
                    <m:t>t</m:t>
                  </m:r>
                </m:sub>
              </m:sSub>
              <m:r>
                <w:rPr>
                  <w:rFonts w:ascii="Cambria Math" w:hAnsi="Cambria Math"/>
                  <w:sz w:val="22"/>
                </w:rPr>
                <m:t>+</m:t>
              </m:r>
              <m:r>
                <m:rPr>
                  <m:sty m:val="p"/>
                </m:rPr>
                <w:rPr>
                  <w:rFonts w:ascii="Cambria Math" w:hAnsi="Cambria Math"/>
                  <w:sz w:val="22"/>
                </w:rPr>
                <m:t>ρ</m:t>
              </m:r>
              <m:r>
                <w:rPr>
                  <w:rFonts w:ascii="Cambria Math" w:hAnsi="Cambria Math"/>
                  <w:sz w:val="22"/>
                </w:rPr>
                <m:t>L</m:t>
              </m:r>
              <m:sSub>
                <m:sSubPr>
                  <m:ctrlPr>
                    <w:rPr>
                      <w:rFonts w:ascii="Cambria Math" w:hAnsi="Cambria Math"/>
                      <w:i/>
                      <w:sz w:val="22"/>
                    </w:rPr>
                  </m:ctrlPr>
                </m:sSubPr>
                <m:e>
                  <m:r>
                    <w:rPr>
                      <w:rFonts w:ascii="Cambria Math" w:hAnsi="Cambria Math"/>
                      <w:sz w:val="22"/>
                    </w:rPr>
                    <m:t>E</m:t>
                  </m:r>
                </m:e>
                <m:sub>
                  <m:r>
                    <w:rPr>
                      <w:rFonts w:ascii="Cambria Math" w:hAnsi="Cambria Math"/>
                      <w:sz w:val="22"/>
                    </w:rPr>
                    <m:t>i,t-1</m:t>
                  </m:r>
                </m:sub>
              </m:sSub>
              <m:r>
                <w:rPr>
                  <w:rFonts w:ascii="Cambria Math" w:hAnsi="Cambria Math"/>
                  <w:sz w:val="22"/>
                </w:rPr>
                <m:t>+</m:t>
              </m:r>
              <m:r>
                <m:rPr>
                  <m:sty m:val="p"/>
                </m:rPr>
                <w:rPr>
                  <w:rFonts w:ascii="Cambria Math" w:hAnsi="Cambria Math"/>
                  <w:sz w:val="22"/>
                </w:rPr>
                <m:t>β</m:t>
              </m:r>
              <m:sSub>
                <m:sSubPr>
                  <m:ctrlPr>
                    <w:rPr>
                      <w:rFonts w:ascii="Cambria Math" w:hAnsi="Cambria Math"/>
                      <w:i/>
                      <w:sz w:val="22"/>
                    </w:rPr>
                  </m:ctrlPr>
                </m:sSubPr>
                <m:e>
                  <m:r>
                    <w:rPr>
                      <w:rFonts w:ascii="Cambria Math" w:hAnsi="Cambria Math"/>
                      <w:sz w:val="22"/>
                    </w:rPr>
                    <m:t>C</m:t>
                  </m:r>
                </m:e>
                <m:sub>
                  <m:r>
                    <w:rPr>
                      <w:rFonts w:ascii="Cambria Math" w:hAnsi="Cambria Math"/>
                      <w:sz w:val="22"/>
                    </w:rPr>
                    <m:t>i,t-1</m:t>
                  </m:r>
                </m:sub>
              </m:sSub>
              <m:r>
                <w:rPr>
                  <w:rFonts w:ascii="Cambria Math" w:hAnsi="Cambria Math"/>
                  <w:sz w:val="22"/>
                </w:rPr>
                <m:t>+</m:t>
              </m:r>
              <m:sSup>
                <m:sSupPr>
                  <m:ctrlPr>
                    <w:rPr>
                      <w:rFonts w:ascii="Cambria Math" w:hAnsi="Cambria Math"/>
                      <w:i/>
                      <w:sz w:val="22"/>
                    </w:rPr>
                  </m:ctrlPr>
                </m:sSupPr>
                <m:e>
                  <m:r>
                    <m:rPr>
                      <m:sty m:val="p"/>
                    </m:rPr>
                    <w:rPr>
                      <w:rFonts w:ascii="Cambria Math" w:hAnsi="Cambria Math"/>
                      <w:sz w:val="22"/>
                    </w:rPr>
                    <m:t>γ</m:t>
                  </m:r>
                </m:e>
                <m:sup>
                  <m:r>
                    <w:rPr>
                      <w:rFonts w:ascii="Cambria Math" w:hAnsi="Cambria Math"/>
                      <w:sz w:val="22"/>
                    </w:rPr>
                    <m:t>'</m:t>
                  </m:r>
                </m:sup>
              </m:sSup>
              <m:sSub>
                <m:sSubPr>
                  <m:ctrlPr>
                    <w:rPr>
                      <w:rFonts w:ascii="Cambria Math" w:hAnsi="Cambria Math"/>
                      <w:i/>
                      <w:sz w:val="22"/>
                    </w:rPr>
                  </m:ctrlPr>
                </m:sSubPr>
                <m:e>
                  <m:r>
                    <w:rPr>
                      <w:rFonts w:ascii="Cambria Math" w:hAnsi="Cambria Math"/>
                      <w:sz w:val="22"/>
                    </w:rPr>
                    <m:t>X</m:t>
                  </m:r>
                </m:e>
                <m:sub>
                  <m:r>
                    <w:rPr>
                      <w:rFonts w:ascii="Cambria Math" w:hAnsi="Cambria Math"/>
                      <w:sz w:val="22"/>
                    </w:rPr>
                    <m:t>it</m:t>
                  </m:r>
                </m:sub>
              </m:sSub>
            </m:e>
          </m:d>
        </m:oMath>
      </m:oMathPara>
    </w:p>
    <w:p w14:paraId="7BF924FF" w14:textId="7DDFB688" w:rsidR="00E100CA" w:rsidRPr="003B56E7" w:rsidRDefault="00000000">
      <w:pPr>
        <w:ind w:left="360"/>
        <w:rPr>
          <w:rFonts w:ascii="Cambria Math" w:hAnsi="Cambria Math"/>
          <w:oMath/>
        </w:rPr>
      </w:pPr>
      <m:oMathPara>
        <m:oMath>
          <m:d>
            <m:dPr>
              <m:begChr m:val="["/>
              <m:endChr m:val="]"/>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i</m:t>
                  </m:r>
                </m:sub>
              </m:sSub>
              <m:r>
                <m:rPr>
                  <m:sty m:val="p"/>
                </m:rPr>
                <w:rPr>
                  <w:rFonts w:ascii="Cambria Math" w:hAnsi="Cambria Math"/>
                  <w:sz w:val="22"/>
                </w:rPr>
                <m:t>∼</m:t>
              </m:r>
              <m:r>
                <m:rPr>
                  <m:scr m:val="script"/>
                </m:rPr>
                <w:rPr>
                  <w:rFonts w:ascii="Cambria Math" w:hAnsi="Cambria Math"/>
                  <w:sz w:val="22"/>
                </w:rPr>
                <m:t>N</m:t>
              </m:r>
              <m:d>
                <m:dPr>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α</m:t>
                      </m:r>
                    </m:e>
                    <m:sub>
                      <m:r>
                        <w:rPr>
                          <w:rFonts w:ascii="Cambria Math" w:hAnsi="Cambria Math"/>
                          <w:sz w:val="22"/>
                        </w:rPr>
                        <m:t>0</m:t>
                      </m:r>
                    </m:sub>
                  </m:sSub>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σ</m:t>
                      </m:r>
                    </m:e>
                    <m:sub>
                      <m:r>
                        <m:rPr>
                          <m:sty m:val="p"/>
                        </m:rPr>
                        <w:rPr>
                          <w:rFonts w:ascii="Cambria Math" w:hAnsi="Cambria Math"/>
                          <w:sz w:val="22"/>
                        </w:rPr>
                        <m:t>α</m:t>
                      </m:r>
                    </m:sub>
                  </m:sSub>
                </m:e>
              </m:d>
              <m:r>
                <w:rPr>
                  <w:rFonts w:ascii="Cambria Math" w:hAnsi="Cambria Math"/>
                  <w:sz w:val="22"/>
                </w:rPr>
                <m:t>,</m:t>
              </m:r>
              <m:r>
                <m:rPr>
                  <m:sty m:val="p"/>
                </m:rPr>
                <w:rPr>
                  <w:rFonts w:ascii="Cambria Math" w:hAnsi="Cambria Math"/>
                  <w:sz w:val="22"/>
                </w:rPr>
                <m:t> </m:t>
              </m:r>
              <m:sSub>
                <m:sSubPr>
                  <m:ctrlPr>
                    <w:rPr>
                      <w:rFonts w:ascii="Cambria Math" w:hAnsi="Cambria Math"/>
                      <w:i/>
                      <w:sz w:val="22"/>
                    </w:rPr>
                  </m:ctrlPr>
                </m:sSubPr>
                <m:e>
                  <m:r>
                    <m:rPr>
                      <m:sty m:val="p"/>
                    </m:rPr>
                    <w:rPr>
                      <w:rFonts w:ascii="Cambria Math" w:hAnsi="Cambria Math"/>
                      <w:sz w:val="22"/>
                    </w:rPr>
                    <m:t>τ</m:t>
                  </m:r>
                  <m:ctrlPr>
                    <w:rPr>
                      <w:rFonts w:ascii="Cambria Math" w:hAnsi="Cambria Math"/>
                      <w:sz w:val="22"/>
                    </w:rPr>
                  </m:ctrlPr>
                </m:e>
                <m:sub>
                  <m:r>
                    <w:rPr>
                      <w:rFonts w:ascii="Cambria Math" w:hAnsi="Cambria Math"/>
                      <w:sz w:val="22"/>
                    </w:rPr>
                    <m:t>t</m:t>
                  </m:r>
                </m:sub>
              </m:sSub>
              <m:r>
                <m:rPr>
                  <m:sty m:val="p"/>
                </m:rPr>
                <w:rPr>
                  <w:rFonts w:ascii="Cambria Math" w:hAnsi="Cambria Math"/>
                  <w:sz w:val="22"/>
                </w:rPr>
                <m:t>∼</m:t>
              </m:r>
              <m:r>
                <m:rPr>
                  <m:scr m:val="script"/>
                </m:rPr>
                <w:rPr>
                  <w:rFonts w:ascii="Cambria Math" w:hAnsi="Cambria Math"/>
                  <w:sz w:val="22"/>
                </w:rPr>
                <m:t>N</m:t>
              </m:r>
              <m:d>
                <m:dPr>
                  <m:ctrlPr>
                    <w:rPr>
                      <w:rFonts w:ascii="Cambria Math" w:hAnsi="Cambria Math"/>
                      <w:i/>
                      <w:sz w:val="22"/>
                    </w:rPr>
                  </m:ctrlPr>
                </m:dPr>
                <m:e>
                  <m:r>
                    <w:rPr>
                      <w:rFonts w:ascii="Cambria Math" w:hAnsi="Cambria Math"/>
                      <w:sz w:val="22"/>
                    </w:rPr>
                    <m:t>0,</m:t>
                  </m:r>
                  <m:sSub>
                    <m:sSubPr>
                      <m:ctrlPr>
                        <w:rPr>
                          <w:rFonts w:ascii="Cambria Math" w:hAnsi="Cambria Math"/>
                          <w:i/>
                          <w:sz w:val="22"/>
                        </w:rPr>
                      </m:ctrlPr>
                    </m:sSubPr>
                    <m:e>
                      <m:r>
                        <m:rPr>
                          <m:sty m:val="p"/>
                        </m:rPr>
                        <w:rPr>
                          <w:rFonts w:ascii="Cambria Math" w:hAnsi="Cambria Math"/>
                          <w:sz w:val="22"/>
                        </w:rPr>
                        <m:t>σ</m:t>
                      </m:r>
                    </m:e>
                    <m:sub>
                      <m:r>
                        <m:rPr>
                          <m:sty m:val="p"/>
                        </m:rPr>
                        <w:rPr>
                          <w:rFonts w:ascii="Cambria Math" w:hAnsi="Cambria Math"/>
                          <w:sz w:val="22"/>
                        </w:rPr>
                        <m:t>τ</m:t>
                      </m:r>
                    </m:sub>
                  </m:sSub>
                </m:e>
              </m:d>
              <m:r>
                <w:rPr>
                  <w:rFonts w:ascii="Cambria Math" w:hAnsi="Cambria Math"/>
                  <w:sz w:val="22"/>
                </w:rPr>
                <m:t>,</m:t>
              </m:r>
              <m:r>
                <m:rPr>
                  <m:sty m:val="p"/>
                </m:rPr>
                <w:rPr>
                  <w:rFonts w:ascii="Cambria Math" w:hAnsi="Cambria Math"/>
                  <w:sz w:val="22"/>
                </w:rPr>
                <m:t> β</m:t>
              </m:r>
              <m:r>
                <w:rPr>
                  <w:rFonts w:ascii="Cambria Math" w:hAnsi="Cambria Math"/>
                  <w:sz w:val="22"/>
                </w:rPr>
                <m:t>,</m:t>
              </m:r>
              <m:r>
                <m:rPr>
                  <m:sty m:val="p"/>
                </m:rPr>
                <w:rPr>
                  <w:rFonts w:ascii="Cambria Math" w:hAnsi="Cambria Math"/>
                  <w:sz w:val="22"/>
                </w:rPr>
                <m:t>ρ</m:t>
              </m:r>
              <m:r>
                <w:rPr>
                  <w:rFonts w:ascii="Cambria Math" w:hAnsi="Cambria Math"/>
                  <w:sz w:val="22"/>
                </w:rPr>
                <m:t>,</m:t>
              </m:r>
              <m:sSub>
                <m:sSubPr>
                  <m:ctrlPr>
                    <w:rPr>
                      <w:rFonts w:ascii="Cambria Math" w:hAnsi="Cambria Math"/>
                      <w:i/>
                      <w:sz w:val="22"/>
                    </w:rPr>
                  </m:ctrlPr>
                </m:sSubPr>
                <m:e>
                  <m:r>
                    <m:rPr>
                      <m:sty m:val="p"/>
                    </m:rPr>
                    <w:rPr>
                      <w:rFonts w:ascii="Cambria Math" w:hAnsi="Cambria Math"/>
                      <w:sz w:val="22"/>
                    </w:rPr>
                    <m:t>γ</m:t>
                  </m:r>
                </m:e>
                <m:sub>
                  <m:r>
                    <w:rPr>
                      <w:rFonts w:ascii="Cambria Math" w:hAnsi="Cambria Math"/>
                      <w:sz w:val="22"/>
                    </w:rPr>
                    <m:t>k</m:t>
                  </m:r>
                </m:sub>
              </m:sSub>
              <m:r>
                <m:rPr>
                  <m:sty m:val="p"/>
                </m:rPr>
                <w:rPr>
                  <w:rFonts w:ascii="Cambria Math" w:hAnsi="Cambria Math"/>
                  <w:sz w:val="22"/>
                </w:rPr>
                <m:t>∼</m:t>
              </m:r>
              <m:r>
                <m:rPr>
                  <m:scr m:val="script"/>
                </m:rPr>
                <w:rPr>
                  <w:rFonts w:ascii="Cambria Math" w:hAnsi="Cambria Math"/>
                  <w:sz w:val="22"/>
                </w:rPr>
                <m:t>N</m:t>
              </m:r>
              <m:d>
                <m:dPr>
                  <m:ctrlPr>
                    <w:rPr>
                      <w:rFonts w:ascii="Cambria Math" w:hAnsi="Cambria Math"/>
                      <w:i/>
                      <w:sz w:val="22"/>
                    </w:rPr>
                  </m:ctrlPr>
                </m:dPr>
                <m:e>
                  <m:r>
                    <w:rPr>
                      <w:rFonts w:ascii="Cambria Math" w:hAnsi="Cambria Math"/>
                      <w:sz w:val="22"/>
                    </w:rPr>
                    <m:t>0,1</m:t>
                  </m:r>
                </m:e>
              </m:d>
            </m:e>
          </m:d>
        </m:oMath>
      </m:oMathPara>
    </w:p>
    <w:p w14:paraId="200D39AF" w14:textId="367997EF" w:rsidR="00E100CA" w:rsidRPr="003B56E7" w:rsidRDefault="003B56E7">
      <w:pPr>
        <w:ind w:left="360"/>
        <w:rPr>
          <w:rFonts w:ascii="Cambria Math" w:hAnsi="Cambria Math"/>
          <w:oMath/>
        </w:rPr>
      </w:pPr>
      <m:oMathPara>
        <m:oMath>
          <m:r>
            <w:rPr>
              <w:rFonts w:ascii="Cambria Math" w:hAnsi="Cambria Math"/>
              <w:sz w:val="22"/>
            </w:rPr>
            <m:t xml:space="preserve">  </m:t>
          </m:r>
          <m:r>
            <m:rPr>
              <m:sty m:val="p"/>
            </m:rPr>
            <w:rPr>
              <w:rFonts w:ascii="Cambria Math" w:hAnsi="Cambria Math"/>
              <w:sz w:val="22"/>
            </w:rPr>
            <m:t>Pr⁡</m:t>
          </m:r>
          <m:r>
            <w:rPr>
              <w:rFonts w:ascii="Cambria Math" w:hAnsi="Cambria Math"/>
              <w:sz w:val="22"/>
            </w:rPr>
            <m:t>(</m:t>
          </m:r>
          <m:r>
            <m:rPr>
              <m:sty m:val="p"/>
            </m:rPr>
            <w:rPr>
              <w:rFonts w:ascii="Cambria Math" w:hAnsi="Cambria Math"/>
              <w:sz w:val="22"/>
            </w:rPr>
            <m:t>β</m:t>
          </m:r>
          <m:r>
            <w:rPr>
              <w:rFonts w:ascii="Cambria Math" w:hAnsi="Cambria Math"/>
              <w:sz w:val="22"/>
            </w:rPr>
            <m:t xml:space="preserve">&gt;0|data) </m:t>
          </m:r>
        </m:oMath>
      </m:oMathPara>
    </w:p>
    <w:p w14:paraId="366AA965" w14:textId="77777777" w:rsidR="00E100CA" w:rsidRDefault="00000000">
      <w:pPr>
        <w:jc w:val="both"/>
      </w:pPr>
      <w:r>
        <w:t>Monte Carlo robustness varies the k-nearest-neighbor threshold, edge-weight definition, interpolation assumptions, and shuffled-network placebo replications. The executable R/Python scripts should remain in the replication package rather than in the manuscript body.</w:t>
      </w:r>
    </w:p>
    <w:p w14:paraId="34F151B9" w14:textId="77777777" w:rsidR="00E100CA" w:rsidRDefault="00000000">
      <w:pPr>
        <w:pStyle w:val="Balk1"/>
        <w:spacing w:before="160"/>
      </w:pPr>
      <w:r>
        <w:rPr>
          <w:rFonts w:ascii="Times New Roman" w:hAnsi="Times New Roman"/>
        </w:rPr>
        <w:lastRenderedPageBreak/>
        <w:t>3. Findings</w:t>
      </w:r>
    </w:p>
    <w:p w14:paraId="2852E735" w14:textId="77777777" w:rsidR="00837FDB" w:rsidRDefault="00000000">
      <w:pPr>
        <w:pStyle w:val="Balk2"/>
        <w:spacing w:before="120"/>
      </w:pPr>
      <w:r>
        <w:rPr>
          <w:rFonts w:ascii="Times New Roman" w:hAnsi="Times New Roman"/>
        </w:rPr>
        <w:t>3.1. Data Coverage and Measurement Implications</w:t>
      </w:r>
    </w:p>
    <w:p w14:paraId="0F7C9F2B" w14:textId="77777777" w:rsidR="00837FDB" w:rsidRDefault="00000000">
      <w:pPr>
        <w:jc w:val="both"/>
      </w:pPr>
      <w:r>
        <w:t>The empirical base is substantially larger than the original manuscript design. The WDI panel contains 2,100 country-year observations and 21,000 country-year-indicator observations. The network file contains one annual observation for each country, again totaling 2,100 observations. The external data architecture expands this base with 9,900 CEPII country-pair records, 175,100 UN General Assembly country-vote observations, 103,950 UNGA pair-year similarity rows, 13,999 WHO/GHO long-format indicator observations, and a 2,100 country-year augmented panel. This scale matters because the article is not built on a single cross-section or a small regional sample; it tests multiplex governance over two decades across a broad country universe.</w:t>
      </w:r>
    </w:p>
    <w:p w14:paraId="3AF2EFF7" w14:textId="77777777" w:rsidR="00837FDB" w:rsidRDefault="00000000">
      <w:pPr>
        <w:jc w:val="both"/>
      </w:pPr>
      <w:r>
        <w:t>The missingness structure also shapes the interpretation. Life expectancy, GDP per capita PPP, and population are complete in the WDI panel. Internet use and health expenditure have low missingness, while physicians, nurses, and hospital beds require interpolation and boundary carrying. Literacy is excluded from the main models because 74.5% of observations are missing, and R&amp;D expenditure is reserved for robustness. In the WHO layer, UHC service coverage and external health expenditure are empirically usable, while several IHR/SPAR series are sparse and should be interpreted as subperiod or mechanism indicators rather than complete main-panel controls.</w:t>
      </w:r>
    </w:p>
    <w:p w14:paraId="14ECAB2D" w14:textId="77777777" w:rsidR="00837FDB" w:rsidRDefault="00000000">
      <w:pPr>
        <w:pStyle w:val="Balk2"/>
        <w:spacing w:before="120"/>
      </w:pPr>
      <w:r>
        <w:rPr>
          <w:rFonts w:ascii="Times New Roman" w:hAnsi="Times New Roman"/>
        </w:rPr>
        <w:t>3.2. Network Structure: Integration Exists at the Relational Level</w:t>
      </w:r>
    </w:p>
    <w:p w14:paraId="566FAC05" w14:textId="77777777" w:rsidR="00837FDB" w:rsidRDefault="00000000">
      <w:pPr>
        <w:jc w:val="both"/>
      </w:pPr>
      <w:r>
        <w:t>The WDI-derived health-capacity network is sparse but connected. Mean normalized degree is 0.070, mean strength is 3.592, mean eigenvector centrality is 0.179, and mean local/network clustering is 0.532. Network density varies narrowly around 0.070, and the WDI network remains one connected component across the annual panels. These descriptive statistics show that the network is not a fully integrated dense system; rather, it is a sparse but organized structure in which countries cluster around similar health-capacity and development profiles.</w:t>
      </w:r>
    </w:p>
    <w:p w14:paraId="15273162" w14:textId="77777777" w:rsidR="00837FDB" w:rsidRDefault="00000000">
      <w:pPr>
        <w:jc w:val="both"/>
      </w:pPr>
      <w:r>
        <w:t>The temporal ERGM confirms this interpretation statistically. The edges coefficient is strongly negative (theta = -8.018, p &lt; .001), which is expected in a sparse network. The GWESP coefficient is positive and highly significant (theta = 2.817, p &lt; .001), showing that ties are organized through shared partners and triadic closure. The persistence coefficient is also positive and highly significant (theta = 1.651, p &lt; .001), indicating that ties carry over from one year to the next. The residual deviance falls sharply relative to the null model, and the MCMC diagnostics do not indicate a failed specification. The first major finding is therefore clear: multiplex global health governance is relationally structured and temporally persistent.</w:t>
      </w:r>
    </w:p>
    <w:p w14:paraId="1B9E2FDB" w14:textId="77777777" w:rsidR="00837FDB" w:rsidRDefault="00000000">
      <w:pPr>
        <w:pStyle w:val="Balk2"/>
        <w:spacing w:before="120"/>
      </w:pPr>
      <w:r>
        <w:rPr>
          <w:rFonts w:ascii="Times New Roman" w:hAnsi="Times New Roman"/>
        </w:rPr>
        <w:t>3.3. Dynamic Panel Results: Centrality Does Not Equalize Outcomes</w:t>
      </w:r>
    </w:p>
    <w:p w14:paraId="1E9EA154" w14:textId="77777777" w:rsidR="00837FDB" w:rsidRDefault="00000000">
      <w:pPr>
        <w:jc w:val="both"/>
      </w:pPr>
      <w:r>
        <w:t>The dynamic panel models provide a more cautious outcome-level result. In both System GMM specifications, lagged life expectancy is strongly significant, confirming high persistence in health outcomes. However, the network centrality terms are not statistically significant. In the degree model, lagged degree is positive but insignificant (beta = 2.680, p = .624). In the eigenvector model, lagged eigenvector centrality is also insignificant (beta = 0.116, p = .385). These estimates show that being more central in the WDI-derived health-capacity network does not independently predict subsequent life expectancy after accounting for prior outcomes and structural controls.</w:t>
      </w:r>
    </w:p>
    <w:p w14:paraId="469FD2E8" w14:textId="77777777" w:rsidR="00837FDB" w:rsidRDefault="00000000">
      <w:pPr>
        <w:jc w:val="both"/>
      </w:pPr>
      <w:r>
        <w:t xml:space="preserve">The significant controls are substantively revealing. GDP per capita is significant in both dynamic models, and internet use is also significant, while health expenditure and population are </w:t>
      </w:r>
      <w:r>
        <w:lastRenderedPageBreak/>
        <w:t xml:space="preserve">not consistently significant in the GMM specifications. This pattern does not imply that health systems are irrelevant; rather, it indicates that broad structural development and digital connectivity have more stable explanatory power in the dynamic models than network centrality itself. The Arellano-Bond </w:t>
      </w:r>
      <w:proofErr w:type="gramStart"/>
      <w:r>
        <w:t>AR(</w:t>
      </w:r>
      <w:proofErr w:type="gramEnd"/>
      <w:r>
        <w:t xml:space="preserve">2) tests are not significant in either model, which supports the dynamic specification. The </w:t>
      </w:r>
      <w:proofErr w:type="spellStart"/>
      <w:r>
        <w:t>Sargan</w:t>
      </w:r>
      <w:proofErr w:type="spellEnd"/>
      <w:r>
        <w:t xml:space="preserve"> p-values are very high and should be treated cautiously because they may reflect instrument proliferation or low power, but they do not change the central empirical result: centrality is not a robust independent driver of life expectancy.</w:t>
      </w:r>
    </w:p>
    <w:p w14:paraId="7C6ADB61" w14:textId="77777777" w:rsidR="00837FDB" w:rsidRDefault="00000000">
      <w:pPr>
        <w:pStyle w:val="Balk2"/>
        <w:spacing w:before="120"/>
      </w:pPr>
      <w:r>
        <w:rPr>
          <w:rFonts w:ascii="Times New Roman" w:hAnsi="Times New Roman"/>
        </w:rPr>
        <w:t>3.4. Mechanisms: Stratification Is Stronger Than Diffusion</w:t>
      </w:r>
    </w:p>
    <w:p w14:paraId="2A6F14EC" w14:textId="77777777" w:rsidR="00837FDB" w:rsidRDefault="00000000">
      <w:pPr>
        <w:jc w:val="both"/>
      </w:pPr>
      <w:r>
        <w:t>The mechanism models clarify why the article should not claim a simple diffusion effect. In the centrality-as-capacity model, lagged health spending, physicians, hospital beds, GDP per capita, and internet use do not produce a strong within-country mechanism for eigenvector centrality. In the life-expectancy mechanism model, lagged eigenvector centrality is effectively zero and insignificant (beta = -0.013, p = .960). This sharply weakens the argument that countries improve health outcomes simply by becoming more central in the multiplex network.</w:t>
      </w:r>
    </w:p>
    <w:p w14:paraId="02825ECE" w14:textId="77777777" w:rsidR="00837FDB" w:rsidRDefault="00000000">
      <w:pPr>
        <w:jc w:val="both"/>
      </w:pPr>
      <w:r>
        <w:t>The stratification model is the more important mechanism. Lagged log GDP per capita is positively associated with eigenvector centrality in the reference category (beta = 0.311, p &lt; .001), while the Global South interaction is negative and highly significant (beta = -0.454, p &lt; .001). This means that development does not translate into network position equally across the global system. The same increase in development is associated with a weaker centrality return in the Global South. This finding directly supports the theoretical distinction between visible and structural hierarchy: network visibility and embeddedness are conditioned by unequal structural position.</w:t>
      </w:r>
    </w:p>
    <w:p w14:paraId="5E7BB9BC" w14:textId="77777777" w:rsidR="00837FDB" w:rsidRDefault="00000000">
      <w:pPr>
        <w:pStyle w:val="Balk2"/>
        <w:spacing w:before="120"/>
      </w:pPr>
      <w:r>
        <w:rPr>
          <w:rFonts w:ascii="Times New Roman" w:hAnsi="Times New Roman"/>
        </w:rPr>
        <w:t>3.5. IV and Placebo Results: Robustness Does Not Recover a Centrality Effect</w:t>
      </w:r>
    </w:p>
    <w:p w14:paraId="4B914447" w14:textId="77777777" w:rsidR="00837FDB" w:rsidRDefault="00000000">
      <w:pPr>
        <w:jc w:val="both"/>
      </w:pPr>
      <w:r>
        <w:t>The CEPII-based IV models were introduced to probe reverse causality and omitted structural ties. Three instruments have strong first-stage performance: common-language peer eigenvector centrality (F = 247.6), historical-tie peer eigenvector centrality (F = 278.9), and contiguous-neighbor peer eigenvector centrality (F = 724.8). The distance-weighted instrument is weaker (F = 5.39). Despite these first-stage results, none of the second-stage fitted centrality coefficients is statistically significant. The second-stage p-values are .695, .328, .270, and .637 across the four IV specifications. Geo-historical ties therefore predict centrality, but the externally predicted component of centrality still does not independently explain life expectancy.</w:t>
      </w:r>
    </w:p>
    <w:p w14:paraId="1EF5469D" w14:textId="77777777" w:rsidR="00837FDB" w:rsidRDefault="00000000">
      <w:pPr>
        <w:jc w:val="both"/>
      </w:pPr>
      <w:r>
        <w:t>The shuffled-network placebo test reaches the same conclusion from a different angle. The observed fixed-effects coefficient for lagged eigenvector centrality is -0.073 with p = .774. Across 200 shuffled-network simulations, the placebo mean is 0.008, the placebo standard deviation is 0.107, and the empirical p-value is .435. The actual centrality coefficient is therefore not distinguishable from the distribution generated by randomly reallocating centrality across countries within years. This supports the claim that the network is real as a relational structure, but centrality does not have a stable independent outcome effect.</w:t>
      </w:r>
    </w:p>
    <w:p w14:paraId="42A2C150" w14:textId="77777777" w:rsidR="00837FDB" w:rsidRDefault="00000000">
      <w:pPr>
        <w:pStyle w:val="Balk2"/>
        <w:spacing w:before="120"/>
      </w:pPr>
      <w:r>
        <w:rPr>
          <w:rFonts w:ascii="Times New Roman" w:hAnsi="Times New Roman"/>
        </w:rPr>
        <w:t>3.6. UNGA and WHO Layers: Multiplexity Beyond Material Capacity</w:t>
      </w:r>
    </w:p>
    <w:p w14:paraId="78DEF074" w14:textId="77777777" w:rsidR="00837FDB" w:rsidRDefault="00000000">
      <w:pPr>
        <w:jc w:val="both"/>
      </w:pPr>
      <w:r>
        <w:t xml:space="preserve">The UNGA layer shows that the article's multiplex design is not limited to WDI material-capacity similarity. The UNGA network has a higher mean density than the WDI network (0.151 versus 0.070), higher mean local clustering (0.578), and usually two to three components rather than one. This suggests a more segmented normative alignment structure: countries may cluster normatively in UN voting space even when the health-capacity network is materially connected. </w:t>
      </w:r>
      <w:r>
        <w:lastRenderedPageBreak/>
        <w:t>The WHO layer adds institutional health-governance indicators, especially UHC coverage and external health expenditure, which allow the article to connect material capacity with institutional readiness and funding dependence.</w:t>
      </w:r>
    </w:p>
    <w:p w14:paraId="1BBB7C8B" w14:textId="77777777" w:rsidR="00837FDB" w:rsidRDefault="00000000">
      <w:pPr>
        <w:jc w:val="both"/>
      </w:pPr>
      <w:r>
        <w:t>Taken together, the findings support the article's core formulation: integration exists, but it is not equalization. Multiplex global health governance produces structured ties, clustered alignments, and temporal persistence. Yet these relational advantages do not override structural hierarchy. The strongest empirical signal is not a direct centrality-to-life-expectancy effect, but the persistence of capacity-based and North-South stratification in the conversion of development into network position.</w:t>
      </w:r>
    </w:p>
    <w:tbl>
      <w:tblPr>
        <w:tblStyle w:val="TabloKlavuzu"/>
        <w:tblW w:w="0" w:type="auto"/>
        <w:tblLook w:val="04A0" w:firstRow="1" w:lastRow="0" w:firstColumn="1" w:lastColumn="0" w:noHBand="0" w:noVBand="1"/>
      </w:tblPr>
      <w:tblGrid>
        <w:gridCol w:w="1944"/>
        <w:gridCol w:w="3816"/>
        <w:gridCol w:w="3384"/>
      </w:tblGrid>
      <w:tr w:rsidR="00837FDB" w14:paraId="6A83772A" w14:textId="77777777">
        <w:tc>
          <w:tcPr>
            <w:tcW w:w="1944" w:type="dxa"/>
          </w:tcPr>
          <w:p w14:paraId="02A59147" w14:textId="77777777" w:rsidR="00837FDB" w:rsidRDefault="00000000">
            <w:pPr>
              <w:spacing w:after="0"/>
            </w:pPr>
            <w:r>
              <w:rPr>
                <w:b/>
                <w:sz w:val="17"/>
              </w:rPr>
              <w:t>Analytical block</w:t>
            </w:r>
          </w:p>
        </w:tc>
        <w:tc>
          <w:tcPr>
            <w:tcW w:w="3816" w:type="dxa"/>
          </w:tcPr>
          <w:p w14:paraId="24C30DC9" w14:textId="77777777" w:rsidR="00837FDB" w:rsidRDefault="00000000">
            <w:pPr>
              <w:spacing w:after="0"/>
            </w:pPr>
            <w:r>
              <w:rPr>
                <w:b/>
                <w:sz w:val="17"/>
              </w:rPr>
              <w:t>Evidence from inspected outputs</w:t>
            </w:r>
          </w:p>
        </w:tc>
        <w:tc>
          <w:tcPr>
            <w:tcW w:w="3384" w:type="dxa"/>
          </w:tcPr>
          <w:p w14:paraId="69F4AC50" w14:textId="77777777" w:rsidR="00837FDB" w:rsidRDefault="00000000">
            <w:pPr>
              <w:spacing w:after="0"/>
            </w:pPr>
            <w:r>
              <w:rPr>
                <w:b/>
                <w:sz w:val="17"/>
              </w:rPr>
              <w:t>Substantive meaning</w:t>
            </w:r>
          </w:p>
        </w:tc>
      </w:tr>
      <w:tr w:rsidR="00837FDB" w14:paraId="6C5D1CE1" w14:textId="77777777">
        <w:tc>
          <w:tcPr>
            <w:tcW w:w="1944" w:type="dxa"/>
          </w:tcPr>
          <w:p w14:paraId="507F7AFF" w14:textId="77777777" w:rsidR="00837FDB" w:rsidRDefault="00000000">
            <w:pPr>
              <w:spacing w:after="0"/>
            </w:pPr>
            <w:r>
              <w:rPr>
                <w:sz w:val="17"/>
              </w:rPr>
              <w:t>Data coverage</w:t>
            </w:r>
          </w:p>
        </w:tc>
        <w:tc>
          <w:tcPr>
            <w:tcW w:w="3816" w:type="dxa"/>
          </w:tcPr>
          <w:p w14:paraId="459E6253" w14:textId="77777777" w:rsidR="00837FDB" w:rsidRDefault="00000000">
            <w:pPr>
              <w:spacing w:after="0"/>
            </w:pPr>
            <w:r>
              <w:rPr>
                <w:sz w:val="17"/>
              </w:rPr>
              <w:t>WDI 2,100 country-years; WDI long 21,000 observations; CEPII 9,900 dyads; UNGA 175,100 votes; WHO long 13,999 observations</w:t>
            </w:r>
          </w:p>
        </w:tc>
        <w:tc>
          <w:tcPr>
            <w:tcW w:w="3384" w:type="dxa"/>
          </w:tcPr>
          <w:p w14:paraId="682EF440" w14:textId="77777777" w:rsidR="00837FDB" w:rsidRDefault="00000000">
            <w:pPr>
              <w:spacing w:after="0"/>
            </w:pPr>
            <w:r>
              <w:rPr>
                <w:sz w:val="17"/>
              </w:rPr>
              <w:t>Large-N, cross-temporal, multi-layer empirical architecture</w:t>
            </w:r>
          </w:p>
        </w:tc>
      </w:tr>
      <w:tr w:rsidR="00837FDB" w14:paraId="138645DB" w14:textId="77777777">
        <w:tc>
          <w:tcPr>
            <w:tcW w:w="1944" w:type="dxa"/>
          </w:tcPr>
          <w:p w14:paraId="4B29D794" w14:textId="77777777" w:rsidR="00837FDB" w:rsidRDefault="00000000">
            <w:pPr>
              <w:spacing w:after="0"/>
            </w:pPr>
            <w:r>
              <w:rPr>
                <w:sz w:val="17"/>
              </w:rPr>
              <w:t>WDI network</w:t>
            </w:r>
          </w:p>
        </w:tc>
        <w:tc>
          <w:tcPr>
            <w:tcW w:w="3816" w:type="dxa"/>
          </w:tcPr>
          <w:p w14:paraId="1F401B90" w14:textId="77777777" w:rsidR="00837FDB" w:rsidRDefault="00000000">
            <w:pPr>
              <w:spacing w:after="0"/>
            </w:pPr>
            <w:r>
              <w:rPr>
                <w:sz w:val="17"/>
              </w:rPr>
              <w:t>Mean density 0.070; mean clustering 0.532; one connected component</w:t>
            </w:r>
          </w:p>
        </w:tc>
        <w:tc>
          <w:tcPr>
            <w:tcW w:w="3384" w:type="dxa"/>
          </w:tcPr>
          <w:p w14:paraId="796E3222" w14:textId="77777777" w:rsidR="00837FDB" w:rsidRDefault="00000000">
            <w:pPr>
              <w:spacing w:after="0"/>
            </w:pPr>
            <w:r>
              <w:rPr>
                <w:sz w:val="17"/>
              </w:rPr>
              <w:t>Sparse but connected health-capacity structure</w:t>
            </w:r>
          </w:p>
        </w:tc>
      </w:tr>
      <w:tr w:rsidR="00837FDB" w14:paraId="25691B11" w14:textId="77777777">
        <w:tc>
          <w:tcPr>
            <w:tcW w:w="1944" w:type="dxa"/>
          </w:tcPr>
          <w:p w14:paraId="21328DA5" w14:textId="77777777" w:rsidR="00837FDB" w:rsidRDefault="00000000">
            <w:pPr>
              <w:spacing w:after="0"/>
            </w:pPr>
            <w:r>
              <w:rPr>
                <w:sz w:val="17"/>
              </w:rPr>
              <w:t>TERGM</w:t>
            </w:r>
          </w:p>
        </w:tc>
        <w:tc>
          <w:tcPr>
            <w:tcW w:w="3816" w:type="dxa"/>
          </w:tcPr>
          <w:p w14:paraId="2B70B76D" w14:textId="77777777" w:rsidR="00837FDB" w:rsidRDefault="00000000">
            <w:pPr>
              <w:spacing w:after="0"/>
            </w:pPr>
            <w:r>
              <w:rPr>
                <w:sz w:val="17"/>
              </w:rPr>
              <w:t>GWESP = 2.817, p &lt; .001; persistence = 1.651, p &lt; .001</w:t>
            </w:r>
          </w:p>
        </w:tc>
        <w:tc>
          <w:tcPr>
            <w:tcW w:w="3384" w:type="dxa"/>
          </w:tcPr>
          <w:p w14:paraId="1E39AB30" w14:textId="77777777" w:rsidR="00837FDB" w:rsidRDefault="00000000">
            <w:pPr>
              <w:spacing w:after="0"/>
            </w:pPr>
            <w:r>
              <w:rPr>
                <w:sz w:val="17"/>
              </w:rPr>
              <w:t>Network ties are clustered and durable</w:t>
            </w:r>
          </w:p>
        </w:tc>
      </w:tr>
      <w:tr w:rsidR="00837FDB" w14:paraId="4E079BC2" w14:textId="77777777">
        <w:tc>
          <w:tcPr>
            <w:tcW w:w="1944" w:type="dxa"/>
          </w:tcPr>
          <w:p w14:paraId="4C4031B8" w14:textId="77777777" w:rsidR="00837FDB" w:rsidRDefault="00000000">
            <w:pPr>
              <w:spacing w:after="0"/>
            </w:pPr>
            <w:r>
              <w:rPr>
                <w:sz w:val="17"/>
              </w:rPr>
              <w:t>System GMM</w:t>
            </w:r>
          </w:p>
        </w:tc>
        <w:tc>
          <w:tcPr>
            <w:tcW w:w="3816" w:type="dxa"/>
          </w:tcPr>
          <w:p w14:paraId="55C031D0" w14:textId="77777777" w:rsidR="00837FDB" w:rsidRDefault="00000000">
            <w:pPr>
              <w:spacing w:after="0"/>
            </w:pPr>
            <w:r>
              <w:rPr>
                <w:sz w:val="17"/>
              </w:rPr>
              <w:t>Lagged degree p = .624; lagged eigen p = .385; GDP/internet significant</w:t>
            </w:r>
          </w:p>
        </w:tc>
        <w:tc>
          <w:tcPr>
            <w:tcW w:w="3384" w:type="dxa"/>
          </w:tcPr>
          <w:p w14:paraId="4943EDD3" w14:textId="77777777" w:rsidR="00837FDB" w:rsidRDefault="00000000">
            <w:pPr>
              <w:spacing w:after="0"/>
            </w:pPr>
            <w:r>
              <w:rPr>
                <w:sz w:val="17"/>
              </w:rPr>
              <w:t>Centrality does not independently predict life expectancy</w:t>
            </w:r>
          </w:p>
        </w:tc>
      </w:tr>
      <w:tr w:rsidR="00837FDB" w14:paraId="2ADF0A1E" w14:textId="77777777">
        <w:tc>
          <w:tcPr>
            <w:tcW w:w="1944" w:type="dxa"/>
          </w:tcPr>
          <w:p w14:paraId="14EF2EBB" w14:textId="77777777" w:rsidR="00837FDB" w:rsidRDefault="00000000">
            <w:pPr>
              <w:spacing w:after="0"/>
            </w:pPr>
            <w:r>
              <w:rPr>
                <w:sz w:val="17"/>
              </w:rPr>
              <w:t>Mechanisms</w:t>
            </w:r>
          </w:p>
        </w:tc>
        <w:tc>
          <w:tcPr>
            <w:tcW w:w="3816" w:type="dxa"/>
          </w:tcPr>
          <w:p w14:paraId="36E079D3" w14:textId="77777777" w:rsidR="00837FDB" w:rsidRDefault="00000000">
            <w:pPr>
              <w:spacing w:after="0"/>
            </w:pPr>
            <w:r>
              <w:rPr>
                <w:sz w:val="17"/>
              </w:rPr>
              <w:t>Lagged eigen p = .960; South x GDP beta = -0.454, p &lt; .001</w:t>
            </w:r>
          </w:p>
        </w:tc>
        <w:tc>
          <w:tcPr>
            <w:tcW w:w="3384" w:type="dxa"/>
          </w:tcPr>
          <w:p w14:paraId="5CAE6ED7" w14:textId="77777777" w:rsidR="00837FDB" w:rsidRDefault="00000000">
            <w:pPr>
              <w:spacing w:after="0"/>
            </w:pPr>
            <w:r>
              <w:rPr>
                <w:sz w:val="17"/>
              </w:rPr>
              <w:t>Stratification is stronger than diffusion</w:t>
            </w:r>
          </w:p>
        </w:tc>
      </w:tr>
      <w:tr w:rsidR="00837FDB" w14:paraId="44148EF8" w14:textId="77777777">
        <w:tc>
          <w:tcPr>
            <w:tcW w:w="1944" w:type="dxa"/>
          </w:tcPr>
          <w:p w14:paraId="4993FCD6" w14:textId="77777777" w:rsidR="00837FDB" w:rsidRDefault="00000000">
            <w:pPr>
              <w:spacing w:after="0"/>
            </w:pPr>
            <w:r>
              <w:rPr>
                <w:sz w:val="17"/>
              </w:rPr>
              <w:t>IV and placebo</w:t>
            </w:r>
          </w:p>
        </w:tc>
        <w:tc>
          <w:tcPr>
            <w:tcW w:w="3816" w:type="dxa"/>
          </w:tcPr>
          <w:p w14:paraId="4D5772B6" w14:textId="77777777" w:rsidR="00837FDB" w:rsidRDefault="00000000">
            <w:pPr>
              <w:spacing w:after="0"/>
            </w:pPr>
            <w:r>
              <w:rPr>
                <w:sz w:val="17"/>
              </w:rPr>
              <w:t>Strong first stages for language/history/contiguity, but insignificant second stages; placebo empirical p = .435</w:t>
            </w:r>
          </w:p>
        </w:tc>
        <w:tc>
          <w:tcPr>
            <w:tcW w:w="3384" w:type="dxa"/>
          </w:tcPr>
          <w:p w14:paraId="2ED88935" w14:textId="77777777" w:rsidR="00837FDB" w:rsidRDefault="00000000">
            <w:pPr>
              <w:spacing w:after="0"/>
            </w:pPr>
            <w:r>
              <w:rPr>
                <w:sz w:val="17"/>
              </w:rPr>
              <w:t>Robustness checks do not recover a causal centrality effect</w:t>
            </w:r>
          </w:p>
        </w:tc>
      </w:tr>
      <w:tr w:rsidR="00837FDB" w14:paraId="66AAFBD4" w14:textId="77777777">
        <w:tc>
          <w:tcPr>
            <w:tcW w:w="1944" w:type="dxa"/>
          </w:tcPr>
          <w:p w14:paraId="63BD9C54" w14:textId="77777777" w:rsidR="00837FDB" w:rsidRDefault="00000000">
            <w:pPr>
              <w:spacing w:after="0"/>
            </w:pPr>
            <w:r>
              <w:rPr>
                <w:sz w:val="17"/>
              </w:rPr>
              <w:t>UNGA/WHO layers</w:t>
            </w:r>
          </w:p>
        </w:tc>
        <w:tc>
          <w:tcPr>
            <w:tcW w:w="3816" w:type="dxa"/>
          </w:tcPr>
          <w:p w14:paraId="7C23335B" w14:textId="77777777" w:rsidR="00837FDB" w:rsidRDefault="00000000">
            <w:pPr>
              <w:spacing w:after="0"/>
            </w:pPr>
            <w:r>
              <w:rPr>
                <w:sz w:val="17"/>
              </w:rPr>
              <w:t>UNGA density 0.151; WHO UHC/external expenditure usable; sparse IHR subseries</w:t>
            </w:r>
          </w:p>
        </w:tc>
        <w:tc>
          <w:tcPr>
            <w:tcW w:w="3384" w:type="dxa"/>
          </w:tcPr>
          <w:p w14:paraId="6D761906" w14:textId="77777777" w:rsidR="00837FDB" w:rsidRDefault="00000000">
            <w:pPr>
              <w:spacing w:after="0"/>
            </w:pPr>
            <w:r>
              <w:rPr>
                <w:sz w:val="17"/>
              </w:rPr>
              <w:t>Normative and institutional layers deepen the multiplex design</w:t>
            </w:r>
          </w:p>
        </w:tc>
      </w:tr>
    </w:tbl>
    <w:p w14:paraId="339DFF4D" w14:textId="77777777" w:rsidR="00E100CA" w:rsidRDefault="00000000">
      <w:pPr>
        <w:pStyle w:val="Balk1"/>
        <w:spacing w:before="160"/>
      </w:pPr>
      <w:r>
        <w:rPr>
          <w:rFonts w:ascii="Times New Roman" w:hAnsi="Times New Roman"/>
        </w:rPr>
        <w:t>4. Discussion</w:t>
      </w:r>
    </w:p>
    <w:p w14:paraId="318ACB1E" w14:textId="77777777" w:rsidR="00A77FB3" w:rsidRDefault="00A77FB3" w:rsidP="00A77FB3">
      <w:pPr>
        <w:pStyle w:val="isselectedend"/>
      </w:pPr>
      <w:proofErr w:type="spellStart"/>
      <w:r>
        <w:t>The</w:t>
      </w:r>
      <w:proofErr w:type="spellEnd"/>
      <w:r>
        <w:t xml:space="preserve"> </w:t>
      </w:r>
      <w:proofErr w:type="spellStart"/>
      <w:r>
        <w:t>findings</w:t>
      </w:r>
      <w:proofErr w:type="spellEnd"/>
      <w:r>
        <w:t xml:space="preserve"> </w:t>
      </w:r>
      <w:proofErr w:type="spellStart"/>
      <w:r>
        <w:t>point</w:t>
      </w:r>
      <w:proofErr w:type="spellEnd"/>
      <w:r>
        <w:t xml:space="preserve"> </w:t>
      </w:r>
      <w:proofErr w:type="spellStart"/>
      <w:r>
        <w:t>to</w:t>
      </w:r>
      <w:proofErr w:type="spellEnd"/>
      <w:r>
        <w:t xml:space="preserve"> </w:t>
      </w:r>
      <w:proofErr w:type="spellStart"/>
      <w:r>
        <w:t>the</w:t>
      </w:r>
      <w:proofErr w:type="spellEnd"/>
      <w:r>
        <w:t xml:space="preserve"> </w:t>
      </w:r>
      <w:proofErr w:type="spellStart"/>
      <w:r>
        <w:t>need</w:t>
      </w:r>
      <w:proofErr w:type="spellEnd"/>
      <w:r>
        <w:t xml:space="preserve"> </w:t>
      </w:r>
      <w:proofErr w:type="spellStart"/>
      <w:r>
        <w:t>for</w:t>
      </w:r>
      <w:proofErr w:type="spellEnd"/>
      <w:r>
        <w:t xml:space="preserve"> a </w:t>
      </w:r>
      <w:proofErr w:type="spellStart"/>
      <w:r>
        <w:t>distinction</w:t>
      </w:r>
      <w:proofErr w:type="spellEnd"/>
      <w:r>
        <w:t xml:space="preserve"> </w:t>
      </w:r>
      <w:proofErr w:type="spellStart"/>
      <w:r>
        <w:t>between</w:t>
      </w:r>
      <w:proofErr w:type="spellEnd"/>
      <w:r>
        <w:t xml:space="preserve"> </w:t>
      </w:r>
      <w:proofErr w:type="spellStart"/>
      <w:r>
        <w:t>relational</w:t>
      </w:r>
      <w:proofErr w:type="spellEnd"/>
      <w:r>
        <w:t xml:space="preserve"> </w:t>
      </w:r>
      <w:proofErr w:type="spellStart"/>
      <w:r>
        <w:t>integration</w:t>
      </w:r>
      <w:proofErr w:type="spellEnd"/>
      <w:r>
        <w:t xml:space="preserve"> </w:t>
      </w:r>
      <w:proofErr w:type="spellStart"/>
      <w:r>
        <w:t>and</w:t>
      </w:r>
      <w:proofErr w:type="spellEnd"/>
      <w:r>
        <w:t xml:space="preserve"> </w:t>
      </w:r>
      <w:proofErr w:type="spellStart"/>
      <w:r>
        <w:t>substantive</w:t>
      </w:r>
      <w:proofErr w:type="spellEnd"/>
      <w:r>
        <w:t xml:space="preserve"> </w:t>
      </w:r>
      <w:proofErr w:type="spellStart"/>
      <w:r>
        <w:t>equalization</w:t>
      </w:r>
      <w:proofErr w:type="spellEnd"/>
      <w:r>
        <w:t xml:space="preserve"> in global </w:t>
      </w:r>
      <w:proofErr w:type="spellStart"/>
      <w:r>
        <w:t>governance</w:t>
      </w:r>
      <w:proofErr w:type="spellEnd"/>
      <w:r>
        <w:t xml:space="preserve">. </w:t>
      </w:r>
      <w:proofErr w:type="spellStart"/>
      <w:r>
        <w:t>The</w:t>
      </w:r>
      <w:proofErr w:type="spellEnd"/>
      <w:r>
        <w:t xml:space="preserve"> temporal network </w:t>
      </w:r>
      <w:proofErr w:type="spellStart"/>
      <w:r>
        <w:t>evidence</w:t>
      </w:r>
      <w:proofErr w:type="spellEnd"/>
      <w:r>
        <w:t xml:space="preserve"> </w:t>
      </w:r>
      <w:proofErr w:type="spellStart"/>
      <w:r>
        <w:t>strongly</w:t>
      </w:r>
      <w:proofErr w:type="spellEnd"/>
      <w:r>
        <w:t xml:space="preserve"> </w:t>
      </w:r>
      <w:proofErr w:type="spellStart"/>
      <w:r>
        <w:t>supports</w:t>
      </w:r>
      <w:proofErr w:type="spellEnd"/>
      <w:r>
        <w:t xml:space="preserve"> </w:t>
      </w:r>
      <w:proofErr w:type="spellStart"/>
      <w:r>
        <w:t>the</w:t>
      </w:r>
      <w:proofErr w:type="spellEnd"/>
      <w:r>
        <w:t xml:space="preserve"> </w:t>
      </w:r>
      <w:proofErr w:type="spellStart"/>
      <w:r>
        <w:t>existence</w:t>
      </w:r>
      <w:proofErr w:type="spellEnd"/>
      <w:r>
        <w:t xml:space="preserve"> of </w:t>
      </w:r>
      <w:proofErr w:type="spellStart"/>
      <w:r>
        <w:t>relational</w:t>
      </w:r>
      <w:proofErr w:type="spellEnd"/>
      <w:r>
        <w:t xml:space="preserve"> </w:t>
      </w:r>
      <w:proofErr w:type="spellStart"/>
      <w:r>
        <w:t>integration</w:t>
      </w:r>
      <w:proofErr w:type="spellEnd"/>
      <w:r>
        <w:t xml:space="preserve">: </w:t>
      </w:r>
      <w:proofErr w:type="spellStart"/>
      <w:r>
        <w:t>the</w:t>
      </w:r>
      <w:proofErr w:type="spellEnd"/>
      <w:r>
        <w:t xml:space="preserve"> WDI-</w:t>
      </w:r>
      <w:proofErr w:type="spellStart"/>
      <w:r>
        <w:t>derived</w:t>
      </w:r>
      <w:proofErr w:type="spellEnd"/>
      <w:r>
        <w:t xml:space="preserve"> </w:t>
      </w:r>
      <w:proofErr w:type="spellStart"/>
      <w:r>
        <w:t>health-capacity</w:t>
      </w:r>
      <w:proofErr w:type="spellEnd"/>
      <w:r>
        <w:t xml:space="preserve"> network </w:t>
      </w:r>
      <w:proofErr w:type="spellStart"/>
      <w:r>
        <w:t>exhibits</w:t>
      </w:r>
      <w:proofErr w:type="spellEnd"/>
      <w:r>
        <w:t xml:space="preserve"> </w:t>
      </w:r>
      <w:proofErr w:type="spellStart"/>
      <w:r>
        <w:t>significant</w:t>
      </w:r>
      <w:proofErr w:type="spellEnd"/>
      <w:r>
        <w:t xml:space="preserve"> </w:t>
      </w:r>
      <w:proofErr w:type="spellStart"/>
      <w:r>
        <w:t>clustering</w:t>
      </w:r>
      <w:proofErr w:type="spellEnd"/>
      <w:r>
        <w:t xml:space="preserve">, </w:t>
      </w:r>
      <w:proofErr w:type="spellStart"/>
      <w:r>
        <w:t>persistence</w:t>
      </w:r>
      <w:proofErr w:type="spellEnd"/>
      <w:r>
        <w:t xml:space="preserve">, </w:t>
      </w:r>
      <w:proofErr w:type="spellStart"/>
      <w:r>
        <w:t>and</w:t>
      </w:r>
      <w:proofErr w:type="spellEnd"/>
      <w:r>
        <w:t xml:space="preserve"> </w:t>
      </w:r>
      <w:proofErr w:type="spellStart"/>
      <w:r>
        <w:t>connectivity</w:t>
      </w:r>
      <w:proofErr w:type="spellEnd"/>
      <w:r>
        <w:t xml:space="preserve"> </w:t>
      </w:r>
      <w:proofErr w:type="spellStart"/>
      <w:r>
        <w:t>across</w:t>
      </w:r>
      <w:proofErr w:type="spellEnd"/>
      <w:r>
        <w:t xml:space="preserve"> time, </w:t>
      </w:r>
      <w:proofErr w:type="spellStart"/>
      <w:r>
        <w:t>while</w:t>
      </w:r>
      <w:proofErr w:type="spellEnd"/>
      <w:r>
        <w:t xml:space="preserve"> </w:t>
      </w:r>
      <w:proofErr w:type="spellStart"/>
      <w:r>
        <w:t>the</w:t>
      </w:r>
      <w:proofErr w:type="spellEnd"/>
      <w:r>
        <w:t xml:space="preserve"> UNGA </w:t>
      </w:r>
      <w:proofErr w:type="spellStart"/>
      <w:r>
        <w:t>layer</w:t>
      </w:r>
      <w:proofErr w:type="spellEnd"/>
      <w:r>
        <w:t xml:space="preserve"> </w:t>
      </w:r>
      <w:proofErr w:type="spellStart"/>
      <w:r>
        <w:t>demonstrates</w:t>
      </w:r>
      <w:proofErr w:type="spellEnd"/>
      <w:r>
        <w:t xml:space="preserve"> </w:t>
      </w:r>
      <w:proofErr w:type="spellStart"/>
      <w:r>
        <w:t>that</w:t>
      </w:r>
      <w:proofErr w:type="spellEnd"/>
      <w:r>
        <w:t xml:space="preserve"> </w:t>
      </w:r>
      <w:proofErr w:type="spellStart"/>
      <w:r>
        <w:t>countries</w:t>
      </w:r>
      <w:proofErr w:type="spellEnd"/>
      <w:r>
        <w:t xml:space="preserve"> </w:t>
      </w:r>
      <w:proofErr w:type="spellStart"/>
      <w:r>
        <w:t>are</w:t>
      </w:r>
      <w:proofErr w:type="spellEnd"/>
      <w:r>
        <w:t xml:space="preserve"> </w:t>
      </w:r>
      <w:proofErr w:type="spellStart"/>
      <w:r>
        <w:t>embedded</w:t>
      </w:r>
      <w:proofErr w:type="spellEnd"/>
      <w:r>
        <w:t xml:space="preserve"> </w:t>
      </w:r>
      <w:proofErr w:type="spellStart"/>
      <w:r>
        <w:t>within</w:t>
      </w:r>
      <w:proofErr w:type="spellEnd"/>
      <w:r>
        <w:t xml:space="preserve"> a </w:t>
      </w:r>
      <w:proofErr w:type="spellStart"/>
      <w:r>
        <w:t>structured</w:t>
      </w:r>
      <w:proofErr w:type="spellEnd"/>
      <w:r>
        <w:t xml:space="preserve"> </w:t>
      </w:r>
      <w:proofErr w:type="spellStart"/>
      <w:r>
        <w:t>space</w:t>
      </w:r>
      <w:proofErr w:type="spellEnd"/>
      <w:r>
        <w:t xml:space="preserve"> of </w:t>
      </w:r>
      <w:proofErr w:type="spellStart"/>
      <w:r>
        <w:t>normative</w:t>
      </w:r>
      <w:proofErr w:type="spellEnd"/>
      <w:r>
        <w:t xml:space="preserve"> </w:t>
      </w:r>
      <w:proofErr w:type="spellStart"/>
      <w:r>
        <w:t>alignment</w:t>
      </w:r>
      <w:proofErr w:type="spellEnd"/>
      <w:r>
        <w:t xml:space="preserve">. </w:t>
      </w:r>
      <w:proofErr w:type="spellStart"/>
      <w:r>
        <w:t>These</w:t>
      </w:r>
      <w:proofErr w:type="spellEnd"/>
      <w:r>
        <w:t xml:space="preserve"> </w:t>
      </w:r>
      <w:proofErr w:type="spellStart"/>
      <w:r>
        <w:t>patterns</w:t>
      </w:r>
      <w:proofErr w:type="spellEnd"/>
      <w:r>
        <w:t xml:space="preserve"> </w:t>
      </w:r>
      <w:proofErr w:type="spellStart"/>
      <w:r>
        <w:t>are</w:t>
      </w:r>
      <w:proofErr w:type="spellEnd"/>
      <w:r>
        <w:t xml:space="preserve"> </w:t>
      </w:r>
      <w:proofErr w:type="spellStart"/>
      <w:r>
        <w:t>clearly</w:t>
      </w:r>
      <w:proofErr w:type="spellEnd"/>
      <w:r>
        <w:t xml:space="preserve"> </w:t>
      </w:r>
      <w:proofErr w:type="spellStart"/>
      <w:r>
        <w:t>non-random</w:t>
      </w:r>
      <w:proofErr w:type="spellEnd"/>
      <w:r>
        <w:t xml:space="preserve"> </w:t>
      </w:r>
      <w:proofErr w:type="spellStart"/>
      <w:r>
        <w:t>and</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logic</w:t>
      </w:r>
      <w:proofErr w:type="spellEnd"/>
      <w:r>
        <w:t xml:space="preserve"> of </w:t>
      </w:r>
      <w:proofErr w:type="spellStart"/>
      <w:r>
        <w:t>multiplex</w:t>
      </w:r>
      <w:proofErr w:type="spellEnd"/>
      <w:r>
        <w:t xml:space="preserve"> </w:t>
      </w:r>
      <w:proofErr w:type="spellStart"/>
      <w:r>
        <w:t>governance</w:t>
      </w:r>
      <w:proofErr w:type="spellEnd"/>
      <w:r>
        <w:t xml:space="preserve"> as a </w:t>
      </w:r>
      <w:proofErr w:type="spellStart"/>
      <w:r>
        <w:t>system</w:t>
      </w:r>
      <w:proofErr w:type="spellEnd"/>
      <w:r>
        <w:t xml:space="preserve"> of </w:t>
      </w:r>
      <w:proofErr w:type="spellStart"/>
      <w:r>
        <w:t>overlapping</w:t>
      </w:r>
      <w:proofErr w:type="spellEnd"/>
      <w:r>
        <w:t xml:space="preserve"> </w:t>
      </w:r>
      <w:proofErr w:type="spellStart"/>
      <w:r>
        <w:t>institutions</w:t>
      </w:r>
      <w:proofErr w:type="spellEnd"/>
      <w:r>
        <w:t xml:space="preserve"> </w:t>
      </w:r>
      <w:proofErr w:type="spellStart"/>
      <w:r>
        <w:t>and</w:t>
      </w:r>
      <w:proofErr w:type="spellEnd"/>
      <w:r>
        <w:t xml:space="preserve"> dense, </w:t>
      </w:r>
      <w:proofErr w:type="spellStart"/>
      <w:r>
        <w:t>multi-layered</w:t>
      </w:r>
      <w:proofErr w:type="spellEnd"/>
      <w:r>
        <w:t xml:space="preserve"> </w:t>
      </w:r>
      <w:proofErr w:type="spellStart"/>
      <w:r>
        <w:t>interaction</w:t>
      </w:r>
      <w:proofErr w:type="spellEnd"/>
      <w:r>
        <w:t>.</w:t>
      </w:r>
    </w:p>
    <w:p w14:paraId="349EFEA3" w14:textId="77777777" w:rsidR="00A77FB3" w:rsidRDefault="00A77FB3" w:rsidP="00A77FB3">
      <w:pPr>
        <w:pStyle w:val="isselectedend"/>
      </w:pPr>
      <w:r>
        <w:t xml:space="preserve">At </w:t>
      </w:r>
      <w:proofErr w:type="spellStart"/>
      <w:r>
        <w:t>the</w:t>
      </w:r>
      <w:proofErr w:type="spellEnd"/>
      <w:r>
        <w:t xml:space="preserve"> </w:t>
      </w:r>
      <w:proofErr w:type="spellStart"/>
      <w:r>
        <w:t>same</w:t>
      </w:r>
      <w:proofErr w:type="spellEnd"/>
      <w:r>
        <w:t xml:space="preserve"> time, </w:t>
      </w:r>
      <w:proofErr w:type="spellStart"/>
      <w:r>
        <w:t>the</w:t>
      </w:r>
      <w:proofErr w:type="spellEnd"/>
      <w:r>
        <w:t xml:space="preserve"> </w:t>
      </w:r>
      <w:proofErr w:type="spellStart"/>
      <w:r>
        <w:t>results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relational</w:t>
      </w:r>
      <w:proofErr w:type="spellEnd"/>
      <w:r>
        <w:t xml:space="preserve"> </w:t>
      </w:r>
      <w:proofErr w:type="spellStart"/>
      <w:r>
        <w:t>integration</w:t>
      </w:r>
      <w:proofErr w:type="spellEnd"/>
      <w:r>
        <w:t xml:space="preserve"> </w:t>
      </w:r>
      <w:proofErr w:type="spellStart"/>
      <w:r>
        <w:t>does</w:t>
      </w:r>
      <w:proofErr w:type="spellEnd"/>
      <w:r>
        <w:t xml:space="preserve"> not </w:t>
      </w:r>
      <w:proofErr w:type="spellStart"/>
      <w:r>
        <w:t>automatically</w:t>
      </w:r>
      <w:proofErr w:type="spellEnd"/>
      <w:r>
        <w:t xml:space="preserve"> </w:t>
      </w:r>
      <w:proofErr w:type="spellStart"/>
      <w:r>
        <w:t>generate</w:t>
      </w:r>
      <w:proofErr w:type="spellEnd"/>
      <w:r>
        <w:t xml:space="preserve"> </w:t>
      </w:r>
      <w:proofErr w:type="spellStart"/>
      <w:r>
        <w:t>substantive</w:t>
      </w:r>
      <w:proofErr w:type="spellEnd"/>
      <w:r>
        <w:t xml:space="preserve"> </w:t>
      </w:r>
      <w:proofErr w:type="spellStart"/>
      <w:r>
        <w:t>equalization</w:t>
      </w:r>
      <w:proofErr w:type="spellEnd"/>
      <w:r>
        <w:t xml:space="preserve">. </w:t>
      </w:r>
      <w:proofErr w:type="spellStart"/>
      <w:r>
        <w:t>Across</w:t>
      </w:r>
      <w:proofErr w:type="spellEnd"/>
      <w:r>
        <w:t xml:space="preserve"> </w:t>
      </w:r>
      <w:proofErr w:type="spellStart"/>
      <w:r>
        <w:t>dynamic</w:t>
      </w:r>
      <w:proofErr w:type="spellEnd"/>
      <w:r>
        <w:t xml:space="preserve"> </w:t>
      </w:r>
      <w:proofErr w:type="spellStart"/>
      <w:r>
        <w:t>System</w:t>
      </w:r>
      <w:proofErr w:type="spellEnd"/>
      <w:r>
        <w:t xml:space="preserve"> GMM </w:t>
      </w:r>
      <w:proofErr w:type="spellStart"/>
      <w:r>
        <w:t>estimations</w:t>
      </w:r>
      <w:proofErr w:type="spellEnd"/>
      <w:r>
        <w:t xml:space="preserve">, </w:t>
      </w:r>
      <w:proofErr w:type="spellStart"/>
      <w:r>
        <w:t>instrumental-variable</w:t>
      </w:r>
      <w:proofErr w:type="spellEnd"/>
      <w:r>
        <w:t xml:space="preserve"> </w:t>
      </w:r>
      <w:proofErr w:type="spellStart"/>
      <w:r>
        <w:t>models</w:t>
      </w:r>
      <w:proofErr w:type="spellEnd"/>
      <w:r>
        <w:t xml:space="preserve">, </w:t>
      </w:r>
      <w:proofErr w:type="spellStart"/>
      <w:r>
        <w:t>mechanism</w:t>
      </w:r>
      <w:proofErr w:type="spellEnd"/>
      <w:r>
        <w:t xml:space="preserve"> </w:t>
      </w:r>
      <w:proofErr w:type="spellStart"/>
      <w:r>
        <w:t>tests</w:t>
      </w:r>
      <w:proofErr w:type="spellEnd"/>
      <w:r>
        <w:t xml:space="preserve">, </w:t>
      </w:r>
      <w:proofErr w:type="spellStart"/>
      <w:r>
        <w:t>and</w:t>
      </w:r>
      <w:proofErr w:type="spellEnd"/>
      <w:r>
        <w:t xml:space="preserve"> </w:t>
      </w:r>
      <w:proofErr w:type="spellStart"/>
      <w:r>
        <w:t>placebo</w:t>
      </w:r>
      <w:proofErr w:type="spellEnd"/>
      <w:r>
        <w:t xml:space="preserve"> </w:t>
      </w:r>
      <w:proofErr w:type="spellStart"/>
      <w:r>
        <w:t>simulations</w:t>
      </w:r>
      <w:proofErr w:type="spellEnd"/>
      <w:r>
        <w:t xml:space="preserve">, </w:t>
      </w:r>
      <w:proofErr w:type="spellStart"/>
      <w:r>
        <w:t>lagged</w:t>
      </w:r>
      <w:proofErr w:type="spellEnd"/>
      <w:r>
        <w:t xml:space="preserve"> network </w:t>
      </w:r>
      <w:proofErr w:type="spellStart"/>
      <w:r>
        <w:t>centrality</w:t>
      </w:r>
      <w:proofErr w:type="spellEnd"/>
      <w:r>
        <w:t xml:space="preserve"> </w:t>
      </w:r>
      <w:proofErr w:type="spellStart"/>
      <w:r>
        <w:t>fails</w:t>
      </w:r>
      <w:proofErr w:type="spellEnd"/>
      <w:r>
        <w:t xml:space="preserve"> </w:t>
      </w:r>
      <w:proofErr w:type="spellStart"/>
      <w:r>
        <w:t>to</w:t>
      </w:r>
      <w:proofErr w:type="spellEnd"/>
      <w:r>
        <w:t xml:space="preserve"> </w:t>
      </w:r>
      <w:proofErr w:type="spellStart"/>
      <w:r>
        <w:t>exert</w:t>
      </w:r>
      <w:proofErr w:type="spellEnd"/>
      <w:r>
        <w:t xml:space="preserve"> a </w:t>
      </w:r>
      <w:proofErr w:type="spellStart"/>
      <w:r>
        <w:t>robust</w:t>
      </w:r>
      <w:proofErr w:type="spellEnd"/>
      <w:r>
        <w:t xml:space="preserve"> </w:t>
      </w:r>
      <w:proofErr w:type="spellStart"/>
      <w:r>
        <w:t>independent</w:t>
      </w:r>
      <w:proofErr w:type="spellEnd"/>
      <w:r>
        <w:t xml:space="preserve"> </w:t>
      </w:r>
      <w:proofErr w:type="spellStart"/>
      <w:r>
        <w:t>effect</w:t>
      </w:r>
      <w:proofErr w:type="spellEnd"/>
      <w:r>
        <w:t xml:space="preserve"> on life </w:t>
      </w:r>
      <w:proofErr w:type="spellStart"/>
      <w:r>
        <w:t>expectancy</w:t>
      </w:r>
      <w:proofErr w:type="spellEnd"/>
      <w:r>
        <w:t xml:space="preserve"> </w:t>
      </w:r>
      <w:proofErr w:type="spellStart"/>
      <w:r>
        <w:t>once</w:t>
      </w:r>
      <w:proofErr w:type="spellEnd"/>
      <w:r>
        <w:t xml:space="preserve"> </w:t>
      </w:r>
      <w:proofErr w:type="spellStart"/>
      <w:r>
        <w:t>structural</w:t>
      </w:r>
      <w:proofErr w:type="spellEnd"/>
      <w:r>
        <w:t xml:space="preserve"> </w:t>
      </w:r>
      <w:proofErr w:type="spellStart"/>
      <w:r>
        <w:t>controls</w:t>
      </w:r>
      <w:proofErr w:type="spellEnd"/>
      <w:r>
        <w:t xml:space="preserve"> </w:t>
      </w:r>
      <w:proofErr w:type="spellStart"/>
      <w:r>
        <w:t>are</w:t>
      </w:r>
      <w:proofErr w:type="spellEnd"/>
      <w:r>
        <w:t xml:space="preserve"> </w:t>
      </w:r>
      <w:proofErr w:type="spellStart"/>
      <w:r>
        <w:t>incorporated</w:t>
      </w:r>
      <w:proofErr w:type="spellEnd"/>
      <w:r>
        <w:t xml:space="preserve">. </w:t>
      </w:r>
      <w:proofErr w:type="spellStart"/>
      <w:r>
        <w:t>The</w:t>
      </w:r>
      <w:proofErr w:type="spellEnd"/>
      <w:r>
        <w:t xml:space="preserve"> </w:t>
      </w:r>
      <w:proofErr w:type="spellStart"/>
      <w:r>
        <w:t>absence</w:t>
      </w:r>
      <w:proofErr w:type="spellEnd"/>
      <w:r>
        <w:t xml:space="preserve"> of an </w:t>
      </w:r>
      <w:proofErr w:type="spellStart"/>
      <w:r>
        <w:t>equalizing</w:t>
      </w:r>
      <w:proofErr w:type="spellEnd"/>
      <w:r>
        <w:t xml:space="preserve"> </w:t>
      </w:r>
      <w:proofErr w:type="spellStart"/>
      <w:r>
        <w:t>effect</w:t>
      </w:r>
      <w:proofErr w:type="spellEnd"/>
      <w:r>
        <w:t xml:space="preserve"> </w:t>
      </w:r>
      <w:proofErr w:type="spellStart"/>
      <w:r>
        <w:t>does</w:t>
      </w:r>
      <w:proofErr w:type="spellEnd"/>
      <w:r>
        <w:t xml:space="preserve"> not </w:t>
      </w:r>
      <w:proofErr w:type="spellStart"/>
      <w:r>
        <w:t>imply</w:t>
      </w:r>
      <w:proofErr w:type="spellEnd"/>
      <w:r>
        <w:t xml:space="preserve"> </w:t>
      </w:r>
      <w:proofErr w:type="spellStart"/>
      <w:r>
        <w:t>that</w:t>
      </w:r>
      <w:proofErr w:type="spellEnd"/>
      <w:r>
        <w:t xml:space="preserve"> </w:t>
      </w:r>
      <w:proofErr w:type="spellStart"/>
      <w:r>
        <w:t>networks</w:t>
      </w:r>
      <w:proofErr w:type="spellEnd"/>
      <w:r>
        <w:t xml:space="preserve"> </w:t>
      </w:r>
      <w:proofErr w:type="spellStart"/>
      <w:r>
        <w:t>are</w:t>
      </w:r>
      <w:proofErr w:type="spellEnd"/>
      <w:r>
        <w:t xml:space="preserve"> </w:t>
      </w:r>
      <w:proofErr w:type="spellStart"/>
      <w:r>
        <w:t>irrelevant</w:t>
      </w:r>
      <w:proofErr w:type="spellEnd"/>
      <w:r>
        <w:t xml:space="preserve">. </w:t>
      </w:r>
      <w:proofErr w:type="spellStart"/>
      <w:r>
        <w:t>Rather</w:t>
      </w:r>
      <w:proofErr w:type="spellEnd"/>
      <w:r>
        <w:t xml:space="preserve">, it </w:t>
      </w:r>
      <w:proofErr w:type="spellStart"/>
      <w:r>
        <w:t>suggests</w:t>
      </w:r>
      <w:proofErr w:type="spellEnd"/>
      <w:r>
        <w:t xml:space="preserve"> </w:t>
      </w:r>
      <w:proofErr w:type="spellStart"/>
      <w:r>
        <w:t>that</w:t>
      </w:r>
      <w:proofErr w:type="spellEnd"/>
      <w:r>
        <w:t xml:space="preserve"> </w:t>
      </w:r>
      <w:proofErr w:type="spellStart"/>
      <w:r>
        <w:t>multiplex</w:t>
      </w:r>
      <w:proofErr w:type="spellEnd"/>
      <w:r>
        <w:t xml:space="preserve"> </w:t>
      </w:r>
      <w:proofErr w:type="spellStart"/>
      <w:r>
        <w:t>governance</w:t>
      </w:r>
      <w:proofErr w:type="spellEnd"/>
      <w:r>
        <w:t xml:space="preserve"> </w:t>
      </w:r>
      <w:proofErr w:type="spellStart"/>
      <w:r>
        <w:t>primarily</w:t>
      </w:r>
      <w:proofErr w:type="spellEnd"/>
      <w:r>
        <w:t xml:space="preserve"> </w:t>
      </w:r>
      <w:proofErr w:type="spellStart"/>
      <w:r>
        <w:t>structures</w:t>
      </w:r>
      <w:proofErr w:type="spellEnd"/>
      <w:r>
        <w:t xml:space="preserve"> </w:t>
      </w:r>
      <w:proofErr w:type="spellStart"/>
      <w:r>
        <w:t>interaction</w:t>
      </w:r>
      <w:proofErr w:type="spellEnd"/>
      <w:r>
        <w:t xml:space="preserve">, </w:t>
      </w:r>
      <w:proofErr w:type="spellStart"/>
      <w:r>
        <w:t>visibility</w:t>
      </w:r>
      <w:proofErr w:type="spellEnd"/>
      <w:r>
        <w:t xml:space="preserve">, </w:t>
      </w:r>
      <w:proofErr w:type="spellStart"/>
      <w:r>
        <w:t>coordination</w:t>
      </w:r>
      <w:proofErr w:type="spellEnd"/>
      <w:r>
        <w:t xml:space="preserve">, </w:t>
      </w:r>
      <w:proofErr w:type="spellStart"/>
      <w:r>
        <w:t>and</w:t>
      </w:r>
      <w:proofErr w:type="spellEnd"/>
      <w:r>
        <w:t xml:space="preserve"> </w:t>
      </w:r>
      <w:proofErr w:type="spellStart"/>
      <w:r>
        <w:t>relational</w:t>
      </w:r>
      <w:proofErr w:type="spellEnd"/>
      <w:r>
        <w:t xml:space="preserve"> </w:t>
      </w:r>
      <w:proofErr w:type="spellStart"/>
      <w:r>
        <w:t>embeddedness</w:t>
      </w:r>
      <w:proofErr w:type="spellEnd"/>
      <w:r>
        <w:t xml:space="preserve"> </w:t>
      </w:r>
      <w:proofErr w:type="spellStart"/>
      <w:r>
        <w:t>without</w:t>
      </w:r>
      <w:proofErr w:type="spellEnd"/>
      <w:r>
        <w:t xml:space="preserve"> </w:t>
      </w:r>
      <w:proofErr w:type="spellStart"/>
      <w:r>
        <w:t>necessarily</w:t>
      </w:r>
      <w:proofErr w:type="spellEnd"/>
      <w:r>
        <w:t xml:space="preserve"> </w:t>
      </w:r>
      <w:proofErr w:type="spellStart"/>
      <w:r>
        <w:t>redistributing</w:t>
      </w:r>
      <w:proofErr w:type="spellEnd"/>
      <w:r>
        <w:t xml:space="preserve"> </w:t>
      </w:r>
      <w:proofErr w:type="spellStart"/>
      <w:r>
        <w:t>the</w:t>
      </w:r>
      <w:proofErr w:type="spellEnd"/>
      <w:r>
        <w:t xml:space="preserve"> </w:t>
      </w:r>
      <w:proofErr w:type="spellStart"/>
      <w:r>
        <w:t>underlying</w:t>
      </w:r>
      <w:proofErr w:type="spellEnd"/>
      <w:r>
        <w:t xml:space="preserve"> </w:t>
      </w:r>
      <w:proofErr w:type="spellStart"/>
      <w:r>
        <w:t>capacities</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substantive</w:t>
      </w:r>
      <w:proofErr w:type="spellEnd"/>
      <w:r>
        <w:t xml:space="preserve"> </w:t>
      </w:r>
      <w:proofErr w:type="spellStart"/>
      <w:r>
        <w:t>convergence</w:t>
      </w:r>
      <w:proofErr w:type="spellEnd"/>
      <w:r>
        <w:t xml:space="preserve"> in </w:t>
      </w:r>
      <w:proofErr w:type="spellStart"/>
      <w:r>
        <w:t>outcomes</w:t>
      </w:r>
      <w:proofErr w:type="spellEnd"/>
      <w:r>
        <w:t>.</w:t>
      </w:r>
    </w:p>
    <w:p w14:paraId="529B8AA8" w14:textId="77777777" w:rsidR="00A77FB3" w:rsidRDefault="00A77FB3" w:rsidP="00A77FB3">
      <w:pPr>
        <w:pStyle w:val="isselectedend"/>
      </w:pPr>
      <w:proofErr w:type="spellStart"/>
      <w:r>
        <w:t>This</w:t>
      </w:r>
      <w:proofErr w:type="spellEnd"/>
      <w:r>
        <w:t xml:space="preserve"> </w:t>
      </w:r>
      <w:proofErr w:type="spellStart"/>
      <w:r>
        <w:t>interpretation</w:t>
      </w:r>
      <w:proofErr w:type="spellEnd"/>
      <w:r>
        <w:t xml:space="preserve"> </w:t>
      </w:r>
      <w:proofErr w:type="spellStart"/>
      <w:r>
        <w:t>speaks</w:t>
      </w:r>
      <w:proofErr w:type="spellEnd"/>
      <w:r>
        <w:t xml:space="preserve"> </w:t>
      </w:r>
      <w:proofErr w:type="spellStart"/>
      <w:r>
        <w:t>directly</w:t>
      </w:r>
      <w:proofErr w:type="spellEnd"/>
      <w:r>
        <w:t xml:space="preserve"> </w:t>
      </w:r>
      <w:proofErr w:type="spellStart"/>
      <w:r>
        <w:t>to</w:t>
      </w:r>
      <w:proofErr w:type="spellEnd"/>
      <w:r>
        <w:t xml:space="preserve"> </w:t>
      </w:r>
      <w:proofErr w:type="spellStart"/>
      <w:r>
        <w:t>broader</w:t>
      </w:r>
      <w:proofErr w:type="spellEnd"/>
      <w:r>
        <w:t xml:space="preserve"> </w:t>
      </w:r>
      <w:proofErr w:type="spellStart"/>
      <w:r>
        <w:t>debates</w:t>
      </w:r>
      <w:proofErr w:type="spellEnd"/>
      <w:r>
        <w:t xml:space="preserve"> on </w:t>
      </w:r>
      <w:proofErr w:type="spellStart"/>
      <w:r>
        <w:t>fragmentation</w:t>
      </w:r>
      <w:proofErr w:type="spellEnd"/>
      <w:r>
        <w:t xml:space="preserve"> in global </w:t>
      </w:r>
      <w:proofErr w:type="spellStart"/>
      <w:r>
        <w:t>governance</w:t>
      </w:r>
      <w:proofErr w:type="spellEnd"/>
      <w:r>
        <w:t xml:space="preserve">. </w:t>
      </w:r>
      <w:proofErr w:type="spellStart"/>
      <w:r>
        <w:t>Fragmentation</w:t>
      </w:r>
      <w:proofErr w:type="spellEnd"/>
      <w:r>
        <w:t xml:space="preserve"> is </w:t>
      </w:r>
      <w:proofErr w:type="spellStart"/>
      <w:r>
        <w:t>frequently</w:t>
      </w:r>
      <w:proofErr w:type="spellEnd"/>
      <w:r>
        <w:t xml:space="preserve"> </w:t>
      </w:r>
      <w:proofErr w:type="spellStart"/>
      <w:r>
        <w:t>understood</w:t>
      </w:r>
      <w:proofErr w:type="spellEnd"/>
      <w:r>
        <w:t xml:space="preserve"> in </w:t>
      </w:r>
      <w:proofErr w:type="spellStart"/>
      <w:r>
        <w:t>terms</w:t>
      </w:r>
      <w:proofErr w:type="spellEnd"/>
      <w:r>
        <w:t xml:space="preserve"> of </w:t>
      </w:r>
      <w:proofErr w:type="spellStart"/>
      <w:r>
        <w:t>institutional</w:t>
      </w:r>
      <w:proofErr w:type="spellEnd"/>
      <w:r>
        <w:t xml:space="preserve"> </w:t>
      </w:r>
      <w:proofErr w:type="spellStart"/>
      <w:r>
        <w:t>overlap</w:t>
      </w:r>
      <w:proofErr w:type="spellEnd"/>
      <w:r>
        <w:t xml:space="preserve">, </w:t>
      </w:r>
      <w:proofErr w:type="spellStart"/>
      <w:r>
        <w:t>coordination</w:t>
      </w:r>
      <w:proofErr w:type="spellEnd"/>
      <w:r>
        <w:t xml:space="preserve"> </w:t>
      </w:r>
      <w:proofErr w:type="spellStart"/>
      <w:r>
        <w:t>failure</w:t>
      </w:r>
      <w:proofErr w:type="spellEnd"/>
      <w:r>
        <w:t xml:space="preserve">, </w:t>
      </w:r>
      <w:proofErr w:type="spellStart"/>
      <w:r>
        <w:t>or</w:t>
      </w:r>
      <w:proofErr w:type="spellEnd"/>
      <w:r>
        <w:t xml:space="preserve"> </w:t>
      </w:r>
      <w:proofErr w:type="spellStart"/>
      <w:r>
        <w:t>organizational</w:t>
      </w:r>
      <w:proofErr w:type="spellEnd"/>
      <w:r>
        <w:t xml:space="preserve"> </w:t>
      </w:r>
      <w:proofErr w:type="spellStart"/>
      <w:r>
        <w:t>complexity</w:t>
      </w:r>
      <w:proofErr w:type="spellEnd"/>
      <w:r>
        <w:t xml:space="preserve">. </w:t>
      </w:r>
      <w:proofErr w:type="spellStart"/>
      <w:r>
        <w:t>The</w:t>
      </w:r>
      <w:proofErr w:type="spellEnd"/>
      <w:r>
        <w:t xml:space="preserve"> </w:t>
      </w:r>
      <w:proofErr w:type="spellStart"/>
      <w:r>
        <w:t>findings</w:t>
      </w:r>
      <w:proofErr w:type="spellEnd"/>
      <w:r>
        <w:t xml:space="preserve"> </w:t>
      </w:r>
      <w:proofErr w:type="spellStart"/>
      <w:r>
        <w:t>presented</w:t>
      </w:r>
      <w:proofErr w:type="spellEnd"/>
      <w:r>
        <w:t xml:space="preserve"> here </w:t>
      </w:r>
      <w:proofErr w:type="spellStart"/>
      <w:r>
        <w:t>suggest</w:t>
      </w:r>
      <w:proofErr w:type="spellEnd"/>
      <w:r>
        <w:t xml:space="preserve"> a </w:t>
      </w:r>
      <w:proofErr w:type="spellStart"/>
      <w:r>
        <w:t>more</w:t>
      </w:r>
      <w:proofErr w:type="spellEnd"/>
      <w:r>
        <w:t xml:space="preserve"> </w:t>
      </w:r>
      <w:proofErr w:type="spellStart"/>
      <w:r>
        <w:t>subtle</w:t>
      </w:r>
      <w:proofErr w:type="spellEnd"/>
      <w:r>
        <w:t xml:space="preserve"> </w:t>
      </w:r>
      <w:proofErr w:type="spellStart"/>
      <w:r>
        <w:t>and</w:t>
      </w:r>
      <w:proofErr w:type="spellEnd"/>
      <w:r>
        <w:t xml:space="preserve"> </w:t>
      </w:r>
      <w:proofErr w:type="spellStart"/>
      <w:r>
        <w:t>consequential</w:t>
      </w:r>
      <w:proofErr w:type="spellEnd"/>
      <w:r>
        <w:t xml:space="preserve"> form of </w:t>
      </w:r>
      <w:proofErr w:type="spellStart"/>
      <w:r>
        <w:t>fragmentation</w:t>
      </w:r>
      <w:proofErr w:type="spellEnd"/>
      <w:r>
        <w:t xml:space="preserve">: a </w:t>
      </w:r>
      <w:proofErr w:type="spellStart"/>
      <w:r>
        <w:t>governance</w:t>
      </w:r>
      <w:proofErr w:type="spellEnd"/>
      <w:r>
        <w:t xml:space="preserve"> </w:t>
      </w:r>
      <w:proofErr w:type="spellStart"/>
      <w:r>
        <w:t>system</w:t>
      </w:r>
      <w:proofErr w:type="spellEnd"/>
      <w:r>
        <w:t xml:space="preserve"> </w:t>
      </w:r>
      <w:proofErr w:type="spellStart"/>
      <w:r>
        <w:t>may</w:t>
      </w:r>
      <w:proofErr w:type="spellEnd"/>
      <w:r>
        <w:t xml:space="preserve"> be </w:t>
      </w:r>
      <w:proofErr w:type="spellStart"/>
      <w:r>
        <w:t>densely</w:t>
      </w:r>
      <w:proofErr w:type="spellEnd"/>
      <w:r>
        <w:t xml:space="preserve"> </w:t>
      </w:r>
      <w:proofErr w:type="spellStart"/>
      <w:r>
        <w:t>connected</w:t>
      </w:r>
      <w:proofErr w:type="spellEnd"/>
      <w:r>
        <w:t xml:space="preserve">, </w:t>
      </w:r>
      <w:proofErr w:type="spellStart"/>
      <w:r>
        <w:t>normatively</w:t>
      </w:r>
      <w:proofErr w:type="spellEnd"/>
      <w:r>
        <w:t xml:space="preserve"> </w:t>
      </w:r>
      <w:proofErr w:type="spellStart"/>
      <w:r>
        <w:t>aligned</w:t>
      </w:r>
      <w:proofErr w:type="spellEnd"/>
      <w:r>
        <w:t xml:space="preserve">, </w:t>
      </w:r>
      <w:proofErr w:type="spellStart"/>
      <w:r>
        <w:t>and</w:t>
      </w:r>
      <w:proofErr w:type="spellEnd"/>
      <w:r>
        <w:t xml:space="preserve"> </w:t>
      </w:r>
      <w:proofErr w:type="spellStart"/>
      <w:r>
        <w:t>organizationally</w:t>
      </w:r>
      <w:proofErr w:type="spellEnd"/>
      <w:r>
        <w:t xml:space="preserve"> </w:t>
      </w:r>
      <w:proofErr w:type="spellStart"/>
      <w:r>
        <w:t>integrated</w:t>
      </w:r>
      <w:proofErr w:type="spellEnd"/>
      <w:r>
        <w:t xml:space="preserve"> </w:t>
      </w:r>
      <w:proofErr w:type="spellStart"/>
      <w:r>
        <w:t>while</w:t>
      </w:r>
      <w:proofErr w:type="spellEnd"/>
      <w:r>
        <w:t xml:space="preserve"> </w:t>
      </w:r>
      <w:proofErr w:type="spellStart"/>
      <w:r>
        <w:t>remaining</w:t>
      </w:r>
      <w:proofErr w:type="spellEnd"/>
      <w:r>
        <w:t xml:space="preserve"> </w:t>
      </w:r>
      <w:proofErr w:type="spellStart"/>
      <w:r>
        <w:t>structurally</w:t>
      </w:r>
      <w:proofErr w:type="spellEnd"/>
      <w:r>
        <w:t xml:space="preserve"> </w:t>
      </w:r>
      <w:proofErr w:type="spellStart"/>
      <w:r>
        <w:t>fragmented</w:t>
      </w:r>
      <w:proofErr w:type="spellEnd"/>
      <w:r>
        <w:t xml:space="preserve"> in </w:t>
      </w:r>
      <w:proofErr w:type="spellStart"/>
      <w:r>
        <w:t>its</w:t>
      </w:r>
      <w:proofErr w:type="spellEnd"/>
      <w:r>
        <w:t xml:space="preserve"> </w:t>
      </w:r>
      <w:proofErr w:type="spellStart"/>
      <w:r>
        <w:t>distributive</w:t>
      </w:r>
      <w:proofErr w:type="spellEnd"/>
      <w:r>
        <w:t xml:space="preserve"> </w:t>
      </w:r>
      <w:proofErr w:type="spellStart"/>
      <w:r>
        <w:lastRenderedPageBreak/>
        <w:t>consequences</w:t>
      </w:r>
      <w:proofErr w:type="spellEnd"/>
      <w:r>
        <w:t xml:space="preserve">. </w:t>
      </w:r>
      <w:proofErr w:type="spellStart"/>
      <w:r>
        <w:t>Multiplexity</w:t>
      </w:r>
      <w:proofErr w:type="spellEnd"/>
      <w:r>
        <w:t xml:space="preserve"> </w:t>
      </w:r>
      <w:proofErr w:type="spellStart"/>
      <w:r>
        <w:t>may</w:t>
      </w:r>
      <w:proofErr w:type="spellEnd"/>
      <w:r>
        <w:t xml:space="preserve"> </w:t>
      </w:r>
      <w:proofErr w:type="spellStart"/>
      <w:r>
        <w:t>therefore</w:t>
      </w:r>
      <w:proofErr w:type="spellEnd"/>
      <w:r>
        <w:t xml:space="preserve"> </w:t>
      </w:r>
      <w:proofErr w:type="spellStart"/>
      <w:r>
        <w:t>intensify</w:t>
      </w:r>
      <w:proofErr w:type="spellEnd"/>
      <w:r>
        <w:t xml:space="preserve"> </w:t>
      </w:r>
      <w:proofErr w:type="spellStart"/>
      <w:r>
        <w:t>interaction</w:t>
      </w:r>
      <w:proofErr w:type="spellEnd"/>
      <w:r>
        <w:t xml:space="preserve"> </w:t>
      </w:r>
      <w:proofErr w:type="spellStart"/>
      <w:r>
        <w:t>without</w:t>
      </w:r>
      <w:proofErr w:type="spellEnd"/>
      <w:r>
        <w:t xml:space="preserve"> </w:t>
      </w:r>
      <w:proofErr w:type="spellStart"/>
      <w:r>
        <w:t>altering</w:t>
      </w:r>
      <w:proofErr w:type="spellEnd"/>
      <w:r>
        <w:t xml:space="preserve"> </w:t>
      </w:r>
      <w:proofErr w:type="spellStart"/>
      <w:r>
        <w:t>the</w:t>
      </w:r>
      <w:proofErr w:type="spellEnd"/>
      <w:r>
        <w:t xml:space="preserve"> </w:t>
      </w:r>
      <w:proofErr w:type="spellStart"/>
      <w:r>
        <w:t>deeper</w:t>
      </w:r>
      <w:proofErr w:type="spellEnd"/>
      <w:r>
        <w:t xml:space="preserve"> </w:t>
      </w:r>
      <w:proofErr w:type="spellStart"/>
      <w:r>
        <w:t>asymmetries</w:t>
      </w:r>
      <w:proofErr w:type="spellEnd"/>
      <w:r>
        <w:t xml:space="preserve"> </w:t>
      </w:r>
      <w:proofErr w:type="spellStart"/>
      <w:r>
        <w:t>that</w:t>
      </w:r>
      <w:proofErr w:type="spellEnd"/>
      <w:r>
        <w:t xml:space="preserve"> </w:t>
      </w:r>
      <w:proofErr w:type="spellStart"/>
      <w:r>
        <w:t>determine</w:t>
      </w:r>
      <w:proofErr w:type="spellEnd"/>
      <w:r>
        <w:t xml:space="preserve"> </w:t>
      </w:r>
      <w:proofErr w:type="spellStart"/>
      <w:r>
        <w:t>who</w:t>
      </w:r>
      <w:proofErr w:type="spellEnd"/>
      <w:r>
        <w:t xml:space="preserve"> is </w:t>
      </w:r>
      <w:proofErr w:type="spellStart"/>
      <w:r>
        <w:t>able</w:t>
      </w:r>
      <w:proofErr w:type="spellEnd"/>
      <w:r>
        <w:t xml:space="preserve"> </w:t>
      </w:r>
      <w:proofErr w:type="spellStart"/>
      <w:r>
        <w:t>to</w:t>
      </w:r>
      <w:proofErr w:type="spellEnd"/>
      <w:r>
        <w:t xml:space="preserve"> </w:t>
      </w:r>
      <w:proofErr w:type="spellStart"/>
      <w:r>
        <w:t>benefit</w:t>
      </w:r>
      <w:proofErr w:type="spellEnd"/>
      <w:r>
        <w:t xml:space="preserve"> </w:t>
      </w:r>
      <w:proofErr w:type="spellStart"/>
      <w:r>
        <w:t>from</w:t>
      </w:r>
      <w:proofErr w:type="spellEnd"/>
      <w:r>
        <w:t xml:space="preserve"> </w:t>
      </w:r>
      <w:proofErr w:type="spellStart"/>
      <w:r>
        <w:t>connectivity</w:t>
      </w:r>
      <w:proofErr w:type="spellEnd"/>
      <w:r>
        <w:t xml:space="preserve">. </w:t>
      </w:r>
      <w:proofErr w:type="spellStart"/>
      <w:r>
        <w:t>In</w:t>
      </w:r>
      <w:proofErr w:type="spellEnd"/>
      <w:r>
        <w:t xml:space="preserve"> </w:t>
      </w:r>
      <w:proofErr w:type="spellStart"/>
      <w:r>
        <w:t>this</w:t>
      </w:r>
      <w:proofErr w:type="spellEnd"/>
      <w:r>
        <w:t xml:space="preserve"> sense, global </w:t>
      </w:r>
      <w:proofErr w:type="spellStart"/>
      <w:r>
        <w:t>health</w:t>
      </w:r>
      <w:proofErr w:type="spellEnd"/>
      <w:r>
        <w:t xml:space="preserve"> </w:t>
      </w:r>
      <w:proofErr w:type="spellStart"/>
      <w:r>
        <w:t>governance</w:t>
      </w:r>
      <w:proofErr w:type="spellEnd"/>
      <w:r>
        <w:t xml:space="preserve"> is not </w:t>
      </w:r>
      <w:proofErr w:type="spellStart"/>
      <w:r>
        <w:t>simply</w:t>
      </w:r>
      <w:proofErr w:type="spellEnd"/>
      <w:r>
        <w:t xml:space="preserve"> </w:t>
      </w:r>
      <w:proofErr w:type="spellStart"/>
      <w:r>
        <w:t>integrated</w:t>
      </w:r>
      <w:proofErr w:type="spellEnd"/>
      <w:r>
        <w:t xml:space="preserve"> </w:t>
      </w:r>
      <w:proofErr w:type="spellStart"/>
      <w:r>
        <w:t>or</w:t>
      </w:r>
      <w:proofErr w:type="spellEnd"/>
      <w:r>
        <w:t xml:space="preserve"> </w:t>
      </w:r>
      <w:proofErr w:type="spellStart"/>
      <w:r>
        <w:t>fragmented</w:t>
      </w:r>
      <w:proofErr w:type="spellEnd"/>
      <w:r>
        <w:t xml:space="preserve">; </w:t>
      </w:r>
      <w:proofErr w:type="spellStart"/>
      <w:r>
        <w:t>rather</w:t>
      </w:r>
      <w:proofErr w:type="spellEnd"/>
      <w:r>
        <w:t xml:space="preserve">, it </w:t>
      </w:r>
      <w:proofErr w:type="spellStart"/>
      <w:r>
        <w:t>appears</w:t>
      </w:r>
      <w:proofErr w:type="spellEnd"/>
      <w:r>
        <w:t xml:space="preserve"> </w:t>
      </w:r>
      <w:proofErr w:type="spellStart"/>
      <w:r>
        <w:t>integrated</w:t>
      </w:r>
      <w:proofErr w:type="spellEnd"/>
      <w:r>
        <w:t xml:space="preserve"> </w:t>
      </w:r>
      <w:proofErr w:type="spellStart"/>
      <w:r>
        <w:t>through</w:t>
      </w:r>
      <w:proofErr w:type="spellEnd"/>
      <w:r>
        <w:t xml:space="preserve"> </w:t>
      </w:r>
      <w:proofErr w:type="spellStart"/>
      <w:r>
        <w:t>stratified</w:t>
      </w:r>
      <w:proofErr w:type="spellEnd"/>
      <w:r>
        <w:t xml:space="preserve"> </w:t>
      </w:r>
      <w:proofErr w:type="spellStart"/>
      <w:r>
        <w:t>relations</w:t>
      </w:r>
      <w:proofErr w:type="spellEnd"/>
      <w:r>
        <w:t>.</w:t>
      </w:r>
    </w:p>
    <w:p w14:paraId="342327E6" w14:textId="77777777" w:rsidR="00A77FB3" w:rsidRDefault="00A77FB3" w:rsidP="00A77FB3">
      <w:pPr>
        <w:pStyle w:val="isselectedend"/>
      </w:pPr>
      <w:proofErr w:type="spellStart"/>
      <w:r>
        <w:t>The</w:t>
      </w:r>
      <w:proofErr w:type="spellEnd"/>
      <w:r>
        <w:t xml:space="preserve"> North–South </w:t>
      </w:r>
      <w:proofErr w:type="spellStart"/>
      <w:r>
        <w:t>dimension</w:t>
      </w:r>
      <w:proofErr w:type="spellEnd"/>
      <w:r>
        <w:t xml:space="preserve"> is </w:t>
      </w:r>
      <w:proofErr w:type="spellStart"/>
      <w:r>
        <w:t>especially</w:t>
      </w:r>
      <w:proofErr w:type="spellEnd"/>
      <w:r>
        <w:t xml:space="preserve"> </w:t>
      </w:r>
      <w:proofErr w:type="spellStart"/>
      <w:r>
        <w:t>significant</w:t>
      </w:r>
      <w:proofErr w:type="spellEnd"/>
      <w:r>
        <w:t xml:space="preserve"> in </w:t>
      </w:r>
      <w:proofErr w:type="spellStart"/>
      <w:r>
        <w:t>this</w:t>
      </w:r>
      <w:proofErr w:type="spellEnd"/>
      <w:r>
        <w:t xml:space="preserve"> </w:t>
      </w:r>
      <w:proofErr w:type="spellStart"/>
      <w:r>
        <w:t>regard</w:t>
      </w:r>
      <w:proofErr w:type="spellEnd"/>
      <w:r>
        <w:t xml:space="preserve">. </w:t>
      </w:r>
      <w:proofErr w:type="spellStart"/>
      <w:r>
        <w:t>The</w:t>
      </w:r>
      <w:proofErr w:type="spellEnd"/>
      <w:r>
        <w:t xml:space="preserve"> </w:t>
      </w:r>
      <w:proofErr w:type="spellStart"/>
      <w:r>
        <w:t>negative</w:t>
      </w:r>
      <w:proofErr w:type="spellEnd"/>
      <w:r>
        <w:t xml:space="preserve"> Global South </w:t>
      </w:r>
      <w:proofErr w:type="spellStart"/>
      <w:r>
        <w:t>interaction</w:t>
      </w:r>
      <w:proofErr w:type="spellEnd"/>
      <w:r>
        <w:t xml:space="preserve"> </w:t>
      </w:r>
      <w:proofErr w:type="spellStart"/>
      <w:r>
        <w:t>effect</w:t>
      </w:r>
      <w:proofErr w:type="spellEnd"/>
      <w:r>
        <w:t xml:space="preserve"> in </w:t>
      </w:r>
      <w:proofErr w:type="spellStart"/>
      <w:r>
        <w:t>the</w:t>
      </w:r>
      <w:proofErr w:type="spellEnd"/>
      <w:r>
        <w:t xml:space="preserve"> </w:t>
      </w:r>
      <w:proofErr w:type="spellStart"/>
      <w:r>
        <w:t>centrality</w:t>
      </w:r>
      <w:proofErr w:type="spellEnd"/>
      <w:r>
        <w:t xml:space="preserve"> </w:t>
      </w:r>
      <w:proofErr w:type="spellStart"/>
      <w:r>
        <w:t>models</w:t>
      </w:r>
      <w:proofErr w:type="spellEnd"/>
      <w:r>
        <w:t xml:space="preserve"> </w:t>
      </w:r>
      <w:proofErr w:type="spellStart"/>
      <w:r>
        <w:t>suggests</w:t>
      </w:r>
      <w:proofErr w:type="spellEnd"/>
      <w:r>
        <w:t xml:space="preserve"> </w:t>
      </w:r>
      <w:proofErr w:type="spellStart"/>
      <w:r>
        <w:t>that</w:t>
      </w:r>
      <w:proofErr w:type="spellEnd"/>
      <w:r>
        <w:t xml:space="preserve"> </w:t>
      </w:r>
      <w:proofErr w:type="spellStart"/>
      <w:r>
        <w:t>material</w:t>
      </w:r>
      <w:proofErr w:type="spellEnd"/>
      <w:r>
        <w:t xml:space="preserve"> </w:t>
      </w:r>
      <w:proofErr w:type="spellStart"/>
      <w:r>
        <w:t>development</w:t>
      </w:r>
      <w:proofErr w:type="spellEnd"/>
      <w:r>
        <w:t xml:space="preserve"> is </w:t>
      </w:r>
      <w:proofErr w:type="spellStart"/>
      <w:r>
        <w:t>converted</w:t>
      </w:r>
      <w:proofErr w:type="spellEnd"/>
      <w:r>
        <w:t xml:space="preserve"> </w:t>
      </w:r>
      <w:proofErr w:type="spellStart"/>
      <w:r>
        <w:t>into</w:t>
      </w:r>
      <w:proofErr w:type="spellEnd"/>
      <w:r>
        <w:t xml:space="preserve"> </w:t>
      </w:r>
      <w:proofErr w:type="spellStart"/>
      <w:r>
        <w:t>relational</w:t>
      </w:r>
      <w:proofErr w:type="spellEnd"/>
      <w:r>
        <w:t xml:space="preserve"> </w:t>
      </w:r>
      <w:proofErr w:type="spellStart"/>
      <w:r>
        <w:t>advantage</w:t>
      </w:r>
      <w:proofErr w:type="spellEnd"/>
      <w:r>
        <w:t xml:space="preserve"> </w:t>
      </w:r>
      <w:proofErr w:type="spellStart"/>
      <w:r>
        <w:t>unevenly</w:t>
      </w:r>
      <w:proofErr w:type="spellEnd"/>
      <w:r>
        <w:t xml:space="preserve"> </w:t>
      </w:r>
      <w:proofErr w:type="spellStart"/>
      <w:r>
        <w:t>across</w:t>
      </w:r>
      <w:proofErr w:type="spellEnd"/>
      <w:r>
        <w:t xml:space="preserve"> </w:t>
      </w:r>
      <w:proofErr w:type="spellStart"/>
      <w:r>
        <w:t>the</w:t>
      </w:r>
      <w:proofErr w:type="spellEnd"/>
      <w:r>
        <w:t xml:space="preserve"> </w:t>
      </w:r>
      <w:proofErr w:type="spellStart"/>
      <w:r>
        <w:t>international</w:t>
      </w:r>
      <w:proofErr w:type="spellEnd"/>
      <w:r>
        <w:t xml:space="preserve"> </w:t>
      </w:r>
      <w:proofErr w:type="spellStart"/>
      <w:r>
        <w:t>system</w:t>
      </w:r>
      <w:proofErr w:type="spellEnd"/>
      <w:r>
        <w:t xml:space="preserve">. </w:t>
      </w:r>
      <w:proofErr w:type="spellStart"/>
      <w:r>
        <w:t>States</w:t>
      </w:r>
      <w:proofErr w:type="spellEnd"/>
      <w:r>
        <w:t xml:space="preserve"> do not </w:t>
      </w:r>
      <w:proofErr w:type="spellStart"/>
      <w:r>
        <w:t>enter</w:t>
      </w:r>
      <w:proofErr w:type="spellEnd"/>
      <w:r>
        <w:t xml:space="preserve"> </w:t>
      </w:r>
      <w:proofErr w:type="spellStart"/>
      <w:r>
        <w:t>multiplex</w:t>
      </w:r>
      <w:proofErr w:type="spellEnd"/>
      <w:r>
        <w:t xml:space="preserve"> </w:t>
      </w:r>
      <w:proofErr w:type="spellStart"/>
      <w:r>
        <w:t>governance</w:t>
      </w:r>
      <w:proofErr w:type="spellEnd"/>
      <w:r>
        <w:t xml:space="preserve"> on </w:t>
      </w:r>
      <w:proofErr w:type="spellStart"/>
      <w:r>
        <w:t>equal</w:t>
      </w:r>
      <w:proofErr w:type="spellEnd"/>
      <w:r>
        <w:t xml:space="preserve"> </w:t>
      </w:r>
      <w:proofErr w:type="spellStart"/>
      <w:r>
        <w:t>structural</w:t>
      </w:r>
      <w:proofErr w:type="spellEnd"/>
      <w:r>
        <w:t xml:space="preserve"> </w:t>
      </w:r>
      <w:proofErr w:type="spellStart"/>
      <w:r>
        <w:t>terms</w:t>
      </w:r>
      <w:proofErr w:type="spellEnd"/>
      <w:r>
        <w:t xml:space="preserve">. Connectivity </w:t>
      </w:r>
      <w:proofErr w:type="spellStart"/>
      <w:r>
        <w:t>itself</w:t>
      </w:r>
      <w:proofErr w:type="spellEnd"/>
      <w:r>
        <w:t xml:space="preserve"> is </w:t>
      </w:r>
      <w:proofErr w:type="spellStart"/>
      <w:r>
        <w:t>conditioned</w:t>
      </w:r>
      <w:proofErr w:type="spellEnd"/>
      <w:r>
        <w:t xml:space="preserve"> </w:t>
      </w:r>
      <w:proofErr w:type="spellStart"/>
      <w:r>
        <w:t>by</w:t>
      </w:r>
      <w:proofErr w:type="spellEnd"/>
      <w:r>
        <w:t xml:space="preserve"> </w:t>
      </w:r>
      <w:proofErr w:type="spellStart"/>
      <w:r>
        <w:t>pre-existing</w:t>
      </w:r>
      <w:proofErr w:type="spellEnd"/>
      <w:r>
        <w:t xml:space="preserve"> </w:t>
      </w:r>
      <w:proofErr w:type="spellStart"/>
      <w:r>
        <w:t>asymmetries</w:t>
      </w:r>
      <w:proofErr w:type="spellEnd"/>
      <w:r>
        <w:t xml:space="preserve"> in </w:t>
      </w:r>
      <w:proofErr w:type="spellStart"/>
      <w:r>
        <w:t>institutional</w:t>
      </w:r>
      <w:proofErr w:type="spellEnd"/>
      <w:r>
        <w:t xml:space="preserve"> </w:t>
      </w:r>
      <w:proofErr w:type="spellStart"/>
      <w:r>
        <w:t>capacity</w:t>
      </w:r>
      <w:proofErr w:type="spellEnd"/>
      <w:r>
        <w:t xml:space="preserve">, </w:t>
      </w:r>
      <w:proofErr w:type="spellStart"/>
      <w:r>
        <w:t>developmental</w:t>
      </w:r>
      <w:proofErr w:type="spellEnd"/>
      <w:r>
        <w:t xml:space="preserve"> </w:t>
      </w:r>
      <w:proofErr w:type="spellStart"/>
      <w:r>
        <w:t>position</w:t>
      </w:r>
      <w:proofErr w:type="spellEnd"/>
      <w:r>
        <w:t xml:space="preserve">, </w:t>
      </w:r>
      <w:proofErr w:type="spellStart"/>
      <w:r>
        <w:t>technological</w:t>
      </w:r>
      <w:proofErr w:type="spellEnd"/>
      <w:r>
        <w:t xml:space="preserve"> </w:t>
      </w:r>
      <w:proofErr w:type="spellStart"/>
      <w:r>
        <w:t>infrastructure</w:t>
      </w:r>
      <w:proofErr w:type="spellEnd"/>
      <w:r>
        <w:t xml:space="preserve">, </w:t>
      </w:r>
      <w:proofErr w:type="spellStart"/>
      <w:r>
        <w:t>and</w:t>
      </w:r>
      <w:proofErr w:type="spellEnd"/>
      <w:r>
        <w:t xml:space="preserve"> </w:t>
      </w:r>
      <w:proofErr w:type="spellStart"/>
      <w:r>
        <w:t>dependence</w:t>
      </w:r>
      <w:proofErr w:type="spellEnd"/>
      <w:r>
        <w:t xml:space="preserve"> on </w:t>
      </w:r>
      <w:proofErr w:type="spellStart"/>
      <w:r>
        <w:t>external</w:t>
      </w:r>
      <w:proofErr w:type="spellEnd"/>
      <w:r>
        <w:t xml:space="preserve"> </w:t>
      </w:r>
      <w:proofErr w:type="spellStart"/>
      <w:r>
        <w:t>resources</w:t>
      </w:r>
      <w:proofErr w:type="spellEnd"/>
      <w:r>
        <w:t xml:space="preserve">. </w:t>
      </w:r>
      <w:proofErr w:type="spellStart"/>
      <w:r>
        <w:t>This</w:t>
      </w:r>
      <w:proofErr w:type="spellEnd"/>
      <w:r>
        <w:t xml:space="preserve"> </w:t>
      </w:r>
      <w:proofErr w:type="spellStart"/>
      <w:r>
        <w:t>provides</w:t>
      </w:r>
      <w:proofErr w:type="spellEnd"/>
      <w:r>
        <w:t xml:space="preserve"> a </w:t>
      </w:r>
      <w:proofErr w:type="spellStart"/>
      <w:r>
        <w:t>strong</w:t>
      </w:r>
      <w:proofErr w:type="spellEnd"/>
      <w:r>
        <w:t xml:space="preserve"> </w:t>
      </w:r>
      <w:proofErr w:type="spellStart"/>
      <w:r>
        <w:t>empirical</w:t>
      </w:r>
      <w:proofErr w:type="spellEnd"/>
      <w:r>
        <w:t xml:space="preserve"> </w:t>
      </w:r>
      <w:proofErr w:type="spellStart"/>
      <w:r>
        <w:t>basis</w:t>
      </w:r>
      <w:proofErr w:type="spellEnd"/>
      <w:r>
        <w:t xml:space="preserve"> </w:t>
      </w:r>
      <w:proofErr w:type="spellStart"/>
      <w:r>
        <w:t>for</w:t>
      </w:r>
      <w:proofErr w:type="spellEnd"/>
      <w:r>
        <w:t xml:space="preserve"> </w:t>
      </w:r>
      <w:proofErr w:type="spellStart"/>
      <w:r>
        <w:t>the</w:t>
      </w:r>
      <w:proofErr w:type="spellEnd"/>
      <w:r>
        <w:t xml:space="preserve"> </w:t>
      </w:r>
      <w:proofErr w:type="spellStart"/>
      <w:r>
        <w:t>article’s</w:t>
      </w:r>
      <w:proofErr w:type="spellEnd"/>
      <w:r>
        <w:t xml:space="preserve"> </w:t>
      </w:r>
      <w:proofErr w:type="spellStart"/>
      <w:r>
        <w:t>distinction</w:t>
      </w:r>
      <w:proofErr w:type="spellEnd"/>
      <w:r>
        <w:t xml:space="preserve"> </w:t>
      </w:r>
      <w:proofErr w:type="spellStart"/>
      <w:r>
        <w:t>between</w:t>
      </w:r>
      <w:proofErr w:type="spellEnd"/>
      <w:r>
        <w:t xml:space="preserve"> </w:t>
      </w:r>
      <w:proofErr w:type="spellStart"/>
      <w:r>
        <w:t>visible</w:t>
      </w:r>
      <w:proofErr w:type="spellEnd"/>
      <w:r>
        <w:t xml:space="preserve"> </w:t>
      </w:r>
      <w:proofErr w:type="spellStart"/>
      <w:r>
        <w:t>and</w:t>
      </w:r>
      <w:proofErr w:type="spellEnd"/>
      <w:r>
        <w:t xml:space="preserve"> </w:t>
      </w:r>
      <w:proofErr w:type="spellStart"/>
      <w:r>
        <w:t>structural</w:t>
      </w:r>
      <w:proofErr w:type="spellEnd"/>
      <w:r>
        <w:t xml:space="preserve"> </w:t>
      </w:r>
      <w:proofErr w:type="spellStart"/>
      <w:r>
        <w:t>hierarchy</w:t>
      </w:r>
      <w:proofErr w:type="spellEnd"/>
      <w:r>
        <w:t xml:space="preserve">. </w:t>
      </w:r>
      <w:proofErr w:type="spellStart"/>
      <w:r>
        <w:t>Visible</w:t>
      </w:r>
      <w:proofErr w:type="spellEnd"/>
      <w:r>
        <w:t xml:space="preserve"> </w:t>
      </w:r>
      <w:proofErr w:type="spellStart"/>
      <w:r>
        <w:t>hierarchy</w:t>
      </w:r>
      <w:proofErr w:type="spellEnd"/>
      <w:r>
        <w:t xml:space="preserve"> </w:t>
      </w:r>
      <w:proofErr w:type="spellStart"/>
      <w:r>
        <w:t>refers</w:t>
      </w:r>
      <w:proofErr w:type="spellEnd"/>
      <w:r>
        <w:t xml:space="preserve"> </w:t>
      </w:r>
      <w:proofErr w:type="spellStart"/>
      <w:r>
        <w:t>to</w:t>
      </w:r>
      <w:proofErr w:type="spellEnd"/>
      <w:r>
        <w:t xml:space="preserve"> </w:t>
      </w:r>
      <w:proofErr w:type="spellStart"/>
      <w:r>
        <w:t>observable</w:t>
      </w:r>
      <w:proofErr w:type="spellEnd"/>
      <w:r>
        <w:t xml:space="preserve"> </w:t>
      </w:r>
      <w:proofErr w:type="spellStart"/>
      <w:r>
        <w:t>forms</w:t>
      </w:r>
      <w:proofErr w:type="spellEnd"/>
      <w:r>
        <w:t xml:space="preserve"> of </w:t>
      </w:r>
      <w:proofErr w:type="spellStart"/>
      <w:r>
        <w:t>embeddedness</w:t>
      </w:r>
      <w:proofErr w:type="spellEnd"/>
      <w:r>
        <w:t xml:space="preserve">, </w:t>
      </w:r>
      <w:proofErr w:type="spellStart"/>
      <w:r>
        <w:t>centrality</w:t>
      </w:r>
      <w:proofErr w:type="spellEnd"/>
      <w:r>
        <w:t xml:space="preserve">, </w:t>
      </w:r>
      <w:proofErr w:type="spellStart"/>
      <w:r>
        <w:t>and</w:t>
      </w:r>
      <w:proofErr w:type="spellEnd"/>
      <w:r>
        <w:t xml:space="preserve"> </w:t>
      </w:r>
      <w:proofErr w:type="spellStart"/>
      <w:r>
        <w:t>normative</w:t>
      </w:r>
      <w:proofErr w:type="spellEnd"/>
      <w:r>
        <w:t xml:space="preserve"> </w:t>
      </w:r>
      <w:proofErr w:type="spellStart"/>
      <w:r>
        <w:t>alignment</w:t>
      </w:r>
      <w:proofErr w:type="spellEnd"/>
      <w:r>
        <w:t xml:space="preserve"> </w:t>
      </w:r>
      <w:proofErr w:type="spellStart"/>
      <w:r>
        <w:t>within</w:t>
      </w:r>
      <w:proofErr w:type="spellEnd"/>
      <w:r>
        <w:t xml:space="preserve"> </w:t>
      </w:r>
      <w:proofErr w:type="spellStart"/>
      <w:r>
        <w:t>governance</w:t>
      </w:r>
      <w:proofErr w:type="spellEnd"/>
      <w:r>
        <w:t xml:space="preserve"> </w:t>
      </w:r>
      <w:proofErr w:type="spellStart"/>
      <w:r>
        <w:t>networks</w:t>
      </w:r>
      <w:proofErr w:type="spellEnd"/>
      <w:r>
        <w:t xml:space="preserve">. </w:t>
      </w:r>
      <w:proofErr w:type="spellStart"/>
      <w:r>
        <w:t>Structural</w:t>
      </w:r>
      <w:proofErr w:type="spellEnd"/>
      <w:r>
        <w:t xml:space="preserve"> </w:t>
      </w:r>
      <w:proofErr w:type="spellStart"/>
      <w:r>
        <w:t>hierarchy</w:t>
      </w:r>
      <w:proofErr w:type="spellEnd"/>
      <w:r>
        <w:t xml:space="preserve">, </w:t>
      </w:r>
      <w:proofErr w:type="spellStart"/>
      <w:r>
        <w:t>by</w:t>
      </w:r>
      <w:proofErr w:type="spellEnd"/>
      <w:r>
        <w:t xml:space="preserve"> </w:t>
      </w:r>
      <w:proofErr w:type="spellStart"/>
      <w:r>
        <w:t>contrast</w:t>
      </w:r>
      <w:proofErr w:type="spellEnd"/>
      <w:r>
        <w:t xml:space="preserve">, </w:t>
      </w:r>
      <w:proofErr w:type="spellStart"/>
      <w:r>
        <w:t>refers</w:t>
      </w:r>
      <w:proofErr w:type="spellEnd"/>
      <w:r>
        <w:t xml:space="preserve"> </w:t>
      </w:r>
      <w:proofErr w:type="spellStart"/>
      <w:r>
        <w:t>to</w:t>
      </w:r>
      <w:proofErr w:type="spellEnd"/>
      <w:r>
        <w:t xml:space="preserve"> </w:t>
      </w:r>
      <w:proofErr w:type="spellStart"/>
      <w:r>
        <w:t>deeper</w:t>
      </w:r>
      <w:proofErr w:type="spellEnd"/>
      <w:r>
        <w:t xml:space="preserve"> </w:t>
      </w:r>
      <w:proofErr w:type="spellStart"/>
      <w:r>
        <w:t>inequalities</w:t>
      </w:r>
      <w:proofErr w:type="spellEnd"/>
      <w:r>
        <w:t xml:space="preserve"> in </w:t>
      </w:r>
      <w:proofErr w:type="spellStart"/>
      <w:r>
        <w:t>material</w:t>
      </w:r>
      <w:proofErr w:type="spellEnd"/>
      <w:r>
        <w:t xml:space="preserve"> </w:t>
      </w:r>
      <w:proofErr w:type="spellStart"/>
      <w:r>
        <w:t>and</w:t>
      </w:r>
      <w:proofErr w:type="spellEnd"/>
      <w:r>
        <w:t xml:space="preserve"> </w:t>
      </w:r>
      <w:proofErr w:type="spellStart"/>
      <w:r>
        <w:t>institutional</w:t>
      </w:r>
      <w:proofErr w:type="spellEnd"/>
      <w:r>
        <w:t xml:space="preserve"> </w:t>
      </w:r>
      <w:proofErr w:type="spellStart"/>
      <w:r>
        <w:t>capacity</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ability</w:t>
      </w:r>
      <w:proofErr w:type="spellEnd"/>
      <w:r>
        <w:t xml:space="preserve"> of </w:t>
      </w:r>
      <w:proofErr w:type="spellStart"/>
      <w:r>
        <w:t>states</w:t>
      </w:r>
      <w:proofErr w:type="spellEnd"/>
      <w:r>
        <w:t xml:space="preserve"> </w:t>
      </w:r>
      <w:proofErr w:type="spellStart"/>
      <w:r>
        <w:t>to</w:t>
      </w:r>
      <w:proofErr w:type="spellEnd"/>
      <w:r>
        <w:t xml:space="preserve"> </w:t>
      </w:r>
      <w:proofErr w:type="spellStart"/>
      <w:r>
        <w:t>translate</w:t>
      </w:r>
      <w:proofErr w:type="spellEnd"/>
      <w:r>
        <w:t xml:space="preserve"> </w:t>
      </w:r>
      <w:proofErr w:type="spellStart"/>
      <w:r>
        <w:t>relational</w:t>
      </w:r>
      <w:proofErr w:type="spellEnd"/>
      <w:r>
        <w:t xml:space="preserve"> </w:t>
      </w:r>
      <w:proofErr w:type="spellStart"/>
      <w:r>
        <w:t>integration</w:t>
      </w:r>
      <w:proofErr w:type="spellEnd"/>
      <w:r>
        <w:t xml:space="preserve"> </w:t>
      </w:r>
      <w:proofErr w:type="spellStart"/>
      <w:r>
        <w:t>into</w:t>
      </w:r>
      <w:proofErr w:type="spellEnd"/>
      <w:r>
        <w:t xml:space="preserve"> </w:t>
      </w:r>
      <w:proofErr w:type="spellStart"/>
      <w:r>
        <w:t>durable</w:t>
      </w:r>
      <w:proofErr w:type="spellEnd"/>
      <w:r>
        <w:t xml:space="preserve"> </w:t>
      </w:r>
      <w:proofErr w:type="spellStart"/>
      <w:r>
        <w:t>advantages</w:t>
      </w:r>
      <w:proofErr w:type="spellEnd"/>
      <w:r>
        <w:t xml:space="preserve"> </w:t>
      </w:r>
      <w:proofErr w:type="spellStart"/>
      <w:r>
        <w:t>and</w:t>
      </w:r>
      <w:proofErr w:type="spellEnd"/>
      <w:r>
        <w:t xml:space="preserve"> </w:t>
      </w:r>
      <w:proofErr w:type="spellStart"/>
      <w:r>
        <w:t>substantive</w:t>
      </w:r>
      <w:proofErr w:type="spellEnd"/>
      <w:r>
        <w:t xml:space="preserve"> </w:t>
      </w:r>
      <w:proofErr w:type="spellStart"/>
      <w:r>
        <w:t>outcomes</w:t>
      </w:r>
      <w:proofErr w:type="spellEnd"/>
      <w:r>
        <w:t xml:space="preserve">. </w:t>
      </w:r>
      <w:proofErr w:type="spellStart"/>
      <w:r>
        <w:t>The</w:t>
      </w:r>
      <w:proofErr w:type="spellEnd"/>
      <w:r>
        <w:t xml:space="preserve"> </w:t>
      </w:r>
      <w:proofErr w:type="spellStart"/>
      <w:r>
        <w:t>article</w:t>
      </w:r>
      <w:proofErr w:type="spellEnd"/>
      <w:r>
        <w:t xml:space="preserve"> </w:t>
      </w:r>
      <w:proofErr w:type="spellStart"/>
      <w:r>
        <w:t>therefore</w:t>
      </w:r>
      <w:proofErr w:type="spellEnd"/>
      <w:r>
        <w:t xml:space="preserve"> </w:t>
      </w:r>
      <w:proofErr w:type="spellStart"/>
      <w:r>
        <w:t>challenges</w:t>
      </w:r>
      <w:proofErr w:type="spellEnd"/>
      <w:r>
        <w:t xml:space="preserve"> </w:t>
      </w:r>
      <w:proofErr w:type="spellStart"/>
      <w:r>
        <w:t>overly</w:t>
      </w:r>
      <w:proofErr w:type="spellEnd"/>
      <w:r>
        <w:t xml:space="preserve"> </w:t>
      </w:r>
      <w:proofErr w:type="spellStart"/>
      <w:r>
        <w:t>optimistic</w:t>
      </w:r>
      <w:proofErr w:type="spellEnd"/>
      <w:r>
        <w:t xml:space="preserve"> </w:t>
      </w:r>
      <w:proofErr w:type="spellStart"/>
      <w:r>
        <w:t>assumptions</w:t>
      </w:r>
      <w:proofErr w:type="spellEnd"/>
      <w:r>
        <w:t xml:space="preserve"> </w:t>
      </w:r>
      <w:proofErr w:type="spellStart"/>
      <w:r>
        <w:t>associated</w:t>
      </w:r>
      <w:proofErr w:type="spellEnd"/>
      <w:r>
        <w:t xml:space="preserve"> </w:t>
      </w:r>
      <w:proofErr w:type="spellStart"/>
      <w:r>
        <w:t>with</w:t>
      </w:r>
      <w:proofErr w:type="spellEnd"/>
      <w:r>
        <w:t xml:space="preserve"> network </w:t>
      </w:r>
      <w:proofErr w:type="spellStart"/>
      <w:r>
        <w:t>diffusion</w:t>
      </w:r>
      <w:proofErr w:type="spellEnd"/>
      <w:r>
        <w:t xml:space="preserve"> </w:t>
      </w:r>
      <w:proofErr w:type="spellStart"/>
      <w:r>
        <w:t>and</w:t>
      </w:r>
      <w:proofErr w:type="spellEnd"/>
      <w:r>
        <w:t xml:space="preserve"> </w:t>
      </w:r>
      <w:proofErr w:type="spellStart"/>
      <w:r>
        <w:t>integrative</w:t>
      </w:r>
      <w:proofErr w:type="spellEnd"/>
      <w:r>
        <w:t xml:space="preserve"> </w:t>
      </w:r>
      <w:proofErr w:type="spellStart"/>
      <w:r>
        <w:t>governance</w:t>
      </w:r>
      <w:proofErr w:type="spellEnd"/>
      <w:r>
        <w:t>.</w:t>
      </w:r>
    </w:p>
    <w:p w14:paraId="43BE665D" w14:textId="77777777" w:rsidR="00A77FB3" w:rsidRDefault="00A77FB3" w:rsidP="00A77FB3">
      <w:pPr>
        <w:pStyle w:val="isselectedend"/>
      </w:pPr>
      <w:proofErr w:type="spellStart"/>
      <w:r>
        <w:t>The</w:t>
      </w:r>
      <w:proofErr w:type="spellEnd"/>
      <w:r>
        <w:t xml:space="preserve"> </w:t>
      </w:r>
      <w:proofErr w:type="spellStart"/>
      <w:r>
        <w:t>inclusion</w:t>
      </w:r>
      <w:proofErr w:type="spellEnd"/>
      <w:r>
        <w:t xml:space="preserve"> of UNGA </w:t>
      </w:r>
      <w:proofErr w:type="spellStart"/>
      <w:r>
        <w:t>and</w:t>
      </w:r>
      <w:proofErr w:type="spellEnd"/>
      <w:r>
        <w:t xml:space="preserve"> WHO </w:t>
      </w:r>
      <w:proofErr w:type="spellStart"/>
      <w:r>
        <w:t>layers</w:t>
      </w:r>
      <w:proofErr w:type="spellEnd"/>
      <w:r>
        <w:t xml:space="preserve"> </w:t>
      </w:r>
      <w:proofErr w:type="spellStart"/>
      <w:r>
        <w:t>further</w:t>
      </w:r>
      <w:proofErr w:type="spellEnd"/>
      <w:r>
        <w:t xml:space="preserve"> </w:t>
      </w:r>
      <w:proofErr w:type="spellStart"/>
      <w:r>
        <w:t>sharpens</w:t>
      </w:r>
      <w:proofErr w:type="spellEnd"/>
      <w:r>
        <w:t xml:space="preserve"> </w:t>
      </w:r>
      <w:proofErr w:type="spellStart"/>
      <w:r>
        <w:t>the</w:t>
      </w:r>
      <w:proofErr w:type="spellEnd"/>
      <w:r>
        <w:t xml:space="preserve"> </w:t>
      </w:r>
      <w:proofErr w:type="spellStart"/>
      <w:r>
        <w:t>theoretical</w:t>
      </w:r>
      <w:proofErr w:type="spellEnd"/>
      <w:r>
        <w:t xml:space="preserve"> </w:t>
      </w:r>
      <w:proofErr w:type="spellStart"/>
      <w:r>
        <w:t>contribution</w:t>
      </w:r>
      <w:proofErr w:type="spellEnd"/>
      <w:r>
        <w:t xml:space="preserve"> of </w:t>
      </w:r>
      <w:proofErr w:type="spellStart"/>
      <w:r>
        <w:t>the</w:t>
      </w:r>
      <w:proofErr w:type="spellEnd"/>
      <w:r>
        <w:t xml:space="preserve"> </w:t>
      </w:r>
      <w:proofErr w:type="spellStart"/>
      <w:r>
        <w:t>study</w:t>
      </w:r>
      <w:proofErr w:type="spellEnd"/>
      <w:r>
        <w:t xml:space="preserve">. UNGA </w:t>
      </w:r>
      <w:proofErr w:type="spellStart"/>
      <w:r>
        <w:t>voting</w:t>
      </w:r>
      <w:proofErr w:type="spellEnd"/>
      <w:r>
        <w:t xml:space="preserve"> </w:t>
      </w:r>
      <w:proofErr w:type="spellStart"/>
      <w:r>
        <w:t>alignment</w:t>
      </w:r>
      <w:proofErr w:type="spellEnd"/>
      <w:r>
        <w:t xml:space="preserve"> </w:t>
      </w:r>
      <w:proofErr w:type="spellStart"/>
      <w:r>
        <w:t>captures</w:t>
      </w:r>
      <w:proofErr w:type="spellEnd"/>
      <w:r>
        <w:t xml:space="preserve"> </w:t>
      </w:r>
      <w:proofErr w:type="spellStart"/>
      <w:r>
        <w:t>normative</w:t>
      </w:r>
      <w:proofErr w:type="spellEnd"/>
      <w:r>
        <w:t xml:space="preserve"> </w:t>
      </w:r>
      <w:proofErr w:type="spellStart"/>
      <w:r>
        <w:t>proximity</w:t>
      </w:r>
      <w:proofErr w:type="spellEnd"/>
      <w:r>
        <w:t xml:space="preserve"> </w:t>
      </w:r>
      <w:proofErr w:type="spellStart"/>
      <w:r>
        <w:t>within</w:t>
      </w:r>
      <w:proofErr w:type="spellEnd"/>
      <w:r>
        <w:t xml:space="preserve"> </w:t>
      </w:r>
      <w:proofErr w:type="spellStart"/>
      <w:r>
        <w:t>the</w:t>
      </w:r>
      <w:proofErr w:type="spellEnd"/>
      <w:r>
        <w:t xml:space="preserve"> </w:t>
      </w:r>
      <w:proofErr w:type="spellStart"/>
      <w:r>
        <w:t>broader</w:t>
      </w:r>
      <w:proofErr w:type="spellEnd"/>
      <w:r>
        <w:t xml:space="preserve"> </w:t>
      </w:r>
      <w:proofErr w:type="spellStart"/>
      <w:r>
        <w:t>architecture</w:t>
      </w:r>
      <w:proofErr w:type="spellEnd"/>
      <w:r>
        <w:t xml:space="preserve"> of global </w:t>
      </w:r>
      <w:proofErr w:type="spellStart"/>
      <w:r>
        <w:t>governance</w:t>
      </w:r>
      <w:proofErr w:type="spellEnd"/>
      <w:r>
        <w:t xml:space="preserve">, </w:t>
      </w:r>
      <w:proofErr w:type="spellStart"/>
      <w:r>
        <w:t>while</w:t>
      </w:r>
      <w:proofErr w:type="spellEnd"/>
      <w:r>
        <w:t xml:space="preserve"> WHO </w:t>
      </w:r>
      <w:proofErr w:type="spellStart"/>
      <w:r>
        <w:t>indicators</w:t>
      </w:r>
      <w:proofErr w:type="spellEnd"/>
      <w:r>
        <w:t xml:space="preserve"> </w:t>
      </w:r>
      <w:proofErr w:type="spellStart"/>
      <w:r>
        <w:t>reflect</w:t>
      </w:r>
      <w:proofErr w:type="spellEnd"/>
      <w:r>
        <w:t xml:space="preserve"> </w:t>
      </w:r>
      <w:proofErr w:type="spellStart"/>
      <w:r>
        <w:t>institutional</w:t>
      </w:r>
      <w:proofErr w:type="spellEnd"/>
      <w:r>
        <w:t xml:space="preserve"> </w:t>
      </w:r>
      <w:proofErr w:type="spellStart"/>
      <w:r>
        <w:t>dimensions</w:t>
      </w:r>
      <w:proofErr w:type="spellEnd"/>
      <w:r>
        <w:t xml:space="preserve"> of </w:t>
      </w:r>
      <w:proofErr w:type="spellStart"/>
      <w:r>
        <w:t>health-governance</w:t>
      </w:r>
      <w:proofErr w:type="spellEnd"/>
      <w:r>
        <w:t xml:space="preserve"> </w:t>
      </w:r>
      <w:proofErr w:type="spellStart"/>
      <w:r>
        <w:t>capacity</w:t>
      </w:r>
      <w:proofErr w:type="spellEnd"/>
      <w:r>
        <w:t xml:space="preserve">, </w:t>
      </w:r>
      <w:proofErr w:type="spellStart"/>
      <w:r>
        <w:t>including</w:t>
      </w:r>
      <w:proofErr w:type="spellEnd"/>
      <w:r>
        <w:t xml:space="preserve"> </w:t>
      </w:r>
      <w:proofErr w:type="spellStart"/>
      <w:r>
        <w:t>preparedness</w:t>
      </w:r>
      <w:proofErr w:type="spellEnd"/>
      <w:r>
        <w:t xml:space="preserve">, service </w:t>
      </w:r>
      <w:proofErr w:type="spellStart"/>
      <w:r>
        <w:t>coverage</w:t>
      </w:r>
      <w:proofErr w:type="spellEnd"/>
      <w:r>
        <w:t xml:space="preserve">, </w:t>
      </w:r>
      <w:proofErr w:type="spellStart"/>
      <w:r>
        <w:t>and</w:t>
      </w:r>
      <w:proofErr w:type="spellEnd"/>
      <w:r>
        <w:t xml:space="preserve"> </w:t>
      </w:r>
      <w:proofErr w:type="spellStart"/>
      <w:r>
        <w:t>financing</w:t>
      </w:r>
      <w:proofErr w:type="spellEnd"/>
      <w:r>
        <w:t xml:space="preserve"> </w:t>
      </w:r>
      <w:proofErr w:type="spellStart"/>
      <w:r>
        <w:t>dependence</w:t>
      </w:r>
      <w:proofErr w:type="spellEnd"/>
      <w:r>
        <w:t xml:space="preserve">. </w:t>
      </w:r>
      <w:proofErr w:type="spellStart"/>
      <w:r>
        <w:t>These</w:t>
      </w:r>
      <w:proofErr w:type="spellEnd"/>
      <w:r>
        <w:t xml:space="preserve"> </w:t>
      </w:r>
      <w:proofErr w:type="spellStart"/>
      <w:r>
        <w:t>additional</w:t>
      </w:r>
      <w:proofErr w:type="spellEnd"/>
      <w:r>
        <w:t xml:space="preserve"> </w:t>
      </w:r>
      <w:proofErr w:type="spellStart"/>
      <w:r>
        <w:t>layers</w:t>
      </w:r>
      <w:proofErr w:type="spellEnd"/>
      <w:r>
        <w:t xml:space="preserve"> </w:t>
      </w:r>
      <w:proofErr w:type="spellStart"/>
      <w:r>
        <w:t>demonstrate</w:t>
      </w:r>
      <w:proofErr w:type="spellEnd"/>
      <w:r>
        <w:t xml:space="preserve"> </w:t>
      </w:r>
      <w:proofErr w:type="spellStart"/>
      <w:r>
        <w:t>that</w:t>
      </w:r>
      <w:proofErr w:type="spellEnd"/>
      <w:r>
        <w:t xml:space="preserve"> </w:t>
      </w:r>
      <w:proofErr w:type="spellStart"/>
      <w:r>
        <w:t>multiplex</w:t>
      </w:r>
      <w:proofErr w:type="spellEnd"/>
      <w:r>
        <w:t xml:space="preserve"> </w:t>
      </w:r>
      <w:proofErr w:type="spellStart"/>
      <w:r>
        <w:t>governance</w:t>
      </w:r>
      <w:proofErr w:type="spellEnd"/>
      <w:r>
        <w:t xml:space="preserve"> </w:t>
      </w:r>
      <w:proofErr w:type="spellStart"/>
      <w:r>
        <w:t>cannot</w:t>
      </w:r>
      <w:proofErr w:type="spellEnd"/>
      <w:r>
        <w:t xml:space="preserve"> be </w:t>
      </w:r>
      <w:proofErr w:type="spellStart"/>
      <w:r>
        <w:t>reduced</w:t>
      </w:r>
      <w:proofErr w:type="spellEnd"/>
      <w:r>
        <w:t xml:space="preserve"> </w:t>
      </w:r>
      <w:proofErr w:type="spellStart"/>
      <w:r>
        <w:t>to</w:t>
      </w:r>
      <w:proofErr w:type="spellEnd"/>
      <w:r>
        <w:t xml:space="preserve"> </w:t>
      </w:r>
      <w:proofErr w:type="spellStart"/>
      <w:r>
        <w:t>material</w:t>
      </w:r>
      <w:proofErr w:type="spellEnd"/>
      <w:r>
        <w:t xml:space="preserve"> </w:t>
      </w:r>
      <w:proofErr w:type="spellStart"/>
      <w:r>
        <w:t>similarity</w:t>
      </w:r>
      <w:proofErr w:type="spellEnd"/>
      <w:r>
        <w:t xml:space="preserve"> </w:t>
      </w:r>
      <w:proofErr w:type="spellStart"/>
      <w:r>
        <w:t>alone</w:t>
      </w:r>
      <w:proofErr w:type="spellEnd"/>
      <w:r>
        <w:t xml:space="preserve">. At </w:t>
      </w:r>
      <w:proofErr w:type="spellStart"/>
      <w:r>
        <w:t>the</w:t>
      </w:r>
      <w:proofErr w:type="spellEnd"/>
      <w:r>
        <w:t xml:space="preserve"> </w:t>
      </w:r>
      <w:proofErr w:type="spellStart"/>
      <w:r>
        <w:t>same</w:t>
      </w:r>
      <w:proofErr w:type="spellEnd"/>
      <w:r>
        <w:t xml:space="preserve"> time, </w:t>
      </w:r>
      <w:proofErr w:type="spellStart"/>
      <w:r>
        <w:t>the</w:t>
      </w:r>
      <w:proofErr w:type="spellEnd"/>
      <w:r>
        <w:t xml:space="preserve"> </w:t>
      </w:r>
      <w:proofErr w:type="spellStart"/>
      <w:r>
        <w:t>analysis</w:t>
      </w:r>
      <w:proofErr w:type="spellEnd"/>
      <w:r>
        <w:t xml:space="preserve"> </w:t>
      </w:r>
      <w:proofErr w:type="spellStart"/>
      <w:r>
        <w:t>cautions</w:t>
      </w:r>
      <w:proofErr w:type="spellEnd"/>
      <w:r>
        <w:t xml:space="preserve"> </w:t>
      </w:r>
      <w:proofErr w:type="spellStart"/>
      <w:r>
        <w:t>against</w:t>
      </w:r>
      <w:proofErr w:type="spellEnd"/>
      <w:r>
        <w:t xml:space="preserve"> </w:t>
      </w:r>
      <w:proofErr w:type="spellStart"/>
      <w:r>
        <w:t>overextension</w:t>
      </w:r>
      <w:proofErr w:type="spellEnd"/>
      <w:r>
        <w:t xml:space="preserve"> of </w:t>
      </w:r>
      <w:proofErr w:type="spellStart"/>
      <w:r>
        <w:t>causal</w:t>
      </w:r>
      <w:proofErr w:type="spellEnd"/>
      <w:r>
        <w:t xml:space="preserve"> </w:t>
      </w:r>
      <w:proofErr w:type="spellStart"/>
      <w:r>
        <w:t>claims</w:t>
      </w:r>
      <w:proofErr w:type="spellEnd"/>
      <w:r>
        <w:t xml:space="preserve">. </w:t>
      </w:r>
      <w:proofErr w:type="spellStart"/>
      <w:r>
        <w:t>The</w:t>
      </w:r>
      <w:proofErr w:type="spellEnd"/>
      <w:r>
        <w:t xml:space="preserve"> </w:t>
      </w:r>
      <w:proofErr w:type="spellStart"/>
      <w:r>
        <w:t>strongest</w:t>
      </w:r>
      <w:proofErr w:type="spellEnd"/>
      <w:r>
        <w:t xml:space="preserve"> </w:t>
      </w:r>
      <w:proofErr w:type="spellStart"/>
      <w:r>
        <w:t>completed</w:t>
      </w:r>
      <w:proofErr w:type="spellEnd"/>
      <w:r>
        <w:t xml:space="preserve"> </w:t>
      </w:r>
      <w:proofErr w:type="spellStart"/>
      <w:r>
        <w:t>causal</w:t>
      </w:r>
      <w:proofErr w:type="spellEnd"/>
      <w:r>
        <w:t xml:space="preserve"> </w:t>
      </w:r>
      <w:proofErr w:type="spellStart"/>
      <w:r>
        <w:t>evidence</w:t>
      </w:r>
      <w:proofErr w:type="spellEnd"/>
      <w:r>
        <w:t xml:space="preserve"> </w:t>
      </w:r>
      <w:proofErr w:type="spellStart"/>
      <w:r>
        <w:t>remains</w:t>
      </w:r>
      <w:proofErr w:type="spellEnd"/>
      <w:r>
        <w:t xml:space="preserve"> </w:t>
      </w:r>
      <w:proofErr w:type="spellStart"/>
      <w:r>
        <w:t>concentrated</w:t>
      </w:r>
      <w:proofErr w:type="spellEnd"/>
      <w:r>
        <w:t xml:space="preserve"> in </w:t>
      </w:r>
      <w:proofErr w:type="spellStart"/>
      <w:r>
        <w:t>the</w:t>
      </w:r>
      <w:proofErr w:type="spellEnd"/>
      <w:r>
        <w:t xml:space="preserve"> WDI-</w:t>
      </w:r>
      <w:proofErr w:type="spellStart"/>
      <w:r>
        <w:t>based</w:t>
      </w:r>
      <w:proofErr w:type="spellEnd"/>
      <w:r>
        <w:t xml:space="preserve"> network </w:t>
      </w:r>
      <w:proofErr w:type="spellStart"/>
      <w:r>
        <w:t>analyses</w:t>
      </w:r>
      <w:proofErr w:type="spellEnd"/>
      <w:r>
        <w:t xml:space="preserve"> </w:t>
      </w:r>
      <w:proofErr w:type="spellStart"/>
      <w:r>
        <w:t>using</w:t>
      </w:r>
      <w:proofErr w:type="spellEnd"/>
      <w:r>
        <w:t xml:space="preserve"> TERGM, </w:t>
      </w:r>
      <w:proofErr w:type="spellStart"/>
      <w:r>
        <w:t>dynamic</w:t>
      </w:r>
      <w:proofErr w:type="spellEnd"/>
      <w:r>
        <w:t xml:space="preserve"> panel </w:t>
      </w:r>
      <w:proofErr w:type="spellStart"/>
      <w:r>
        <w:t>estimation</w:t>
      </w:r>
      <w:proofErr w:type="spellEnd"/>
      <w:r>
        <w:t xml:space="preserve">, </w:t>
      </w:r>
      <w:proofErr w:type="spellStart"/>
      <w:r>
        <w:t>instrumental</w:t>
      </w:r>
      <w:proofErr w:type="spellEnd"/>
      <w:r>
        <w:t xml:space="preserve"> </w:t>
      </w:r>
      <w:proofErr w:type="spellStart"/>
      <w:r>
        <w:t>variables</w:t>
      </w:r>
      <w:proofErr w:type="spellEnd"/>
      <w:r>
        <w:t xml:space="preserve">, </w:t>
      </w:r>
      <w:proofErr w:type="spellStart"/>
      <w:r>
        <w:t>mechanism</w:t>
      </w:r>
      <w:proofErr w:type="spellEnd"/>
      <w:r>
        <w:t xml:space="preserve"> </w:t>
      </w:r>
      <w:proofErr w:type="spellStart"/>
      <w:r>
        <w:t>tests</w:t>
      </w:r>
      <w:proofErr w:type="spellEnd"/>
      <w:r>
        <w:t xml:space="preserve">, </w:t>
      </w:r>
      <w:proofErr w:type="spellStart"/>
      <w:r>
        <w:t>and</w:t>
      </w:r>
      <w:proofErr w:type="spellEnd"/>
      <w:r>
        <w:t xml:space="preserve"> </w:t>
      </w:r>
      <w:proofErr w:type="spellStart"/>
      <w:r>
        <w:t>placebo</w:t>
      </w:r>
      <w:proofErr w:type="spellEnd"/>
      <w:r>
        <w:t xml:space="preserve"> </w:t>
      </w:r>
      <w:proofErr w:type="spellStart"/>
      <w:r>
        <w:t>simulations</w:t>
      </w:r>
      <w:proofErr w:type="spellEnd"/>
      <w:r>
        <w:t xml:space="preserve">. </w:t>
      </w:r>
      <w:proofErr w:type="spellStart"/>
      <w:r>
        <w:t>The</w:t>
      </w:r>
      <w:proofErr w:type="spellEnd"/>
      <w:r>
        <w:t xml:space="preserve"> </w:t>
      </w:r>
      <w:proofErr w:type="spellStart"/>
      <w:r>
        <w:t>article</w:t>
      </w:r>
      <w:proofErr w:type="spellEnd"/>
      <w:r>
        <w:t xml:space="preserve"> is </w:t>
      </w:r>
      <w:proofErr w:type="spellStart"/>
      <w:r>
        <w:t>therefore</w:t>
      </w:r>
      <w:proofErr w:type="spellEnd"/>
      <w:r>
        <w:t xml:space="preserve"> </w:t>
      </w:r>
      <w:proofErr w:type="spellStart"/>
      <w:r>
        <w:t>most</w:t>
      </w:r>
      <w:proofErr w:type="spellEnd"/>
      <w:r>
        <w:t xml:space="preserve"> </w:t>
      </w:r>
      <w:proofErr w:type="spellStart"/>
      <w:r>
        <w:t>persuasive</w:t>
      </w:r>
      <w:proofErr w:type="spellEnd"/>
      <w:r>
        <w:t xml:space="preserve"> </w:t>
      </w:r>
      <w:proofErr w:type="spellStart"/>
      <w:r>
        <w:t>when</w:t>
      </w:r>
      <w:proofErr w:type="spellEnd"/>
      <w:r>
        <w:t xml:space="preserve"> UNGA </w:t>
      </w:r>
      <w:proofErr w:type="spellStart"/>
      <w:r>
        <w:t>and</w:t>
      </w:r>
      <w:proofErr w:type="spellEnd"/>
      <w:r>
        <w:t xml:space="preserve"> WHO </w:t>
      </w:r>
      <w:proofErr w:type="spellStart"/>
      <w:r>
        <w:t>dimensions</w:t>
      </w:r>
      <w:proofErr w:type="spellEnd"/>
      <w:r>
        <w:t xml:space="preserve"> </w:t>
      </w:r>
      <w:proofErr w:type="spellStart"/>
      <w:r>
        <w:t>are</w:t>
      </w:r>
      <w:proofErr w:type="spellEnd"/>
      <w:r>
        <w:t xml:space="preserve"> </w:t>
      </w:r>
      <w:proofErr w:type="spellStart"/>
      <w:r>
        <w:t>interpreted</w:t>
      </w:r>
      <w:proofErr w:type="spellEnd"/>
      <w:r>
        <w:t xml:space="preserve"> as </w:t>
      </w:r>
      <w:proofErr w:type="spellStart"/>
      <w:r>
        <w:t>mechanisms</w:t>
      </w:r>
      <w:proofErr w:type="spellEnd"/>
      <w:r>
        <w:t xml:space="preserve"> of </w:t>
      </w:r>
      <w:proofErr w:type="spellStart"/>
      <w:r>
        <w:t>multi-layer</w:t>
      </w:r>
      <w:proofErr w:type="spellEnd"/>
      <w:r>
        <w:t xml:space="preserve"> </w:t>
      </w:r>
      <w:proofErr w:type="spellStart"/>
      <w:r>
        <w:t>validation</w:t>
      </w:r>
      <w:proofErr w:type="spellEnd"/>
      <w:r>
        <w:t xml:space="preserve"> </w:t>
      </w:r>
      <w:proofErr w:type="spellStart"/>
      <w:r>
        <w:t>and</w:t>
      </w:r>
      <w:proofErr w:type="spellEnd"/>
      <w:r>
        <w:t xml:space="preserve"> </w:t>
      </w:r>
      <w:proofErr w:type="spellStart"/>
      <w:r>
        <w:t>theoretical</w:t>
      </w:r>
      <w:proofErr w:type="spellEnd"/>
      <w:r>
        <w:t xml:space="preserve"> </w:t>
      </w:r>
      <w:proofErr w:type="spellStart"/>
      <w:r>
        <w:t>extension</w:t>
      </w:r>
      <w:proofErr w:type="spellEnd"/>
      <w:r>
        <w:t xml:space="preserve"> </w:t>
      </w:r>
      <w:proofErr w:type="spellStart"/>
      <w:r>
        <w:t>rather</w:t>
      </w:r>
      <w:proofErr w:type="spellEnd"/>
      <w:r>
        <w:t xml:space="preserve"> </w:t>
      </w:r>
      <w:proofErr w:type="spellStart"/>
      <w:r>
        <w:t>than</w:t>
      </w:r>
      <w:proofErr w:type="spellEnd"/>
      <w:r>
        <w:t xml:space="preserve"> as </w:t>
      </w:r>
      <w:proofErr w:type="spellStart"/>
      <w:r>
        <w:t>fully</w:t>
      </w:r>
      <w:proofErr w:type="spellEnd"/>
      <w:r>
        <w:t xml:space="preserve"> </w:t>
      </w:r>
      <w:proofErr w:type="spellStart"/>
      <w:r>
        <w:t>identified</w:t>
      </w:r>
      <w:proofErr w:type="spellEnd"/>
      <w:r>
        <w:t xml:space="preserve"> </w:t>
      </w:r>
      <w:proofErr w:type="spellStart"/>
      <w:r>
        <w:t>causal</w:t>
      </w:r>
      <w:proofErr w:type="spellEnd"/>
      <w:r>
        <w:t xml:space="preserve"> </w:t>
      </w:r>
      <w:proofErr w:type="spellStart"/>
      <w:r>
        <w:t>channels</w:t>
      </w:r>
      <w:proofErr w:type="spellEnd"/>
      <w:r>
        <w:t>.</w:t>
      </w:r>
    </w:p>
    <w:p w14:paraId="7A69E662" w14:textId="77777777" w:rsidR="00A77FB3" w:rsidRDefault="00A77FB3" w:rsidP="00A77FB3">
      <w:pPr>
        <w:pStyle w:val="NormalWeb"/>
      </w:pPr>
      <w:proofErr w:type="spellStart"/>
      <w:r>
        <w:t>The</w:t>
      </w:r>
      <w:proofErr w:type="spellEnd"/>
      <w:r>
        <w:t xml:space="preserve"> </w:t>
      </w:r>
      <w:proofErr w:type="spellStart"/>
      <w:r>
        <w:t>policy</w:t>
      </w:r>
      <w:proofErr w:type="spellEnd"/>
      <w:r>
        <w:t xml:space="preserve"> </w:t>
      </w:r>
      <w:proofErr w:type="spellStart"/>
      <w:r>
        <w:t>implications</w:t>
      </w:r>
      <w:proofErr w:type="spellEnd"/>
      <w:r>
        <w:t xml:space="preserve"> </w:t>
      </w:r>
      <w:proofErr w:type="spellStart"/>
      <w:r>
        <w:t>are</w:t>
      </w:r>
      <w:proofErr w:type="spellEnd"/>
      <w:r>
        <w:t xml:space="preserve"> </w:t>
      </w:r>
      <w:proofErr w:type="spellStart"/>
      <w:r>
        <w:t>substantial</w:t>
      </w:r>
      <w:proofErr w:type="spellEnd"/>
      <w:r>
        <w:t xml:space="preserve">. </w:t>
      </w:r>
      <w:proofErr w:type="spellStart"/>
      <w:r>
        <w:t>Inclusion</w:t>
      </w:r>
      <w:proofErr w:type="spellEnd"/>
      <w:r>
        <w:t xml:space="preserve"> </w:t>
      </w:r>
      <w:proofErr w:type="spellStart"/>
      <w:r>
        <w:t>within</w:t>
      </w:r>
      <w:proofErr w:type="spellEnd"/>
      <w:r>
        <w:t xml:space="preserve"> global </w:t>
      </w:r>
      <w:proofErr w:type="spellStart"/>
      <w:r>
        <w:t>health</w:t>
      </w:r>
      <w:proofErr w:type="spellEnd"/>
      <w:r>
        <w:t xml:space="preserve"> </w:t>
      </w:r>
      <w:proofErr w:type="spellStart"/>
      <w:r>
        <w:t>governance</w:t>
      </w:r>
      <w:proofErr w:type="spellEnd"/>
      <w:r>
        <w:t xml:space="preserve"> </w:t>
      </w:r>
      <w:proofErr w:type="spellStart"/>
      <w:r>
        <w:t>networks</w:t>
      </w:r>
      <w:proofErr w:type="spellEnd"/>
      <w:r>
        <w:t xml:space="preserve"> is not </w:t>
      </w:r>
      <w:proofErr w:type="spellStart"/>
      <w:r>
        <w:t>sufficient</w:t>
      </w:r>
      <w:proofErr w:type="spellEnd"/>
      <w:r>
        <w:t xml:space="preserve"> in </w:t>
      </w:r>
      <w:proofErr w:type="spellStart"/>
      <w:r>
        <w:t>itself</w:t>
      </w:r>
      <w:proofErr w:type="spellEnd"/>
      <w:r>
        <w:t xml:space="preserve"> </w:t>
      </w:r>
      <w:proofErr w:type="spellStart"/>
      <w:r>
        <w:t>to</w:t>
      </w:r>
      <w:proofErr w:type="spellEnd"/>
      <w:r>
        <w:t xml:space="preserve"> </w:t>
      </w:r>
      <w:proofErr w:type="spellStart"/>
      <w:r>
        <w:t>improve</w:t>
      </w:r>
      <w:proofErr w:type="spellEnd"/>
      <w:r>
        <w:t xml:space="preserve"> </w:t>
      </w:r>
      <w:proofErr w:type="spellStart"/>
      <w:r>
        <w:t>substantive</w:t>
      </w:r>
      <w:proofErr w:type="spellEnd"/>
      <w:r>
        <w:t xml:space="preserve"> </w:t>
      </w:r>
      <w:proofErr w:type="spellStart"/>
      <w:r>
        <w:t>outcomes</w:t>
      </w:r>
      <w:proofErr w:type="spellEnd"/>
      <w:r>
        <w:t xml:space="preserve">. </w:t>
      </w:r>
      <w:proofErr w:type="spellStart"/>
      <w:r>
        <w:t>Countries</w:t>
      </w:r>
      <w:proofErr w:type="spellEnd"/>
      <w:r>
        <w:t xml:space="preserve"> </w:t>
      </w:r>
      <w:proofErr w:type="spellStart"/>
      <w:r>
        <w:t>may</w:t>
      </w:r>
      <w:proofErr w:type="spellEnd"/>
      <w:r>
        <w:t xml:space="preserve"> </w:t>
      </w:r>
      <w:proofErr w:type="spellStart"/>
      <w:r>
        <w:t>become</w:t>
      </w:r>
      <w:proofErr w:type="spellEnd"/>
      <w:r>
        <w:t xml:space="preserve"> </w:t>
      </w:r>
      <w:proofErr w:type="spellStart"/>
      <w:r>
        <w:t>increasingly</w:t>
      </w:r>
      <w:proofErr w:type="spellEnd"/>
      <w:r>
        <w:t xml:space="preserve"> </w:t>
      </w:r>
      <w:proofErr w:type="spellStart"/>
      <w:r>
        <w:t>connected</w:t>
      </w:r>
      <w:proofErr w:type="spellEnd"/>
      <w:r>
        <w:t xml:space="preserve">, </w:t>
      </w:r>
      <w:proofErr w:type="spellStart"/>
      <w:r>
        <w:t>visible</w:t>
      </w:r>
      <w:proofErr w:type="spellEnd"/>
      <w:r>
        <w:t xml:space="preserve">, </w:t>
      </w:r>
      <w:proofErr w:type="spellStart"/>
      <w:r>
        <w:t>and</w:t>
      </w:r>
      <w:proofErr w:type="spellEnd"/>
      <w:r>
        <w:t xml:space="preserve"> </w:t>
      </w:r>
      <w:proofErr w:type="spellStart"/>
      <w:r>
        <w:t>normatively</w:t>
      </w:r>
      <w:proofErr w:type="spellEnd"/>
      <w:r>
        <w:t xml:space="preserve"> </w:t>
      </w:r>
      <w:proofErr w:type="spellStart"/>
      <w:r>
        <w:t>aligned</w:t>
      </w:r>
      <w:proofErr w:type="spellEnd"/>
      <w:r>
        <w:t xml:space="preserve"> </w:t>
      </w:r>
      <w:proofErr w:type="spellStart"/>
      <w:r>
        <w:t>while</w:t>
      </w:r>
      <w:proofErr w:type="spellEnd"/>
      <w:r>
        <w:t xml:space="preserve"> </w:t>
      </w:r>
      <w:proofErr w:type="spellStart"/>
      <w:r>
        <w:t>still</w:t>
      </w:r>
      <w:proofErr w:type="spellEnd"/>
      <w:r>
        <w:t xml:space="preserve"> </w:t>
      </w:r>
      <w:proofErr w:type="spellStart"/>
      <w:r>
        <w:t>lacking</w:t>
      </w:r>
      <w:proofErr w:type="spellEnd"/>
      <w:r>
        <w:t xml:space="preserve"> </w:t>
      </w:r>
      <w:proofErr w:type="spellStart"/>
      <w:r>
        <w:t>the</w:t>
      </w:r>
      <w:proofErr w:type="spellEnd"/>
      <w:r>
        <w:t xml:space="preserve"> </w:t>
      </w:r>
      <w:proofErr w:type="spellStart"/>
      <w:r>
        <w:t>institutional</w:t>
      </w:r>
      <w:proofErr w:type="spellEnd"/>
      <w:r>
        <w:t xml:space="preserve"> </w:t>
      </w:r>
      <w:proofErr w:type="spellStart"/>
      <w:r>
        <w:t>and</w:t>
      </w:r>
      <w:proofErr w:type="spellEnd"/>
      <w:r>
        <w:t xml:space="preserve"> </w:t>
      </w:r>
      <w:proofErr w:type="spellStart"/>
      <w:r>
        <w:t>material</w:t>
      </w:r>
      <w:proofErr w:type="spellEnd"/>
      <w:r>
        <w:t xml:space="preserve"> </w:t>
      </w:r>
      <w:proofErr w:type="spellStart"/>
      <w:r>
        <w:t>capacities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convert</w:t>
      </w:r>
      <w:proofErr w:type="spellEnd"/>
      <w:r>
        <w:t xml:space="preserve"> </w:t>
      </w:r>
      <w:proofErr w:type="spellStart"/>
      <w:r>
        <w:t>connectivity</w:t>
      </w:r>
      <w:proofErr w:type="spellEnd"/>
      <w:r>
        <w:t xml:space="preserve"> </w:t>
      </w:r>
      <w:proofErr w:type="spellStart"/>
      <w:r>
        <w:t>into</w:t>
      </w:r>
      <w:proofErr w:type="spellEnd"/>
      <w:r>
        <w:t xml:space="preserve"> </w:t>
      </w:r>
      <w:proofErr w:type="spellStart"/>
      <w:r>
        <w:t>improved</w:t>
      </w:r>
      <w:proofErr w:type="spellEnd"/>
      <w:r>
        <w:t xml:space="preserve"> </w:t>
      </w:r>
      <w:proofErr w:type="spellStart"/>
      <w:r>
        <w:t>public</w:t>
      </w:r>
      <w:proofErr w:type="spellEnd"/>
      <w:r>
        <w:t xml:space="preserve"> </w:t>
      </w:r>
      <w:proofErr w:type="spellStart"/>
      <w:r>
        <w:t>health</w:t>
      </w:r>
      <w:proofErr w:type="spellEnd"/>
      <w:r>
        <w:t xml:space="preserve"> </w:t>
      </w:r>
      <w:proofErr w:type="spellStart"/>
      <w:r>
        <w:t>performance</w:t>
      </w:r>
      <w:proofErr w:type="spellEnd"/>
      <w:r>
        <w:t xml:space="preserve">. Global </w:t>
      </w:r>
      <w:proofErr w:type="spellStart"/>
      <w:r>
        <w:t>health</w:t>
      </w:r>
      <w:proofErr w:type="spellEnd"/>
      <w:r>
        <w:t xml:space="preserve"> </w:t>
      </w:r>
      <w:proofErr w:type="spellStart"/>
      <w:r>
        <w:t>governance</w:t>
      </w:r>
      <w:proofErr w:type="spellEnd"/>
      <w:r>
        <w:t xml:space="preserve"> </w:t>
      </w:r>
      <w:proofErr w:type="spellStart"/>
      <w:r>
        <w:t>should</w:t>
      </w:r>
      <w:proofErr w:type="spellEnd"/>
      <w:r>
        <w:t xml:space="preserve"> </w:t>
      </w:r>
      <w:proofErr w:type="spellStart"/>
      <w:r>
        <w:t>therefore</w:t>
      </w:r>
      <w:proofErr w:type="spellEnd"/>
      <w:r>
        <w:t xml:space="preserve"> </w:t>
      </w:r>
      <w:proofErr w:type="spellStart"/>
      <w:r>
        <w:t>focus</w:t>
      </w:r>
      <w:proofErr w:type="spellEnd"/>
      <w:r>
        <w:t xml:space="preserve"> not </w:t>
      </w:r>
      <w:proofErr w:type="spellStart"/>
      <w:r>
        <w:t>only</w:t>
      </w:r>
      <w:proofErr w:type="spellEnd"/>
      <w:r>
        <w:t xml:space="preserve"> on </w:t>
      </w:r>
      <w:proofErr w:type="spellStart"/>
      <w:r>
        <w:t>participation</w:t>
      </w:r>
      <w:proofErr w:type="spellEnd"/>
      <w:r>
        <w:t xml:space="preserve"> </w:t>
      </w:r>
      <w:proofErr w:type="spellStart"/>
      <w:r>
        <w:t>and</w:t>
      </w:r>
      <w:proofErr w:type="spellEnd"/>
      <w:r>
        <w:t xml:space="preserve"> </w:t>
      </w:r>
      <w:proofErr w:type="spellStart"/>
      <w:r>
        <w:t>coordination</w:t>
      </w:r>
      <w:proofErr w:type="spellEnd"/>
      <w:r>
        <w:t xml:space="preserve">, but </w:t>
      </w:r>
      <w:proofErr w:type="spellStart"/>
      <w:r>
        <w:t>also</w:t>
      </w:r>
      <w:proofErr w:type="spellEnd"/>
      <w:r>
        <w:t xml:space="preserve"> on </w:t>
      </w:r>
      <w:proofErr w:type="spellStart"/>
      <w:r>
        <w:t>the</w:t>
      </w:r>
      <w:proofErr w:type="spellEnd"/>
      <w:r>
        <w:t xml:space="preserve"> </w:t>
      </w:r>
      <w:proofErr w:type="spellStart"/>
      <w:r>
        <w:t>unequal</w:t>
      </w:r>
      <w:proofErr w:type="spellEnd"/>
      <w:r>
        <w:t xml:space="preserve"> </w:t>
      </w:r>
      <w:proofErr w:type="spellStart"/>
      <w:r>
        <w:t>capacity</w:t>
      </w:r>
      <w:proofErr w:type="spellEnd"/>
      <w:r>
        <w:t xml:space="preserve"> </w:t>
      </w:r>
      <w:proofErr w:type="spellStart"/>
      <w:r>
        <w:t>to</w:t>
      </w:r>
      <w:proofErr w:type="spellEnd"/>
      <w:r>
        <w:t xml:space="preserve"> </w:t>
      </w:r>
      <w:proofErr w:type="spellStart"/>
      <w:r>
        <w:t>use</w:t>
      </w:r>
      <w:proofErr w:type="spellEnd"/>
      <w:r>
        <w:t xml:space="preserve"> </w:t>
      </w:r>
      <w:proofErr w:type="spellStart"/>
      <w:r>
        <w:t>and</w:t>
      </w:r>
      <w:proofErr w:type="spellEnd"/>
      <w:r>
        <w:t xml:space="preserve"> </w:t>
      </w:r>
      <w:proofErr w:type="spellStart"/>
      <w:r>
        <w:t>benefit</w:t>
      </w:r>
      <w:proofErr w:type="spellEnd"/>
      <w:r>
        <w:t xml:space="preserve"> </w:t>
      </w:r>
      <w:proofErr w:type="spellStart"/>
      <w:r>
        <w:t>from</w:t>
      </w:r>
      <w:proofErr w:type="spellEnd"/>
      <w:r>
        <w:t xml:space="preserve"> </w:t>
      </w:r>
      <w:proofErr w:type="spellStart"/>
      <w:r>
        <w:t>these</w:t>
      </w:r>
      <w:proofErr w:type="spellEnd"/>
      <w:r>
        <w:t xml:space="preserve"> </w:t>
      </w:r>
      <w:proofErr w:type="spellStart"/>
      <w:r>
        <w:t>connections</w:t>
      </w:r>
      <w:proofErr w:type="spellEnd"/>
      <w:r>
        <w:t xml:space="preserve">. </w:t>
      </w:r>
      <w:proofErr w:type="spellStart"/>
      <w:r>
        <w:t>Domestic</w:t>
      </w:r>
      <w:proofErr w:type="spellEnd"/>
      <w:r>
        <w:t xml:space="preserve"> </w:t>
      </w:r>
      <w:proofErr w:type="spellStart"/>
      <w:r>
        <w:t>health-system</w:t>
      </w:r>
      <w:proofErr w:type="spellEnd"/>
      <w:r>
        <w:t xml:space="preserve"> </w:t>
      </w:r>
      <w:proofErr w:type="spellStart"/>
      <w:r>
        <w:t>strength</w:t>
      </w:r>
      <w:proofErr w:type="spellEnd"/>
      <w:r>
        <w:t xml:space="preserve">, </w:t>
      </w:r>
      <w:proofErr w:type="spellStart"/>
      <w:r>
        <w:t>technological</w:t>
      </w:r>
      <w:proofErr w:type="spellEnd"/>
      <w:r>
        <w:t xml:space="preserve"> </w:t>
      </w:r>
      <w:proofErr w:type="spellStart"/>
      <w:r>
        <w:t>infrastructure</w:t>
      </w:r>
      <w:proofErr w:type="spellEnd"/>
      <w:r>
        <w:t xml:space="preserve">, </w:t>
      </w:r>
      <w:proofErr w:type="spellStart"/>
      <w:r>
        <w:t>financing</w:t>
      </w:r>
      <w:proofErr w:type="spellEnd"/>
      <w:r>
        <w:t xml:space="preserve"> </w:t>
      </w:r>
      <w:proofErr w:type="spellStart"/>
      <w:r>
        <w:t>resilience</w:t>
      </w:r>
      <w:proofErr w:type="spellEnd"/>
      <w:r>
        <w:t xml:space="preserve">, </w:t>
      </w:r>
      <w:proofErr w:type="spellStart"/>
      <w:r>
        <w:t>medical</w:t>
      </w:r>
      <w:proofErr w:type="spellEnd"/>
      <w:r>
        <w:t xml:space="preserve"> </w:t>
      </w:r>
      <w:proofErr w:type="spellStart"/>
      <w:r>
        <w:t>capacity</w:t>
      </w:r>
      <w:proofErr w:type="spellEnd"/>
      <w:r>
        <w:t xml:space="preserve">, </w:t>
      </w:r>
      <w:proofErr w:type="spellStart"/>
      <w:r>
        <w:t>and</w:t>
      </w:r>
      <w:proofErr w:type="spellEnd"/>
      <w:r>
        <w:t xml:space="preserve"> </w:t>
      </w:r>
      <w:proofErr w:type="spellStart"/>
      <w:r>
        <w:t>institutional</w:t>
      </w:r>
      <w:proofErr w:type="spellEnd"/>
      <w:r>
        <w:t xml:space="preserve"> </w:t>
      </w:r>
      <w:proofErr w:type="spellStart"/>
      <w:r>
        <w:t>preparedness</w:t>
      </w:r>
      <w:proofErr w:type="spellEnd"/>
      <w:r>
        <w:t xml:space="preserve"> </w:t>
      </w:r>
      <w:proofErr w:type="spellStart"/>
      <w:r>
        <w:t>remain</w:t>
      </w:r>
      <w:proofErr w:type="spellEnd"/>
      <w:r>
        <w:t xml:space="preserve"> </w:t>
      </w:r>
      <w:proofErr w:type="spellStart"/>
      <w:r>
        <w:t>central</w:t>
      </w:r>
      <w:proofErr w:type="spellEnd"/>
      <w:r>
        <w:t xml:space="preserve"> </w:t>
      </w:r>
      <w:proofErr w:type="spellStart"/>
      <w:r>
        <w:t>determinants</w:t>
      </w:r>
      <w:proofErr w:type="spellEnd"/>
      <w:r>
        <w:t xml:space="preserve"> of </w:t>
      </w:r>
      <w:proofErr w:type="spellStart"/>
      <w:r>
        <w:t>unequal</w:t>
      </w:r>
      <w:proofErr w:type="spellEnd"/>
      <w:r>
        <w:t xml:space="preserve"> </w:t>
      </w:r>
      <w:proofErr w:type="spellStart"/>
      <w:r>
        <w:t>outcomes</w:t>
      </w:r>
      <w:proofErr w:type="spellEnd"/>
      <w:r>
        <w:t xml:space="preserve">. </w:t>
      </w:r>
      <w:proofErr w:type="spellStart"/>
      <w:r>
        <w:t>Without</w:t>
      </w:r>
      <w:proofErr w:type="spellEnd"/>
      <w:r>
        <w:t xml:space="preserve"> </w:t>
      </w:r>
      <w:proofErr w:type="spellStart"/>
      <w:r>
        <w:t>addressing</w:t>
      </w:r>
      <w:proofErr w:type="spellEnd"/>
      <w:r>
        <w:t xml:space="preserve"> </w:t>
      </w:r>
      <w:proofErr w:type="spellStart"/>
      <w:r>
        <w:t>these</w:t>
      </w:r>
      <w:proofErr w:type="spellEnd"/>
      <w:r>
        <w:t xml:space="preserve"> </w:t>
      </w:r>
      <w:proofErr w:type="spellStart"/>
      <w:r>
        <w:t>underlying</w:t>
      </w:r>
      <w:proofErr w:type="spellEnd"/>
      <w:r>
        <w:t xml:space="preserve"> </w:t>
      </w:r>
      <w:proofErr w:type="spellStart"/>
      <w:r>
        <w:t>asymmetries</w:t>
      </w:r>
      <w:proofErr w:type="spellEnd"/>
      <w:r>
        <w:t xml:space="preserve">, </w:t>
      </w:r>
      <w:proofErr w:type="spellStart"/>
      <w:r>
        <w:t>increasing</w:t>
      </w:r>
      <w:proofErr w:type="spellEnd"/>
      <w:r>
        <w:t xml:space="preserve"> </w:t>
      </w:r>
      <w:proofErr w:type="spellStart"/>
      <w:r>
        <w:t>connectivity</w:t>
      </w:r>
      <w:proofErr w:type="spellEnd"/>
      <w:r>
        <w:t xml:space="preserve"> </w:t>
      </w:r>
      <w:proofErr w:type="spellStart"/>
      <w:r>
        <w:t>may</w:t>
      </w:r>
      <w:proofErr w:type="spellEnd"/>
      <w:r>
        <w:t xml:space="preserve"> </w:t>
      </w:r>
      <w:proofErr w:type="spellStart"/>
      <w:r>
        <w:t>expand</w:t>
      </w:r>
      <w:proofErr w:type="spellEnd"/>
      <w:r>
        <w:t xml:space="preserve"> </w:t>
      </w:r>
      <w:proofErr w:type="spellStart"/>
      <w:r>
        <w:t>participation</w:t>
      </w:r>
      <w:proofErr w:type="spellEnd"/>
      <w:r>
        <w:t xml:space="preserve"> </w:t>
      </w:r>
      <w:proofErr w:type="spellStart"/>
      <w:r>
        <w:t>while</w:t>
      </w:r>
      <w:proofErr w:type="spellEnd"/>
      <w:r>
        <w:t xml:space="preserve"> </w:t>
      </w:r>
      <w:proofErr w:type="spellStart"/>
      <w:r>
        <w:t>leaving</w:t>
      </w:r>
      <w:proofErr w:type="spellEnd"/>
      <w:r>
        <w:t xml:space="preserve"> </w:t>
      </w:r>
      <w:proofErr w:type="spellStart"/>
      <w:r>
        <w:t>the</w:t>
      </w:r>
      <w:proofErr w:type="spellEnd"/>
      <w:r>
        <w:t xml:space="preserve"> </w:t>
      </w:r>
      <w:proofErr w:type="spellStart"/>
      <w:r>
        <w:t>distributive</w:t>
      </w:r>
      <w:proofErr w:type="spellEnd"/>
      <w:r>
        <w:t xml:space="preserve"> </w:t>
      </w:r>
      <w:proofErr w:type="spellStart"/>
      <w:r>
        <w:t>structure</w:t>
      </w:r>
      <w:proofErr w:type="spellEnd"/>
      <w:r>
        <w:t xml:space="preserve"> of global </w:t>
      </w:r>
      <w:proofErr w:type="spellStart"/>
      <w:r>
        <w:t>health</w:t>
      </w:r>
      <w:proofErr w:type="spellEnd"/>
      <w:r>
        <w:t xml:space="preserve"> </w:t>
      </w:r>
      <w:proofErr w:type="spellStart"/>
      <w:r>
        <w:t>governance</w:t>
      </w:r>
      <w:proofErr w:type="spellEnd"/>
      <w:r>
        <w:t xml:space="preserve"> </w:t>
      </w:r>
      <w:proofErr w:type="spellStart"/>
      <w:r>
        <w:t>fundamentally</w:t>
      </w:r>
      <w:proofErr w:type="spellEnd"/>
      <w:r>
        <w:t xml:space="preserve"> </w:t>
      </w:r>
      <w:proofErr w:type="spellStart"/>
      <w:r>
        <w:t>unchanged</w:t>
      </w:r>
      <w:proofErr w:type="spellEnd"/>
      <w:r>
        <w:t>.</w:t>
      </w:r>
    </w:p>
    <w:p w14:paraId="7B4DEDE2" w14:textId="77777777" w:rsidR="00E100CA" w:rsidRDefault="00000000">
      <w:pPr>
        <w:pStyle w:val="Balk1"/>
        <w:spacing w:before="160"/>
      </w:pPr>
      <w:r>
        <w:rPr>
          <w:rFonts w:ascii="Times New Roman" w:hAnsi="Times New Roman"/>
        </w:rPr>
        <w:t>5. Conclusion</w:t>
      </w:r>
    </w:p>
    <w:p w14:paraId="29FCD824" w14:textId="77777777" w:rsidR="00837FDB" w:rsidRDefault="00000000">
      <w:pPr>
        <w:jc w:val="both"/>
      </w:pPr>
      <w:r>
        <w:t xml:space="preserve">This article examined whether multiplex global health governance produces integration or fragmentation by constructing and analyzing a 100-country, 2004-2024 empirical architecture. The study combined WDI health-capacity and development indicators, CEPII geo-historical dyads, UN General Assembly voting similarity, and WHO Global Health Observatory indicators. </w:t>
      </w:r>
      <w:r>
        <w:lastRenderedPageBreak/>
        <w:t>It then linked these layers to annual network construction, temporal ERGM, dynamic System GMM, mechanism tests, IV estimation, placebo falsification, and Bayesian/Monte Carlo robustness extensions.</w:t>
      </w:r>
    </w:p>
    <w:p w14:paraId="63FC9CD7" w14:textId="77777777" w:rsidR="00837FDB" w:rsidRDefault="00000000">
      <w:pPr>
        <w:jc w:val="both"/>
      </w:pPr>
      <w:r>
        <w:t>The main conclusion is integration without equalization. The network is real: it is sparse but connected, clustered, and persistent. Countries are not randomly positioned in global health governance; they are organized through durable material-capacity and normative-alignment structures. Yet centrality in the WDI-derived network does not robustly predict subsequent life expectancy once prior outcomes and structural controls are included. IV and placebo tests reinforce this conclusion rather than overturning it.</w:t>
      </w:r>
    </w:p>
    <w:p w14:paraId="6D19D40C" w14:textId="77777777" w:rsidR="00837FDB" w:rsidRDefault="00000000">
      <w:pPr>
        <w:jc w:val="both"/>
      </w:pPr>
      <w:r>
        <w:t>The strongest substantive result is therefore not a diffusion effect but a stratification effect. Development, digitalization, and structural position matter more consistently than network centrality. The negative Global South interaction indicates that the same developmental resources do not generate the same network returns across the global hierarchy. This makes the article's theoretical distinction between visible hierarchy and structural hierarchy empirically meaningful.</w:t>
      </w:r>
    </w:p>
    <w:p w14:paraId="12E8B870" w14:textId="77777777" w:rsidR="00837FDB" w:rsidRDefault="00000000">
      <w:pPr>
        <w:jc w:val="both"/>
      </w:pPr>
      <w:r>
        <w:t>The article contributes to multiplex governance theory by showing that increased connectivity is not equivalent to integration in outcomes. It contributes to global health governance research by demonstrating that health outcomes remain structurally conditioned even inside dense multilateral and relational environments. It contributes methodologically by combining network analysis with dynamic panel modeling, external instruments, placebo tests, and multi-layer data integration.</w:t>
      </w:r>
    </w:p>
    <w:p w14:paraId="04F85FB5" w14:textId="77777777" w:rsidR="00837FDB" w:rsidRDefault="00000000">
      <w:pPr>
        <w:jc w:val="both"/>
      </w:pPr>
      <w:r>
        <w:t>The article should therefore be framed carefully. It should not claim that network centrality causally improves life expectancy. Its stronger and more defensible claim is that multiplex global health governance organizes countries into durable relational structures while leaving the distribution of health outcomes shaped by deeper structural capacity. Future work can build on the UNGA and WHO layers to test whether normative alignment and institutional health-governance capacity moderate the relationship between network position and health outcomes.</w:t>
      </w:r>
    </w:p>
    <w:p w14:paraId="472FDE62" w14:textId="77777777" w:rsidR="00E100CA" w:rsidRDefault="00000000">
      <w:pPr>
        <w:pStyle w:val="Balk1"/>
        <w:spacing w:before="160"/>
      </w:pPr>
      <w:r>
        <w:rPr>
          <w:rFonts w:ascii="Times New Roman" w:hAnsi="Times New Roman"/>
        </w:rPr>
        <w:t>Appendix A. Reproducibility Note</w:t>
      </w:r>
    </w:p>
    <w:p w14:paraId="127339DC" w14:textId="77777777" w:rsidR="00E100CA" w:rsidRDefault="00000000">
      <w:pPr>
        <w:jc w:val="both"/>
      </w:pPr>
      <w:r>
        <w:t>The replication package contains the R scripts used for data retrieval and estimation. Script 01 builds the WDI network panel; 02 estimates System GMM; 03 estimates mechanism models; 04 runs placebo simulations; 05 estimates temporal ERGM; 06-08 retrieve CEPII data, construct IV instruments, and estimate IV models; 09-10 retrieve and transform UNGA voting data; 11 retrieves WHO/GHO indicators; and 12 merges the augmented UN/WHO panel.</w:t>
      </w:r>
    </w:p>
    <w:p w14:paraId="697F61BE" w14:textId="77777777" w:rsidR="00E100CA" w:rsidRDefault="00000000">
      <w:pPr>
        <w:pStyle w:val="Balk1"/>
        <w:spacing w:before="160"/>
        <w:rPr>
          <w:rFonts w:ascii="Times New Roman" w:hAnsi="Times New Roman"/>
        </w:rPr>
      </w:pPr>
      <w:r>
        <w:rPr>
          <w:rFonts w:ascii="Times New Roman" w:hAnsi="Times New Roman"/>
        </w:rPr>
        <w:t>References and Data Sources</w:t>
      </w:r>
    </w:p>
    <w:p w14:paraId="3A7BFAF3" w14:textId="77777777" w:rsidR="00066DFA" w:rsidRPr="00066DFA" w:rsidRDefault="00066DFA" w:rsidP="00066DFA"/>
    <w:p w14:paraId="5532B7FA" w14:textId="77777777" w:rsidR="00EF0DA7" w:rsidRPr="00EF0DA7" w:rsidRDefault="00EF0DA7" w:rsidP="00EF0DA7">
      <w:pPr>
        <w:pStyle w:val="Kaynaka"/>
        <w:rPr>
          <w:rFonts w:cs="Times New Roman"/>
          <w:lang w:val="tr-TR"/>
        </w:rPr>
      </w:pPr>
      <w:r>
        <w:fldChar w:fldCharType="begin"/>
      </w:r>
      <w:r>
        <w:instrText xml:space="preserve"> ADDIN ZOTERO_BIBL {"uncited":[],"omitted":[],"custom":[]} CSL_BIBLIOGRAPHY </w:instrText>
      </w:r>
      <w:r>
        <w:fldChar w:fldCharType="separate"/>
      </w:r>
      <w:r w:rsidRPr="00EF0DA7">
        <w:rPr>
          <w:rFonts w:cs="Times New Roman"/>
          <w:lang w:val="tr-TR"/>
        </w:rPr>
        <w:t xml:space="preserve">Abbott, K., &amp; Faude, B. (2021). Hybrid institutional complexes in global governance. </w:t>
      </w:r>
      <w:r w:rsidRPr="00EF0DA7">
        <w:rPr>
          <w:rFonts w:cs="Times New Roman"/>
          <w:i/>
          <w:iCs/>
          <w:lang w:val="tr-TR"/>
        </w:rPr>
        <w:t>The Review of International Organizations</w:t>
      </w:r>
      <w:r w:rsidRPr="00EF0DA7">
        <w:rPr>
          <w:rFonts w:cs="Times New Roman"/>
          <w:lang w:val="tr-TR"/>
        </w:rPr>
        <w:t xml:space="preserve">, </w:t>
      </w:r>
      <w:r w:rsidRPr="00EF0DA7">
        <w:rPr>
          <w:rFonts w:cs="Times New Roman"/>
          <w:i/>
          <w:iCs/>
          <w:lang w:val="tr-TR"/>
        </w:rPr>
        <w:t>17</w:t>
      </w:r>
      <w:r w:rsidRPr="00EF0DA7">
        <w:rPr>
          <w:rFonts w:cs="Times New Roman"/>
          <w:lang w:val="tr-TR"/>
        </w:rPr>
        <w:t>, 263-291. https://doi.org/10.1007/s11558-021-09431-3</w:t>
      </w:r>
    </w:p>
    <w:p w14:paraId="15C8C884" w14:textId="77777777" w:rsidR="00EF0DA7" w:rsidRPr="00EF0DA7" w:rsidRDefault="00EF0DA7" w:rsidP="00EF0DA7">
      <w:pPr>
        <w:pStyle w:val="Kaynaka"/>
        <w:rPr>
          <w:rFonts w:cs="Times New Roman"/>
          <w:lang w:val="tr-TR"/>
        </w:rPr>
      </w:pPr>
      <w:r w:rsidRPr="00EF0DA7">
        <w:rPr>
          <w:rFonts w:cs="Times New Roman"/>
          <w:lang w:val="tr-TR"/>
        </w:rPr>
        <w:lastRenderedPageBreak/>
        <w:t xml:space="preserve">Acharya, A., Estevadeordal, A., &amp; Goodman, L. W. (2023a). Multipolar or Multiplex? Interaction Capacity, Global Cooperation and World Order. </w:t>
      </w:r>
      <w:r w:rsidRPr="00EF0DA7">
        <w:rPr>
          <w:rFonts w:cs="Times New Roman"/>
          <w:i/>
          <w:iCs/>
          <w:lang w:val="tr-TR"/>
        </w:rPr>
        <w:t>International Affairs</w:t>
      </w:r>
      <w:r w:rsidRPr="00EF0DA7">
        <w:rPr>
          <w:rFonts w:cs="Times New Roman"/>
          <w:lang w:val="tr-TR"/>
        </w:rPr>
        <w:t xml:space="preserve">, </w:t>
      </w:r>
      <w:r w:rsidRPr="00EF0DA7">
        <w:rPr>
          <w:rFonts w:cs="Times New Roman"/>
          <w:i/>
          <w:iCs/>
          <w:lang w:val="tr-TR"/>
        </w:rPr>
        <w:t>99</w:t>
      </w:r>
      <w:r w:rsidRPr="00EF0DA7">
        <w:rPr>
          <w:rFonts w:cs="Times New Roman"/>
          <w:lang w:val="tr-TR"/>
        </w:rPr>
        <w:t>(6), 2339-2365. https://doi.org/10.1093/ia/iiad242</w:t>
      </w:r>
    </w:p>
    <w:p w14:paraId="5761DA28" w14:textId="77777777" w:rsidR="00EF0DA7" w:rsidRPr="00EF0DA7" w:rsidRDefault="00EF0DA7" w:rsidP="00EF0DA7">
      <w:pPr>
        <w:pStyle w:val="Kaynaka"/>
        <w:rPr>
          <w:rFonts w:cs="Times New Roman"/>
          <w:lang w:val="tr-TR"/>
        </w:rPr>
      </w:pPr>
      <w:r w:rsidRPr="00EF0DA7">
        <w:rPr>
          <w:rFonts w:cs="Times New Roman"/>
          <w:lang w:val="tr-TR"/>
        </w:rPr>
        <w:t xml:space="preserve">Alter, K., &amp; Raustiala, K. (2018). The Rise of International Regime Complexity. </w:t>
      </w:r>
      <w:r w:rsidRPr="00EF0DA7">
        <w:rPr>
          <w:rFonts w:cs="Times New Roman"/>
          <w:i/>
          <w:iCs/>
          <w:lang w:val="tr-TR"/>
        </w:rPr>
        <w:t>Annual Review of Law and Social Science</w:t>
      </w:r>
      <w:r w:rsidRPr="00EF0DA7">
        <w:rPr>
          <w:rFonts w:cs="Times New Roman"/>
          <w:lang w:val="tr-TR"/>
        </w:rPr>
        <w:t>. https://doi.org/10.1146/annurev-lawsocsci-101317-030830</w:t>
      </w:r>
    </w:p>
    <w:p w14:paraId="5FFB1562" w14:textId="77777777" w:rsidR="00EF0DA7" w:rsidRPr="00EF0DA7" w:rsidRDefault="00EF0DA7" w:rsidP="00EF0DA7">
      <w:pPr>
        <w:pStyle w:val="Kaynaka"/>
        <w:rPr>
          <w:rFonts w:cs="Times New Roman"/>
          <w:lang w:val="tr-TR"/>
        </w:rPr>
      </w:pPr>
      <w:r w:rsidRPr="00EF0DA7">
        <w:rPr>
          <w:rFonts w:cs="Times New Roman"/>
          <w:lang w:val="tr-TR"/>
        </w:rPr>
        <w:t xml:space="preserve">Arellano, M., &amp; Bond, S. (1991a). Some Tests of Specification for Panel Data: Monte Carlo Evidence and an Application to Employment Equations. </w:t>
      </w:r>
      <w:r w:rsidRPr="00EF0DA7">
        <w:rPr>
          <w:rFonts w:cs="Times New Roman"/>
          <w:i/>
          <w:iCs/>
          <w:lang w:val="tr-TR"/>
        </w:rPr>
        <w:t>Review of Economic Studies</w:t>
      </w:r>
      <w:r w:rsidRPr="00EF0DA7">
        <w:rPr>
          <w:rFonts w:cs="Times New Roman"/>
          <w:lang w:val="tr-TR"/>
        </w:rPr>
        <w:t xml:space="preserve">, </w:t>
      </w:r>
      <w:r w:rsidRPr="00EF0DA7">
        <w:rPr>
          <w:rFonts w:cs="Times New Roman"/>
          <w:i/>
          <w:iCs/>
          <w:lang w:val="tr-TR"/>
        </w:rPr>
        <w:t>58</w:t>
      </w:r>
      <w:r w:rsidRPr="00EF0DA7">
        <w:rPr>
          <w:rFonts w:cs="Times New Roman"/>
          <w:lang w:val="tr-TR"/>
        </w:rPr>
        <w:t>(2), 277-297. https://doi.org/10.2307/2297968</w:t>
      </w:r>
    </w:p>
    <w:p w14:paraId="72E7A263" w14:textId="77777777" w:rsidR="00EF0DA7" w:rsidRPr="00EF0DA7" w:rsidRDefault="00EF0DA7" w:rsidP="00EF0DA7">
      <w:pPr>
        <w:pStyle w:val="Kaynaka"/>
        <w:rPr>
          <w:rFonts w:cs="Times New Roman"/>
          <w:lang w:val="tr-TR"/>
        </w:rPr>
      </w:pPr>
      <w:r w:rsidRPr="00EF0DA7">
        <w:rPr>
          <w:rFonts w:cs="Times New Roman"/>
          <w:lang w:val="tr-TR"/>
        </w:rPr>
        <w:t xml:space="preserve">Azimi, M. N., Rahman, M. M., &amp; Nghiem, S. (2023). A global perspective on the governance-health nexus. </w:t>
      </w:r>
      <w:r w:rsidRPr="00EF0DA7">
        <w:rPr>
          <w:rFonts w:cs="Times New Roman"/>
          <w:i/>
          <w:iCs/>
          <w:lang w:val="tr-TR"/>
        </w:rPr>
        <w:t>BMC Health Services Research</w:t>
      </w:r>
      <w:r w:rsidRPr="00EF0DA7">
        <w:rPr>
          <w:rFonts w:cs="Times New Roman"/>
          <w:lang w:val="tr-TR"/>
        </w:rPr>
        <w:t xml:space="preserve">, </w:t>
      </w:r>
      <w:r w:rsidRPr="00EF0DA7">
        <w:rPr>
          <w:rFonts w:cs="Times New Roman"/>
          <w:i/>
          <w:iCs/>
          <w:lang w:val="tr-TR"/>
        </w:rPr>
        <w:t>23</w:t>
      </w:r>
      <w:r w:rsidRPr="00EF0DA7">
        <w:rPr>
          <w:rFonts w:cs="Times New Roman"/>
          <w:lang w:val="tr-TR"/>
        </w:rPr>
        <w:t>. https://doi.org/10.1186/s12913-023-10261-9</w:t>
      </w:r>
    </w:p>
    <w:p w14:paraId="3B4DB543" w14:textId="77777777" w:rsidR="00EF0DA7" w:rsidRPr="00EF0DA7" w:rsidRDefault="00EF0DA7" w:rsidP="00EF0DA7">
      <w:pPr>
        <w:pStyle w:val="Kaynaka"/>
        <w:rPr>
          <w:rFonts w:cs="Times New Roman"/>
          <w:lang w:val="tr-TR"/>
        </w:rPr>
      </w:pPr>
      <w:r w:rsidRPr="00EF0DA7">
        <w:rPr>
          <w:rFonts w:cs="Times New Roman"/>
          <w:lang w:val="tr-TR"/>
        </w:rPr>
        <w:t xml:space="preserve">Bermudez, G. F., &amp; Prah, J. (2022). Examining power dynamics in global health governance using topic modeling and network analysis of Twitter data. </w:t>
      </w:r>
      <w:r w:rsidRPr="00EF0DA7">
        <w:rPr>
          <w:rFonts w:cs="Times New Roman"/>
          <w:i/>
          <w:iCs/>
          <w:lang w:val="tr-TR"/>
        </w:rPr>
        <w:t>BMJ Open</w:t>
      </w:r>
      <w:r w:rsidRPr="00EF0DA7">
        <w:rPr>
          <w:rFonts w:cs="Times New Roman"/>
          <w:lang w:val="tr-TR"/>
        </w:rPr>
        <w:t xml:space="preserve">, </w:t>
      </w:r>
      <w:r w:rsidRPr="00EF0DA7">
        <w:rPr>
          <w:rFonts w:cs="Times New Roman"/>
          <w:i/>
          <w:iCs/>
          <w:lang w:val="tr-TR"/>
        </w:rPr>
        <w:t>12</w:t>
      </w:r>
      <w:r w:rsidRPr="00EF0DA7">
        <w:rPr>
          <w:rFonts w:cs="Times New Roman"/>
          <w:lang w:val="tr-TR"/>
        </w:rPr>
        <w:t>. https://doi.org/10.1136/bmjopen-2021-054470</w:t>
      </w:r>
    </w:p>
    <w:p w14:paraId="2F2FAA93" w14:textId="77777777" w:rsidR="00EF0DA7" w:rsidRPr="00EF0DA7" w:rsidRDefault="00EF0DA7" w:rsidP="00EF0DA7">
      <w:pPr>
        <w:pStyle w:val="Kaynaka"/>
        <w:rPr>
          <w:rFonts w:cs="Times New Roman"/>
          <w:lang w:val="tr-TR"/>
        </w:rPr>
      </w:pPr>
      <w:r w:rsidRPr="00EF0DA7">
        <w:rPr>
          <w:rFonts w:cs="Times New Roman"/>
          <w:lang w:val="tr-TR"/>
        </w:rPr>
        <w:t xml:space="preserve">Blundell, R., &amp; Bond, S. (1998a). Initial Conditions and Moment Restrictions in Dynamic Panel Data Models. </w:t>
      </w:r>
      <w:r w:rsidRPr="00EF0DA7">
        <w:rPr>
          <w:rFonts w:cs="Times New Roman"/>
          <w:i/>
          <w:iCs/>
          <w:lang w:val="tr-TR"/>
        </w:rPr>
        <w:t>Journal of Econometrics</w:t>
      </w:r>
      <w:r w:rsidRPr="00EF0DA7">
        <w:rPr>
          <w:rFonts w:cs="Times New Roman"/>
          <w:lang w:val="tr-TR"/>
        </w:rPr>
        <w:t xml:space="preserve">, </w:t>
      </w:r>
      <w:r w:rsidRPr="00EF0DA7">
        <w:rPr>
          <w:rFonts w:cs="Times New Roman"/>
          <w:i/>
          <w:iCs/>
          <w:lang w:val="tr-TR"/>
        </w:rPr>
        <w:t>87</w:t>
      </w:r>
      <w:r w:rsidRPr="00EF0DA7">
        <w:rPr>
          <w:rFonts w:cs="Times New Roman"/>
          <w:lang w:val="tr-TR"/>
        </w:rPr>
        <w:t>(1), 115-143. https://doi.org/10.1016/S0304-4076(98)00009-8</w:t>
      </w:r>
    </w:p>
    <w:p w14:paraId="364FFC1F" w14:textId="77777777" w:rsidR="00EF0DA7" w:rsidRPr="00EF0DA7" w:rsidRDefault="00EF0DA7" w:rsidP="00EF0DA7">
      <w:pPr>
        <w:pStyle w:val="Kaynaka"/>
        <w:rPr>
          <w:rFonts w:cs="Times New Roman"/>
          <w:lang w:val="tr-TR"/>
        </w:rPr>
      </w:pPr>
      <w:r w:rsidRPr="00EF0DA7">
        <w:rPr>
          <w:rFonts w:cs="Times New Roman"/>
          <w:lang w:val="tr-TR"/>
        </w:rPr>
        <w:t xml:space="preserve">Bouteligier, S. (2013). Inequality in new global governance arrangements: The North–South divide in transnational municipal networks. </w:t>
      </w:r>
      <w:r w:rsidRPr="00EF0DA7">
        <w:rPr>
          <w:rFonts w:cs="Times New Roman"/>
          <w:i/>
          <w:iCs/>
          <w:lang w:val="tr-TR"/>
        </w:rPr>
        <w:t>Innovation: The European Journal of Social Science Research</w:t>
      </w:r>
      <w:r w:rsidRPr="00EF0DA7">
        <w:rPr>
          <w:rFonts w:cs="Times New Roman"/>
          <w:lang w:val="tr-TR"/>
        </w:rPr>
        <w:t xml:space="preserve">, </w:t>
      </w:r>
      <w:r w:rsidRPr="00EF0DA7">
        <w:rPr>
          <w:rFonts w:cs="Times New Roman"/>
          <w:i/>
          <w:iCs/>
          <w:lang w:val="tr-TR"/>
        </w:rPr>
        <w:t>26</w:t>
      </w:r>
      <w:r w:rsidRPr="00EF0DA7">
        <w:rPr>
          <w:rFonts w:cs="Times New Roman"/>
          <w:lang w:val="tr-TR"/>
        </w:rPr>
        <w:t>, 251-267. https://doi.org/10.1080/13511610.2013.771890</w:t>
      </w:r>
    </w:p>
    <w:p w14:paraId="3587F419" w14:textId="77777777" w:rsidR="00EF0DA7" w:rsidRPr="00EF0DA7" w:rsidRDefault="00EF0DA7" w:rsidP="00EF0DA7">
      <w:pPr>
        <w:pStyle w:val="Kaynaka"/>
        <w:rPr>
          <w:rFonts w:cs="Times New Roman"/>
          <w:lang w:val="tr-TR"/>
        </w:rPr>
      </w:pPr>
      <w:r w:rsidRPr="00EF0DA7">
        <w:rPr>
          <w:rFonts w:cs="Times New Roman"/>
          <w:lang w:val="tr-TR"/>
        </w:rPr>
        <w:t xml:space="preserve">Bürkner, P.-C. (2017a). brms: An R Package for Bayesian Multilevel Models Using Stan. </w:t>
      </w:r>
      <w:r w:rsidRPr="00EF0DA7">
        <w:rPr>
          <w:rFonts w:cs="Times New Roman"/>
          <w:i/>
          <w:iCs/>
          <w:lang w:val="tr-TR"/>
        </w:rPr>
        <w:t>Journal of Statistical Software</w:t>
      </w:r>
      <w:r w:rsidRPr="00EF0DA7">
        <w:rPr>
          <w:rFonts w:cs="Times New Roman"/>
          <w:lang w:val="tr-TR"/>
        </w:rPr>
        <w:t xml:space="preserve">, </w:t>
      </w:r>
      <w:r w:rsidRPr="00EF0DA7">
        <w:rPr>
          <w:rFonts w:cs="Times New Roman"/>
          <w:i/>
          <w:iCs/>
          <w:lang w:val="tr-TR"/>
        </w:rPr>
        <w:t>80</w:t>
      </w:r>
      <w:r w:rsidRPr="00EF0DA7">
        <w:rPr>
          <w:rFonts w:cs="Times New Roman"/>
          <w:lang w:val="tr-TR"/>
        </w:rPr>
        <w:t>(1), 1-28. https://doi.org/10.18637/jss.v080.i01</w:t>
      </w:r>
    </w:p>
    <w:p w14:paraId="59CC79DA" w14:textId="77777777" w:rsidR="00EF0DA7" w:rsidRPr="00EF0DA7" w:rsidRDefault="00EF0DA7" w:rsidP="00EF0DA7">
      <w:pPr>
        <w:pStyle w:val="Kaynaka"/>
        <w:rPr>
          <w:rFonts w:cs="Times New Roman"/>
          <w:lang w:val="tr-TR"/>
        </w:rPr>
      </w:pPr>
      <w:r w:rsidRPr="00EF0DA7">
        <w:rPr>
          <w:rFonts w:cs="Times New Roman"/>
          <w:lang w:val="tr-TR"/>
        </w:rPr>
        <w:lastRenderedPageBreak/>
        <w:t xml:space="preserve">Carpenter, B., Gelman, A., Hoffman, M. D., Lee, D., Goodrich, B., Betancourt, M., Brubaker, M., Guo, J., Li, P., &amp; Riddell, A. (2017a). Stan: A Probabilistic Programming Language. </w:t>
      </w:r>
      <w:r w:rsidRPr="00EF0DA7">
        <w:rPr>
          <w:rFonts w:cs="Times New Roman"/>
          <w:i/>
          <w:iCs/>
          <w:lang w:val="tr-TR"/>
        </w:rPr>
        <w:t>Journal of Statistical Software</w:t>
      </w:r>
      <w:r w:rsidRPr="00EF0DA7">
        <w:rPr>
          <w:rFonts w:cs="Times New Roman"/>
          <w:lang w:val="tr-TR"/>
        </w:rPr>
        <w:t xml:space="preserve">, </w:t>
      </w:r>
      <w:r w:rsidRPr="00EF0DA7">
        <w:rPr>
          <w:rFonts w:cs="Times New Roman"/>
          <w:i/>
          <w:iCs/>
          <w:lang w:val="tr-TR"/>
        </w:rPr>
        <w:t>76</w:t>
      </w:r>
      <w:r w:rsidRPr="00EF0DA7">
        <w:rPr>
          <w:rFonts w:cs="Times New Roman"/>
          <w:lang w:val="tr-TR"/>
        </w:rPr>
        <w:t>(1), 1-32. https://doi.org/10.18637/jss.v076.i01</w:t>
      </w:r>
    </w:p>
    <w:p w14:paraId="7E3A8EA4" w14:textId="77777777" w:rsidR="00EF0DA7" w:rsidRPr="00EF0DA7" w:rsidRDefault="00EF0DA7" w:rsidP="00EF0DA7">
      <w:pPr>
        <w:pStyle w:val="Kaynaka"/>
        <w:rPr>
          <w:rFonts w:cs="Times New Roman"/>
          <w:lang w:val="tr-TR"/>
        </w:rPr>
      </w:pPr>
      <w:r w:rsidRPr="00EF0DA7">
        <w:rPr>
          <w:rFonts w:cs="Times New Roman"/>
          <w:lang w:val="tr-TR"/>
        </w:rPr>
        <w:t xml:space="preserve">Conte, M., Cotterlaz, P., &amp; Mayer, T. (2022a). </w:t>
      </w:r>
      <w:r w:rsidRPr="00EF0DA7">
        <w:rPr>
          <w:rFonts w:cs="Times New Roman"/>
          <w:i/>
          <w:iCs/>
          <w:lang w:val="tr-TR"/>
        </w:rPr>
        <w:t>The CEPII Gravity Database</w:t>
      </w:r>
      <w:r w:rsidRPr="00EF0DA7">
        <w:rPr>
          <w:rFonts w:cs="Times New Roman"/>
          <w:lang w:val="tr-TR"/>
        </w:rPr>
        <w:t xml:space="preserve"> (Working Paper Sy. 2022-05). CEPII. https://www.cepii.fr/CEPII/en/publications/wp/abstract.asp?NoDoc=13432</w:t>
      </w:r>
    </w:p>
    <w:p w14:paraId="51C0CE71" w14:textId="77777777" w:rsidR="00EF0DA7" w:rsidRPr="00EF0DA7" w:rsidRDefault="00EF0DA7" w:rsidP="00EF0DA7">
      <w:pPr>
        <w:pStyle w:val="Kaynaka"/>
        <w:rPr>
          <w:rFonts w:cs="Times New Roman"/>
          <w:lang w:val="tr-TR"/>
        </w:rPr>
      </w:pPr>
      <w:r w:rsidRPr="00EF0DA7">
        <w:rPr>
          <w:rFonts w:cs="Times New Roman"/>
          <w:lang w:val="tr-TR"/>
        </w:rPr>
        <w:t xml:space="preserve">Cranmer, S. J., &amp; Desmarais, B. A. (2011a). Inferential Network Analysis with Exponential Random Graph Models. </w:t>
      </w:r>
      <w:r w:rsidRPr="00EF0DA7">
        <w:rPr>
          <w:rFonts w:cs="Times New Roman"/>
          <w:i/>
          <w:iCs/>
          <w:lang w:val="tr-TR"/>
        </w:rPr>
        <w:t>Political Analysis</w:t>
      </w:r>
      <w:r w:rsidRPr="00EF0DA7">
        <w:rPr>
          <w:rFonts w:cs="Times New Roman"/>
          <w:lang w:val="tr-TR"/>
        </w:rPr>
        <w:t xml:space="preserve">, </w:t>
      </w:r>
      <w:r w:rsidRPr="00EF0DA7">
        <w:rPr>
          <w:rFonts w:cs="Times New Roman"/>
          <w:i/>
          <w:iCs/>
          <w:lang w:val="tr-TR"/>
        </w:rPr>
        <w:t>19</w:t>
      </w:r>
      <w:r w:rsidRPr="00EF0DA7">
        <w:rPr>
          <w:rFonts w:cs="Times New Roman"/>
          <w:lang w:val="tr-TR"/>
        </w:rPr>
        <w:t>(1), 66-86. https://doi.org/10.1093/pan/mpq037</w:t>
      </w:r>
    </w:p>
    <w:p w14:paraId="1AE085BC" w14:textId="77777777" w:rsidR="00EF0DA7" w:rsidRPr="00EF0DA7" w:rsidRDefault="00EF0DA7" w:rsidP="00EF0DA7">
      <w:pPr>
        <w:pStyle w:val="Kaynaka"/>
        <w:rPr>
          <w:rFonts w:cs="Times New Roman"/>
          <w:lang w:val="tr-TR"/>
        </w:rPr>
      </w:pPr>
      <w:r w:rsidRPr="00EF0DA7">
        <w:rPr>
          <w:rFonts w:cs="Times New Roman"/>
          <w:lang w:val="tr-TR"/>
        </w:rPr>
        <w:t xml:space="preserve">De Bièvre, D., &amp; Ommeren, E. (2021). Multilateralism, Bilateralism and Institutional Choice: The Political Economy of Regime Complexes in International Trade Policy. </w:t>
      </w:r>
      <w:r w:rsidRPr="00EF0DA7">
        <w:rPr>
          <w:rFonts w:cs="Times New Roman"/>
          <w:i/>
          <w:iCs/>
          <w:lang w:val="tr-TR"/>
        </w:rPr>
        <w:t>Global Policy</w:t>
      </w:r>
      <w:r w:rsidRPr="00EF0DA7">
        <w:rPr>
          <w:rFonts w:cs="Times New Roman"/>
          <w:lang w:val="tr-TR"/>
        </w:rPr>
        <w:t xml:space="preserve">, </w:t>
      </w:r>
      <w:r w:rsidRPr="00EF0DA7">
        <w:rPr>
          <w:rFonts w:cs="Times New Roman"/>
          <w:i/>
          <w:iCs/>
          <w:lang w:val="tr-TR"/>
        </w:rPr>
        <w:t>12</w:t>
      </w:r>
      <w:r w:rsidRPr="00EF0DA7">
        <w:rPr>
          <w:rFonts w:cs="Times New Roman"/>
          <w:lang w:val="tr-TR"/>
        </w:rPr>
        <w:t>, 14-24. https://doi.org/10.1111/1758-5899.12884</w:t>
      </w:r>
    </w:p>
    <w:p w14:paraId="32774AB3" w14:textId="77777777" w:rsidR="00EF0DA7" w:rsidRPr="00EF0DA7" w:rsidRDefault="00EF0DA7" w:rsidP="00EF0DA7">
      <w:pPr>
        <w:pStyle w:val="Kaynaka"/>
        <w:rPr>
          <w:rFonts w:cs="Times New Roman"/>
          <w:lang w:val="tr-TR"/>
        </w:rPr>
      </w:pPr>
      <w:r w:rsidRPr="00EF0DA7">
        <w:rPr>
          <w:rFonts w:cs="Times New Roman"/>
          <w:lang w:val="tr-TR"/>
        </w:rPr>
        <w:t xml:space="preserve">Dinu, V., Dragoș, C., Mare, C., Dragoș, S., &amp; Mare, R. (2024). Economic and institutional determinants of environmental health and sustainability: Spatial and nonlinear effects for a panel of worldwide countries. </w:t>
      </w:r>
      <w:r w:rsidRPr="00EF0DA7">
        <w:rPr>
          <w:rFonts w:cs="Times New Roman"/>
          <w:i/>
          <w:iCs/>
          <w:lang w:val="tr-TR"/>
        </w:rPr>
        <w:t>Oeconomia Copernicana</w:t>
      </w:r>
      <w:r w:rsidRPr="00EF0DA7">
        <w:rPr>
          <w:rFonts w:cs="Times New Roman"/>
          <w:lang w:val="tr-TR"/>
        </w:rPr>
        <w:t>. https://doi.org/10.24136/oc.2915</w:t>
      </w:r>
    </w:p>
    <w:p w14:paraId="257980DB" w14:textId="77777777" w:rsidR="00EF0DA7" w:rsidRPr="00EF0DA7" w:rsidRDefault="00EF0DA7" w:rsidP="00EF0DA7">
      <w:pPr>
        <w:pStyle w:val="Kaynaka"/>
        <w:rPr>
          <w:rFonts w:cs="Times New Roman"/>
          <w:lang w:val="tr-TR"/>
        </w:rPr>
      </w:pPr>
      <w:r w:rsidRPr="00EF0DA7">
        <w:rPr>
          <w:rFonts w:cs="Times New Roman"/>
          <w:lang w:val="tr-TR"/>
        </w:rPr>
        <w:t xml:space="preserve">Dorsch, M., &amp; Flachsland, C. (2017). A Polycentric Approach to Global Climate Governance. </w:t>
      </w:r>
      <w:r w:rsidRPr="00EF0DA7">
        <w:rPr>
          <w:rFonts w:cs="Times New Roman"/>
          <w:i/>
          <w:iCs/>
          <w:lang w:val="tr-TR"/>
        </w:rPr>
        <w:t>Global Environmental Politics</w:t>
      </w:r>
      <w:r w:rsidRPr="00EF0DA7">
        <w:rPr>
          <w:rFonts w:cs="Times New Roman"/>
          <w:lang w:val="tr-TR"/>
        </w:rPr>
        <w:t xml:space="preserve">, </w:t>
      </w:r>
      <w:r w:rsidRPr="00EF0DA7">
        <w:rPr>
          <w:rFonts w:cs="Times New Roman"/>
          <w:i/>
          <w:iCs/>
          <w:lang w:val="tr-TR"/>
        </w:rPr>
        <w:t>17</w:t>
      </w:r>
      <w:r w:rsidRPr="00EF0DA7">
        <w:rPr>
          <w:rFonts w:cs="Times New Roman"/>
          <w:lang w:val="tr-TR"/>
        </w:rPr>
        <w:t>, 45-64. https://doi.org/10.1162/glep_a_00400</w:t>
      </w:r>
    </w:p>
    <w:p w14:paraId="41512481" w14:textId="77777777" w:rsidR="00EF0DA7" w:rsidRPr="00EF0DA7" w:rsidRDefault="00EF0DA7" w:rsidP="00EF0DA7">
      <w:pPr>
        <w:pStyle w:val="Kaynaka"/>
        <w:rPr>
          <w:rFonts w:cs="Times New Roman"/>
          <w:lang w:val="tr-TR"/>
        </w:rPr>
      </w:pPr>
      <w:r w:rsidRPr="00EF0DA7">
        <w:rPr>
          <w:rFonts w:cs="Times New Roman"/>
          <w:lang w:val="tr-TR"/>
        </w:rPr>
        <w:t xml:space="preserve">Dryzek, J. (2017). The meanings of life for non-state actors in climate politics. </w:t>
      </w:r>
      <w:r w:rsidRPr="00EF0DA7">
        <w:rPr>
          <w:rFonts w:cs="Times New Roman"/>
          <w:i/>
          <w:iCs/>
          <w:lang w:val="tr-TR"/>
        </w:rPr>
        <w:t>Environmental Politics</w:t>
      </w:r>
      <w:r w:rsidRPr="00EF0DA7">
        <w:rPr>
          <w:rFonts w:cs="Times New Roman"/>
          <w:lang w:val="tr-TR"/>
        </w:rPr>
        <w:t xml:space="preserve">, </w:t>
      </w:r>
      <w:r w:rsidRPr="00EF0DA7">
        <w:rPr>
          <w:rFonts w:cs="Times New Roman"/>
          <w:i/>
          <w:iCs/>
          <w:lang w:val="tr-TR"/>
        </w:rPr>
        <w:t>26</w:t>
      </w:r>
      <w:r w:rsidRPr="00EF0DA7">
        <w:rPr>
          <w:rFonts w:cs="Times New Roman"/>
          <w:lang w:val="tr-TR"/>
        </w:rPr>
        <w:t>, 789-799. https://doi.org/10.1080/09644016.2017.1321724</w:t>
      </w:r>
    </w:p>
    <w:p w14:paraId="60F2459F" w14:textId="77777777" w:rsidR="00EF0DA7" w:rsidRPr="00EF0DA7" w:rsidRDefault="00EF0DA7" w:rsidP="00EF0DA7">
      <w:pPr>
        <w:pStyle w:val="Kaynaka"/>
        <w:rPr>
          <w:rFonts w:cs="Times New Roman"/>
          <w:lang w:val="tr-TR"/>
        </w:rPr>
      </w:pPr>
      <w:r w:rsidRPr="00EF0DA7">
        <w:rPr>
          <w:rFonts w:cs="Times New Roman"/>
          <w:lang w:val="tr-TR"/>
        </w:rPr>
        <w:t xml:space="preserve">Eilstrup-Sangiovanni, M., &amp; Westerwinter, O. (2021). The global governance complexity cube: Varieties of institutional complexity in global governance. </w:t>
      </w:r>
      <w:r w:rsidRPr="00EF0DA7">
        <w:rPr>
          <w:rFonts w:cs="Times New Roman"/>
          <w:i/>
          <w:iCs/>
          <w:lang w:val="tr-TR"/>
        </w:rPr>
        <w:t>The Review of International Organizations</w:t>
      </w:r>
      <w:r w:rsidRPr="00EF0DA7">
        <w:rPr>
          <w:rFonts w:cs="Times New Roman"/>
          <w:lang w:val="tr-TR"/>
        </w:rPr>
        <w:t xml:space="preserve">, </w:t>
      </w:r>
      <w:r w:rsidRPr="00EF0DA7">
        <w:rPr>
          <w:rFonts w:cs="Times New Roman"/>
          <w:i/>
          <w:iCs/>
          <w:lang w:val="tr-TR"/>
        </w:rPr>
        <w:t>17</w:t>
      </w:r>
      <w:r w:rsidRPr="00EF0DA7">
        <w:rPr>
          <w:rFonts w:cs="Times New Roman"/>
          <w:lang w:val="tr-TR"/>
        </w:rPr>
        <w:t>, 233-262. https://doi.org/10.1007/s11558-021-09449-7</w:t>
      </w:r>
    </w:p>
    <w:p w14:paraId="4965E005" w14:textId="77777777" w:rsidR="00EF0DA7" w:rsidRPr="00EF0DA7" w:rsidRDefault="00EF0DA7" w:rsidP="00EF0DA7">
      <w:pPr>
        <w:pStyle w:val="Kaynaka"/>
        <w:rPr>
          <w:rFonts w:cs="Times New Roman"/>
          <w:lang w:val="tr-TR"/>
        </w:rPr>
      </w:pPr>
      <w:r w:rsidRPr="00EF0DA7">
        <w:rPr>
          <w:rFonts w:cs="Times New Roman"/>
          <w:lang w:val="tr-TR"/>
        </w:rPr>
        <w:lastRenderedPageBreak/>
        <w:t xml:space="preserve">Elsässer, J., Hickmann, T., Jinnah, S., Oberthür, S., &amp; Van De Graaf, T. (2022). Institutional interplay in global environmental governance: Lessons learned and future research. </w:t>
      </w:r>
      <w:r w:rsidRPr="00EF0DA7">
        <w:rPr>
          <w:rFonts w:cs="Times New Roman"/>
          <w:i/>
          <w:iCs/>
          <w:lang w:val="tr-TR"/>
        </w:rPr>
        <w:t>International Environmental Agreements: Politics, Law and Economics</w:t>
      </w:r>
      <w:r w:rsidRPr="00EF0DA7">
        <w:rPr>
          <w:rFonts w:cs="Times New Roman"/>
          <w:lang w:val="tr-TR"/>
        </w:rPr>
        <w:t xml:space="preserve">, </w:t>
      </w:r>
      <w:r w:rsidRPr="00EF0DA7">
        <w:rPr>
          <w:rFonts w:cs="Times New Roman"/>
          <w:i/>
          <w:iCs/>
          <w:lang w:val="tr-TR"/>
        </w:rPr>
        <w:t>22</w:t>
      </w:r>
      <w:r w:rsidRPr="00EF0DA7">
        <w:rPr>
          <w:rFonts w:cs="Times New Roman"/>
          <w:lang w:val="tr-TR"/>
        </w:rPr>
        <w:t>, 373-391. https://doi.org/10.1007/s10784-022-09569-4</w:t>
      </w:r>
    </w:p>
    <w:p w14:paraId="644FF1F0" w14:textId="77777777" w:rsidR="00EF0DA7" w:rsidRPr="00EF0DA7" w:rsidRDefault="00EF0DA7" w:rsidP="00EF0DA7">
      <w:pPr>
        <w:pStyle w:val="Kaynaka"/>
        <w:rPr>
          <w:rFonts w:cs="Times New Roman"/>
          <w:lang w:val="tr-TR"/>
        </w:rPr>
      </w:pPr>
      <w:r w:rsidRPr="00EF0DA7">
        <w:rPr>
          <w:rFonts w:cs="Times New Roman"/>
          <w:lang w:val="tr-TR"/>
        </w:rPr>
        <w:t xml:space="preserve">Gelman, A., Carlin, J. B., Stern, H. S., Dunson, D. B., Vehtari, A., &amp; Rubin, D. B. (2013a). </w:t>
      </w:r>
      <w:r w:rsidRPr="00EF0DA7">
        <w:rPr>
          <w:rFonts w:cs="Times New Roman"/>
          <w:i/>
          <w:iCs/>
          <w:lang w:val="tr-TR"/>
        </w:rPr>
        <w:t>Bayesian Data Analysis</w:t>
      </w:r>
      <w:r w:rsidRPr="00EF0DA7">
        <w:rPr>
          <w:rFonts w:cs="Times New Roman"/>
          <w:lang w:val="tr-TR"/>
        </w:rPr>
        <w:t xml:space="preserve"> (3. bs.). CRC Press.</w:t>
      </w:r>
    </w:p>
    <w:p w14:paraId="51F3FF0A" w14:textId="77777777" w:rsidR="00EF0DA7" w:rsidRPr="00EF0DA7" w:rsidRDefault="00EF0DA7" w:rsidP="00EF0DA7">
      <w:pPr>
        <w:pStyle w:val="Kaynaka"/>
        <w:rPr>
          <w:rFonts w:cs="Times New Roman"/>
          <w:lang w:val="tr-TR"/>
        </w:rPr>
      </w:pPr>
      <w:r w:rsidRPr="00EF0DA7">
        <w:rPr>
          <w:rFonts w:cs="Times New Roman"/>
          <w:lang w:val="tr-TR"/>
        </w:rPr>
        <w:t xml:space="preserve">Guo, A., Ullah, O., Zeb, A., Hussain, S., &amp; Din, N. U. (2024). A comprehensive analysis of the impact of greenhouse gases, energy usage, institutional quality and globalization on health: A case study of selected developing nations. </w:t>
      </w:r>
      <w:r w:rsidRPr="00EF0DA7">
        <w:rPr>
          <w:rFonts w:cs="Times New Roman"/>
          <w:i/>
          <w:iCs/>
          <w:lang w:val="tr-TR"/>
        </w:rPr>
        <w:t>Journal of International Development</w:t>
      </w:r>
      <w:r w:rsidRPr="00EF0DA7">
        <w:rPr>
          <w:rFonts w:cs="Times New Roman"/>
          <w:lang w:val="tr-TR"/>
        </w:rPr>
        <w:t>. https://doi.org/10.1002/jid.3940</w:t>
      </w:r>
    </w:p>
    <w:p w14:paraId="188C1700" w14:textId="77777777" w:rsidR="00EF0DA7" w:rsidRPr="00EF0DA7" w:rsidRDefault="00EF0DA7" w:rsidP="00EF0DA7">
      <w:pPr>
        <w:pStyle w:val="Kaynaka"/>
        <w:rPr>
          <w:rFonts w:cs="Times New Roman"/>
          <w:lang w:val="tr-TR"/>
        </w:rPr>
      </w:pPr>
      <w:r w:rsidRPr="00EF0DA7">
        <w:rPr>
          <w:rFonts w:cs="Times New Roman"/>
          <w:lang w:val="tr-TR"/>
        </w:rPr>
        <w:t xml:space="preserve">Haftel, Y., &amp; Lenz, T. (2021). Measuring institutional overlap in global governance. </w:t>
      </w:r>
      <w:r w:rsidRPr="00EF0DA7">
        <w:rPr>
          <w:rFonts w:cs="Times New Roman"/>
          <w:i/>
          <w:iCs/>
          <w:lang w:val="tr-TR"/>
        </w:rPr>
        <w:t>The Review of International Organizations</w:t>
      </w:r>
      <w:r w:rsidRPr="00EF0DA7">
        <w:rPr>
          <w:rFonts w:cs="Times New Roman"/>
          <w:lang w:val="tr-TR"/>
        </w:rPr>
        <w:t xml:space="preserve">, </w:t>
      </w:r>
      <w:r w:rsidRPr="00EF0DA7">
        <w:rPr>
          <w:rFonts w:cs="Times New Roman"/>
          <w:i/>
          <w:iCs/>
          <w:lang w:val="tr-TR"/>
        </w:rPr>
        <w:t>17</w:t>
      </w:r>
      <w:r w:rsidRPr="00EF0DA7">
        <w:rPr>
          <w:rFonts w:cs="Times New Roman"/>
          <w:lang w:val="tr-TR"/>
        </w:rPr>
        <w:t>, 323-347. https://doi.org/10.1007/s11558-021-09415-3</w:t>
      </w:r>
    </w:p>
    <w:p w14:paraId="515B11D9" w14:textId="77777777" w:rsidR="00EF0DA7" w:rsidRPr="00EF0DA7" w:rsidRDefault="00EF0DA7" w:rsidP="00EF0DA7">
      <w:pPr>
        <w:pStyle w:val="Kaynaka"/>
        <w:rPr>
          <w:rFonts w:cs="Times New Roman"/>
          <w:lang w:val="tr-TR"/>
        </w:rPr>
      </w:pPr>
      <w:r w:rsidRPr="00EF0DA7">
        <w:rPr>
          <w:rFonts w:cs="Times New Roman"/>
          <w:lang w:val="tr-TR"/>
        </w:rPr>
        <w:t xml:space="preserve">Haug, S., Braveboy-Wagner, J., &amp; Maihold, G. (2021). The ‘Global South’ in the study of world politics: Examining a meta category. </w:t>
      </w:r>
      <w:r w:rsidRPr="00EF0DA7">
        <w:rPr>
          <w:rFonts w:cs="Times New Roman"/>
          <w:i/>
          <w:iCs/>
          <w:lang w:val="tr-TR"/>
        </w:rPr>
        <w:t>Third World Quarterly</w:t>
      </w:r>
      <w:r w:rsidRPr="00EF0DA7">
        <w:rPr>
          <w:rFonts w:cs="Times New Roman"/>
          <w:lang w:val="tr-TR"/>
        </w:rPr>
        <w:t xml:space="preserve">, </w:t>
      </w:r>
      <w:r w:rsidRPr="00EF0DA7">
        <w:rPr>
          <w:rFonts w:cs="Times New Roman"/>
          <w:i/>
          <w:iCs/>
          <w:lang w:val="tr-TR"/>
        </w:rPr>
        <w:t>42</w:t>
      </w:r>
      <w:r w:rsidRPr="00EF0DA7">
        <w:rPr>
          <w:rFonts w:cs="Times New Roman"/>
          <w:lang w:val="tr-TR"/>
        </w:rPr>
        <w:t>, 1923-1944. https://doi.org/10.1080/01436597.2021.1948831</w:t>
      </w:r>
    </w:p>
    <w:p w14:paraId="2DC88A2D" w14:textId="77777777" w:rsidR="00EF0DA7" w:rsidRPr="00EF0DA7" w:rsidRDefault="00EF0DA7" w:rsidP="00EF0DA7">
      <w:pPr>
        <w:pStyle w:val="Kaynaka"/>
        <w:rPr>
          <w:rFonts w:cs="Times New Roman"/>
          <w:lang w:val="tr-TR"/>
        </w:rPr>
      </w:pPr>
      <w:r w:rsidRPr="00EF0DA7">
        <w:rPr>
          <w:rFonts w:cs="Times New Roman"/>
          <w:lang w:val="tr-TR"/>
        </w:rPr>
        <w:t xml:space="preserve">Jongen, H., &amp; Scholte, J. (2022). Inequality and legitimacy in global governance: An empirical study. </w:t>
      </w:r>
      <w:r w:rsidRPr="00EF0DA7">
        <w:rPr>
          <w:rFonts w:cs="Times New Roman"/>
          <w:i/>
          <w:iCs/>
          <w:lang w:val="tr-TR"/>
        </w:rPr>
        <w:t>European Journal of International Relations</w:t>
      </w:r>
      <w:r w:rsidRPr="00EF0DA7">
        <w:rPr>
          <w:rFonts w:cs="Times New Roman"/>
          <w:lang w:val="tr-TR"/>
        </w:rPr>
        <w:t xml:space="preserve">, </w:t>
      </w:r>
      <w:r w:rsidRPr="00EF0DA7">
        <w:rPr>
          <w:rFonts w:cs="Times New Roman"/>
          <w:i/>
          <w:iCs/>
          <w:lang w:val="tr-TR"/>
        </w:rPr>
        <w:t>28</w:t>
      </w:r>
      <w:r w:rsidRPr="00EF0DA7">
        <w:rPr>
          <w:rFonts w:cs="Times New Roman"/>
          <w:lang w:val="tr-TR"/>
        </w:rPr>
        <w:t>, 667-695. https://doi.org/10.1177/13540661221098218</w:t>
      </w:r>
    </w:p>
    <w:p w14:paraId="016999BF" w14:textId="77777777" w:rsidR="00EF0DA7" w:rsidRPr="00EF0DA7" w:rsidRDefault="00EF0DA7" w:rsidP="00EF0DA7">
      <w:pPr>
        <w:pStyle w:val="Kaynaka"/>
        <w:rPr>
          <w:rFonts w:cs="Times New Roman"/>
          <w:lang w:val="tr-TR"/>
        </w:rPr>
      </w:pPr>
      <w:r w:rsidRPr="00EF0DA7">
        <w:rPr>
          <w:rFonts w:cs="Times New Roman"/>
          <w:lang w:val="tr-TR"/>
        </w:rPr>
        <w:t xml:space="preserve">Joshi, A., Antons, D., Piening, E., Dienhart, C., &amp; Salge, T. (2024). Governing Transnational Commons: How International Treaties and Multi‐Stakeholder Organizations Shape Cooperation and Conflict. </w:t>
      </w:r>
      <w:r w:rsidRPr="00EF0DA7">
        <w:rPr>
          <w:rFonts w:cs="Times New Roman"/>
          <w:i/>
          <w:iCs/>
          <w:lang w:val="tr-TR"/>
        </w:rPr>
        <w:t>Journal of Management Studies</w:t>
      </w:r>
      <w:r w:rsidRPr="00EF0DA7">
        <w:rPr>
          <w:rFonts w:cs="Times New Roman"/>
          <w:lang w:val="tr-TR"/>
        </w:rPr>
        <w:t>. https://doi.org/10.1111/joms.13165</w:t>
      </w:r>
    </w:p>
    <w:p w14:paraId="4B3BED1B" w14:textId="77777777" w:rsidR="00EF0DA7" w:rsidRPr="00EF0DA7" w:rsidRDefault="00EF0DA7" w:rsidP="00EF0DA7">
      <w:pPr>
        <w:pStyle w:val="Kaynaka"/>
        <w:rPr>
          <w:rFonts w:cs="Times New Roman"/>
          <w:lang w:val="tr-TR"/>
        </w:rPr>
      </w:pPr>
      <w:r w:rsidRPr="00EF0DA7">
        <w:rPr>
          <w:rFonts w:cs="Times New Roman"/>
          <w:lang w:val="tr-TR"/>
        </w:rPr>
        <w:lastRenderedPageBreak/>
        <w:t xml:space="preserve">Kaiser, C. (2022). Rethinking polycentricity: On the North–South imbalances in transnational climate change governance. </w:t>
      </w:r>
      <w:r w:rsidRPr="00EF0DA7">
        <w:rPr>
          <w:rFonts w:cs="Times New Roman"/>
          <w:i/>
          <w:iCs/>
          <w:lang w:val="tr-TR"/>
        </w:rPr>
        <w:t>International Environmental Agreements: Politics, Law and Economics</w:t>
      </w:r>
      <w:r w:rsidRPr="00EF0DA7">
        <w:rPr>
          <w:rFonts w:cs="Times New Roman"/>
          <w:lang w:val="tr-TR"/>
        </w:rPr>
        <w:t xml:space="preserve">, </w:t>
      </w:r>
      <w:r w:rsidRPr="00EF0DA7">
        <w:rPr>
          <w:rFonts w:cs="Times New Roman"/>
          <w:i/>
          <w:iCs/>
          <w:lang w:val="tr-TR"/>
        </w:rPr>
        <w:t>22</w:t>
      </w:r>
      <w:r w:rsidRPr="00EF0DA7">
        <w:rPr>
          <w:rFonts w:cs="Times New Roman"/>
          <w:lang w:val="tr-TR"/>
        </w:rPr>
        <w:t>, 693-713. https://doi.org/10.1007/s10784-022-09579-2</w:t>
      </w:r>
    </w:p>
    <w:p w14:paraId="550411E8" w14:textId="77777777" w:rsidR="00EF0DA7" w:rsidRPr="00EF0DA7" w:rsidRDefault="00EF0DA7" w:rsidP="00EF0DA7">
      <w:pPr>
        <w:pStyle w:val="Kaynaka"/>
        <w:rPr>
          <w:rFonts w:cs="Times New Roman"/>
          <w:lang w:val="tr-TR"/>
        </w:rPr>
      </w:pPr>
      <w:r w:rsidRPr="00EF0DA7">
        <w:rPr>
          <w:rFonts w:cs="Times New Roman"/>
          <w:lang w:val="tr-TR"/>
        </w:rPr>
        <w:t xml:space="preserve">Kim, R. (2020). Is Global Governance Fragmented, Polycentric, or Complex? The State of the Art of the Network Approach. </w:t>
      </w:r>
      <w:r w:rsidRPr="00EF0DA7">
        <w:rPr>
          <w:rFonts w:cs="Times New Roman"/>
          <w:i/>
          <w:iCs/>
          <w:lang w:val="tr-TR"/>
        </w:rPr>
        <w:t>International Studies Review</w:t>
      </w:r>
      <w:r w:rsidRPr="00EF0DA7">
        <w:rPr>
          <w:rFonts w:cs="Times New Roman"/>
          <w:lang w:val="tr-TR"/>
        </w:rPr>
        <w:t>. https://doi.org/10.1093/isr/viz052</w:t>
      </w:r>
    </w:p>
    <w:p w14:paraId="182FC235" w14:textId="77777777" w:rsidR="00EF0DA7" w:rsidRPr="00EF0DA7" w:rsidRDefault="00EF0DA7" w:rsidP="00EF0DA7">
      <w:pPr>
        <w:pStyle w:val="Kaynaka"/>
        <w:rPr>
          <w:rFonts w:cs="Times New Roman"/>
          <w:lang w:val="tr-TR"/>
        </w:rPr>
      </w:pPr>
      <w:r w:rsidRPr="00EF0DA7">
        <w:rPr>
          <w:rFonts w:cs="Times New Roman"/>
          <w:lang w:val="tr-TR"/>
        </w:rPr>
        <w:t xml:space="preserve">Mayer, T., &amp; Zignago, S. (2011a). </w:t>
      </w:r>
      <w:r w:rsidRPr="00EF0DA7">
        <w:rPr>
          <w:rFonts w:cs="Times New Roman"/>
          <w:i/>
          <w:iCs/>
          <w:lang w:val="tr-TR"/>
        </w:rPr>
        <w:t>Notes on CEPII’s Distances Measures: The GeoDist Database</w:t>
      </w:r>
      <w:r w:rsidRPr="00EF0DA7">
        <w:rPr>
          <w:rFonts w:cs="Times New Roman"/>
          <w:lang w:val="tr-TR"/>
        </w:rPr>
        <w:t xml:space="preserve"> (Working Paper Sy. 2011-25). CEPII. https://www.cepii.fr/CEPII/en/publications/wp/abstract.asp?NoDoc=3877</w:t>
      </w:r>
    </w:p>
    <w:p w14:paraId="00B6B23B" w14:textId="77777777" w:rsidR="00EF0DA7" w:rsidRPr="00EF0DA7" w:rsidRDefault="00EF0DA7" w:rsidP="00EF0DA7">
      <w:pPr>
        <w:pStyle w:val="Kaynaka"/>
        <w:rPr>
          <w:rFonts w:cs="Times New Roman"/>
          <w:lang w:val="tr-TR"/>
        </w:rPr>
      </w:pPr>
      <w:r w:rsidRPr="00EF0DA7">
        <w:rPr>
          <w:rFonts w:cs="Times New Roman"/>
          <w:lang w:val="tr-TR"/>
        </w:rPr>
        <w:t xml:space="preserve">Rahman, Md. M., Dyuti, T. I., Tareque, M., &amp; Alnour, M. (2025). Health expenditure, governance and SDG3 nexus: A longitudinal analysis in BRICS economies. </w:t>
      </w:r>
      <w:r w:rsidRPr="00EF0DA7">
        <w:rPr>
          <w:rFonts w:cs="Times New Roman"/>
          <w:i/>
          <w:iCs/>
          <w:lang w:val="tr-TR"/>
        </w:rPr>
        <w:t>Globalization and Health</w:t>
      </w:r>
      <w:r w:rsidRPr="00EF0DA7">
        <w:rPr>
          <w:rFonts w:cs="Times New Roman"/>
          <w:lang w:val="tr-TR"/>
        </w:rPr>
        <w:t xml:space="preserve">, </w:t>
      </w:r>
      <w:r w:rsidRPr="00EF0DA7">
        <w:rPr>
          <w:rFonts w:cs="Times New Roman"/>
          <w:i/>
          <w:iCs/>
          <w:lang w:val="tr-TR"/>
        </w:rPr>
        <w:t>21</w:t>
      </w:r>
      <w:r w:rsidRPr="00EF0DA7">
        <w:rPr>
          <w:rFonts w:cs="Times New Roman"/>
          <w:lang w:val="tr-TR"/>
        </w:rPr>
        <w:t>. https://doi.org/10.1186/s12992-025-01113-8</w:t>
      </w:r>
    </w:p>
    <w:p w14:paraId="7BE02313" w14:textId="77777777" w:rsidR="00EF0DA7" w:rsidRPr="00EF0DA7" w:rsidRDefault="00EF0DA7" w:rsidP="00EF0DA7">
      <w:pPr>
        <w:pStyle w:val="Kaynaka"/>
        <w:rPr>
          <w:rFonts w:cs="Times New Roman"/>
          <w:lang w:val="tr-TR"/>
        </w:rPr>
      </w:pPr>
      <w:r w:rsidRPr="00EF0DA7">
        <w:rPr>
          <w:rFonts w:cs="Times New Roman"/>
          <w:lang w:val="tr-TR"/>
        </w:rPr>
        <w:t xml:space="preserve">Salvatier, J., Wiecki, T. V., &amp; Fonnesbeck, C. (2016a). Probabilistic Programming in Python Using PyMC3. </w:t>
      </w:r>
      <w:r w:rsidRPr="00EF0DA7">
        <w:rPr>
          <w:rFonts w:cs="Times New Roman"/>
          <w:i/>
          <w:iCs/>
          <w:lang w:val="tr-TR"/>
        </w:rPr>
        <w:t>PeerJ Computer Science</w:t>
      </w:r>
      <w:r w:rsidRPr="00EF0DA7">
        <w:rPr>
          <w:rFonts w:cs="Times New Roman"/>
          <w:lang w:val="tr-TR"/>
        </w:rPr>
        <w:t xml:space="preserve">, </w:t>
      </w:r>
      <w:r w:rsidRPr="00EF0DA7">
        <w:rPr>
          <w:rFonts w:cs="Times New Roman"/>
          <w:i/>
          <w:iCs/>
          <w:lang w:val="tr-TR"/>
        </w:rPr>
        <w:t>2</w:t>
      </w:r>
      <w:r w:rsidRPr="00EF0DA7">
        <w:rPr>
          <w:rFonts w:cs="Times New Roman"/>
          <w:lang w:val="tr-TR"/>
        </w:rPr>
        <w:t>, e55. https://doi.org/10.7717/peerj-cs.55</w:t>
      </w:r>
    </w:p>
    <w:p w14:paraId="214EB661" w14:textId="77777777" w:rsidR="00EF0DA7" w:rsidRPr="00EF0DA7" w:rsidRDefault="00EF0DA7" w:rsidP="00EF0DA7">
      <w:pPr>
        <w:pStyle w:val="Kaynaka"/>
        <w:rPr>
          <w:rFonts w:cs="Times New Roman"/>
          <w:lang w:val="tr-TR"/>
        </w:rPr>
      </w:pPr>
      <w:r w:rsidRPr="00EF0DA7">
        <w:rPr>
          <w:rFonts w:cs="Times New Roman"/>
          <w:lang w:val="tr-TR"/>
        </w:rPr>
        <w:t xml:space="preserve">United Nations Dag Hammarskjold Library. (2026a). </w:t>
      </w:r>
      <w:r w:rsidRPr="00EF0DA7">
        <w:rPr>
          <w:rFonts w:cs="Times New Roman"/>
          <w:i/>
          <w:iCs/>
          <w:lang w:val="tr-TR"/>
        </w:rPr>
        <w:t>United Nations General Assembly Voting Data: Resolutions 1 to 80/246</w:t>
      </w:r>
      <w:r w:rsidRPr="00EF0DA7">
        <w:rPr>
          <w:rFonts w:cs="Times New Roman"/>
          <w:lang w:val="tr-TR"/>
        </w:rPr>
        <w:t>. https://digitallibrary.un.org/record/4060887</w:t>
      </w:r>
    </w:p>
    <w:p w14:paraId="63B767F9" w14:textId="77777777" w:rsidR="00EF0DA7" w:rsidRPr="00EF0DA7" w:rsidRDefault="00EF0DA7" w:rsidP="00EF0DA7">
      <w:pPr>
        <w:pStyle w:val="Kaynaka"/>
        <w:rPr>
          <w:rFonts w:cs="Times New Roman"/>
          <w:lang w:val="tr-TR"/>
        </w:rPr>
      </w:pPr>
      <w:r w:rsidRPr="00EF0DA7">
        <w:rPr>
          <w:rFonts w:cs="Times New Roman"/>
          <w:lang w:val="tr-TR"/>
        </w:rPr>
        <w:t xml:space="preserve">United Nations Dag Hammarskjold Library. (2026b). </w:t>
      </w:r>
      <w:r w:rsidRPr="00EF0DA7">
        <w:rPr>
          <w:rFonts w:cs="Times New Roman"/>
          <w:i/>
          <w:iCs/>
          <w:lang w:val="tr-TR"/>
        </w:rPr>
        <w:t>United Nations General Assembly Voting Data: Resolutions 1 to 80/246</w:t>
      </w:r>
      <w:r w:rsidRPr="00EF0DA7">
        <w:rPr>
          <w:rFonts w:cs="Times New Roman"/>
          <w:lang w:val="tr-TR"/>
        </w:rPr>
        <w:t>. https://digitallibrary.un.org/record/4060887</w:t>
      </w:r>
    </w:p>
    <w:p w14:paraId="0E1CB944" w14:textId="77777777" w:rsidR="00EF0DA7" w:rsidRPr="00EF0DA7" w:rsidRDefault="00EF0DA7" w:rsidP="00EF0DA7">
      <w:pPr>
        <w:pStyle w:val="Kaynaka"/>
        <w:rPr>
          <w:rFonts w:cs="Times New Roman"/>
          <w:lang w:val="tr-TR"/>
        </w:rPr>
      </w:pPr>
      <w:r w:rsidRPr="00EF0DA7">
        <w:rPr>
          <w:rFonts w:cs="Times New Roman"/>
          <w:lang w:val="tr-TR"/>
        </w:rPr>
        <w:t xml:space="preserve">Wei, J., Rahim, S., &amp; Wang, S. (2022). Role of Environmental Degradation, Institutional Quality, and Government Health Expenditures for Human Health: Evidence From Emerging Seven Countries. </w:t>
      </w:r>
      <w:r w:rsidRPr="00EF0DA7">
        <w:rPr>
          <w:rFonts w:cs="Times New Roman"/>
          <w:i/>
          <w:iCs/>
          <w:lang w:val="tr-TR"/>
        </w:rPr>
        <w:t>Frontiers in Public Health</w:t>
      </w:r>
      <w:r w:rsidRPr="00EF0DA7">
        <w:rPr>
          <w:rFonts w:cs="Times New Roman"/>
          <w:lang w:val="tr-TR"/>
        </w:rPr>
        <w:t xml:space="preserve">, </w:t>
      </w:r>
      <w:r w:rsidRPr="00EF0DA7">
        <w:rPr>
          <w:rFonts w:cs="Times New Roman"/>
          <w:i/>
          <w:iCs/>
          <w:lang w:val="tr-TR"/>
        </w:rPr>
        <w:t>10</w:t>
      </w:r>
      <w:r w:rsidRPr="00EF0DA7">
        <w:rPr>
          <w:rFonts w:cs="Times New Roman"/>
          <w:lang w:val="tr-TR"/>
        </w:rPr>
        <w:t>. https://doi.org/10.3389/fpubh.2022.870767</w:t>
      </w:r>
    </w:p>
    <w:p w14:paraId="7EFC1834" w14:textId="77777777" w:rsidR="00EF0DA7" w:rsidRPr="00EF0DA7" w:rsidRDefault="00EF0DA7" w:rsidP="00EF0DA7">
      <w:pPr>
        <w:pStyle w:val="Kaynaka"/>
        <w:rPr>
          <w:rFonts w:cs="Times New Roman"/>
          <w:lang w:val="tr-TR"/>
        </w:rPr>
      </w:pPr>
      <w:r w:rsidRPr="00EF0DA7">
        <w:rPr>
          <w:rFonts w:cs="Times New Roman"/>
          <w:lang w:val="tr-TR"/>
        </w:rPr>
        <w:lastRenderedPageBreak/>
        <w:t xml:space="preserve">World Bank. (2026a). </w:t>
      </w:r>
      <w:r w:rsidRPr="00EF0DA7">
        <w:rPr>
          <w:rFonts w:cs="Times New Roman"/>
          <w:i/>
          <w:iCs/>
          <w:lang w:val="tr-TR"/>
        </w:rPr>
        <w:t>World Development Indicators</w:t>
      </w:r>
      <w:r w:rsidRPr="00EF0DA7">
        <w:rPr>
          <w:rFonts w:cs="Times New Roman"/>
          <w:lang w:val="tr-TR"/>
        </w:rPr>
        <w:t>. https://datacatalog.worldbank.org/search/dataset/0037712/world-development-indicators</w:t>
      </w:r>
    </w:p>
    <w:p w14:paraId="3E19E77D" w14:textId="77777777" w:rsidR="00EF0DA7" w:rsidRPr="00EF0DA7" w:rsidRDefault="00EF0DA7" w:rsidP="00EF0DA7">
      <w:pPr>
        <w:pStyle w:val="Kaynaka"/>
        <w:rPr>
          <w:rFonts w:cs="Times New Roman"/>
          <w:lang w:val="tr-TR"/>
        </w:rPr>
      </w:pPr>
      <w:r w:rsidRPr="00EF0DA7">
        <w:rPr>
          <w:rFonts w:cs="Times New Roman"/>
          <w:lang w:val="tr-TR"/>
        </w:rPr>
        <w:t xml:space="preserve">World Health Organization. (2026a). </w:t>
      </w:r>
      <w:r w:rsidRPr="00EF0DA7">
        <w:rPr>
          <w:rFonts w:cs="Times New Roman"/>
          <w:i/>
          <w:iCs/>
          <w:lang w:val="tr-TR"/>
        </w:rPr>
        <w:t>Global Health Observatory</w:t>
      </w:r>
      <w:r w:rsidRPr="00EF0DA7">
        <w:rPr>
          <w:rFonts w:cs="Times New Roman"/>
          <w:lang w:val="tr-TR"/>
        </w:rPr>
        <w:t>. https://www.who.int/data/gho/gho</w:t>
      </w:r>
    </w:p>
    <w:p w14:paraId="2895C4A8" w14:textId="5F21D958" w:rsidR="00EF0DA7" w:rsidRPr="00EF0DA7" w:rsidRDefault="00EF0DA7" w:rsidP="00EF0DA7">
      <w:r>
        <w:fldChar w:fldCharType="end"/>
      </w:r>
    </w:p>
    <w:p w14:paraId="62F12DE1" w14:textId="41571FC8" w:rsidR="00E100CA" w:rsidRDefault="00E100CA" w:rsidP="00C347FA">
      <w:pPr>
        <w:pStyle w:val="ListeMaddemi"/>
        <w:numPr>
          <w:ilvl w:val="0"/>
          <w:numId w:val="0"/>
        </w:numPr>
        <w:spacing w:after="40"/>
        <w:ind w:left="360"/>
        <w:jc w:val="both"/>
      </w:pPr>
    </w:p>
    <w:sectPr w:rsidR="00E100C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14124378">
    <w:abstractNumId w:val="8"/>
  </w:num>
  <w:num w:numId="2" w16cid:durableId="1453010417">
    <w:abstractNumId w:val="6"/>
  </w:num>
  <w:num w:numId="3" w16cid:durableId="2127966261">
    <w:abstractNumId w:val="5"/>
  </w:num>
  <w:num w:numId="4" w16cid:durableId="357203079">
    <w:abstractNumId w:val="4"/>
  </w:num>
  <w:num w:numId="5" w16cid:durableId="2084254578">
    <w:abstractNumId w:val="7"/>
  </w:num>
  <w:num w:numId="6" w16cid:durableId="904490809">
    <w:abstractNumId w:val="3"/>
  </w:num>
  <w:num w:numId="7" w16cid:durableId="231277820">
    <w:abstractNumId w:val="2"/>
  </w:num>
  <w:num w:numId="8" w16cid:durableId="1308777135">
    <w:abstractNumId w:val="1"/>
  </w:num>
  <w:num w:numId="9" w16cid:durableId="1133866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FA"/>
    <w:rsid w:val="0015074B"/>
    <w:rsid w:val="0029639D"/>
    <w:rsid w:val="0029714D"/>
    <w:rsid w:val="00326F90"/>
    <w:rsid w:val="00392812"/>
    <w:rsid w:val="003B56E7"/>
    <w:rsid w:val="004C4E36"/>
    <w:rsid w:val="00594B3F"/>
    <w:rsid w:val="005B4DAF"/>
    <w:rsid w:val="006954AA"/>
    <w:rsid w:val="006B157A"/>
    <w:rsid w:val="006D0AEA"/>
    <w:rsid w:val="007A2EE6"/>
    <w:rsid w:val="00837FDB"/>
    <w:rsid w:val="008D1144"/>
    <w:rsid w:val="00926E22"/>
    <w:rsid w:val="00927996"/>
    <w:rsid w:val="00935110"/>
    <w:rsid w:val="00A56A07"/>
    <w:rsid w:val="00A77FB3"/>
    <w:rsid w:val="00AA1D8D"/>
    <w:rsid w:val="00B47730"/>
    <w:rsid w:val="00C347FA"/>
    <w:rsid w:val="00CB0664"/>
    <w:rsid w:val="00CC6036"/>
    <w:rsid w:val="00E100CA"/>
    <w:rsid w:val="00EA1F48"/>
    <w:rsid w:val="00EF0DA7"/>
    <w:rsid w:val="00F32277"/>
    <w:rsid w:val="00F744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582714-E44A-204D-A142-F4920156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color w:val="000000"/>
      <w:sz w:val="24"/>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aynaka">
    <w:name w:val="Bibliography"/>
    <w:basedOn w:val="Normal"/>
    <w:next w:val="Normal"/>
    <w:uiPriority w:val="37"/>
    <w:unhideWhenUsed/>
    <w:rsid w:val="00EF0DA7"/>
    <w:pPr>
      <w:spacing w:after="0" w:line="480" w:lineRule="auto"/>
      <w:ind w:left="720" w:hanging="720"/>
    </w:pPr>
  </w:style>
  <w:style w:type="paragraph" w:customStyle="1" w:styleId="isselectedend">
    <w:name w:val="isselectedend"/>
    <w:basedOn w:val="Normal"/>
    <w:rsid w:val="00A77FB3"/>
    <w:pPr>
      <w:spacing w:before="100" w:beforeAutospacing="1" w:after="100" w:afterAutospacing="1"/>
    </w:pPr>
    <w:rPr>
      <w:rFonts w:eastAsia="Times New Roman" w:cs="Times New Roman"/>
      <w:color w:val="auto"/>
      <w:szCs w:val="24"/>
      <w:lang w:val="tr-TR" w:eastAsia="tr-TR"/>
    </w:rPr>
  </w:style>
  <w:style w:type="paragraph" w:styleId="NormalWeb">
    <w:name w:val="Normal (Web)"/>
    <w:basedOn w:val="Normal"/>
    <w:uiPriority w:val="99"/>
    <w:semiHidden/>
    <w:unhideWhenUsed/>
    <w:rsid w:val="00A77FB3"/>
    <w:pPr>
      <w:spacing w:before="100" w:beforeAutospacing="1" w:after="100" w:afterAutospacing="1"/>
    </w:pPr>
    <w:rPr>
      <w:rFonts w:eastAsia="Times New Roman" w:cs="Times New Roman"/>
      <w:color w:val="auto"/>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5390</Words>
  <Characters>30728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Suray Bazarova</cp:lastModifiedBy>
  <cp:revision>21</cp:revision>
  <dcterms:created xsi:type="dcterms:W3CDTF">2013-12-23T23:15:00Z</dcterms:created>
  <dcterms:modified xsi:type="dcterms:W3CDTF">2026-05-24T06:56:00Z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id="Kx0bbo0y"/&gt;&lt;style id="http://www.zotero.org/styles/apa" locale="tr-TR"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