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00000"/>
          <w:sz w:val="32"/>
        </w:rPr>
        <w:t>BÜTÜNLEŞME VAR AMA EŞİTLEŞME YOK MU?</w:t>
      </w:r>
    </w:p>
    <w:p>
      <w:pPr>
        <w:jc w:val="center"/>
      </w:pPr>
      <w:r>
        <w:rPr>
          <w:rFonts w:ascii="Arial" w:hAnsi="Arial" w:eastAsia="Arial"/>
          <w:b/>
          <w:sz w:val="28"/>
        </w:rPr>
        <w:t>MULTIPLEX KÜRESEL SAĞLIK YÖNETİŞİMİ VE YAPISAL PARÇALANMA</w:t>
      </w:r>
    </w:p>
    <w:p>
      <w:pPr>
        <w:jc w:val="center"/>
      </w:pPr>
      <w:r>
        <w:rPr>
          <w:rFonts w:ascii="Arial" w:hAnsi="Arial" w:eastAsia="Arial"/>
          <w:i/>
          <w:sz w:val="22"/>
        </w:rPr>
        <w:t>INTEGRATION WITHOUT EQUALIZATION? MULTIPLEX GLOBAL HEALTH GOVERNANCE AND STRUCTURAL FRAGMENTATION</w:t>
      </w:r>
    </w:p>
    <w:p>
      <w:pPr>
        <w:jc w:val="center"/>
      </w:pPr>
      <w:r>
        <w:rPr>
          <w:rFonts w:ascii="Arial" w:hAnsi="Arial" w:eastAsia="Arial"/>
          <w:sz w:val="20"/>
        </w:rPr>
        <w:t>Suraya Bazarova | ORCID: 0000-0002-9061-6364</w:t>
      </w:r>
    </w:p>
    <w:p>
      <w:pPr>
        <w:pStyle w:val="Heading1"/>
      </w:pPr>
      <w:r>
        <w:rPr>
          <w:rFonts w:ascii="Arial" w:hAnsi="Arial" w:eastAsia="Arial"/>
        </w:rPr>
        <w:t>Öz</w:t>
      </w:r>
    </w:p>
    <w:p>
      <w:pPr>
        <w:jc w:val="both"/>
      </w:pPr>
      <w:r>
        <w:rPr>
          <w:rFonts w:ascii="Arial" w:hAnsi="Arial" w:eastAsia="Arial"/>
        </w:rPr>
        <w:t>Bu makale, küresel sağlık yönetişiminde artan bağlantısallığın bütünleşme üretip üretmediğini ampirik olarak test etmektedir. 2004-2024 döneminde 100 ülke için 2.100 ülke-yıl paneli kurulmuş; Dünya Bankası sağlık kapasitesi, ekonomik gelişmişlik ve dijitalleşme göstergelerinden yıllık benzerlik ağları üretilmiştir. Analiz, BM Genel Kurulu oy verme verisinden türetilen 175.100 ülke-oy gözlemi ve DSÖ sağlık yönetişimi göstergeleriyle genişletilmiştir. Temporal ERGM sonuçları ağ bağlarının rastgele olmadığını göstermektedir: kümelenme pozitif ve anlamlıdır, bağ kalıcılığı güçlüdür. Buna karşılık dinamik panel System GMM modellerinde gecikmeli degree ve eigenvector merkeziyeti yaşam beklentisini anlamlı biçimde açıklamamaktadır. Coğrafi-tarihsel araç değişkenler güçlü birinci aşama sonuçları üretse de ikinci aşamada ağ merkeziyetinin bağımsız etkisi doğrulanmamaktadır. Placebo testi de gerçek ağ etkisinin rastgele ağ dağılımından anlamlı biçimde ayrışmadığını göstermektedir. Bulgular, multiplex yönetişimin bağlantıları ve hizalanmaları örgütlediğini, ancak sağlık sonuçlarını eşitlemediğini ortaya koymaktadır.</w:t>
      </w:r>
    </w:p>
    <w:p>
      <w:pPr>
        <w:jc w:val="both"/>
      </w:pPr>
      <w:r>
        <w:rPr>
          <w:rFonts w:ascii="Arial" w:hAnsi="Arial" w:eastAsia="Arial"/>
        </w:rPr>
        <w:t>Anahtar Kelimeler: multiplex yönetişim; küresel sağlık yönetişimi; ağ analizi; System GMM; temporal ERGM; normatif hizalanma; yapısal parçalanma</w:t>
      </w:r>
    </w:p>
    <w:p>
      <w:pPr>
        <w:pStyle w:val="Heading1"/>
      </w:pPr>
      <w:r>
        <w:rPr>
          <w:rFonts w:ascii="Arial" w:hAnsi="Arial" w:eastAsia="Arial"/>
        </w:rPr>
        <w:t>Abstract</w:t>
      </w:r>
    </w:p>
    <w:p>
      <w:pPr>
        <w:jc w:val="both"/>
      </w:pPr>
      <w:r>
        <w:rPr>
          <w:rFonts w:ascii="Arial" w:hAnsi="Arial" w:eastAsia="Arial"/>
        </w:rPr>
        <w:t>This article empirically tests whether increasing connectivity in global health governance generates integration. Using a balanced panel of 100 countries for 2004-2024, it constructs annual similarity networks from World Bank indicators of health capacity, economic development and digital connectivity. The analysis is extended with 175,100 country-vote observations from United Nations General Assembly voting records and selected WHO governance indicators. Temporal ERGM results show that network ties are not random: clustering is positive and significant, and tie persistence is strong. Yet dynamic System GMM models indicate that lagged degree and eigenvector centrality do not significantly predict life expectancy once prior outcomes and structural controls are included. Geo-historical instruments provide strong first-stage relationships in several specifications, but the second-stage effect of network centrality remains insignificant. Placebo tests also show that the observed network effect does not significantly depart from a randomized network distribution. The findings suggest integration without equalization: multiplex governance organizes connections and alignments, but does not equalize health outcomes.</w:t>
      </w:r>
    </w:p>
    <w:p>
      <w:pPr>
        <w:jc w:val="both"/>
      </w:pPr>
      <w:r>
        <w:rPr>
          <w:rFonts w:ascii="Arial" w:hAnsi="Arial" w:eastAsia="Arial"/>
        </w:rPr>
        <w:t>Keywords: multiplex governance; global health governance; network analysis; System GMM; temporal ERGM; normative alignment; structural fragmentation</w:t>
      </w:r>
    </w:p>
    <w:p>
      <w:pPr>
        <w:pStyle w:val="Heading1"/>
      </w:pPr>
      <w:r>
        <w:rPr>
          <w:rFonts w:ascii="Arial" w:hAnsi="Arial" w:eastAsia="Arial"/>
        </w:rPr>
        <w:t>1. Giriş</w:t>
      </w:r>
    </w:p>
    <w:p>
      <w:pPr>
        <w:jc w:val="both"/>
      </w:pPr>
      <w:r>
        <w:rPr>
          <w:rFonts w:ascii="Arial" w:hAnsi="Arial" w:eastAsia="Arial"/>
        </w:rPr>
        <w:t>Küresel sağlık yönetişimi giderek daha fazla, tek bir kurumsal merkezden yönetilen hiyerarşik bir alan olmaktan çıkıp çok katmanlı, örtüşen ve eşzamanlı ilişkilerle işleyen multiplex bir yapı olarak kavramsallaştırılmaktadır. Bu dönüşüm, ülkeler arasında daha yoğun bağlantılar üretse de söz konusu bağlantıların sonuçları teorik olarak açık değildir. Bağlantısallık bütünleşme ve kapasite yakınsaması mı üretmektedir, yoksa mevcut asimetrileri daha karmaşık bir ağ yapısı içinde yeniden mi üretmektedir?</w:t>
      </w:r>
    </w:p>
    <w:p>
      <w:pPr>
        <w:jc w:val="both"/>
      </w:pPr>
      <w:r>
        <w:rPr>
          <w:rFonts w:ascii="Arial" w:hAnsi="Arial" w:eastAsia="Arial"/>
        </w:rPr>
        <w:t>Bu makale bu soruya “eşitleme olmadan bütünleşme” önermesi üzerinden yanıt aramaktadır. Çalışma, küresel sağlık yönetişimini ülke düzeyinde ölçülebilir ilişkisel bir yapı olarak ele almakta; sağlık kapasitesi, kalkınma düzeyi, dijital bağlantısallık, BM normatif hizalanması ve DSÖ sağlık yönetişimi göstergelerini birlikte değerlendirerek multiplex yönetişim teorisini büyük-N ve zamansal bir tasarımla sınamaktadır.</w:t>
      </w:r>
    </w:p>
    <w:p>
      <w:pPr>
        <w:jc w:val="both"/>
      </w:pPr>
      <w:r>
        <w:rPr>
          <w:rFonts w:ascii="Arial" w:hAnsi="Arial" w:eastAsia="Arial"/>
        </w:rPr>
        <w:t>Araştırmanın temel sorusu şudur: Küresel sağlık yönetişiminde artan multiplex bağlantısallık ülkeler arasında sağlık sonuçlarını eşitleyen bir bütünleşme mekanizması mı üretmektedir, yoksa ağ yapısı içerisinde kalıcı yapısal parçalanmayı mı yeniden üretmektedir?</w:t>
      </w:r>
    </w:p>
    <w:p>
      <w:pPr>
        <w:pStyle w:val="Heading1"/>
      </w:pPr>
      <w:r>
        <w:rPr>
          <w:rFonts w:ascii="Arial" w:hAnsi="Arial" w:eastAsia="Arial"/>
        </w:rPr>
        <w:t>2. Veri ve Metodoloji</w:t>
      </w:r>
    </w:p>
    <w:p>
      <w:pPr>
        <w:pStyle w:val="Heading2"/>
      </w:pPr>
      <w:r>
        <w:rPr>
          <w:rFonts w:ascii="Arial" w:hAnsi="Arial" w:eastAsia="Arial"/>
        </w:rPr>
        <w:t>2.1. Veri Evreni ve Örneklem</w:t>
      </w:r>
    </w:p>
    <w:p>
      <w:pPr>
        <w:jc w:val="both"/>
      </w:pPr>
      <w:r>
        <w:rPr>
          <w:rFonts w:ascii="Arial" w:hAnsi="Arial" w:eastAsia="Arial"/>
        </w:rPr>
        <w:t>Analizin temel evreni 2004-2024 döneminde 100 ülkeyi kapsayan dengeli bir ülke-yıl panelidir. Ana panel 2.100 ülke-yıl gözleminden oluşmaktadır. Uzun format ham veri seti 21.000 ülke-yıl-gösterge satırı içermektedir. Ülke listesi ISO3 kodlarına göre sabitlenmiş, böylece WDI, CEPII, BM Genel Kurulu ve DSÖ verileri aynı ülke omurgasında birleştirilebilmiştir.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EDEDED"/>
          </w:tcPr>
          <w:p>
            <w:r/>
            <w:r>
              <w:rPr>
                <w:rFonts w:ascii="Arial" w:hAnsi="Arial"/>
                <w:b/>
                <w:sz w:val="18"/>
              </w:rPr>
              <w:t>Veri katmanı</w:t>
            </w:r>
          </w:p>
        </w:tc>
        <w:tc>
          <w:tcPr>
            <w:tcW w:type="dxa" w:w="2340"/>
            <w:vAlign w:val="center"/>
            <w:shd w:fill="EDEDED"/>
          </w:tcPr>
          <w:p>
            <w:r/>
            <w:r>
              <w:rPr>
                <w:rFonts w:ascii="Arial" w:hAnsi="Arial"/>
                <w:b/>
                <w:sz w:val="18"/>
              </w:rPr>
              <w:t>Kaynak</w:t>
            </w:r>
          </w:p>
        </w:tc>
        <w:tc>
          <w:tcPr>
            <w:tcW w:type="dxa" w:w="2340"/>
            <w:vAlign w:val="center"/>
            <w:shd w:fill="EDEDED"/>
          </w:tcPr>
          <w:p>
            <w:r/>
            <w:r>
              <w:rPr>
                <w:rFonts w:ascii="Arial" w:hAnsi="Arial"/>
                <w:b/>
                <w:sz w:val="18"/>
              </w:rPr>
              <w:t>Kapsam</w:t>
            </w:r>
          </w:p>
        </w:tc>
        <w:tc>
          <w:tcPr>
            <w:tcW w:type="dxa" w:w="2340"/>
            <w:vAlign w:val="center"/>
            <w:shd w:fill="EDEDED"/>
          </w:tcPr>
          <w:p>
            <w:r/>
            <w:r>
              <w:rPr>
                <w:rFonts w:ascii="Arial" w:hAnsi="Arial"/>
                <w:b/>
                <w:sz w:val="18"/>
              </w:rPr>
              <w:t>Analitik işlev</w:t>
            </w:r>
          </w:p>
        </w:tc>
      </w:tr>
      <w:tr>
        <w:tc>
          <w:tcPr>
            <w:tcW w:type="dxa" w:w="2340"/>
            <w:vAlign w:val="center"/>
          </w:tcPr>
          <w:p>
            <w:r/>
            <w:r>
              <w:rPr>
                <w:rFonts w:ascii="Arial" w:hAnsi="Arial"/>
                <w:b w:val="0"/>
                <w:sz w:val="18"/>
              </w:rPr>
              <w:t>Sağlık-kapasite paneli</w:t>
            </w:r>
          </w:p>
        </w:tc>
        <w:tc>
          <w:tcPr>
            <w:tcW w:type="dxa" w:w="2340"/>
            <w:vAlign w:val="center"/>
          </w:tcPr>
          <w:p>
            <w:r/>
            <w:r>
              <w:rPr>
                <w:rFonts w:ascii="Arial" w:hAnsi="Arial"/>
                <w:b w:val="0"/>
                <w:sz w:val="18"/>
              </w:rPr>
              <w:t>World Bank WDI</w:t>
            </w:r>
          </w:p>
        </w:tc>
        <w:tc>
          <w:tcPr>
            <w:tcW w:type="dxa" w:w="2340"/>
            <w:vAlign w:val="center"/>
          </w:tcPr>
          <w:p>
            <w:r/>
            <w:r>
              <w:rPr>
                <w:rFonts w:ascii="Arial" w:hAnsi="Arial"/>
                <w:b w:val="0"/>
                <w:sz w:val="18"/>
              </w:rPr>
              <w:t>100 ülke, 2004-2024, 2.100 ülke-yıl; 10 gösterge</w:t>
            </w:r>
          </w:p>
        </w:tc>
        <w:tc>
          <w:tcPr>
            <w:tcW w:type="dxa" w:w="2340"/>
            <w:vAlign w:val="center"/>
          </w:tcPr>
          <w:p>
            <w:r/>
            <w:r>
              <w:rPr>
                <w:rFonts w:ascii="Arial" w:hAnsi="Arial"/>
                <w:b w:val="0"/>
                <w:sz w:val="18"/>
              </w:rPr>
              <w:t>Ana multiplex sağlık-kapasite ağı ve panel modelleri</w:t>
            </w:r>
          </w:p>
        </w:tc>
      </w:tr>
      <w:tr>
        <w:tc>
          <w:tcPr>
            <w:tcW w:type="dxa" w:w="2340"/>
            <w:vAlign w:val="center"/>
          </w:tcPr>
          <w:p>
            <w:r/>
            <w:r>
              <w:rPr>
                <w:rFonts w:ascii="Arial" w:hAnsi="Arial"/>
                <w:b w:val="0"/>
                <w:sz w:val="18"/>
              </w:rPr>
              <w:t>BM normatif hizalanma</w:t>
            </w:r>
          </w:p>
        </w:tc>
        <w:tc>
          <w:tcPr>
            <w:tcW w:type="dxa" w:w="2340"/>
            <w:vAlign w:val="center"/>
          </w:tcPr>
          <w:p>
            <w:r/>
            <w:r>
              <w:rPr>
                <w:rFonts w:ascii="Arial" w:hAnsi="Arial"/>
                <w:b w:val="0"/>
                <w:sz w:val="18"/>
              </w:rPr>
              <w:t>UN General Assembly voting data</w:t>
            </w:r>
          </w:p>
        </w:tc>
        <w:tc>
          <w:tcPr>
            <w:tcW w:type="dxa" w:w="2340"/>
            <w:vAlign w:val="center"/>
          </w:tcPr>
          <w:p>
            <w:r/>
            <w:r>
              <w:rPr>
                <w:rFonts w:ascii="Arial" w:hAnsi="Arial"/>
                <w:b w:val="0"/>
                <w:sz w:val="18"/>
              </w:rPr>
              <w:t>175.100 ülke-oy gözlemi; 1.751 karar; 103.950 ülke-çifti/yıl</w:t>
            </w:r>
          </w:p>
        </w:tc>
        <w:tc>
          <w:tcPr>
            <w:tcW w:type="dxa" w:w="2340"/>
            <w:vAlign w:val="center"/>
          </w:tcPr>
          <w:p>
            <w:r/>
            <w:r>
              <w:rPr>
                <w:rFonts w:ascii="Arial" w:hAnsi="Arial"/>
                <w:b w:val="0"/>
                <w:sz w:val="18"/>
              </w:rPr>
              <w:t>Alternatif normatif ağ ve robustness katmanı</w:t>
            </w:r>
          </w:p>
        </w:tc>
      </w:tr>
      <w:tr>
        <w:tc>
          <w:tcPr>
            <w:tcW w:type="dxa" w:w="2340"/>
            <w:vAlign w:val="center"/>
          </w:tcPr>
          <w:p>
            <w:r/>
            <w:r>
              <w:rPr>
                <w:rFonts w:ascii="Arial" w:hAnsi="Arial"/>
                <w:b w:val="0"/>
                <w:sz w:val="18"/>
              </w:rPr>
              <w:t>WHO/DSÖ yönetişim göstergeleri</w:t>
            </w:r>
          </w:p>
        </w:tc>
        <w:tc>
          <w:tcPr>
            <w:tcW w:type="dxa" w:w="2340"/>
            <w:vAlign w:val="center"/>
          </w:tcPr>
          <w:p>
            <w:r/>
            <w:r>
              <w:rPr>
                <w:rFonts w:ascii="Arial" w:hAnsi="Arial"/>
                <w:b w:val="0"/>
                <w:sz w:val="18"/>
              </w:rPr>
              <w:t>WHO Global Health Observatory</w:t>
            </w:r>
          </w:p>
        </w:tc>
        <w:tc>
          <w:tcPr>
            <w:tcW w:type="dxa" w:w="2340"/>
            <w:vAlign w:val="center"/>
          </w:tcPr>
          <w:p>
            <w:r/>
            <w:r>
              <w:rPr>
                <w:rFonts w:ascii="Arial" w:hAnsi="Arial"/>
                <w:b w:val="0"/>
                <w:sz w:val="18"/>
              </w:rPr>
              <w:t>13.999 uzun gösterge satırı; 2.100 ülke-yıl panel</w:t>
            </w:r>
          </w:p>
        </w:tc>
        <w:tc>
          <w:tcPr>
            <w:tcW w:type="dxa" w:w="2340"/>
            <w:vAlign w:val="center"/>
          </w:tcPr>
          <w:p>
            <w:r/>
            <w:r>
              <w:rPr>
                <w:rFonts w:ascii="Arial" w:hAnsi="Arial"/>
                <w:b w:val="0"/>
                <w:sz w:val="18"/>
              </w:rPr>
              <w:t>UHC, IHR/SPAR ve dış sağlık finansmanı mekanizmaları</w:t>
            </w:r>
          </w:p>
        </w:tc>
      </w:tr>
      <w:tr>
        <w:tc>
          <w:tcPr>
            <w:tcW w:type="dxa" w:w="2340"/>
            <w:vAlign w:val="center"/>
          </w:tcPr>
          <w:p>
            <w:r/>
            <w:r>
              <w:rPr>
                <w:rFonts w:ascii="Arial" w:hAnsi="Arial"/>
                <w:b w:val="0"/>
                <w:sz w:val="18"/>
              </w:rPr>
              <w:t>Coğrafi-tarihsel bağlar</w:t>
            </w:r>
          </w:p>
        </w:tc>
        <w:tc>
          <w:tcPr>
            <w:tcW w:type="dxa" w:w="2340"/>
            <w:vAlign w:val="center"/>
          </w:tcPr>
          <w:p>
            <w:r/>
            <w:r>
              <w:rPr>
                <w:rFonts w:ascii="Arial" w:hAnsi="Arial"/>
                <w:b w:val="0"/>
                <w:sz w:val="18"/>
              </w:rPr>
              <w:t>CEPII distance/gravity</w:t>
            </w:r>
          </w:p>
        </w:tc>
        <w:tc>
          <w:tcPr>
            <w:tcW w:type="dxa" w:w="2340"/>
            <w:vAlign w:val="center"/>
          </w:tcPr>
          <w:p>
            <w:r/>
            <w:r>
              <w:rPr>
                <w:rFonts w:ascii="Arial" w:hAnsi="Arial"/>
                <w:b w:val="0"/>
                <w:sz w:val="18"/>
              </w:rPr>
              <w:t>9.900 yönlü ülke-çifti</w:t>
            </w:r>
          </w:p>
        </w:tc>
        <w:tc>
          <w:tcPr>
            <w:tcW w:type="dxa" w:w="2340"/>
            <w:vAlign w:val="center"/>
          </w:tcPr>
          <w:p>
            <w:r/>
            <w:r>
              <w:rPr>
                <w:rFonts w:ascii="Arial" w:hAnsi="Arial"/>
                <w:b w:val="0"/>
                <w:sz w:val="18"/>
              </w:rPr>
              <w:t>Araç değişken ve dışsal yakınlık ölçüleri</w:t>
            </w:r>
          </w:p>
        </w:tc>
      </w:tr>
    </w:tbl>
    <w:p/>
    <w:p>
      <w:pPr>
        <w:pStyle w:val="Heading2"/>
      </w:pPr>
      <w:r>
        <w:rPr>
          <w:rFonts w:ascii="Arial" w:hAnsi="Arial" w:eastAsia="Arial"/>
        </w:rPr>
        <w:t>2.2. Göstergeler ve Değişken Seçimi</w:t>
      </w:r>
    </w:p>
    <w:p>
      <w:pPr>
        <w:jc w:val="both"/>
      </w:pPr>
      <w:r>
        <w:rPr>
          <w:rFonts w:ascii="Arial" w:hAnsi="Arial" w:eastAsia="Arial"/>
        </w:rPr>
        <w:t>WDI katmanında sağlık harcaması, hekim sayısı, hemşire/ebe sayısı, hastane yatağı, yaşam beklentisi, kişi başı GSYH, nüfus, okuryazarlık, internet kullanımı ve Ar-Ge harcaması çekilmiştir. Ana ağ kurulumunda sağlık harcaması, hekim, hemşire/ebe, hastane yatağı, internet ve kişi başı GSYH kullanılmıştır. Yaşam beklentisi ana sağlık çıktısı olarak modellenmiştir. Okuryazarlık değişkeni yüksek eksiklik nedeniyle ana modelden çıkarılmış, Ar-Ge harcaması ise ek analiz ve sağlamlık kontrolü için ayrılmıştır.</w:t>
      </w:r>
    </w:p>
    <w:p>
      <w:pPr>
        <w:jc w:val="both"/>
      </w:pPr>
      <w:r>
        <w:rPr>
          <w:rFonts w:ascii="Arial" w:hAnsi="Arial" w:eastAsia="Arial"/>
        </w:rPr>
        <w:t>Eksiklik denetimi, panel iskeletinin tam olduğunu ancak değişken bazlı eksiklikler bulunduğunu göstermektedir. Yaşam beklentisi, kişi başı GSYH, nüfus ve internet ana modeller için güçlü kapsama sahiptir. Hekim, hemşire/ebe ve hastane yatağı değişkenlerinde orta düzey eksiklik bulunduğundan ağ kurulumunda ülke içi zamansal interpolasyon ve ileri/geri taşıma yöntemi uygulanmıştır.</w:t>
      </w:r>
    </w:p>
    <w:p>
      <w:pPr>
        <w:pStyle w:val="Heading2"/>
      </w:pPr>
      <w:r>
        <w:rPr>
          <w:rFonts w:ascii="Arial" w:hAnsi="Arial" w:eastAsia="Arial"/>
        </w:rPr>
        <w:t>2.3. Multiplex Sağlık-Kapasite Ağının Kurulumu</w:t>
      </w:r>
    </w:p>
    <w:p>
      <w:pPr>
        <w:jc w:val="both"/>
      </w:pPr>
      <w:r>
        <w:rPr>
          <w:rFonts w:ascii="Arial" w:hAnsi="Arial" w:eastAsia="Arial"/>
        </w:rPr>
        <w:t>Her yıl için ülkeler düğüm olarak tanımlanmıştır. WDI göstergeleri standartlaştırılmış; ülkeler arasındaki Öklid uzaklığı hesaplanmış ve benzerlik değeri 1/(1+uzaklık) dönüşümüyle elde edilmiştir. Her ülke için en yakın beş komşu seçilmiş ve ağ simetrikleştirilerek yıllık ağırlıklı, yönsüz bir benzerlik ağı kurulmuştur. Bu ağdan normalized degree, strength, eigenvector centrality, betweenness, closeness, local clustering, network density, network clustering ve bileşen sayısı hesaplanmıştır.</w:t>
      </w:r>
    </w:p>
    <w:p>
      <w:pPr>
        <w:pStyle w:val="Heading2"/>
      </w:pPr>
      <w:r>
        <w:rPr>
          <w:rFonts w:ascii="Arial" w:hAnsi="Arial" w:eastAsia="Arial"/>
        </w:rPr>
        <w:t>2.4. BM Normatif Hizalanma Ağının Kurulumu</w:t>
      </w:r>
    </w:p>
    <w:p>
      <w:pPr>
        <w:jc w:val="both"/>
      </w:pPr>
      <w:r>
        <w:rPr>
          <w:rFonts w:ascii="Arial" w:hAnsi="Arial" w:eastAsia="Arial"/>
        </w:rPr>
        <w:t>BM Genel Kurulu oy verme verisi ülkelerin yıllık normatif hizalanmasını ölçmek için kullanılmıştır. Oylar evet=1, hayır=-1 ve çekimser=0 biçiminde kodlanmıştır. Her yıl için ülke çiftleri arasındaki ortak oy örüntülerinden agreement ve cosine similarity ölçüleri hesaplanmıştır. Bu benzerliklerden yıllık BM normatif hizalanma ağı kurulmuş; un_degree, un_strength, un_eigen, un_betweenness, un_closeness, un_clustering ve ağ yoğunluğu metrikleri üretilmiştir.</w:t>
      </w:r>
    </w:p>
    <w:p>
      <w:pPr>
        <w:pStyle w:val="Heading2"/>
      </w:pPr>
      <w:r>
        <w:rPr>
          <w:rFonts w:ascii="Arial" w:hAnsi="Arial" w:eastAsia="Arial"/>
        </w:rPr>
        <w:t>2.5. WHO/DSÖ Sağlık Yönetişimi Göstergeleri</w:t>
      </w:r>
    </w:p>
    <w:p>
      <w:pPr>
        <w:jc w:val="both"/>
      </w:pPr>
      <w:r>
        <w:rPr>
          <w:rFonts w:ascii="Arial" w:hAnsi="Arial" w:eastAsia="Arial"/>
        </w:rPr>
        <w:t>WHO Global Health Observatory verileri evrensel sağlık kapsayıcılığı, IHR/SPAR kapasitesi ve dış sağlık finansmanı bağımlılığına ilişkin mekanizma değişkenleri sağlamaktadır. UHC Service Coverage Index ve alt endeksleri düşük eksiklikle ana ek kontrol olarak kullanılabilir. IHR/SPAR göstergeleri daha çok sonraki yıllarda yoğunlaştığı için ana modelden ziyade alt dönem ve mekanizma analizlerinde kullanılmalıdır. External health expenditure as percentage of current health expenditure değişkeni dış finansman bağımlılığı için kullanılabilir.</w:t>
      </w:r>
    </w:p>
    <w:p>
      <w:pPr>
        <w:pStyle w:val="Heading2"/>
      </w:pPr>
      <w:r>
        <w:rPr>
          <w:rFonts w:ascii="Arial" w:hAnsi="Arial" w:eastAsia="Arial"/>
        </w:rPr>
        <w:t>2.6. Modelleme Stratejisi</w:t>
      </w:r>
    </w:p>
    <w:p>
      <w:pPr>
        <w:jc w:val="both"/>
      </w:pPr>
      <w:r>
        <w:rPr>
          <w:rFonts w:ascii="Arial" w:hAnsi="Arial" w:eastAsia="Arial"/>
        </w:rPr>
        <w:t>Ampirik strateji üç düzeyde kurulmuştur. İlk olarak ağ yapısının rastgele olup olmadığı temporal ERGM ile sınanmıştır. İkinci olarak ağ merkeziyetinin sağlık sonuçları üzerindeki dinamik etkisi System GMM ile test edilmiştir. Üçüncü olarak mekanizma, araç değişken ve placebo/falsification analizleriyle bulguların dayanıklılığı değerlendirilmiştir. System GMM modellerinde bağımlı değişken yaşam beklentisidir; temel açıklayıcı değişken gecikmeli ağ merkeziyetidir. Kontrol değişkenleri sağlık harcaması, kişi başı GSYH, nüfus ve internet kullanımıdır. CEPII’den türetilen coğrafi-tarihsel yakınlık ölçüleri araç değişken stratejisinde kullanılmıştır.</w:t>
      </w:r>
    </w:p>
    <w:p>
      <w:pPr>
        <w:pStyle w:val="Heading1"/>
      </w:pPr>
      <w:r>
        <w:rPr>
          <w:rFonts w:ascii="Arial" w:hAnsi="Arial" w:eastAsia="Arial"/>
        </w:rPr>
        <w:t>3. Bulgular</w:t>
      </w:r>
    </w:p>
    <w:p>
      <w:pPr>
        <w:pStyle w:val="Heading2"/>
      </w:pPr>
      <w:r>
        <w:rPr>
          <w:rFonts w:ascii="Arial" w:hAnsi="Arial" w:eastAsia="Arial"/>
        </w:rPr>
        <w:t>3.1. Veri Kapsamı ve Ağ Tanımlayıcıları</w:t>
      </w:r>
    </w:p>
    <w:p>
      <w:pPr>
        <w:jc w:val="both"/>
      </w:pPr>
      <w:r>
        <w:rPr>
          <w:rFonts w:ascii="Arial" w:hAnsi="Arial" w:eastAsia="Arial"/>
        </w:rPr>
        <w:t>Ana WDI paneli 100 ülke ve 21 yıl için tam ülke-yıl iskeleti sunmaktadır. Sağlık-kapasite ağı 2.100 ülke-yıl ağ metriği üretmiştir. Ortalama normalized degree ve network density yaklaşık 0,070; ortalama local/network clustering yaklaşık 0,532; ortalama eigenvector centrality ise yaklaşık 0,179’dur. BM normatif hizalanma katmanı 175.100 ülke-oy gözleminden 103.950 ülke-çifti/yıl benzerlik satırı ve 2.100 ülke-yıl ağ metriği üretmiştir.</w:t>
      </w:r>
    </w:p>
    <w:p>
      <w:pPr>
        <w:pStyle w:val="Heading2"/>
      </w:pPr>
      <w:r>
        <w:rPr>
          <w:rFonts w:ascii="Arial" w:hAnsi="Arial" w:eastAsia="Arial"/>
        </w:rPr>
        <w:t>3.2. Temporal ERGM Bulguları: Ağ Rastgele Değil</w:t>
      </w:r>
    </w:p>
    <w:p>
      <w:pPr>
        <w:jc w:val="both"/>
      </w:pPr>
      <w:r>
        <w:rPr>
          <w:rFonts w:ascii="Arial" w:hAnsi="Arial" w:eastAsia="Arial"/>
        </w:rPr>
        <w:t>Temporal ERGM sonuçları sağlık-kapasite ağındaki bağ oluşumunun rastgele olmadığını göstermektedir. Formation modelinde gwesp katsayısı pozitif ve anlamlıdır (β=2,817; p&lt;0,001). Bu sonuç, ağın üçlü kapanma ve kümelenme eğilimi taşıdığını göstermektedir. Persistence katsayısı da pozitif ve anlamlıdır (β=1,651; p&lt;0,001); dolayısıyla önceki yıldaki bağların sonraki yılda sürme olasılığı yüksektir. MCMC tanı istatistiklerinde joint p-value 0,523’tür; bu değer modelin temel tanı açısından sorunlu görünmediğini göstermektedir.</w:t>
      </w:r>
    </w:p>
    <w:p>
      <w:pPr>
        <w:pStyle w:val="Heading2"/>
      </w:pPr>
      <w:r>
        <w:rPr>
          <w:rFonts w:ascii="Arial" w:hAnsi="Arial" w:eastAsia="Arial"/>
        </w:rPr>
        <w:t>3.3. Dynamic Panel / System GMM Bulguları</w:t>
      </w:r>
    </w:p>
    <w:p>
      <w:pPr>
        <w:jc w:val="both"/>
      </w:pPr>
      <w:r>
        <w:rPr>
          <w:rFonts w:ascii="Arial" w:hAnsi="Arial" w:eastAsia="Arial"/>
        </w:rPr>
        <w:t>System GMM sonuçları, ağ merkeziyetinin yaşam beklentisi üzerinde güçlü ve bağımsız bir etki üretmediğini göstermektedir. Degree modelinde gecikmeli degree pozitif fakat istatistiksel olarak anlamsızdır (p=0,624). Eigenvector centrality modelinde gecikmeli eigen katsayısı da anlamlı değildir (p=0,385). Buna karşılık geçmiş yaşam beklentisi güçlü biçimde anlamlıdır; kişi başı GSYH ve internet kullanımı bazı modellerde anlamlıdır. AR(2) testlerinin anlamlı olmaması dinamik panel spesifikasyonu açısından olumlu bir sonuçtur. Sargan p-değerinin 1’e yakın olması araç sayısı ve aşırı tanımlama konusunda dikkatli yorum gerektirmektedir.</w:t>
      </w:r>
    </w:p>
    <w:p>
      <w:pPr>
        <w:pStyle w:val="Heading2"/>
      </w:pPr>
      <w:r>
        <w:rPr>
          <w:rFonts w:ascii="Arial" w:hAnsi="Arial" w:eastAsia="Arial"/>
        </w:rPr>
        <w:t>3.4. Mekanizma Bulguları</w:t>
      </w:r>
    </w:p>
    <w:p>
      <w:pPr>
        <w:jc w:val="both"/>
      </w:pPr>
      <w:r>
        <w:rPr>
          <w:rFonts w:ascii="Arial" w:hAnsi="Arial" w:eastAsia="Arial"/>
        </w:rPr>
        <w:t>Mekanizma testleri doğrudan “ağ merkeziyeti sağlık sonucunu artırır” iddiasını desteklememektedir. Sabit etkili modelde gecikmeli eigen yaşam beklentisini açıklamamaktadır (p=0,960). Kapasite değişkenlerinin eigen merkeziyeti üzerindeki etkileri de sınırlıdır. Buna karşılık Kuzey-Güney tabakalaşması açısından önemli bir bulgu elde edilmiştir: Global South ile kişi başı GSYH etkileşimi negatif ve anlamlıdır (β=-0,454; p&lt;0,001). Bu sonuç, ekonomik kapasitenin ağ merkeziyetine dönüşme biçiminin Kuzey ve Güney ülkeleri arasında simetrik olmadığını göstermektedir.</w:t>
      </w:r>
    </w:p>
    <w:p>
      <w:pPr>
        <w:pStyle w:val="Heading2"/>
      </w:pPr>
      <w:r>
        <w:rPr>
          <w:rFonts w:ascii="Arial" w:hAnsi="Arial" w:eastAsia="Arial"/>
        </w:rPr>
        <w:t>3.5. Araç Değişken ve Placebo Bulguları</w:t>
      </w:r>
    </w:p>
    <w:p>
      <w:pPr>
        <w:jc w:val="both"/>
      </w:pPr>
      <w:r>
        <w:rPr>
          <w:rFonts w:ascii="Arial" w:hAnsi="Arial" w:eastAsia="Arial"/>
        </w:rPr>
        <w:t>CEPII verisinden türetilen ortak dil, tarihsel bağ ve sınır komşuluğu instrumentleri güçlü birinci aşama sonuçları üretmiştir. Örneğin ortak dil temelli peer-eigen instrumenti için first-stage F yaklaşık 247,6; tarihsel bağ temelli instrument için yaklaşık 278,9; sınır komşuluğu instrumenti için yaklaşık 724,8’dir. Ancak ikinci aşamada instrument edilen eigen merkeziyeti yaşam beklentisini anlamlı biçimde açıklamamaktadır. Placebo/falsification testi de aynı yönde sonuç vermektedir: gerçek eigen katsayısı -0,073, placebo ortalaması 0,008 ve ampirik p-değeri 0,435’tir. Bu sonuç, gözlenen ağ etkisinin rastgele karıştırılmış ağ dağılımından anlamlı biçimde ayrışmadığını göstermektedir.</w:t>
      </w:r>
    </w:p>
    <w:p>
      <w:pPr>
        <w:pStyle w:val="Heading2"/>
      </w:pPr>
      <w:r>
        <w:rPr>
          <w:rFonts w:ascii="Arial" w:hAnsi="Arial" w:eastAsia="Arial"/>
        </w:rPr>
        <w:t>3.6. BM ve WHO/DSÖ Katmanının Katkısı</w:t>
      </w:r>
    </w:p>
    <w:p>
      <w:pPr>
        <w:jc w:val="both"/>
      </w:pPr>
      <w:r>
        <w:rPr>
          <w:rFonts w:ascii="Arial" w:hAnsi="Arial" w:eastAsia="Arial"/>
        </w:rPr>
        <w:t>UNGA ve WHO/DSÖ verileri başlıktaki küresel yönetişim iddiasını ampirik olarak güçlendirmektedir. BM Genel Kurulu oy verme verisi, ülkeler arasındaki normatif hizalanmayı ülke-çifti düzeyinde ölçülebilir hale getirmiştir. WHO göstergeleri ise UHC, IHR/SPAR kapasitesi ve dış sağlık finansmanı bağımlılığı üzerinden sağlık yönetişimi mekanizmalarını modele eklemektedir. Bu katmanlar, WDI-temelli sağlık-kapasite ağının yalnızca teknik bir benzerlik ağı olarak kalmasını engellemekte ve makaleyi BM sistemi ile DSÖ merkezli küresel sağlık yönetişimi bağlamına daha sağlam biçimde yerleştirmektedir.</w:t>
      </w:r>
    </w:p>
    <w:p>
      <w:pPr>
        <w:pStyle w:val="Heading1"/>
      </w:pPr>
      <w:r>
        <w:rPr>
          <w:rFonts w:ascii="Arial" w:hAnsi="Arial" w:eastAsia="Arial"/>
        </w:rPr>
        <w:t>4. Tartışma</w:t>
      </w:r>
    </w:p>
    <w:p>
      <w:pPr>
        <w:jc w:val="both"/>
      </w:pPr>
      <w:r>
        <w:rPr>
          <w:rFonts w:ascii="Arial" w:hAnsi="Arial" w:eastAsia="Arial"/>
        </w:rPr>
        <w:t>Bulgular, multiplex yönetişim literatüründeki temel varsayımlardan birini yeniden düşünmeyi gerektirmektedir. Artan bağlantısallık, ülkeler arasında daha yoğun ve daha kalıcı ilişki örüntüleri üretmektedir; ancak bu durum otomatik olarak sağlık sonuçlarında eşitlenme anlamına gelmemektedir. Temporal ERGM bulguları ağın yapılaşmış olduğunu; System GMM, IV ve placebo bulguları ise bu yapılaşmanın yaşam beklentisi üzerinde bağımsız ve güçlü bir nedensel etkiye dönüşmediğini göstermektedir.</w:t>
      </w:r>
    </w:p>
    <w:p>
      <w:pPr>
        <w:jc w:val="both"/>
      </w:pPr>
      <w:r>
        <w:rPr>
          <w:rFonts w:ascii="Arial" w:hAnsi="Arial" w:eastAsia="Arial"/>
        </w:rPr>
        <w:t>Bu sonuç, “bütünleşme” ile “eşitleşme” arasında analitik bir ayrım yapılması gerektiğini ortaya koymaktadır. Ülkeler aynı ağlarda daha görünür hale gelebilir, benzer normatif pozisyonlar alabilir ve sağlık kapasitesi açısından yakın kümelere yerleşebilir. Ancak sağlık sonuçları hâlâ kalkınma düzeyi, dijital bağlantısallık, sağlık sistemi kapasitesi, finansman bağımlılığı ve Kuzey-Güney tabakalaşması tarafından filtrelenmektedir. Bu nedenle multiplex küresel sağlık yönetişimi, ilişkileri örgütleyen fakat sonuçları eşitlemeyen bir yapı olarak görünmektedir.</w:t>
      </w:r>
    </w:p>
    <w:p>
      <w:pPr>
        <w:jc w:val="both"/>
      </w:pPr>
      <w:r>
        <w:rPr>
          <w:rFonts w:ascii="Arial" w:hAnsi="Arial" w:eastAsia="Arial"/>
        </w:rPr>
        <w:t>BM normatif hizalanma ve WHO/DSÖ göstergelerinin eklenmesi, çalışmanın katkısını iki yönden artırmaktadır. İlk olarak, küresel sağlık yönetişimi yalnızca WDI değişkenlerinden türetilmiş teknik bir kapasite ağı olarak değil, aynı zamanda normatif ve kurumsal yönetişim katmanlarıyla birlikte değerlendirilmektedir. İkinci olarak, sonuçlar basit bir “daha fazla bağlantı daha iyi sonuç üretir” varsayımını reddederek, bağlantısallığın hangi koşullarda eşitsizlikleri yeniden ürettiğini göstermektedir.</w:t>
      </w:r>
    </w:p>
    <w:p>
      <w:pPr>
        <w:pStyle w:val="Heading1"/>
      </w:pPr>
      <w:r>
        <w:rPr>
          <w:rFonts w:ascii="Arial" w:hAnsi="Arial" w:eastAsia="Arial"/>
        </w:rPr>
        <w:t>5. Sonuç</w:t>
      </w:r>
    </w:p>
    <w:p>
      <w:pPr>
        <w:jc w:val="both"/>
      </w:pPr>
      <w:r>
        <w:rPr>
          <w:rFonts w:ascii="Arial" w:hAnsi="Arial" w:eastAsia="Arial"/>
        </w:rPr>
        <w:t>Bu çalışma, 2004-2024 döneminde 100 ülkeyi kapsayan genişletilmiş bir veri setiyle multiplex küresel sağlık yönetişimini ampirik olarak incelemiştir. WDI göstergeleriyle sağlık-kapasite ağı kurulmuş, BM Genel Kurulu oy verme verisiyle normatif hizalanma ağı üretilmiş, WHO/DSÖ göstergeleriyle sağlık yönetişimi mekanizmaları eklenmiş ve CEPII verisiyle coğrafi-tarihsel araç değişken stratejisi kurulmuştur.</w:t>
      </w:r>
    </w:p>
    <w:p>
      <w:pPr>
        <w:jc w:val="both"/>
      </w:pPr>
      <w:r>
        <w:rPr>
          <w:rFonts w:ascii="Arial" w:hAnsi="Arial" w:eastAsia="Arial"/>
        </w:rPr>
        <w:t>Elde edilen sonuçlar üç ana bulguya işaret etmektedir. Birincisi, küresel sağlık yönetişimi ağı rastgele değildir; ağlar kümelenme, süreklilik ve yapılaşmış hizalanma göstermektedir. İkincisi, ağ merkeziyeti yaşam beklentisini güçlü ve bağımsız biçimde açıklamamaktadır. Üçüncüsü, multiplex yönetişim ülkeler arasında bağlantı ve hizalanma üretse de sağlık sonuçlarını eşitlememektedir. Bu nedenle makalenin temel sonucu “eşitleme olmadan bütünleşme”dir.</w:t>
      </w:r>
    </w:p>
    <w:p>
      <w:pPr>
        <w:jc w:val="both"/>
      </w:pPr>
      <w:r>
        <w:rPr>
          <w:rFonts w:ascii="Arial" w:hAnsi="Arial" w:eastAsia="Arial"/>
        </w:rPr>
        <w:t>Çalışmanın sınırlılıkları da açıktır. WDI-temelli ağlar doğrudan kurumsal bağlardan değil, ülke profilleri arasındaki benzerliklerden türetilmiştir. WHO/IHR göstergeleri bazı yıllarda yüksek eksiklik içerdiği için alt dönem ve mekanizma analizlerinde dikkatle kullanılmalıdır. Buna rağmen çalışma, multiplex yönetişim teorisine büyük-N, çok katmanlı ve zamansal bir ampirik test sunmakta; küresel yönetişimde artan bağlantısallığın zorunlu olarak eşitlenme üretmediğini göstermektedir.</w:t>
      </w:r>
    </w:p>
    <w:p>
      <w:pPr>
        <w:pStyle w:val="Heading1"/>
      </w:pPr>
      <w:r>
        <w:rPr>
          <w:rFonts w:ascii="Arial" w:hAnsi="Arial" w:eastAsia="Arial"/>
        </w:rPr>
        <w:t>Kaynakça İçin Eklenmesi Gereken Veri Kaynakları</w:t>
      </w:r>
    </w:p>
    <w:p>
      <w:pPr>
        <w:pStyle w:val="ListBullet"/>
      </w:pPr>
      <w:r>
        <w:rPr>
          <w:rFonts w:ascii="Arial" w:hAnsi="Arial" w:eastAsia="Arial"/>
        </w:rPr>
        <w:t>World Bank. World Development Indicators, 2004-2024.</w:t>
      </w:r>
    </w:p>
    <w:p>
      <w:pPr>
        <w:pStyle w:val="ListBullet"/>
      </w:pPr>
      <w:r>
        <w:rPr>
          <w:rFonts w:ascii="Arial" w:hAnsi="Arial" w:eastAsia="Arial"/>
        </w:rPr>
        <w:t>United Nations Digital Library. United Nations General Assembly Voting Data, 2004-2024 subset.</w:t>
      </w:r>
    </w:p>
    <w:p>
      <w:pPr>
        <w:pStyle w:val="ListBullet"/>
      </w:pPr>
      <w:r>
        <w:rPr>
          <w:rFonts w:ascii="Arial" w:hAnsi="Arial" w:eastAsia="Arial"/>
        </w:rPr>
        <w:t>World Health Organization. Global Health Observatory indicators: UHC, IHR/SPAR and external health expenditure indicators.</w:t>
      </w:r>
    </w:p>
    <w:p>
      <w:pPr>
        <w:pStyle w:val="ListBullet"/>
      </w:pPr>
      <w:r>
        <w:rPr>
          <w:rFonts w:ascii="Arial" w:hAnsi="Arial" w:eastAsia="Arial"/>
        </w:rPr>
        <w:t>CEPII. GeoDist / distance and gravity data.</w:t>
      </w:r>
    </w:p>
    <w:p>
      <w:pPr>
        <w:pStyle w:val="ListBullet"/>
      </w:pPr>
      <w:r>
        <w:rPr>
          <w:rFonts w:ascii="Arial" w:hAnsi="Arial" w:eastAsia="Arial"/>
        </w:rPr>
        <w:t>Acharya, A. (2018). The End of American World Order. Polity.</w:t>
      </w:r>
    </w:p>
    <w:p>
      <w:pPr>
        <w:pStyle w:val="ListBullet"/>
      </w:pPr>
      <w:r>
        <w:rPr>
          <w:rFonts w:ascii="Arial" w:hAnsi="Arial" w:eastAsia="Arial"/>
        </w:rPr>
        <w:t>Acharya, A., Estevadeordal, A., &amp; Goodman, L. W. (2023). Multipolar or multiplex? Interaction capacity, global cooperation and world order. International Affairs, 99(6), 2339-2365.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