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Within Task Analysis</w:t>
      </w:r>
    </w:p>
    <w:p>
      <w:pPr>
        <w:rPr>
          <w:rFonts w:hint="default" w:ascii="Times New Roman" w:hAnsi="Times New Roman" w:cs="Times New Roman"/>
          <w:sz w:val="18"/>
          <w:szCs w:val="18"/>
        </w:rPr>
      </w:pPr>
      <w:r>
        <w:rPr>
          <w:rFonts w:hint="default" w:ascii="Times New Roman" w:hAnsi="Times New Roman" w:cs="Times New Roman"/>
          <w:sz w:val="18"/>
          <w:szCs w:val="18"/>
        </w:rPr>
        <w:t>Herein, we will apply the ANOVA to test the group differences within and across tasks. After the test, investigate the performances of several classifiers.</w:t>
      </w:r>
    </w:p>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tables below shows the ANOVA tests within tasks, values in the blocks are mean difference of features between each two groups, values inside the blankets are p-values. The significant values are followed by the star mark (90% CI is used).</w:t>
      </w:r>
    </w:p>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From the three tables, it is noticeable that all three groups perform similarly in the head task as non feature is significantly different between groups. Within the clothes task, no difference is discovered between MCI and Alzheimer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groups. The differences are mainly in features related with clothes, where control participants have less mean gazing duration on clothes but higher frequencies. </w:t>
      </w:r>
    </w:p>
    <w:p/>
    <w:tbl>
      <w:tblPr>
        <w:tblStyle w:val="3"/>
        <w:tblpPr w:leftFromText="180" w:rightFromText="180" w:vertAnchor="page" w:horzAnchor="page" w:tblpX="2545" w:tblpY="4564"/>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6198" w:type="dxa"/>
            <w:gridSpan w:val="4"/>
            <w:tcBorders>
              <w:left w:val="nil"/>
              <w:bottom w:val="single" w:color="000000" w:themeColor="text1" w:sz="4" w:space="0"/>
              <w:right w:val="nil"/>
            </w:tcBorders>
          </w:tcPr>
          <w:p>
            <w:pPr>
              <w:rPr>
                <w:rFonts w:hint="default"/>
                <w:b/>
                <w:bCs/>
                <w:vertAlign w:val="baseline"/>
                <w:lang w:val="en-US" w:eastAsia="zh-CN"/>
              </w:rPr>
            </w:pPr>
            <w:r>
              <w:rPr>
                <w:rFonts w:hint="eastAsia"/>
                <w:vertAlign w:val="baseline"/>
                <w:lang w:val="en-US" w:eastAsia="zh-CN"/>
              </w:rPr>
              <w:t>Task: Clothes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top w:val="single" w:color="000000" w:themeColor="text1" w:sz="4" w:space="0"/>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Clothes_duration</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0.37(0.969)</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-3.85</w:t>
            </w:r>
            <w:r>
              <w:rPr>
                <w:rFonts w:hint="eastAsia"/>
                <w:sz w:val="18"/>
                <w:szCs w:val="18"/>
                <w:vertAlign w:val="baseline"/>
                <w:lang w:val="en-US" w:eastAsia="zh-CN"/>
              </w:rPr>
              <w:t>(0.067*)</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-4.22</w:t>
            </w:r>
            <w:r>
              <w:rPr>
                <w:rFonts w:hint="eastAsia"/>
                <w:sz w:val="18"/>
                <w:szCs w:val="18"/>
                <w:vertAlign w:val="baseline"/>
                <w:lang w:val="en-US" w:eastAsia="zh-CN"/>
              </w:rPr>
              <w:t>(0.028*)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1.51</w:t>
            </w:r>
            <w:r>
              <w:rPr>
                <w:rFonts w:hint="eastAsia"/>
                <w:sz w:val="18"/>
                <w:szCs w:val="18"/>
                <w:vertAlign w:val="baseline"/>
                <w:lang w:val="en-US" w:eastAsia="zh-CN"/>
              </w:rPr>
              <w:t>(0.206)</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-0.13</w:t>
            </w:r>
            <w:r>
              <w:rPr>
                <w:rFonts w:hint="eastAsia"/>
                <w:sz w:val="18"/>
                <w:szCs w:val="18"/>
                <w:vertAlign w:val="baseline"/>
                <w:lang w:val="en-US" w:eastAsia="zh-CN"/>
              </w:rPr>
              <w:t>(0.988)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-1.65</w:t>
            </w:r>
            <w:r>
              <w:rPr>
                <w:rFonts w:hint="eastAsia"/>
                <w:sz w:val="18"/>
                <w:szCs w:val="18"/>
                <w:vertAlign w:val="baseline"/>
                <w:lang w:val="en-US" w:eastAsia="zh-CN"/>
              </w:rPr>
              <w:t>(0.178)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-0.75</w:t>
            </w:r>
            <w:r>
              <w:rPr>
                <w:rFonts w:hint="eastAsia"/>
                <w:sz w:val="18"/>
                <w:szCs w:val="18"/>
                <w:vertAlign w:val="baseline"/>
                <w:lang w:val="en-US" w:eastAsia="zh-CN"/>
              </w:rPr>
              <w:t>(0.928)</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-3.01</w:t>
            </w:r>
            <w:r>
              <w:rPr>
                <w:rFonts w:hint="eastAsia"/>
                <w:sz w:val="18"/>
                <w:szCs w:val="18"/>
                <w:vertAlign w:val="baseline"/>
                <w:lang w:val="en-US" w:eastAsia="zh-CN"/>
              </w:rPr>
              <w:t>(0.376)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-2.26</w:t>
            </w:r>
            <w:r>
              <w:rPr>
                <w:rFonts w:hint="eastAsia"/>
                <w:sz w:val="18"/>
                <w:szCs w:val="18"/>
                <w:vertAlign w:val="baseline"/>
                <w:lang w:val="en-US" w:eastAsia="zh-CN"/>
              </w:rPr>
              <w:t>(0.541)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-0.66</w:t>
            </w:r>
            <w:r>
              <w:rPr>
                <w:rFonts w:hint="eastAsia"/>
                <w:sz w:val="18"/>
                <w:szCs w:val="18"/>
                <w:vertAlign w:val="baseline"/>
                <w:lang w:val="en-US" w:eastAsia="zh-CN"/>
              </w:rPr>
              <w:t>(0.876)</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0.31</w:t>
            </w:r>
            <w:r>
              <w:rPr>
                <w:rFonts w:hint="eastAsia"/>
                <w:sz w:val="18"/>
                <w:szCs w:val="18"/>
                <w:vertAlign w:val="baseline"/>
                <w:lang w:val="en-US" w:eastAsia="zh-CN"/>
              </w:rPr>
              <w:t>(0.974)</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0.98</w:t>
            </w:r>
            <w:r>
              <w:rPr>
                <w:rFonts w:hint="eastAsia"/>
                <w:sz w:val="18"/>
                <w:szCs w:val="18"/>
                <w:vertAlign w:val="baseline"/>
                <w:lang w:val="en-US" w:eastAsia="zh-CN"/>
              </w:rPr>
              <w:t>(0.766)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0.69</w:t>
            </w:r>
            <w:r>
              <w:rPr>
                <w:rFonts w:hint="eastAsia"/>
                <w:sz w:val="18"/>
                <w:szCs w:val="18"/>
                <w:vertAlign w:val="baseline"/>
                <w:lang w:val="en-US" w:eastAsia="zh-CN"/>
              </w:rPr>
              <w:t>(0.958)</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7.49</w:t>
            </w:r>
            <w:r>
              <w:rPr>
                <w:rFonts w:hint="eastAsia"/>
                <w:sz w:val="18"/>
                <w:szCs w:val="18"/>
                <w:vertAlign w:val="baseline"/>
                <w:lang w:val="en-US" w:eastAsia="zh-CN"/>
              </w:rPr>
              <w:t>(0.021*)</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6.79</w:t>
            </w:r>
            <w:r>
              <w:rPr>
                <w:rFonts w:hint="eastAsia"/>
                <w:sz w:val="18"/>
                <w:szCs w:val="18"/>
                <w:vertAlign w:val="baseline"/>
                <w:lang w:val="en-US" w:eastAsia="zh-C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0.58</w:t>
            </w:r>
            <w:r>
              <w:rPr>
                <w:rFonts w:hint="eastAsia"/>
                <w:sz w:val="18"/>
                <w:szCs w:val="18"/>
                <w:vertAlign w:val="baseline"/>
                <w:lang w:val="en-US" w:eastAsia="zh-CN"/>
              </w:rPr>
              <w:t>(0.969)</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5.67</w:t>
            </w:r>
            <w:r>
              <w:rPr>
                <w:rFonts w:hint="eastAsia"/>
                <w:sz w:val="18"/>
                <w:szCs w:val="18"/>
                <w:vertAlign w:val="baseline"/>
                <w:lang w:val="en-US" w:eastAsia="zh-CN"/>
              </w:rPr>
              <w:t>(0.098*)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5.09</w:t>
            </w:r>
            <w:r>
              <w:rPr>
                <w:rFonts w:hint="eastAsia"/>
                <w:sz w:val="18"/>
                <w:szCs w:val="18"/>
                <w:vertAlign w:val="baseline"/>
                <w:lang w:val="en-US" w:eastAsia="zh-CN"/>
              </w:rPr>
              <w:t>(0.125)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-0.40</w:t>
            </w:r>
            <w:r>
              <w:rPr>
                <w:rFonts w:hint="eastAsia"/>
                <w:sz w:val="18"/>
                <w:szCs w:val="18"/>
                <w:vertAlign w:val="baseline"/>
                <w:lang w:val="en-US" w:eastAsia="zh-CN"/>
              </w:rPr>
              <w:t>(0.980)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4.04</w:t>
            </w:r>
            <w:r>
              <w:rPr>
                <w:rFonts w:hint="eastAsia"/>
                <w:sz w:val="18"/>
                <w:szCs w:val="18"/>
                <w:vertAlign w:val="baseline"/>
                <w:lang w:val="en-US" w:eastAsia="zh-CN"/>
              </w:rPr>
              <w:t>(0.194)</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4.44</w:t>
            </w:r>
            <w:r>
              <w:rPr>
                <w:rFonts w:hint="eastAsia"/>
                <w:sz w:val="18"/>
                <w:szCs w:val="18"/>
                <w:vertAlign w:val="baseline"/>
                <w:lang w:val="en-US" w:eastAsia="zh-CN"/>
              </w:rPr>
              <w:t>(0.114)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0.89</w:t>
            </w:r>
            <w:r>
              <w:rPr>
                <w:rFonts w:hint="eastAsia"/>
                <w:sz w:val="18"/>
                <w:szCs w:val="18"/>
                <w:vertAlign w:val="baseline"/>
                <w:lang w:val="en-US" w:eastAsia="zh-CN"/>
              </w:rPr>
              <w:t>(0.921)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0.67</w:t>
            </w:r>
            <w:r>
              <w:rPr>
                <w:rFonts w:hint="eastAsia"/>
                <w:sz w:val="18"/>
                <w:szCs w:val="18"/>
                <w:vertAlign w:val="baseline"/>
                <w:lang w:val="en-US" w:eastAsia="zh-CN"/>
              </w:rPr>
              <w:t>(0.962)</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-0.22</w:t>
            </w:r>
            <w:r>
              <w:rPr>
                <w:rFonts w:hint="eastAsia"/>
                <w:sz w:val="18"/>
                <w:szCs w:val="18"/>
                <w:vertAlign w:val="baseline"/>
                <w:lang w:val="en-US" w:eastAsia="zh-CN"/>
              </w:rPr>
              <w:t>(0.995)</w:t>
            </w:r>
          </w:p>
        </w:tc>
      </w:tr>
    </w:tbl>
    <w:p/>
    <w:p/>
    <w:p/>
    <w:p/>
    <w:p/>
    <w:p/>
    <w:p/>
    <w:p/>
    <w:p/>
    <w:p/>
    <w:p/>
    <w:p/>
    <w:p/>
    <w:p/>
    <w:p/>
    <w:p/>
    <w:tbl>
      <w:tblPr>
        <w:tblStyle w:val="3"/>
        <w:tblpPr w:leftFromText="180" w:rightFromText="180" w:vertAnchor="page" w:horzAnchor="page" w:tblpX="2523" w:tblpY="10139"/>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vertAlign w:val="baseline"/>
                <w:lang w:val="en-US" w:eastAsia="zh-CN"/>
              </w:rPr>
            </w:pPr>
            <w:r>
              <w:rPr>
                <w:rFonts w:hint="eastAsia"/>
                <w:vertAlign w:val="baseline"/>
                <w:lang w:val="en-US" w:eastAsia="zh-CN"/>
              </w:rPr>
              <w:t>Task: Heads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Clothes_duration</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-0.69(0.821)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 xml:space="preserve"> 0.0</w:t>
            </w:r>
            <w:r>
              <w:rPr>
                <w:rFonts w:hint="eastAsia"/>
                <w:sz w:val="18"/>
                <w:szCs w:val="18"/>
                <w:vertAlign w:val="baseline"/>
                <w:lang w:val="en-US" w:eastAsia="zh-CN"/>
              </w:rPr>
              <w:t>1(0.999)</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0.69</w:t>
            </w:r>
            <w:r>
              <w:rPr>
                <w:rFonts w:hint="eastAsia"/>
                <w:sz w:val="18"/>
                <w:szCs w:val="18"/>
                <w:vertAlign w:val="baseline"/>
                <w:lang w:val="en-US" w:eastAsia="zh-CN"/>
              </w:rPr>
              <w:t>(0.832)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0.70</w:t>
            </w:r>
            <w:r>
              <w:rPr>
                <w:rFonts w:hint="eastAsia"/>
                <w:sz w:val="18"/>
                <w:szCs w:val="18"/>
                <w:vertAlign w:val="baseline"/>
                <w:lang w:val="en-US" w:eastAsia="zh-CN"/>
              </w:rPr>
              <w:t>(0.657)</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-0.78</w:t>
            </w:r>
            <w:r>
              <w:rPr>
                <w:rFonts w:hint="eastAsia"/>
                <w:sz w:val="18"/>
                <w:szCs w:val="18"/>
                <w:vertAlign w:val="baseline"/>
                <w:lang w:val="en-US" w:eastAsia="zh-CN"/>
              </w:rPr>
              <w:t>(0.649)</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-1.48</w:t>
            </w:r>
            <w:r>
              <w:rPr>
                <w:rFonts w:hint="eastAsia"/>
                <w:sz w:val="18"/>
                <w:szCs w:val="18"/>
                <w:vertAlign w:val="baseline"/>
                <w:lang w:val="en-US" w:eastAsia="zh-CN"/>
              </w:rPr>
              <w:t>(0.185)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0.54</w:t>
            </w:r>
            <w:r>
              <w:rPr>
                <w:rFonts w:hint="eastAsia"/>
                <w:sz w:val="18"/>
                <w:szCs w:val="18"/>
                <w:vertAlign w:val="baseline"/>
                <w:lang w:val="en-US" w:eastAsia="zh-CN"/>
              </w:rPr>
              <w:t>(0.941)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-1.81</w:t>
            </w:r>
            <w:r>
              <w:rPr>
                <w:rFonts w:hint="eastAsia"/>
                <w:sz w:val="18"/>
                <w:szCs w:val="18"/>
                <w:vertAlign w:val="baseline"/>
                <w:lang w:val="en-US" w:eastAsia="zh-CN"/>
              </w:rPr>
              <w:t>(0.576)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-2.36</w:t>
            </w:r>
            <w:r>
              <w:rPr>
                <w:rFonts w:hint="eastAsia"/>
                <w:sz w:val="18"/>
                <w:szCs w:val="18"/>
                <w:vertAlign w:val="baseline"/>
                <w:lang w:val="en-US" w:eastAsia="zh-CN"/>
              </w:rPr>
              <w:t>(0.360)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1.48</w:t>
            </w:r>
            <w:r>
              <w:rPr>
                <w:rFonts w:hint="eastAsia"/>
                <w:sz w:val="18"/>
                <w:szCs w:val="18"/>
                <w:vertAlign w:val="baseline"/>
                <w:lang w:val="en-US" w:eastAsia="zh-CN"/>
              </w:rPr>
              <w:t>(0.851)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-0.26</w:t>
            </w:r>
            <w:r>
              <w:rPr>
                <w:rFonts w:hint="eastAsia"/>
                <w:sz w:val="18"/>
                <w:szCs w:val="18"/>
                <w:vertAlign w:val="baseline"/>
                <w:lang w:val="en-US" w:eastAsia="zh-CN"/>
              </w:rPr>
              <w:t>(0.995)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-1.75</w:t>
            </w:r>
            <w:r>
              <w:rPr>
                <w:rFonts w:hint="eastAsia"/>
                <w:sz w:val="18"/>
                <w:szCs w:val="18"/>
                <w:vertAlign w:val="baseline"/>
                <w:lang w:val="en-US" w:eastAsia="zh-CN"/>
              </w:rPr>
              <w:t>(0.812)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-0.64</w:t>
            </w:r>
            <w:r>
              <w:rPr>
                <w:rFonts w:hint="eastAsia"/>
                <w:sz w:val="18"/>
                <w:szCs w:val="18"/>
                <w:vertAlign w:val="baseline"/>
                <w:lang w:val="en-US" w:eastAsia="zh-CN"/>
              </w:rPr>
              <w:t>(0.974)</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2.84</w:t>
            </w:r>
            <w:r>
              <w:rPr>
                <w:rFonts w:hint="eastAsia"/>
                <w:sz w:val="18"/>
                <w:szCs w:val="18"/>
                <w:vertAlign w:val="baseline"/>
                <w:lang w:val="en-US" w:eastAsia="zh-CN"/>
              </w:rPr>
              <w:t>(0.661)</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3.49</w:t>
            </w:r>
            <w:r>
              <w:rPr>
                <w:rFonts w:hint="eastAsia"/>
                <w:sz w:val="18"/>
                <w:szCs w:val="18"/>
                <w:vertAlign w:val="baseline"/>
                <w:lang w:val="en-US" w:eastAsia="zh-CN"/>
              </w:rPr>
              <w:t>(0.503)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-2.50</w:t>
            </w:r>
            <w:r>
              <w:rPr>
                <w:rFonts w:hint="eastAsia"/>
                <w:sz w:val="18"/>
                <w:szCs w:val="18"/>
                <w:vertAlign w:val="baseline"/>
                <w:lang w:val="en-US" w:eastAsia="zh-CN"/>
              </w:rPr>
              <w:t>(0.637)</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1.54</w:t>
            </w:r>
            <w:r>
              <w:rPr>
                <w:rFonts w:hint="eastAsia"/>
                <w:sz w:val="18"/>
                <w:szCs w:val="18"/>
                <w:vertAlign w:val="baseline"/>
                <w:lang w:val="en-US" w:eastAsia="zh-CN"/>
              </w:rPr>
              <w:t>(0.866)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4.04</w:t>
            </w:r>
            <w:r>
              <w:rPr>
                <w:rFonts w:hint="eastAsia"/>
                <w:sz w:val="18"/>
                <w:szCs w:val="18"/>
                <w:vertAlign w:val="baseline"/>
                <w:lang w:val="en-US" w:eastAsia="zh-CN"/>
              </w:rPr>
              <w:t>(0.341)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2.77</w:t>
            </w:r>
            <w:r>
              <w:rPr>
                <w:rFonts w:hint="eastAsia"/>
                <w:sz w:val="18"/>
                <w:szCs w:val="18"/>
                <w:vertAlign w:val="baseline"/>
                <w:lang w:val="en-US" w:eastAsia="zh-CN"/>
              </w:rPr>
              <w:t>(0.353)</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1.91</w:t>
            </w:r>
            <w:r>
              <w:rPr>
                <w:rFonts w:hint="eastAsia"/>
                <w:sz w:val="18"/>
                <w:szCs w:val="18"/>
                <w:vertAlign w:val="baseline"/>
                <w:lang w:val="en-US" w:eastAsia="zh-CN"/>
              </w:rPr>
              <w:t>(0.658)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-0.86</w:t>
            </w:r>
            <w:r>
              <w:rPr>
                <w:rFonts w:hint="eastAsia"/>
                <w:sz w:val="18"/>
                <w:szCs w:val="18"/>
                <w:vertAlign w:val="baseline"/>
                <w:lang w:val="en-US" w:eastAsia="zh-CN"/>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2.29</w:t>
            </w:r>
            <w:r>
              <w:rPr>
                <w:rFonts w:hint="eastAsia"/>
                <w:sz w:val="18"/>
                <w:szCs w:val="18"/>
                <w:vertAlign w:val="baseline"/>
                <w:lang w:val="en-US" w:eastAsia="zh-CN"/>
              </w:rPr>
              <w:t>(0.542)</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3.66</w:t>
            </w:r>
            <w:r>
              <w:rPr>
                <w:rFonts w:hint="eastAsia"/>
                <w:sz w:val="18"/>
                <w:szCs w:val="18"/>
                <w:vertAlign w:val="baseline"/>
                <w:lang w:val="en-US" w:eastAsia="zh-CN"/>
              </w:rPr>
              <w:t>(0.276)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1.37</w:t>
            </w:r>
            <w:r>
              <w:rPr>
                <w:rFonts w:hint="eastAsia"/>
                <w:sz w:val="18"/>
                <w:szCs w:val="18"/>
                <w:vertAlign w:val="baseline"/>
                <w:lang w:val="en-US" w:eastAsia="zh-CN"/>
              </w:rPr>
              <w:t>(0.815)</w:t>
            </w:r>
          </w:p>
        </w:tc>
      </w:tr>
    </w:tbl>
    <w:p>
      <w:bookmarkStart w:id="0" w:name="_GoBack"/>
      <w:bookmarkEnd w:id="0"/>
    </w:p>
    <w:p/>
    <w:p/>
    <w:p/>
    <w:p/>
    <w:p/>
    <w:p/>
    <w:p/>
    <w:p/>
    <w:p/>
    <w:p/>
    <w:p/>
    <w:p/>
    <w:p/>
    <w:p/>
    <w:p/>
    <w:tbl>
      <w:tblPr>
        <w:tblStyle w:val="3"/>
        <w:tblpPr w:leftFromText="180" w:rightFromText="180" w:vertAnchor="page" w:horzAnchor="page" w:tblpX="2686" w:tblpY="1617"/>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vertAlign w:val="baseline"/>
                <w:lang w:val="en-US" w:eastAsia="zh-CN"/>
              </w:rPr>
            </w:pPr>
            <w:r>
              <w:rPr>
                <w:rFonts w:hint="eastAsia"/>
                <w:vertAlign w:val="baseline"/>
                <w:lang w:val="en-US" w:eastAsia="zh-CN"/>
              </w:rPr>
              <w:t>Task: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Clothes_duration</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1.30(0.700)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 xml:space="preserve"> -3.88</w:t>
            </w:r>
            <w:r>
              <w:rPr>
                <w:rFonts w:hint="eastAsia"/>
                <w:sz w:val="18"/>
                <w:szCs w:val="18"/>
                <w:vertAlign w:val="baseline"/>
                <w:lang w:val="en-US" w:eastAsia="zh-CN"/>
              </w:rPr>
              <w:t>(0.079*)</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-5.18</w:t>
            </w:r>
            <w:r>
              <w:rPr>
                <w:rFonts w:hint="eastAsia"/>
                <w:sz w:val="18"/>
                <w:szCs w:val="18"/>
                <w:vertAlign w:val="baseline"/>
                <w:lang w:val="en-US"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0.88</w:t>
            </w:r>
            <w:r>
              <w:rPr>
                <w:rFonts w:hint="eastAsia"/>
                <w:sz w:val="18"/>
                <w:szCs w:val="18"/>
                <w:vertAlign w:val="baseline"/>
                <w:lang w:val="en-US" w:eastAsia="zh-CN"/>
              </w:rPr>
              <w:t>(0.396)</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-1.08</w:t>
            </w:r>
            <w:r>
              <w:rPr>
                <w:rFonts w:hint="eastAsia"/>
                <w:sz w:val="18"/>
                <w:szCs w:val="18"/>
                <w:vertAlign w:val="baseline"/>
                <w:lang w:val="en-US" w:eastAsia="zh-CN"/>
              </w:rPr>
              <w:t>(0.318)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-1.96</w:t>
            </w:r>
            <w:r>
              <w:rPr>
                <w:rFonts w:hint="eastAsia"/>
                <w:sz w:val="18"/>
                <w:szCs w:val="18"/>
                <w:vertAlign w:val="baseline"/>
                <w:lang w:val="en-US"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Other_duration</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1.06(0.681)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-1.15</w:t>
            </w:r>
            <w:r>
              <w:rPr>
                <w:rFonts w:hint="eastAsia"/>
                <w:sz w:val="18"/>
                <w:szCs w:val="18"/>
                <w:vertAlign w:val="baseline"/>
                <w:lang w:val="en-US" w:eastAsia="zh-CN"/>
              </w:rPr>
              <w:t>(0.683)</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-2.21</w:t>
            </w:r>
            <w:r>
              <w:rPr>
                <w:rFonts w:hint="eastAsia"/>
                <w:sz w:val="18"/>
                <w:szCs w:val="18"/>
                <w:vertAlign w:val="baseline"/>
                <w:lang w:val="en-US" w:eastAsia="zh-CN"/>
              </w:rPr>
              <w:t>(0.219)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Notrace_duration</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-1.79</w:t>
            </w:r>
            <w:r>
              <w:rPr>
                <w:rFonts w:hint="eastAsia"/>
                <w:sz w:val="18"/>
                <w:szCs w:val="18"/>
                <w:vertAlign w:val="baseline"/>
                <w:lang w:val="en-US" w:eastAsia="zh-CN"/>
              </w:rPr>
              <w:t>(0.515)</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-1.10</w:t>
            </w:r>
            <w:r>
              <w:rPr>
                <w:rFonts w:hint="eastAsia"/>
                <w:sz w:val="18"/>
                <w:szCs w:val="18"/>
                <w:vertAlign w:val="baseline"/>
                <w:lang w:val="en-US" w:eastAsia="zh-CN"/>
              </w:rPr>
              <w:t>(0.809)</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0.68</w:t>
            </w:r>
            <w:r>
              <w:rPr>
                <w:rFonts w:hint="eastAsia"/>
                <w:sz w:val="18"/>
                <w:szCs w:val="18"/>
                <w:vertAlign w:val="baseline"/>
                <w:lang w:val="en-US" w:eastAsia="zh-CN"/>
              </w:rPr>
              <w:t>(0.912)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-1.41</w:t>
            </w:r>
            <w:r>
              <w:rPr>
                <w:rFonts w:hint="eastAsia"/>
                <w:sz w:val="18"/>
                <w:szCs w:val="18"/>
                <w:vertAlign w:val="baseline"/>
                <w:lang w:val="en-US" w:eastAsia="zh-CN"/>
              </w:rPr>
              <w:t>(0.885)</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6.77</w:t>
            </w:r>
            <w:r>
              <w:rPr>
                <w:rFonts w:hint="eastAsia"/>
                <w:sz w:val="18"/>
                <w:szCs w:val="18"/>
                <w:vertAlign w:val="baseline"/>
                <w:lang w:val="en-US" w:eastAsia="zh-CN"/>
              </w:rPr>
              <w:t>(0.105)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8.18</w:t>
            </w:r>
            <w:r>
              <w:rPr>
                <w:rFonts w:hint="eastAsia"/>
                <w:sz w:val="18"/>
                <w:szCs w:val="18"/>
                <w:vertAlign w:val="baseline"/>
                <w:lang w:val="en-US" w:eastAsia="zh-CN"/>
              </w:rPr>
              <w:t>(0.028*)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0.17</w:t>
            </w:r>
            <w:r>
              <w:rPr>
                <w:rFonts w:hint="eastAsia"/>
                <w:sz w:val="18"/>
                <w:szCs w:val="18"/>
                <w:vertAlign w:val="baseline"/>
                <w:lang w:val="en-US" w:eastAsia="zh-CN"/>
              </w:rPr>
              <w:t>(0.997)</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6.84</w:t>
            </w:r>
            <w:r>
              <w:rPr>
                <w:rFonts w:hint="eastAsia"/>
                <w:sz w:val="18"/>
                <w:szCs w:val="18"/>
                <w:vertAlign w:val="baseline"/>
                <w:lang w:val="en-US" w:eastAsia="zh-CN"/>
              </w:rPr>
              <w:t>(0.045*)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6.67</w:t>
            </w:r>
            <w:r>
              <w:rPr>
                <w:rFonts w:hint="eastAsia"/>
                <w:sz w:val="18"/>
                <w:szCs w:val="18"/>
                <w:vertAlign w:val="baseline"/>
                <w:lang w:val="en-US" w:eastAsia="zh-CN"/>
              </w:rPr>
              <w:t>(0.039*)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-0.35</w:t>
            </w:r>
            <w:r>
              <w:rPr>
                <w:rFonts w:hint="eastAsia"/>
                <w:sz w:val="18"/>
                <w:szCs w:val="18"/>
                <w:vertAlign w:val="baseline"/>
                <w:lang w:val="en-US" w:eastAsia="zh-CN"/>
              </w:rPr>
              <w:t>(0.980)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6.73</w:t>
            </w:r>
            <w:r>
              <w:rPr>
                <w:rFonts w:hint="eastAsia"/>
                <w:sz w:val="18"/>
                <w:szCs w:val="18"/>
                <w:vertAlign w:val="baseline"/>
                <w:lang w:val="en-US" w:eastAsia="zh-CN"/>
              </w:rPr>
              <w:t>(0.004*)</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7.08</w:t>
            </w:r>
            <w:r>
              <w:rPr>
                <w:rFonts w:hint="eastAsia"/>
                <w:sz w:val="18"/>
                <w:szCs w:val="18"/>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0.90</w:t>
            </w:r>
            <w:r>
              <w:rPr>
                <w:rFonts w:hint="eastAsia"/>
                <w:sz w:val="18"/>
                <w:szCs w:val="18"/>
                <w:vertAlign w:val="baseline"/>
                <w:lang w:val="en-US" w:eastAsia="zh-CN"/>
              </w:rPr>
              <w:t>(0.940)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5.51</w:t>
            </w:r>
            <w:r>
              <w:rPr>
                <w:rFonts w:hint="eastAsia"/>
                <w:sz w:val="18"/>
                <w:szCs w:val="18"/>
                <w:vertAlign w:val="baseline"/>
                <w:lang w:val="en-US" w:eastAsia="zh-CN"/>
              </w:rPr>
              <w:t>(0.156)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4.61</w:t>
            </w:r>
            <w:r>
              <w:rPr>
                <w:rFonts w:hint="eastAsia"/>
                <w:sz w:val="18"/>
                <w:szCs w:val="18"/>
                <w:vertAlign w:val="baseline"/>
                <w:lang w:val="en-US" w:eastAsia="zh-CN"/>
              </w:rPr>
              <w:t>(0.236)</w:t>
            </w:r>
          </w:p>
        </w:tc>
      </w:tr>
    </w:tbl>
    <w:p/>
    <w:p/>
    <w:p/>
    <w:p/>
    <w:p/>
    <w:p/>
    <w:p/>
    <w:p/>
    <w:p/>
    <w:p/>
    <w:p/>
    <w:p/>
    <w:p/>
    <w:p/>
    <w:p/>
    <w:p/>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In terms of the free view task, </w:t>
      </w:r>
      <w:r>
        <w:rPr>
          <w:rFonts w:hint="eastAsia" w:ascii="Times New Roman" w:hAnsi="Times New Roman" w:cs="Times New Roman"/>
          <w:sz w:val="18"/>
          <w:szCs w:val="18"/>
          <w:lang w:val="en-US" w:eastAsia="zh-CN"/>
        </w:rPr>
        <w:t>no significant difference between MCI and Alzheimer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participants can be concluded. However, more dissimilarities could be discovered between control participants and other two groups. The same as in the clothes task, control participants focus on clothes less than other two groups on average. The head duration only show the impact between control and MCI. In terms of the gazing number, control participants tend to gaze more frequently on clothes, heads and other regions. The standard deviation of gazing duration on clothes for control group is smaller, meaning more similarities within the control group.</w:t>
      </w:r>
    </w:p>
    <w:p>
      <w:pPr>
        <w:rPr>
          <w:rFonts w:hint="default" w:ascii="Times New Roman" w:hAnsi="Times New Roman" w:cs="Times New Roman"/>
          <w:b/>
          <w:bCs/>
          <w:sz w:val="21"/>
          <w:szCs w:val="21"/>
          <w:lang w:val="en-US" w:eastAsia="zh-CN"/>
        </w:rPr>
      </w:pPr>
    </w:p>
    <w:p>
      <w:pPr>
        <w:rPr>
          <w:rFonts w:hint="default" w:ascii="Times New Roman" w:hAnsi="Times New Roman" w:cs="Times New Roman"/>
          <w:sz w:val="18"/>
          <w:szCs w:val="1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35EC6E24"/>
    <w:rsid w:val="1044622B"/>
    <w:rsid w:val="1D4147E8"/>
    <w:rsid w:val="2E9D1EEA"/>
    <w:rsid w:val="35EC6E24"/>
    <w:rsid w:val="51AB01D9"/>
    <w:rsid w:val="7AB3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2022-07-06T14:34:00Z</dcterms:created>
  <dc:creator>Surayya</dc:creator>
  <cp:lastModifiedBy>Surayya</cp:lastModifiedBy>
  <dcterms:modified xsi:type="dcterms:W3CDTF">2022-08-24T01:12:52Z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15F2AF07F6C94BDB85D114756323BFE7</vt:lpwstr>
  </property>
</Properties>
</file>