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B665E"/>
          <w:sz w:val="17"/>
        </w:rPr>
        <w:t>STAKEHOLDER BRIEF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Georgia" w:hAnsi="Georgia"/>
                <w:b/>
                <w:color w:val="1C2420"/>
                <w:sz w:val="40"/>
              </w:rPr>
              <w:t>Licensing &amp; Packaging — Image + Expiry</w:t>
            </w:r>
          </w:p>
        </w:tc>
        <w:tc>
          <w:tcPr>
            <w:tcW w:type="dxa" w:w="2304"/>
          </w:tcPr>
          <w:p>
            <w:pPr>
              <w:jc w:val="right"/>
            </w:pPr>
            <w:r>
              <w:rPr>
                <w:color w:val="5B665E"/>
                <w:sz w:val="18"/>
              </w:rPr>
              <w:t>Status as of</w:t>
              <w:br/>
              <w:t>29 Jul 2026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B665E"/>
          <w:sz w:val="20"/>
        </w:rPr>
        <w:t>How per-client deployments get a signed, time-limited license, and what's left before the first client image can ship.</w:t>
      </w:r>
    </w:p>
    <w:p>
      <w:pPr>
        <w:spacing w:before="0" w:after="200"/>
        <w:pBdr>
          <w:bottom w:val="single" w:sz="6" w:space="1" w:color="DBD7CB"/>
        </w:pBdr>
      </w:pPr>
    </w:p>
    <w:p>
      <w:pPr>
        <w:spacing w:before="280" w:after="120"/>
      </w:pPr>
      <w:r>
        <w:rPr>
          <w:rFonts w:ascii="Georgia" w:hAnsi="Georgia"/>
          <w:b/>
          <w:color w:val="1F4C40"/>
          <w:sz w:val="26"/>
        </w:rPr>
        <w:t xml:space="preserve">Completed   </w:t>
      </w:r>
      <w:r>
        <w:rPr>
          <w:b/>
          <w:color w:val="1F4C40"/>
          <w:sz w:val="15"/>
        </w:rPr>
        <w:t>SHIPPED</w:t>
      </w:r>
    </w:p>
    <w:p>
      <w:pPr>
        <w:pStyle w:val="ListBullet"/>
        <w:spacing w:after="100"/>
      </w:pPr>
      <w:r>
        <w:rPr>
          <w:b/>
        </w:rPr>
        <w:t xml:space="preserve">Signed license verification — </w:t>
      </w:r>
      <w:r>
        <w:t>each client license is a cryptographically signed, tamper-proof file checked entirely offline, no external service needed to validate it.</w:t>
      </w:r>
    </w:p>
    <w:p>
      <w:pPr>
        <w:pStyle w:val="ListBullet"/>
        <w:spacing w:after="100"/>
      </w:pPr>
      <w:r>
        <w:rPr>
          <w:b/>
        </w:rPr>
        <w:t xml:space="preserve">Automatic expiry handling — </w:t>
      </w:r>
      <w:r>
        <w:t>the system re-checks the license every hour on its own; no restart or manual step needed when a license lapses or renews.</w:t>
      </w:r>
    </w:p>
    <w:p>
      <w:pPr>
        <w:pStyle w:val="ListBullet"/>
        <w:spacing w:after="100"/>
      </w:pPr>
      <w:r>
        <w:rPr>
          <w:b/>
        </w:rPr>
        <w:t xml:space="preserve">AI traffic is never interrupted — </w:t>
      </w:r>
      <w:r>
        <w:t>an expired license freezes only the admin dashboard, not the underlying AI proxy clients depend on.</w:t>
      </w:r>
    </w:p>
    <w:p>
      <w:pPr>
        <w:pStyle w:val="ListBullet"/>
        <w:spacing w:after="100"/>
      </w:pPr>
      <w:r>
        <w:rPr>
          <w:b/>
        </w:rPr>
        <w:t xml:space="preserve">Renewal heads-up — </w:t>
      </w:r>
      <w:r>
        <w:t>a warning appears automatically 15 days before a license expires.</w:t>
      </w:r>
    </w:p>
    <w:p>
      <w:pPr>
        <w:pStyle w:val="ListBullet"/>
        <w:spacing w:after="100"/>
      </w:pPr>
      <w:r>
        <w:rPr>
          <w:b/>
        </w:rPr>
        <w:t xml:space="preserve">Client issuing tools — </w:t>
      </w:r>
      <w:r>
        <w:t>a script to generate a new, dated license per client (e.g. a 12-month term with specific features enabled), plus a secure upload path to install a renewal.</w:t>
      </w:r>
    </w:p>
    <w:p>
      <w:pPr>
        <w:pStyle w:val="ListBullet"/>
        <w:spacing w:after="100"/>
      </w:pPr>
      <w:r>
        <w:rPr>
          <w:b/>
        </w:rPr>
        <w:t xml:space="preserve">Test-covered — </w:t>
      </w:r>
      <w:r>
        <w:t>valid, expired, tampered, and renewal-window cases all verified automatically.</w:t>
      </w:r>
    </w:p>
    <w:p>
      <w:pPr>
        <w:spacing w:before="280" w:after="120"/>
      </w:pPr>
      <w:r>
        <w:rPr>
          <w:rFonts w:ascii="Georgia" w:hAnsi="Georgia"/>
          <w:b/>
          <w:color w:val="1F4C40"/>
          <w:sz w:val="26"/>
        </w:rPr>
        <w:t xml:space="preserve">How This Gets Used, Today   </w:t>
      </w:r>
      <w:r>
        <w:rPr>
          <w:b/>
          <w:color w:val="1F4C40"/>
          <w:sz w:val="15"/>
        </w:rPr>
      </w:r>
    </w:p>
    <w:p>
      <w:pPr>
        <w:spacing w:after="160"/>
      </w:pPr>
      <w:r>
        <w:rPr>
          <w:i/>
          <w:color w:val="5B665E"/>
          <w:sz w:val="20"/>
        </w:rPr>
        <w:t>Four steps, from a new client to a renewed license — all usable now, ahead of the packaged image.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</w:tcPr>
          <w:p>
            <w:r>
              <w:rPr>
                <w:b/>
                <w:color w:val="1F4C40"/>
                <w:sz w:val="19"/>
              </w:rPr>
              <w:t>1. One-time setup</w:t>
            </w:r>
          </w:p>
        </w:tc>
        <w:tc>
          <w:tcPr>
            <w:tcW w:type="dxa" w:w="6192"/>
          </w:tcPr>
          <w:p>
            <w:r>
              <w:rPr>
                <w:color w:val="1C2420"/>
                <w:sz w:val="19"/>
              </w:rPr>
              <w:t>The team issuing licenses generates a signing key pair, once, ever. The private key never leaves them; the matching public key ships with every client deployment.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4C40"/>
                <w:sz w:val="19"/>
              </w:rPr>
              <w:t>2. Issue a license per client</w:t>
            </w:r>
          </w:p>
        </w:tc>
        <w:tc>
          <w:tcPr>
            <w:tcW w:type="dxa" w:w="6192"/>
          </w:tcPr>
          <w:p>
            <w:r>
              <w:rPr>
                <w:color w:val="1C2420"/>
                <w:sz w:val="19"/>
              </w:rPr>
              <w:t>Run one command with the client's name, an expiry (e.g. 365 days), and which features they've bought. This produces a single signed license file for that client.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4C40"/>
                <w:sz w:val="19"/>
              </w:rPr>
              <w:t>3. Install it at the client</w:t>
            </w:r>
          </w:p>
        </w:tc>
        <w:tc>
          <w:tcPr>
            <w:tcW w:type="dxa" w:w="6192"/>
          </w:tcPr>
          <w:p>
            <w:r>
              <w:rPr>
                <w:color w:val="1C2420"/>
                <w:sz w:val="19"/>
              </w:rPr>
              <w:t>Drop that file into the client's deployment. It's checked automatically on startup and every hour after — no restart, no manual recheck.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4C40"/>
                <w:sz w:val="19"/>
              </w:rPr>
              <w:t>4. Renew before it lapses</w:t>
            </w:r>
          </w:p>
        </w:tc>
        <w:tc>
          <w:tcPr>
            <w:tcW w:type="dxa" w:w="6192"/>
          </w:tcPr>
          <w:p>
            <w:r>
              <w:rPr>
                <w:color w:val="1C2420"/>
                <w:sz w:val="19"/>
              </w:rPr>
              <w:t>A renewal warning appears 15 days out. Issue a fresh license the same way and upload it through the admin API — applied immediately, no server access needed.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B665E"/>
          <w:sz w:val="20"/>
        </w:rPr>
        <w:t>Note: while a license is active, this only affects the admin/analytics dashboard. Clients' actual AI traffic through the proxy is never gated by license status.</w:t>
      </w:r>
    </w:p>
    <w:p>
      <w:pPr>
        <w:spacing w:before="280" w:after="120"/>
      </w:pPr>
      <w:r>
        <w:rPr>
          <w:rFonts w:ascii="Georgia" w:hAnsi="Georgia"/>
          <w:b/>
          <w:color w:val="1F4C40"/>
          <w:sz w:val="26"/>
        </w:rPr>
        <w:t xml:space="preserve">Next Milestone   </w:t>
      </w:r>
      <w:r>
        <w:rPr>
          <w:b/>
          <w:color w:val="8A6224"/>
          <w:sz w:val="15"/>
        </w:rPr>
        <w:t>PLANNED</w:t>
      </w:r>
    </w:p>
    <w:p>
      <w:pPr>
        <w:pStyle w:val="ListBullet"/>
        <w:spacing w:after="100"/>
      </w:pPr>
      <w:r>
        <w:rPr>
          <w:b/>
        </w:rPr>
        <w:t xml:space="preserve">Bake licensing into the actual deployable package — </w:t>
      </w:r>
      <w:r>
        <w:t>today the capability exists in code, but the container image clients receive hasn't yet been updated to include it end-to-end.</w:t>
      </w:r>
    </w:p>
    <w:p>
      <w:pPr>
        <w:pStyle w:val="ListBullet"/>
        <w:spacing w:after="100"/>
      </w:pPr>
      <w:r>
        <w:rPr>
          <w:b/>
        </w:rPr>
        <w:t xml:space="preserve">Repeatable per-client packaging — </w:t>
      </w:r>
      <w:r>
        <w:t>a standard, documented way to produce one image per client rather than a one-off manual build.</w:t>
      </w:r>
    </w:p>
    <w:p>
      <w:pPr>
        <w:pStyle w:val="ListBullet"/>
        <w:spacing w:after="100"/>
      </w:pPr>
      <w:r>
        <w:rPr>
          <w:b/>
        </w:rPr>
        <w:t xml:space="preserve">Dashboard visibility — </w:t>
      </w:r>
      <w:r>
        <w:t>surfacing the expiry/renewal banner in the admin UI itself, not just as raw data.</w:t>
      </w:r>
    </w:p>
    <w:p>
      <w:pPr>
        <w:spacing w:before="280" w:after="120"/>
      </w:pPr>
      <w:r>
        <w:rPr>
          <w:rFonts w:ascii="Georgia" w:hAnsi="Georgia"/>
          <w:b/>
          <w:color w:val="1F4C40"/>
          <w:sz w:val="26"/>
        </w:rPr>
        <w:t xml:space="preserve">Difficulty for an External Team   </w:t>
      </w:r>
      <w:r>
        <w:rPr>
          <w:b/>
          <w:color w:val="1F4C40"/>
          <w:sz w:val="15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Core license engine</w:t>
            </w:r>
          </w:p>
        </w:tc>
        <w:tc>
          <w:tcPr>
            <w:tcW w:type="dxa" w:w="3744"/>
          </w:tcPr>
          <w:p>
            <w:r/>
            <w:r>
              <w:rPr>
                <w:color w:val="5B665E"/>
                <w:sz w:val="18"/>
              </w:rPr>
              <w:t>Standard, well-understood pattern — an external team can pick it up quickly.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color w:val="1F4C40"/>
                <w:sz w:val="18"/>
              </w:rPr>
              <w:t>EASY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Per-client packaging</w:t>
            </w:r>
          </w:p>
        </w:tc>
        <w:tc>
          <w:tcPr>
            <w:tcW w:type="dxa" w:w="3744"/>
          </w:tcPr>
          <w:p>
            <w:r/>
            <w:r>
              <w:rPr>
                <w:color w:val="5B665E"/>
                <w:sz w:val="18"/>
              </w:rPr>
              <w:t>No automated pipeline yet; needs a documented, repeatable process.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color w:val="8A6224"/>
                <w:sz w:val="18"/>
              </w:rPr>
              <w:t>MODERATE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Key custody &amp; process</w:t>
            </w:r>
          </w:p>
        </w:tc>
        <w:tc>
          <w:tcPr>
            <w:tcW w:type="dxa" w:w="3744"/>
          </w:tcPr>
          <w:p>
            <w:r/>
            <w:r>
              <w:rPr>
                <w:color w:val="5B665E"/>
                <w:sz w:val="18"/>
              </w:rPr>
              <w:t>Who holds the signing key long-term is undecided — a business decision, not just code.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color w:val="8A3B2A"/>
                <w:sz w:val="18"/>
              </w:rPr>
              <w:t>HARDEST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B665E"/>
          <w:sz w:val="20"/>
        </w:rPr>
        <w:t>The code itself follows a well-understood, standard pattern — an external team can pick it up quickly. The harder part is process, not code: packaging each client's image consistently and deciding who safely holds the signing key.</w:t>
      </w:r>
    </w:p>
    <w:p>
      <w:pPr>
        <w:spacing w:before="280" w:after="120"/>
      </w:pPr>
      <w:r>
        <w:rPr>
          <w:rFonts w:ascii="Georgia" w:hAnsi="Georgia"/>
          <w:b/>
          <w:color w:val="1F4C40"/>
          <w:sz w:val="26"/>
        </w:rPr>
        <w:t xml:space="preserve">Key Challenges / Blockers   </w:t>
      </w:r>
      <w:r>
        <w:rPr>
          <w:b/>
          <w:color w:val="8A3B2A"/>
          <w:sz w:val="15"/>
        </w:rPr>
        <w:t>WATCH</w:t>
      </w:r>
    </w:p>
    <w:p>
      <w:pPr>
        <w:pStyle w:val="ListBullet"/>
        <w:spacing w:after="100"/>
      </w:pPr>
      <w:r>
        <w:rPr>
          <w:b/>
          <w:color w:val="8A3B2A"/>
        </w:rPr>
        <w:t xml:space="preserve">No revocation yet — </w:t>
      </w:r>
      <w:r>
        <w:t>once issued, a license runs to its expiry date; there's currently no way to cut a client off early if a relationship ends.</w:t>
      </w:r>
    </w:p>
    <w:p>
      <w:pPr>
        <w:pStyle w:val="ListBullet"/>
        <w:spacing w:after="100"/>
      </w:pPr>
      <w:r>
        <w:rPr>
          <w:b/>
          <w:color w:val="8A3B2A"/>
        </w:rPr>
        <w:t xml:space="preserve">Signing-key custody undecided — </w:t>
      </w:r>
      <w:r>
        <w:t>whoever issues licenses must hold the private key indefinitely; no rotation process exists yet. This is a business decision as much as a technical one.</w:t>
      </w:r>
    </w:p>
    <w:p>
      <w:pPr>
        <w:pStyle w:val="ListBullet"/>
        <w:spacing w:after="100"/>
      </w:pPr>
      <w:r>
        <w:rPr>
          <w:b/>
          <w:color w:val="8A3B2A"/>
        </w:rPr>
        <w:t xml:space="preserve">No renewal alerting yet — </w:t>
      </w:r>
      <w:r>
        <w:t>the warning only shows on the dashboard; nothing emails or notifies the team or client automatically when a term is ending.</w:t>
      </w:r>
    </w:p>
    <w:p>
      <w:pPr>
        <w:pStyle w:val="ListBullet"/>
        <w:spacing w:after="100"/>
      </w:pPr>
      <w:r>
        <w:rPr>
          <w:b/>
          <w:color w:val="8A3B2A"/>
        </w:rPr>
        <w:t xml:space="preserve">Manual image builds — </w:t>
      </w:r>
      <w:r>
        <w:t>without a documented packaging pipeline, an external team would need close guidance to reproduce a client-specific image correctly.</w:t>
      </w:r>
    </w:p>
    <w:p>
      <w:pPr>
        <w:spacing w:before="0" w:after="200"/>
        <w:pBdr>
          <w:bottom w:val="single" w:sz="6" w:space="1" w:color="DBD7CB"/>
        </w:pBdr>
      </w:pPr>
    </w:p>
    <w:p>
      <w:r>
        <w:rPr>
          <w:color w:val="5B665E"/>
          <w:sz w:val="17"/>
        </w:rPr>
        <w:t>AI Governance Platform — internal status brief. Prepared for business &amp; stakeholder review.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C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