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Governance Platform — Workflow &amp; Expansion Scope</w:t>
      </w:r>
    </w:p>
    <w:p>
      <w:r>
        <w:t xml:space="preserve">Combined reference document. </w:t>
      </w:r>
      <w:r>
        <w:rPr>
          <w:b/>
        </w:rPr>
        <w:t>Part 1</w:t>
      </w:r>
      <w:r>
        <w:t xml:space="preserve"> is the ground-truth technical account of how the AI Governance Proxy handles a live request today, based on the current code in </w:t>
      </w:r>
      <w:r>
        <w:rPr>
          <w:rFonts w:ascii="Consolas" w:hAnsi="Consolas"/>
          <w:sz w:val="19"/>
        </w:rPr>
        <w:t>app/routers/proxy.py</w:t>
      </w:r>
      <w:r>
        <w:t xml:space="preserve"> and the services it calls — including gaps between what is implemented and what is actually enforced. </w:t>
      </w:r>
      <w:r>
        <w:rPr>
          <w:b/>
        </w:rPr>
        <w:t>Part 2</w:t>
      </w:r>
      <w:r>
        <w:t xml:space="preserve"> lays out proposed expansion features, each with a plain-English scenario and 4-5 concrete build approaches for the engineering team to evaluate.</w:t>
      </w:r>
    </w:p>
    <w:p>
      <w:pPr>
        <w:pStyle w:val="Heading1"/>
      </w:pPr>
      <w:r>
        <w:t>Part 1 — What the Platform Already Does</w:t>
      </w:r>
    </w:p>
    <w:p>
      <w:r>
        <w:t>Quick-reference snapshot before the detailed walkthrough below: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Pr>
                <w:b/>
              </w:rPr>
            </w:r>
            <w:r>
              <w:rPr>
                <w:b/>
              </w:rPr>
              <w:t>Capability</w:t>
            </w:r>
          </w:p>
        </w:tc>
        <w:tc>
          <w:tcPr>
            <w:tcW w:type="dxa" w:w="2880"/>
            <w:shd w:val="clear" w:color="auto" w:fill="D9E2F3"/>
          </w:tcPr>
          <w:p>
            <w:r>
              <w:rPr>
                <w:b/>
              </w:rPr>
            </w:r>
            <w:r>
              <w:rPr>
                <w:b/>
              </w:rPr>
              <w:t>Status</w:t>
            </w:r>
          </w:p>
        </w:tc>
        <w:tc>
          <w:tcPr>
            <w:tcW w:type="dxa" w:w="2880"/>
            <w:shd w:val="clear" w:color="auto" w:fill="D9E2F3"/>
          </w:tcPr>
          <w:p>
            <w:r>
              <w:rPr>
                <w:b/>
              </w:rPr>
            </w:r>
            <w:r>
              <w:rPr>
                <w:b/>
              </w:rPr>
              <w:t>What it does</w:t>
            </w:r>
          </w:p>
        </w:tc>
      </w:tr>
      <w:tr>
        <w:tc>
          <w:tcPr>
            <w:tcW w:type="dxa" w:w="2880"/>
          </w:tcPr>
          <w:p>
            <w:r/>
            <w:r>
              <w:t>AI Request Gateway</w:t>
            </w:r>
          </w:p>
        </w:tc>
        <w:tc>
          <w:tcPr>
            <w:tcW w:type="dxa" w:w="2880"/>
          </w:tcPr>
          <w:p>
            <w:r/>
            <w:r>
              <w:t>Live</w:t>
            </w:r>
          </w:p>
        </w:tc>
        <w:tc>
          <w:tcPr>
            <w:tcW w:type="dxa" w:w="2880"/>
          </w:tcPr>
          <w:p>
            <w:r/>
            <w:r>
              <w:t>Every AI call from a team is routed through the platform, which checks policy before forwarding it to the provider.</w:t>
            </w:r>
          </w:p>
        </w:tc>
      </w:tr>
      <w:tr>
        <w:tc>
          <w:tcPr>
            <w:tcW w:type="dxa" w:w="2880"/>
          </w:tcPr>
          <w:p>
            <w:r/>
            <w:r>
              <w:t>Rate Limiting</w:t>
            </w:r>
          </w:p>
        </w:tc>
        <w:tc>
          <w:tcPr>
            <w:tcW w:type="dxa" w:w="2880"/>
          </w:tcPr>
          <w:p>
            <w:r/>
            <w:r>
              <w:t>Live</w:t>
            </w:r>
          </w:p>
        </w:tc>
        <w:tc>
          <w:tcPr>
            <w:tcW w:type="dxa" w:w="2880"/>
          </w:tcPr>
          <w:p>
            <w:r/>
            <w:r>
              <w:t>Caps how many requests or tokens a key, project, or org can use per minute/day.</w:t>
            </w:r>
          </w:p>
        </w:tc>
      </w:tr>
      <w:tr>
        <w:tc>
          <w:tcPr>
            <w:tcW w:type="dxa" w:w="2880"/>
          </w:tcPr>
          <w:p>
            <w:r/>
            <w:r>
              <w:t>Budget Enforcement</w:t>
            </w:r>
          </w:p>
        </w:tc>
        <w:tc>
          <w:tcPr>
            <w:tcW w:type="dxa" w:w="2880"/>
          </w:tcPr>
          <w:p>
            <w:r/>
            <w:r>
              <w:t>Live</w:t>
            </w:r>
          </w:p>
        </w:tc>
        <w:tc>
          <w:tcPr>
            <w:tcW w:type="dxa" w:w="2880"/>
          </w:tcPr>
          <w:p>
            <w:r/>
            <w:r>
              <w:t>Blocks or warns when a project/org's monthly AI spend crosses a set limit.</w:t>
            </w:r>
          </w:p>
        </w:tc>
      </w:tr>
      <w:tr>
        <w:tc>
          <w:tcPr>
            <w:tcW w:type="dxa" w:w="2880"/>
          </w:tcPr>
          <w:p>
            <w:r/>
            <w:r>
              <w:t>Sensitive-Data Detection &amp; Masking</w:t>
            </w:r>
          </w:p>
        </w:tc>
        <w:tc>
          <w:tcPr>
            <w:tcW w:type="dxa" w:w="2880"/>
          </w:tcPr>
          <w:p>
            <w:r/>
            <w:r>
              <w:t>Live</w:t>
            </w:r>
          </w:p>
        </w:tc>
        <w:tc>
          <w:tcPr>
            <w:tcW w:type="dxa" w:w="2880"/>
          </w:tcPr>
          <w:p>
            <w:r/>
            <w:r>
              <w:t>Scans requests for emails, IDs, financial data, etc., and masks or blocks them based on policy.</w:t>
            </w:r>
          </w:p>
        </w:tc>
      </w:tr>
      <w:tr>
        <w:tc>
          <w:tcPr>
            <w:tcW w:type="dxa" w:w="2880"/>
          </w:tcPr>
          <w:p>
            <w:r/>
            <w:r>
              <w:t>Token &amp; Cost Tracking</w:t>
            </w:r>
          </w:p>
        </w:tc>
        <w:tc>
          <w:tcPr>
            <w:tcW w:type="dxa" w:w="2880"/>
          </w:tcPr>
          <w:p>
            <w:r/>
            <w:r>
              <w:t>Live</w:t>
            </w:r>
          </w:p>
        </w:tc>
        <w:tc>
          <w:tcPr>
            <w:tcW w:type="dxa" w:w="2880"/>
          </w:tcPr>
          <w:p>
            <w:r/>
            <w:r>
              <w:t>Counts tokens per request and calculates cost using current model pricing.</w:t>
            </w:r>
          </w:p>
        </w:tc>
      </w:tr>
      <w:tr>
        <w:tc>
          <w:tcPr>
            <w:tcW w:type="dxa" w:w="2880"/>
          </w:tcPr>
          <w:p>
            <w:r/>
            <w:r>
              <w:t>Per-Project / Per-User Usage Tracking</w:t>
            </w:r>
          </w:p>
        </w:tc>
        <w:tc>
          <w:tcPr>
            <w:tcW w:type="dxa" w:w="2880"/>
          </w:tcPr>
          <w:p>
            <w:r/>
            <w:r>
              <w:t>Live</w:t>
            </w:r>
          </w:p>
        </w:tc>
        <w:tc>
          <w:tcPr>
            <w:tcW w:type="dxa" w:w="2880"/>
          </w:tcPr>
          <w:p>
            <w:r/>
            <w:r>
              <w:t>Usage and cost are broken down by individual project and user, not just the org as a whole.</w:t>
            </w:r>
          </w:p>
        </w:tc>
      </w:tr>
      <w:tr>
        <w:tc>
          <w:tcPr>
            <w:tcW w:type="dxa" w:w="2880"/>
          </w:tcPr>
          <w:p>
            <w:r/>
            <w:r>
              <w:t>Cost Dashboards</w:t>
            </w:r>
          </w:p>
        </w:tc>
        <w:tc>
          <w:tcPr>
            <w:tcW w:type="dxa" w:w="2880"/>
          </w:tcPr>
          <w:p>
            <w:r/>
            <w:r>
              <w:t>Live</w:t>
            </w:r>
          </w:p>
        </w:tc>
        <w:tc>
          <w:tcPr>
            <w:tcW w:type="dxa" w:w="2880"/>
          </w:tcPr>
          <w:p>
            <w:r/>
            <w:r>
              <w:t>Reporting by model, project, org, and time trend.</w:t>
            </w:r>
          </w:p>
        </w:tc>
      </w:tr>
      <w:tr>
        <w:tc>
          <w:tcPr>
            <w:tcW w:type="dxa" w:w="2880"/>
          </w:tcPr>
          <w:p>
            <w:r/>
            <w:r>
              <w:t>Audit Trail &amp; Alerts</w:t>
            </w:r>
          </w:p>
        </w:tc>
        <w:tc>
          <w:tcPr>
            <w:tcW w:type="dxa" w:w="2880"/>
          </w:tcPr>
          <w:p>
            <w:r/>
            <w:r>
              <w:t>Live</w:t>
            </w:r>
          </w:p>
        </w:tc>
        <w:tc>
          <w:tcPr>
            <w:tcW w:type="dxa" w:w="2880"/>
          </w:tcPr>
          <w:p>
            <w:r/>
            <w:r>
              <w:t>Every policy decision is logged; violations raise alerts.</w:t>
            </w:r>
          </w:p>
        </w:tc>
      </w:tr>
      <w:tr>
        <w:tc>
          <w:tcPr>
            <w:tcW w:type="dxa" w:w="2880"/>
          </w:tcPr>
          <w:p>
            <w:r/>
            <w:r>
              <w:t>Scheduled Rollups</w:t>
            </w:r>
          </w:p>
        </w:tc>
        <w:tc>
          <w:tcPr>
            <w:tcW w:type="dxa" w:w="2880"/>
          </w:tcPr>
          <w:p>
            <w:r/>
            <w:r>
              <w:t>Live</w:t>
            </w:r>
          </w:p>
        </w:tc>
        <w:tc>
          <w:tcPr>
            <w:tcW w:type="dxa" w:w="2880"/>
          </w:tcPr>
          <w:p>
            <w:r/>
            <w:r>
              <w:t>Usage is automatically summarized hourly, daily, and monthly.</w:t>
            </w:r>
          </w:p>
        </w:tc>
      </w:tr>
      <w:tr>
        <w:tc>
          <w:tcPr>
            <w:tcW w:type="dxa" w:w="2880"/>
          </w:tcPr>
          <w:p>
            <w:r/>
            <w:r>
              <w:t>Multi-Provider Framework</w:t>
            </w:r>
          </w:p>
        </w:tc>
        <w:tc>
          <w:tcPr>
            <w:tcW w:type="dxa" w:w="2880"/>
          </w:tcPr>
          <w:p>
            <w:r/>
            <w:r>
              <w:t>Partially built</w:t>
            </w:r>
          </w:p>
        </w:tc>
        <w:tc>
          <w:tcPr>
            <w:tcW w:type="dxa" w:w="2880"/>
          </w:tcPr>
          <w:p>
            <w:r/>
            <w:r>
              <w:t>Groundwork exists to ingest usage from providers beyond the current one, not yet complete.</w:t>
            </w:r>
          </w:p>
        </w:tc>
      </w:tr>
      <w:tr>
        <w:tc>
          <w:tcPr>
            <w:tcW w:type="dxa" w:w="2880"/>
          </w:tcPr>
          <w:p>
            <w:r/>
            <w:r>
              <w:t>Model Allow/Block Rules</w:t>
            </w:r>
          </w:p>
        </w:tc>
        <w:tc>
          <w:tcPr>
            <w:tcW w:type="dxa" w:w="2880"/>
          </w:tcPr>
          <w:p>
            <w:r/>
            <w:r>
              <w:t>Built but inactive</w:t>
            </w:r>
          </w:p>
        </w:tc>
        <w:tc>
          <w:tcPr>
            <w:tcW w:type="dxa" w:w="2880"/>
          </w:tcPr>
          <w:p>
            <w:r/>
            <w:r>
              <w:t>Rules to restrict specific models exist but aren't yet enforced on live traffic.</w:t>
            </w:r>
          </w:p>
        </w:tc>
      </w:tr>
      <w:tr>
        <w:tc>
          <w:tcPr>
            <w:tcW w:type="dxa" w:w="2880"/>
          </w:tcPr>
          <w:p>
            <w:r/>
            <w:r>
              <w:t>Optimization Tips</w:t>
            </w:r>
          </w:p>
        </w:tc>
        <w:tc>
          <w:tcPr>
            <w:tcW w:type="dxa" w:w="2880"/>
          </w:tcPr>
          <w:p>
            <w:r/>
            <w:r>
              <w:t>Not built</w:t>
            </w:r>
          </w:p>
        </w:tc>
        <w:tc>
          <w:tcPr>
            <w:tcW w:type="dxa" w:w="2880"/>
          </w:tcPr>
          <w:p>
            <w:r/>
            <w:r>
              <w:t>—</w:t>
            </w:r>
          </w:p>
        </w:tc>
      </w:tr>
      <w:tr>
        <w:tc>
          <w:tcPr>
            <w:tcW w:type="dxa" w:w="2880"/>
          </w:tcPr>
          <w:p>
            <w:r/>
            <w:r>
              <w:t>Savings Counter</w:t>
            </w:r>
          </w:p>
        </w:tc>
        <w:tc>
          <w:tcPr>
            <w:tcW w:type="dxa" w:w="2880"/>
          </w:tcPr>
          <w:p>
            <w:r/>
            <w:r>
              <w:t>Not built</w:t>
            </w:r>
          </w:p>
        </w:tc>
        <w:tc>
          <w:tcPr>
            <w:tcW w:type="dxa" w:w="2880"/>
          </w:tcPr>
          <w:p>
            <w:r/>
            <w:r>
              <w:t>—</w:t>
            </w:r>
          </w:p>
        </w:tc>
      </w:tr>
      <w:tr>
        <w:tc>
          <w:tcPr>
            <w:tcW w:type="dxa" w:w="2880"/>
          </w:tcPr>
          <w:p>
            <w:r/>
            <w:r>
              <w:t>Licensed, Expiring Downloadable Package</w:t>
            </w:r>
          </w:p>
        </w:tc>
        <w:tc>
          <w:tcPr>
            <w:tcW w:type="dxa" w:w="2880"/>
          </w:tcPr>
          <w:p>
            <w:r/>
            <w:r>
              <w:t>Not built</w:t>
            </w:r>
          </w:p>
        </w:tc>
        <w:tc>
          <w:tcPr>
            <w:tcW w:type="dxa" w:w="2880"/>
          </w:tcPr>
          <w:p>
            <w:r/>
            <w:r>
              <w:t>—</w:t>
            </w:r>
          </w:p>
        </w:tc>
      </w:tr>
    </w:tbl>
    <w:p>
      <w:r>
        <w:t>The detailed walkthrough below (originally maintained as GOVERNANCE_WORKFLOW.md) traces exactly what happens for a single request, stage by stage, and calls out explicitly where a service is implemented but not actually wired into the live path.</w:t>
      </w:r>
    </w:p>
    <w:p>
      <w:r>
        <w:t xml:space="preserve">This document describes what actually happens inside the AI Governance Proxy for a single request, based on the current code in </w:t>
      </w:r>
      <w:r>
        <w:rPr>
          <w:rFonts w:ascii="Consolas" w:hAnsi="Consolas"/>
          <w:sz w:val="19"/>
        </w:rPr>
        <w:t>app/routers/proxy.py</w:t>
      </w:r>
      <w:r>
        <w:t xml:space="preserve"> and the services it calls. It is meant as a ground-truth reference, not an aspirational spec — where enforcement described in a service module is not actually wired into the live request path, that is called out explicitly.</w:t>
      </w:r>
    </w:p>
    <w:p>
      <w:pPr>
        <w:pStyle w:val="Heading2"/>
      </w:pPr>
      <w:r>
        <w:t>1. Entry points</w:t>
      </w:r>
    </w:p>
    <w:p>
      <w:r>
        <w:t xml:space="preserve">All traffic goes through </w:t>
      </w:r>
      <w:r>
        <w:rPr>
          <w:rFonts w:ascii="Consolas" w:hAnsi="Consolas"/>
          <w:sz w:val="19"/>
        </w:rPr>
        <w:t>app/routers/proxy.py</w:t>
      </w:r>
      <w:r>
        <w:t xml:space="preserve">, mounted at </w:t>
      </w:r>
      <w:r>
        <w:rPr>
          <w:rFonts w:ascii="Consolas" w:hAnsi="Consolas"/>
          <w:sz w:val="19"/>
        </w:rPr>
        <w:t>/proxy</w:t>
      </w:r>
      <w:r>
        <w:t>:</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9E2F3"/>
          </w:tcPr>
          <w:p>
            <w:r>
              <w:rPr>
                <w:b/>
              </w:rPr>
            </w:r>
            <w:r>
              <w:rPr>
                <w:b/>
              </w:rPr>
              <w:t>Route</w:t>
            </w:r>
          </w:p>
        </w:tc>
        <w:tc>
          <w:tcPr>
            <w:tcW w:type="dxa" w:w="4320"/>
            <w:shd w:val="clear" w:color="auto" w:fill="D9E2F3"/>
          </w:tcPr>
          <w:p>
            <w:r>
              <w:rPr>
                <w:b/>
              </w:rPr>
            </w:r>
            <w:r>
              <w:rPr>
                <w:b/>
              </w:rPr>
              <w:t>Purpose</w:t>
            </w:r>
          </w:p>
        </w:tc>
      </w:tr>
      <w:tr>
        <w:tc>
          <w:tcPr>
            <w:tcW w:type="dxa" w:w="4320"/>
          </w:tcPr>
          <w:p>
            <w:r/>
            <w:r>
              <w:rPr>
                <w:rFonts w:ascii="Consolas" w:hAnsi="Consolas"/>
                <w:sz w:val="19"/>
              </w:rPr>
              <w:t>POST /proxy</w:t>
            </w:r>
          </w:p>
        </w:tc>
        <w:tc>
          <w:tcPr>
            <w:tcW w:type="dxa" w:w="4320"/>
          </w:tcPr>
          <w:p>
            <w:r/>
            <w:r>
              <w:t>Canonical non-streaming chat completion endpoint</w:t>
            </w:r>
          </w:p>
        </w:tc>
      </w:tr>
      <w:tr>
        <w:tc>
          <w:tcPr>
            <w:tcW w:type="dxa" w:w="4320"/>
          </w:tcPr>
          <w:p>
            <w:r/>
            <w:r>
              <w:rPr>
                <w:rFonts w:ascii="Consolas" w:hAnsi="Consolas"/>
                <w:sz w:val="19"/>
              </w:rPr>
              <w:t>POST /proxy/chat/completions</w:t>
            </w:r>
            <w:r>
              <w:t xml:space="preserve">, </w:t>
            </w:r>
            <w:r>
              <w:rPr>
                <w:rFonts w:ascii="Consolas" w:hAnsi="Consolas"/>
                <w:sz w:val="19"/>
              </w:rPr>
              <w:t>POST /proxy/v1/chat/completions</w:t>
            </w:r>
          </w:p>
        </w:tc>
        <w:tc>
          <w:tcPr>
            <w:tcW w:type="dxa" w:w="4320"/>
          </w:tcPr>
          <w:p>
            <w:r/>
            <w:r>
              <w:t xml:space="preserve">Thin aliases so the OpenAI SDK (which appends </w:t>
            </w:r>
            <w:r>
              <w:rPr>
                <w:rFonts w:ascii="Consolas" w:hAnsi="Consolas"/>
                <w:sz w:val="19"/>
              </w:rPr>
              <w:t>/chat/completions</w:t>
            </w:r>
            <w:r>
              <w:t xml:space="preserve"> to </w:t>
            </w:r>
            <w:r>
              <w:rPr>
                <w:rFonts w:ascii="Consolas" w:hAnsi="Consolas"/>
                <w:sz w:val="19"/>
              </w:rPr>
              <w:t>base_url</w:t>
            </w:r>
            <w:r>
              <w:t>) works unmodified</w:t>
            </w:r>
          </w:p>
        </w:tc>
      </w:tr>
      <w:tr>
        <w:tc>
          <w:tcPr>
            <w:tcW w:type="dxa" w:w="4320"/>
          </w:tcPr>
          <w:p>
            <w:r/>
            <w:r>
              <w:rPr>
                <w:rFonts w:ascii="Consolas" w:hAnsi="Consolas"/>
                <w:sz w:val="19"/>
              </w:rPr>
              <w:t>POST /proxy/stream</w:t>
            </w:r>
          </w:p>
        </w:tc>
        <w:tc>
          <w:tcPr>
            <w:tcW w:type="dxa" w:w="4320"/>
          </w:tcPr>
          <w:p>
            <w:r/>
            <w:r>
              <w:t>SSE streaming variant</w:t>
            </w:r>
          </w:p>
        </w:tc>
      </w:tr>
      <w:tr>
        <w:tc>
          <w:tcPr>
            <w:tcW w:type="dxa" w:w="4320"/>
          </w:tcPr>
          <w:p>
            <w:r/>
            <w:r>
              <w:rPr>
                <w:rFonts w:ascii="Consolas" w:hAnsi="Consolas"/>
                <w:sz w:val="19"/>
              </w:rPr>
              <w:t>GET /proxy/stats/*</w:t>
            </w:r>
            <w:r>
              <w:t xml:space="preserve">, </w:t>
            </w:r>
            <w:r>
              <w:rPr>
                <w:rFonts w:ascii="Consolas" w:hAnsi="Consolas"/>
                <w:sz w:val="19"/>
              </w:rPr>
              <w:t>GET /proxy/v1/requests*</w:t>
            </w:r>
          </w:p>
        </w:tc>
        <w:tc>
          <w:tcPr>
            <w:tcW w:type="dxa" w:w="4320"/>
          </w:tcPr>
          <w:p>
            <w:r/>
            <w:r>
              <w:t>Read-only admin/stats endpoints</w:t>
            </w:r>
          </w:p>
        </w:tc>
      </w:tr>
    </w:tbl>
    <w:p>
      <w:r>
        <w:t xml:space="preserve">There is no separate embeddings endpoint — every model type goes through the same gateway; deployment resolution is driven by the </w:t>
      </w:r>
      <w:r>
        <w:rPr>
          <w:rFonts w:ascii="Consolas" w:hAnsi="Consolas"/>
          <w:sz w:val="19"/>
        </w:rPr>
        <w:t>model</w:t>
      </w:r>
      <w:r>
        <w:t xml:space="preserve"> field in the request body, not by the route.</w:t>
      </w:r>
    </w:p>
    <w:p>
      <w:pPr>
        <w:pStyle w:val="Heading2"/>
      </w:pPr>
      <w:r>
        <w:t>2. Request pipeline (pre-flight, shared by both chat and stream paths)</w:t>
      </w:r>
    </w:p>
    <w:p>
      <w:r>
        <w:t xml:space="preserve">Implemented in </w:t>
      </w:r>
      <w:r>
        <w:rPr>
          <w:rFonts w:ascii="Consolas" w:hAnsi="Consolas"/>
          <w:sz w:val="19"/>
        </w:rPr>
        <w:t>_run_pre_flight()</w:t>
      </w:r>
      <w:r>
        <w:t xml:space="preserve">. Each stage that blocks the request writes an </w:t>
      </w:r>
      <w:r>
        <w:rPr>
          <w:rFonts w:ascii="Consolas" w:hAnsi="Consolas"/>
          <w:sz w:val="19"/>
        </w:rPr>
        <w:t>AiRequest</w:t>
      </w:r>
      <w:r>
        <w:t xml:space="preserve"> row with </w:t>
      </w:r>
      <w:r>
        <w:rPr>
          <w:rFonts w:ascii="Consolas" w:hAnsi="Consolas"/>
          <w:sz w:val="19"/>
        </w:rPr>
        <w:t>request_status="blocked"</w:t>
      </w:r>
      <w:r>
        <w:t xml:space="preserve"> before raising, so blocked traffic is still auditable.</w:t>
      </w:r>
    </w:p>
    <w:p>
      <w:pPr>
        <w:pStyle w:val="ListNumber"/>
      </w:pPr>
      <w:r>
        <w:rPr>
          <w:b/>
        </w:rPr>
        <w:t>Authenticate</w:t>
      </w:r>
      <w:r>
        <w:t xml:space="preserve"> — </w:t>
      </w:r>
      <w:r>
        <w:rPr>
          <w:rFonts w:ascii="Consolas" w:hAnsi="Consolas"/>
          <w:sz w:val="19"/>
        </w:rPr>
        <w:t>verify_governance_key()</w:t>
      </w:r>
      <w:r>
        <w:t xml:space="preserve"> hashes the </w:t>
      </w:r>
      <w:r>
        <w:rPr>
          <w:rFonts w:ascii="Consolas" w:hAnsi="Consolas"/>
          <w:sz w:val="19"/>
        </w:rPr>
        <w:t>X-Governance-Key</w:t>
      </w:r>
      <w:r>
        <w:t xml:space="preserve"> header (SHA-256) and looks up an active, non-expired </w:t>
      </w:r>
      <w:r>
        <w:rPr>
          <w:rFonts w:ascii="Consolas" w:hAnsi="Consolas"/>
          <w:sz w:val="19"/>
        </w:rPr>
        <w:t>ApiKey</w:t>
      </w:r>
      <w:r>
        <w:t xml:space="preserve"> row. Failure → </w:t>
      </w:r>
      <w:r>
        <w:rPr>
          <w:rFonts w:ascii="Consolas" w:hAnsi="Consolas"/>
          <w:sz w:val="19"/>
        </w:rPr>
        <w:t>401</w:t>
      </w:r>
      <w:r>
        <w:t>, no request row written at all.</w:t>
      </w:r>
    </w:p>
    <w:p>
      <w:pPr>
        <w:pStyle w:val="ListNumber"/>
      </w:pPr>
      <w:r>
        <w:rPr>
          <w:b/>
        </w:rPr>
        <w:t>Rate limit check</w:t>
      </w:r>
      <w:r>
        <w:t xml:space="preserve"> — runs *before* the body is parsed, deliberately, as the cheapest gate. See §4. Failure → </w:t>
      </w:r>
      <w:r>
        <w:rPr>
          <w:rFonts w:ascii="Consolas" w:hAnsi="Consolas"/>
          <w:sz w:val="19"/>
        </w:rPr>
        <w:t>429</w:t>
      </w:r>
      <w:r>
        <w:t xml:space="preserve">. Any non-HTTPException error here is swallowed and logged — </w:t>
      </w:r>
      <w:r>
        <w:rPr>
          <w:b/>
        </w:rPr>
        <w:t>rate limiting fails open</w:t>
      </w:r>
      <w:r>
        <w:t>.</w:t>
      </w:r>
    </w:p>
    <w:p>
      <w:pPr>
        <w:pStyle w:val="ListNumber"/>
      </w:pPr>
      <w:r>
        <w:rPr>
          <w:b/>
        </w:rPr>
        <w:t>Parse JSON body</w:t>
      </w:r>
      <w:r>
        <w:t xml:space="preserve"> — malformed JSON → </w:t>
      </w:r>
      <w:r>
        <w:rPr>
          <w:rFonts w:ascii="Consolas" w:hAnsi="Consolas"/>
          <w:sz w:val="19"/>
        </w:rPr>
        <w:t>400</w:t>
      </w:r>
      <w:r>
        <w:t>.</w:t>
      </w:r>
    </w:p>
    <w:p>
      <w:pPr>
        <w:pStyle w:val="ListNumber"/>
      </w:pPr>
      <w:r>
        <w:rPr>
          <w:b/>
        </w:rPr>
        <w:t>Resolve model / deployment</w:t>
      </w:r>
      <w:r>
        <w:t xml:space="preserve"> — looks up candidate provider deployments for the requested model name. No match → </w:t>
      </w:r>
      <w:r>
        <w:rPr>
          <w:rFonts w:ascii="Consolas" w:hAnsi="Consolas"/>
          <w:sz w:val="19"/>
        </w:rPr>
        <w:t>404</w:t>
      </w:r>
      <w:r>
        <w:t>. *(Model allow/block-list rules are not checked here — see §6.)*</w:t>
      </w:r>
    </w:p>
    <w:p>
      <w:pPr>
        <w:pStyle w:val="ListNumber"/>
      </w:pPr>
      <w:r>
        <w:rPr>
          <w:b/>
        </w:rPr>
        <w:t>Budget check</w:t>
      </w:r>
      <w:r>
        <w:t xml:space="preserve"> — see §5. Failure → </w:t>
      </w:r>
      <w:r>
        <w:rPr>
          <w:rFonts w:ascii="Consolas" w:hAnsi="Consolas"/>
          <w:sz w:val="19"/>
        </w:rPr>
        <w:t>429</w:t>
      </w:r>
      <w:r>
        <w:t xml:space="preserve">. Non-HTTPException errors are swallowed — </w:t>
      </w:r>
      <w:r>
        <w:rPr>
          <w:b/>
        </w:rPr>
        <w:t>budget enforcement fails open</w:t>
      </w:r>
      <w:r>
        <w:t>.</w:t>
      </w:r>
    </w:p>
    <w:p>
      <w:pPr>
        <w:pStyle w:val="ListNumber"/>
      </w:pPr>
      <w:r>
        <w:rPr>
          <w:b/>
        </w:rPr>
        <w:t>PII scan</w:t>
      </w:r>
      <w:r>
        <w:t xml:space="preserve"> — see §7. A block verdict → </w:t>
      </w:r>
      <w:r>
        <w:rPr>
          <w:rFonts w:ascii="Consolas" w:hAnsi="Consolas"/>
          <w:sz w:val="19"/>
        </w:rPr>
        <w:t>403</w:t>
      </w:r>
      <w:r>
        <w:t xml:space="preserve">. Non-HTTPException errors are swallowed and the </w:t>
      </w:r>
      <w:r>
        <w:rPr>
          <w:b/>
        </w:rPr>
        <w:t>original, unmasked</w:t>
      </w:r>
      <w:r>
        <w:t xml:space="preserve"> messages are forwarded — </w:t>
      </w:r>
      <w:r>
        <w:rPr>
          <w:b/>
        </w:rPr>
        <w:t>PII scanning fails open</w:t>
      </w:r>
      <w:r>
        <w:t>.</w:t>
      </w:r>
    </w:p>
    <w:p>
      <w:pPr>
        <w:pStyle w:val="ListNumber"/>
      </w:pPr>
      <w:r>
        <w:rPr>
          <w:b/>
        </w:rPr>
        <w:t>Store `AiRequest`</w:t>
      </w:r>
      <w:r>
        <w:t xml:space="preserve"> — writes the row (</w:t>
      </w:r>
      <w:r>
        <w:rPr>
          <w:rFonts w:ascii="Consolas" w:hAnsi="Consolas"/>
          <w:sz w:val="19"/>
        </w:rPr>
        <w:t>request_status="pending"</w:t>
      </w:r>
      <w:r>
        <w:t>, original + sanitized text, PII metadata) and commits, so the request is durable before it ever reaches the upstream provider.</w:t>
      </w:r>
    </w:p>
    <w:p>
      <w:pPr>
        <w:pStyle w:val="ListNumber"/>
      </w:pPr>
      <w:r>
        <w:rPr>
          <w:b/>
        </w:rPr>
        <w:t>Build outbound attempts</w:t>
      </w:r>
      <w:r>
        <w:t xml:space="preserve"> — one per candidate deployment, primary first, enabling failover without repeating steps 1–7.</w:t>
      </w:r>
    </w:p>
    <w:p>
      <w:pPr>
        <w:pStyle w:val="Heading2"/>
      </w:pPr>
      <w:r>
        <w:t>3. Forwarding &amp; response handling</w:t>
      </w:r>
    </w:p>
    <w:p>
      <w:pPr>
        <w:pStyle w:val="ListBullet"/>
      </w:pPr>
      <w:r>
        <w:t xml:space="preserve">A process-wide concurrency limiter caps simultaneous upstream calls; if full → </w:t>
      </w:r>
      <w:r>
        <w:rPr>
          <w:rFonts w:ascii="Consolas" w:hAnsi="Consolas"/>
          <w:sz w:val="19"/>
        </w:rPr>
        <w:t>503</w:t>
      </w:r>
      <w:r>
        <w:t xml:space="preserve"> immediately, no cost incurred.</w:t>
      </w:r>
    </w:p>
    <w:p>
      <w:pPr>
        <w:pStyle w:val="ListBullet"/>
      </w:pPr>
      <w:r>
        <w:t>The request is forwarded to Azure OpenAI (or other configured provider) with retry-with-backoff on 5xx/connection errors, and failover to the next candidate deployment on 429/5xx/connection errors.</w:t>
      </w:r>
    </w:p>
    <w:p>
      <w:pPr>
        <w:pStyle w:val="ListBullet"/>
      </w:pPr>
      <w:r>
        <w:rPr>
          <w:b/>
        </w:rPr>
        <w:t>Azure 429</w:t>
      </w:r>
      <w:r>
        <w:t xml:space="preserve"> → passed through as </w:t>
      </w:r>
      <w:r>
        <w:rPr>
          <w:rFonts w:ascii="Consolas" w:hAnsi="Consolas"/>
          <w:sz w:val="19"/>
        </w:rPr>
        <w:t>429</w:t>
      </w:r>
      <w:r>
        <w:t xml:space="preserve"> with Azure's own error body; no cost recorded.</w:t>
      </w:r>
    </w:p>
    <w:p>
      <w:pPr>
        <w:pStyle w:val="ListBullet"/>
      </w:pPr>
      <w:r>
        <w:rPr>
          <w:b/>
        </w:rPr>
        <w:t>Azure other error</w:t>
      </w:r>
      <w:r>
        <w:t xml:space="preserve"> → passed through with Azure's status code; cost *is* still recorded if Azure's error body includes a </w:t>
      </w:r>
      <w:r>
        <w:rPr>
          <w:rFonts w:ascii="Consolas" w:hAnsi="Consolas"/>
          <w:sz w:val="19"/>
        </w:rPr>
        <w:t>usage</w:t>
      </w:r>
      <w:r>
        <w:t xml:space="preserve"> field (e.g. content-filter rejections).</w:t>
      </w:r>
    </w:p>
    <w:p>
      <w:pPr>
        <w:pStyle w:val="ListBullet"/>
      </w:pPr>
      <w:r>
        <w:rPr>
          <w:b/>
        </w:rPr>
        <w:t>Azure unreachable</w:t>
      </w:r>
      <w:r>
        <w:t xml:space="preserve"> → </w:t>
      </w:r>
      <w:r>
        <w:rPr>
          <w:rFonts w:ascii="Consolas" w:hAnsi="Consolas"/>
          <w:sz w:val="19"/>
        </w:rPr>
        <w:t>502</w:t>
      </w:r>
      <w:r>
        <w:t>.</w:t>
      </w:r>
    </w:p>
    <w:p>
      <w:pPr>
        <w:pStyle w:val="ListBullet"/>
      </w:pPr>
      <w:r>
        <w:rPr>
          <w:b/>
        </w:rPr>
        <w:t>Circuit breaker open</w:t>
      </w:r>
      <w:r>
        <w:t xml:space="preserve"> (repeated upstream failures) → </w:t>
      </w:r>
      <w:r>
        <w:rPr>
          <w:rFonts w:ascii="Consolas" w:hAnsi="Consolas"/>
          <w:sz w:val="19"/>
        </w:rPr>
        <w:t>503</w:t>
      </w:r>
      <w:r>
        <w:t>.</w:t>
      </w:r>
    </w:p>
    <w:p>
      <w:pPr>
        <w:pStyle w:val="ListBullet"/>
      </w:pPr>
      <w:r>
        <w:t xml:space="preserve">On success: token usage is read from Azure's own </w:t>
      </w:r>
      <w:r>
        <w:rPr>
          <w:rFonts w:ascii="Consolas" w:hAnsi="Consolas"/>
          <w:sz w:val="19"/>
        </w:rPr>
        <w:t>usage</w:t>
      </w:r>
      <w:r>
        <w:t xml:space="preserve"> field when present, falling back to a tiktoken estimate otherwise (see §8). Cost calculation and the </w:t>
      </w:r>
      <w:r>
        <w:rPr>
          <w:rFonts w:ascii="Consolas" w:hAnsi="Consolas"/>
          <w:sz w:val="19"/>
        </w:rPr>
        <w:t>AiResponse</w:t>
      </w:r>
      <w:r>
        <w:t xml:space="preserve"> / </w:t>
      </w:r>
      <w:r>
        <w:rPr>
          <w:rFonts w:ascii="Consolas" w:hAnsi="Consolas"/>
          <w:sz w:val="19"/>
        </w:rPr>
        <w:t>TokenUsage</w:t>
      </w:r>
      <w:r>
        <w:t xml:space="preserve"> / </w:t>
      </w:r>
      <w:r>
        <w:rPr>
          <w:rFonts w:ascii="Consolas" w:hAnsi="Consolas"/>
          <w:sz w:val="19"/>
        </w:rPr>
        <w:t>RequestCost</w:t>
      </w:r>
      <w:r>
        <w:t xml:space="preserve"> / </w:t>
      </w:r>
      <w:r>
        <w:rPr>
          <w:rFonts w:ascii="Consolas" w:hAnsi="Consolas"/>
          <w:sz w:val="19"/>
        </w:rPr>
        <w:t>AuditLog</w:t>
      </w:r>
      <w:r>
        <w:t xml:space="preserve"> / </w:t>
      </w:r>
      <w:r>
        <w:rPr>
          <w:rFonts w:ascii="Consolas" w:hAnsi="Consolas"/>
          <w:sz w:val="19"/>
        </w:rPr>
        <w:t>RouteExecution</w:t>
      </w:r>
      <w:r>
        <w:t xml:space="preserve"> writes happen in a </w:t>
      </w:r>
      <w:r>
        <w:rPr>
          <w:b/>
        </w:rPr>
        <w:t>background task after the client already has the response</w:t>
      </w:r>
      <w:r>
        <w:t xml:space="preserve"> — the client is never blocked on bookkeeping.</w:t>
      </w:r>
    </w:p>
    <w:p>
      <w:pPr>
        <w:pStyle w:val="ListBullet"/>
      </w:pPr>
      <w:r>
        <w:t xml:space="preserve">The client receives the </w:t>
      </w:r>
      <w:r>
        <w:rPr>
          <w:b/>
        </w:rPr>
        <w:t>raw provider response body, verbatim</w:t>
      </w:r>
      <w:r>
        <w:t xml:space="preserve">, plus an added </w:t>
      </w:r>
      <w:r>
        <w:rPr>
          <w:rFonts w:ascii="Consolas" w:hAnsi="Consolas"/>
          <w:sz w:val="19"/>
        </w:rPr>
        <w:t>X-Request-Id</w:t>
      </w:r>
      <w:r>
        <w:t xml:space="preserve"> header.</w:t>
      </w:r>
    </w:p>
    <w:p>
      <w:pPr>
        <w:pStyle w:val="Heading3"/>
      </w:pPr>
      <w:r>
        <w:t>Streaming (`/proxy/stream`)</w:t>
      </w:r>
    </w:p>
    <w:p>
      <w:r>
        <w:t xml:space="preserve">Same pre-flight pipeline. Tokens are </w:t>
      </w:r>
      <w:r>
        <w:rPr>
          <w:b/>
        </w:rPr>
        <w:t>always</w:t>
      </w:r>
      <w:r>
        <w:t xml:space="preserve"> tiktoken-estimated (Azure doesn't reliably report usage inside SSE chunks). DB writes happen synchronously at the end of the generator, not backgrounded. A stream that drops mid-way is recorded as </w:t>
      </w:r>
      <w:r>
        <w:rPr>
          <w:rFonts w:ascii="Consolas" w:hAnsi="Consolas"/>
          <w:sz w:val="19"/>
        </w:rPr>
        <w:t>request_status="partial"</w:t>
      </w:r>
      <w:r>
        <w:t xml:space="preserve">, </w:t>
      </w:r>
      <w:r>
        <w:rPr>
          <w:rFonts w:ascii="Consolas" w:hAnsi="Consolas"/>
          <w:sz w:val="19"/>
        </w:rPr>
        <w:t>failure_code="stream_incomplete"</w:t>
      </w:r>
      <w:r>
        <w:t>, and still bills whatever tokens were actually produced.</w:t>
      </w:r>
    </w:p>
    <w:p>
      <w:pPr>
        <w:pStyle w:val="Heading2"/>
      </w:pPr>
      <w:r>
        <w:t>4. Rate limiting (`rate_limit_service.py`)</w:t>
      </w:r>
    </w:p>
    <w:p>
      <w:pPr>
        <w:pStyle w:val="ListBullet"/>
      </w:pPr>
      <w:r>
        <w:t xml:space="preserve">Rows in </w:t>
      </w:r>
      <w:r>
        <w:rPr>
          <w:rFonts w:ascii="Consolas" w:hAnsi="Consolas"/>
          <w:sz w:val="19"/>
        </w:rPr>
        <w:t>rate_limits</w:t>
      </w:r>
      <w:r>
        <w:t xml:space="preserve"> can target a key, a project, or an org; </w:t>
      </w:r>
      <w:r>
        <w:rPr>
          <w:b/>
        </w:rPr>
        <w:t>all matching rows are evaluated</w:t>
      </w:r>
      <w:r>
        <w:t>, and the first one exceeded blocks the request.</w:t>
      </w:r>
    </w:p>
    <w:p>
      <w:pPr>
        <w:pStyle w:val="ListBullet"/>
      </w:pPr>
      <w:r>
        <w:t xml:space="preserve">Two independent limit types per row: </w:t>
      </w:r>
      <w:r>
        <w:rPr>
          <w:rFonts w:ascii="Consolas" w:hAnsi="Consolas"/>
          <w:sz w:val="19"/>
        </w:rPr>
        <w:t>max_requests_per_min</w:t>
      </w:r>
      <w:r>
        <w:t xml:space="preserve"> and </w:t>
      </w:r>
      <w:r>
        <w:rPr>
          <w:rFonts w:ascii="Consolas" w:hAnsi="Consolas"/>
          <w:sz w:val="19"/>
        </w:rPr>
        <w:t>max_tokens_per_day</w:t>
      </w:r>
      <w:r>
        <w:t>.</w:t>
      </w:r>
    </w:p>
    <w:p>
      <w:pPr>
        <w:pStyle w:val="ListBullet"/>
      </w:pPr>
      <w:r>
        <w:rPr>
          <w:b/>
        </w:rPr>
        <w:t>Requests/min</w:t>
      </w:r>
      <w:r>
        <w:t xml:space="preserve"> uses a </w:t>
      </w:r>
      <w:r>
        <w:rPr>
          <w:b/>
        </w:rPr>
        <w:t>fixed 60-second window counter</w:t>
      </w:r>
      <w:r>
        <w:t xml:space="preserve"> (bucketed by </w:t>
      </w:r>
      <w:r>
        <w:rPr>
          <w:rFonts w:ascii="Consolas" w:hAnsi="Consolas"/>
          <w:sz w:val="19"/>
        </w:rPr>
        <w:t>time // 60</w:t>
      </w:r>
      <w:r>
        <w:t>), stored in Redis (</w:t>
      </w:r>
      <w:r>
        <w:rPr>
          <w:rFonts w:ascii="Consolas" w:hAnsi="Consolas"/>
          <w:sz w:val="19"/>
        </w:rPr>
        <w:t>INCR</w:t>
      </w:r>
      <w:r>
        <w:t xml:space="preserve"> + </w:t>
      </w:r>
      <w:r>
        <w:rPr>
          <w:rFonts w:ascii="Consolas" w:hAnsi="Consolas"/>
          <w:sz w:val="19"/>
        </w:rPr>
        <w:t>EXPIRE</w:t>
      </w:r>
      <w:r>
        <w:t xml:space="preserve">), falling back to a Postgres count of recent </w:t>
      </w:r>
      <w:r>
        <w:rPr>
          <w:rFonts w:ascii="Consolas" w:hAnsi="Consolas"/>
          <w:sz w:val="19"/>
        </w:rPr>
        <w:t>AiRequest</w:t>
      </w:r>
      <w:r>
        <w:t xml:space="preserve"> rows if Redis is down.</w:t>
      </w:r>
    </w:p>
    <w:p>
      <w:pPr>
        <w:pStyle w:val="ListBullet"/>
      </w:pPr>
      <w:r>
        <w:rPr>
          <w:b/>
        </w:rPr>
        <w:t>Tokens/day</w:t>
      </w:r>
      <w:r>
        <w:t xml:space="preserve"> is incremented once per completed request (after the real cost/usage is known), stored in Redis per UTC calendar day, with a Postgres fallback.</w:t>
      </w:r>
    </w:p>
    <w:p>
      <w:pPr>
        <w:pStyle w:val="ListBullet"/>
      </w:pPr>
      <w:r>
        <w:t>At the pre-flight call site the model isn't known yet (</w:t>
      </w:r>
      <w:r>
        <w:rPr>
          <w:rFonts w:ascii="Consolas" w:hAnsi="Consolas"/>
          <w:sz w:val="19"/>
        </w:rPr>
        <w:t>model=""</w:t>
      </w:r>
      <w:r>
        <w:t xml:space="preserve">), so </w:t>
      </w:r>
      <w:r>
        <w:rPr>
          <w:b/>
        </w:rPr>
        <w:t>only rules with `tool_name` = `NULL`/`'*'` can actually match</w:t>
      </w:r>
      <w:r>
        <w:t xml:space="preserve"> — per-model rate limits are effectively unenforceable at this stage.</w:t>
      </w:r>
    </w:p>
    <w:p>
      <w:pPr>
        <w:pStyle w:val="ListBullet"/>
      </w:pPr>
      <w:r>
        <w:t xml:space="preserve">Violation → </w:t>
      </w:r>
      <w:r>
        <w:rPr>
          <w:rFonts w:ascii="Consolas" w:hAnsi="Consolas"/>
          <w:sz w:val="19"/>
        </w:rPr>
        <w:t>429</w:t>
      </w:r>
      <w:r>
        <w:t xml:space="preserve"> with </w:t>
      </w:r>
      <w:r>
        <w:rPr>
          <w:rFonts w:ascii="Consolas" w:hAnsi="Consolas"/>
          <w:sz w:val="19"/>
        </w:rPr>
        <w:t>Retry-After</w:t>
      </w:r>
      <w:r>
        <w:t xml:space="preserve"> header and body </w:t>
      </w:r>
      <w:r>
        <w:rPr>
          <w:rFonts w:ascii="Consolas" w:hAnsi="Consolas"/>
          <w:sz w:val="19"/>
        </w:rPr>
        <w:t>{"error":"rate_limit_exceeded","scope","limit_type","limit","current_count"/"tokens_used_today","retry_after","request_id"}</w:t>
      </w:r>
      <w:r>
        <w:t>.</w:t>
      </w:r>
    </w:p>
    <w:p>
      <w:pPr>
        <w:pStyle w:val="Heading2"/>
      </w:pPr>
      <w:r>
        <w:t>5. Budget enforcement (`budget_service.py`)</w:t>
      </w:r>
    </w:p>
    <w:p>
      <w:pPr>
        <w:pStyle w:val="ListBullet"/>
      </w:pPr>
      <w:r>
        <w:t xml:space="preserve">"Spend" = </w:t>
      </w:r>
      <w:r>
        <w:rPr>
          <w:rFonts w:ascii="Consolas" w:hAnsi="Consolas"/>
          <w:sz w:val="19"/>
        </w:rPr>
        <w:t>SUM(RequestCost.total_cost)</w:t>
      </w:r>
      <w:r>
        <w:t xml:space="preserve"> for the current calendar month — i.e. actual computed cost of completed requests, not a live estimate.</w:t>
      </w:r>
    </w:p>
    <w:p>
      <w:pPr>
        <w:pStyle w:val="ListBullet"/>
      </w:pPr>
      <w:r>
        <w:t xml:space="preserve">Checked in order: </w:t>
      </w:r>
      <w:r>
        <w:rPr>
          <w:b/>
        </w:rPr>
        <w:t>project</w:t>
      </w:r>
      <w:r>
        <w:t xml:space="preserve"> budget first (if one exists with a positive limit), then </w:t>
      </w:r>
      <w:r>
        <w:rPr>
          <w:b/>
        </w:rPr>
        <w:t>org</w:t>
      </w:r>
      <w:r>
        <w:t xml:space="preserve"> budget.</w:t>
      </w:r>
    </w:p>
    <w:p>
      <w:pPr>
        <w:pStyle w:val="ListBullet"/>
      </w:pPr>
      <w:r>
        <w:rPr>
          <w:rFonts w:ascii="Consolas" w:hAnsi="Consolas"/>
          <w:sz w:val="19"/>
        </w:rPr>
        <w:t>ratio = spend / limit</w:t>
      </w:r>
      <w:r>
        <w:t>:</w:t>
      </w:r>
    </w:p>
    <w:p>
      <w:pPr>
        <w:pStyle w:val="ListBullet"/>
      </w:pPr>
      <w:r>
        <w:rPr>
          <w:rFonts w:ascii="Consolas" w:hAnsi="Consolas"/>
          <w:sz w:val="19"/>
        </w:rPr>
        <w:t>ratio &gt;= 1.0</w:t>
      </w:r>
      <w:r>
        <w:t xml:space="preserve"> → </w:t>
      </w:r>
      <w:r>
        <w:rPr>
          <w:b/>
        </w:rPr>
        <w:t>hard block</w:t>
      </w:r>
      <w:r>
        <w:t xml:space="preserve">, </w:t>
      </w:r>
      <w:r>
        <w:rPr>
          <w:rFonts w:ascii="Consolas" w:hAnsi="Consolas"/>
          <w:sz w:val="19"/>
        </w:rPr>
        <w:t>429</w:t>
      </w:r>
      <w:r>
        <w:t xml:space="preserve">, audit + </w:t>
      </w:r>
      <w:r>
        <w:rPr>
          <w:rFonts w:ascii="Consolas" w:hAnsi="Consolas"/>
          <w:sz w:val="19"/>
        </w:rPr>
        <w:t>critical</w:t>
      </w:r>
      <w:r>
        <w:t xml:space="preserve"> alert.</w:t>
      </w:r>
    </w:p>
    <w:p>
      <w:pPr>
        <w:pStyle w:val="ListBullet"/>
      </w:pPr>
      <w:r>
        <w:rPr>
          <w:rFonts w:ascii="Consolas" w:hAnsi="Consolas"/>
          <w:sz w:val="19"/>
        </w:rPr>
        <w:t>ratio &gt;= alert_threshold_percent</w:t>
      </w:r>
      <w:r>
        <w:t xml:space="preserve"> (default 80%) → </w:t>
      </w:r>
      <w:r>
        <w:rPr>
          <w:b/>
        </w:rPr>
        <w:t>warning only</w:t>
      </w:r>
      <w:r>
        <w:t xml:space="preserve">, request proceeds, </w:t>
      </w:r>
      <w:r>
        <w:rPr>
          <w:rFonts w:ascii="Consolas" w:hAnsi="Consolas"/>
          <w:sz w:val="19"/>
        </w:rPr>
        <w:t>high</w:t>
      </w:r>
      <w:r>
        <w:t xml:space="preserve"> alert (existing active alert updated in place rather than duplicated).</w:t>
      </w:r>
    </w:p>
    <w:p>
      <w:pPr>
        <w:pStyle w:val="ListBullet"/>
      </w:pPr>
      <w:r>
        <w:t xml:space="preserve">Violation body: </w:t>
      </w:r>
      <w:r>
        <w:rPr>
          <w:rFonts w:ascii="Consolas" w:hAnsi="Consolas"/>
          <w:sz w:val="19"/>
        </w:rPr>
        <w:t>{"error":"budget_exceeded","scope","budget_limit","current_spend","currency":"USD","request_id"}</w:t>
      </w:r>
      <w:r>
        <w:t>.</w:t>
      </w:r>
    </w:p>
    <w:p>
      <w:pPr>
        <w:pStyle w:val="Heading2"/>
      </w:pPr>
      <w:r>
        <w:t>6. Model allow/block lists &amp; token ceilings — ⚠️ not currently enforced</w:t>
      </w:r>
    </w:p>
    <w:p>
      <w:r>
        <w:rPr>
          <w:rFonts w:ascii="Consolas" w:hAnsi="Consolas"/>
          <w:sz w:val="19"/>
        </w:rPr>
        <w:t>governance_rule_service.py</w:t>
      </w:r>
      <w:r>
        <w:t xml:space="preserve"> defines </w:t>
      </w:r>
      <w:r>
        <w:rPr>
          <w:rFonts w:ascii="Consolas" w:hAnsi="Consolas"/>
          <w:sz w:val="19"/>
        </w:rPr>
        <w:t>check_governance_rules()</w:t>
      </w:r>
      <w:r>
        <w:t xml:space="preserve"> (blocked-model / allowed-model / max-output-tokens) and </w:t>
      </w:r>
      <w:r>
        <w:rPr>
          <w:rFonts w:ascii="Consolas" w:hAnsi="Consolas"/>
          <w:sz w:val="19"/>
        </w:rPr>
        <w:t>check_max_input_tokens()</w:t>
      </w:r>
      <w:r>
        <w:t>, with a clear precedence: unknown pricing → block-list → allow-list → output-token ceiling, each writing an audit row and an alert on violation.</w:t>
      </w:r>
    </w:p>
    <w:p>
      <w:r>
        <w:rPr>
          <w:b/>
        </w:rPr>
        <w:t>However</w:t>
      </w:r>
      <w:r>
        <w:t>, a repo-wide search confirms neither function is called anywhere outside its own definition:</w:t>
      </w:r>
    </w:p>
    <w:p>
      <w:pPr>
        <w:spacing w:before="40" w:after="120"/>
      </w:pPr>
      <w:r>
        <w:rPr>
          <w:rFonts w:ascii="Consolas" w:hAnsi="Consolas"/>
          <w:color w:val="333333"/>
          <w:sz w:val="18"/>
        </w:rPr>
        <w:t>$ grep -rn "check_governance_rules\|check_max_input_tokens" app/</w:t>
      </w:r>
      <w:r>
        <w:rPr>
          <w:rFonts w:ascii="Consolas" w:hAnsi="Consolas"/>
          <w:color w:val="333333"/>
          <w:sz w:val="18"/>
        </w:rPr>
        <w:br/>
        <w:t>app/services/governance_rule_service.py:37:def check_governance_rules(</w:t>
      </w:r>
      <w:r>
        <w:rPr>
          <w:rFonts w:ascii="Consolas" w:hAnsi="Consolas"/>
          <w:color w:val="333333"/>
          <w:sz w:val="18"/>
        </w:rPr>
        <w:br/>
        <w:t>app/services/governance_rule_service.py:78:def check_max_input_tokens(</w:t>
      </w:r>
    </w:p>
    <w:p>
      <w:r>
        <w:t xml:space="preserve">The logic is fully implemented and the </w:t>
      </w:r>
      <w:r>
        <w:rPr>
          <w:rFonts w:ascii="Consolas" w:hAnsi="Consolas"/>
          <w:sz w:val="19"/>
        </w:rPr>
        <w:t>governance_rules</w:t>
      </w:r>
      <w:r>
        <w:t xml:space="preserve"> table is populated/administered via its router, but it is </w:t>
      </w:r>
      <w:r>
        <w:rPr>
          <w:b/>
        </w:rPr>
        <w:t>not wired into `proxy.py`'s live request path</w:t>
      </w:r>
      <w:r>
        <w:t>. Today, model allow/block lists and token ceilings have no effect on traffic. This is worth fixing or explicitly deprecating.</w:t>
      </w:r>
    </w:p>
    <w:p>
      <w:r>
        <w:t xml:space="preserve">A second, related gap: </w:t>
      </w:r>
      <w:r>
        <w:rPr>
          <w:rFonts w:ascii="Consolas" w:hAnsi="Consolas"/>
          <w:sz w:val="19"/>
        </w:rPr>
        <w:t>_load_rules()</w:t>
      </w:r>
      <w:r>
        <w:t xml:space="preserve"> in the same module filters only </w:t>
      </w:r>
      <w:r>
        <w:rPr>
          <w:rFonts w:ascii="Consolas" w:hAnsi="Consolas"/>
          <w:sz w:val="19"/>
        </w:rPr>
        <w:t>org_id</w:t>
      </w:r>
      <w:r>
        <w:t xml:space="preserve">, never </w:t>
      </w:r>
      <w:r>
        <w:rPr>
          <w:rFonts w:ascii="Consolas" w:hAnsi="Consolas"/>
          <w:sz w:val="19"/>
        </w:rPr>
        <w:t>project_id</w:t>
      </w:r>
      <w:r>
        <w:t xml:space="preserve">, even though </w:t>
      </w:r>
      <w:r>
        <w:rPr>
          <w:rFonts w:ascii="Consolas" w:hAnsi="Consolas"/>
          <w:sz w:val="19"/>
        </w:rPr>
        <w:t>GovernanceRule</w:t>
      </w:r>
      <w:r>
        <w:t xml:space="preserve"> has a </w:t>
      </w:r>
      <w:r>
        <w:rPr>
          <w:rFonts w:ascii="Consolas" w:hAnsi="Consolas"/>
          <w:sz w:val="19"/>
        </w:rPr>
        <w:t>project_id</w:t>
      </w:r>
      <w:r>
        <w:t xml:space="preserve"> column — so even once wired in, rules would be org-wide only, not project-scoped as the schema implies.</w:t>
      </w:r>
    </w:p>
    <w:p>
      <w:pPr>
        <w:pStyle w:val="Heading2"/>
      </w:pPr>
      <w:r>
        <w:t>7. PII detection &amp; masking (`pii_engine.py`)</w:t>
      </w:r>
    </w:p>
    <w:p>
      <w:pPr>
        <w:pStyle w:val="ListBullet"/>
      </w:pPr>
      <w:r>
        <w:t>Engine: Microsoft Presidio (</w:t>
      </w:r>
      <w:r>
        <w:rPr>
          <w:rFonts w:ascii="Consolas" w:hAnsi="Consolas"/>
          <w:sz w:val="19"/>
        </w:rPr>
        <w:t>AnalyzerEngine</w:t>
      </w:r>
      <w:r>
        <w:t xml:space="preserve"> + spaCy </w:t>
      </w:r>
      <w:r>
        <w:rPr>
          <w:rFonts w:ascii="Consolas" w:hAnsi="Consolas"/>
          <w:sz w:val="19"/>
        </w:rPr>
        <w:t>en_core_web_lg</w:t>
      </w:r>
      <w:r>
        <w:t xml:space="preserve">) plus two custom regex recognizers for Indian </w:t>
      </w:r>
      <w:r>
        <w:rPr>
          <w:b/>
        </w:rPr>
        <w:t>Aadhaar</w:t>
      </w:r>
      <w:r>
        <w:t xml:space="preserve"> and generic </w:t>
      </w:r>
      <w:r>
        <w:rPr>
          <w:b/>
        </w:rPr>
        <w:t>national ID / PAN</w:t>
      </w:r>
      <w:r>
        <w:t>-style numbers.</w:t>
      </w:r>
    </w:p>
    <w:p>
      <w:pPr>
        <w:pStyle w:val="ListBullet"/>
      </w:pPr>
      <w:r>
        <w:t>Entities detected: email, phone, credit_card, ssn, ip_address, date_of_birth, name, location, national_id, passport, bank_account (IBAN), crypto, aadhar, organization, url.</w:t>
      </w:r>
    </w:p>
    <w:p>
      <w:pPr>
        <w:pStyle w:val="ListBullet"/>
      </w:pPr>
      <w:r>
        <w:t>Per-entity-type policy (</w:t>
      </w:r>
      <w:r>
        <w:rPr>
          <w:rFonts w:ascii="Consolas" w:hAnsi="Consolas"/>
          <w:sz w:val="19"/>
        </w:rPr>
        <w:t>PiiPolicy</w:t>
      </w:r>
      <w:r>
        <w:t xml:space="preserve"> table, org-specific rows override global defaults): </w:t>
      </w:r>
      <w:r>
        <w:rPr>
          <w:rFonts w:ascii="Consolas" w:hAnsi="Consolas"/>
          <w:sz w:val="19"/>
        </w:rPr>
        <w:t>block</w:t>
      </w:r>
      <w:r>
        <w:t xml:space="preserve"> (403), </w:t>
      </w:r>
      <w:r>
        <w:rPr>
          <w:rFonts w:ascii="Consolas" w:hAnsi="Consolas"/>
          <w:sz w:val="19"/>
        </w:rPr>
        <w:t>mask</w:t>
      </w:r>
      <w:r>
        <w:t xml:space="preserve"> (Presidio anonymizer replaces with </w:t>
      </w:r>
      <w:r>
        <w:rPr>
          <w:rFonts w:ascii="Consolas" w:hAnsi="Consolas"/>
          <w:sz w:val="19"/>
        </w:rPr>
        <w:t>[EMAIL]</w:t>
      </w:r>
      <w:r>
        <w:t xml:space="preserve">-style placeholder), </w:t>
      </w:r>
      <w:r>
        <w:rPr>
          <w:rFonts w:ascii="Consolas" w:hAnsi="Consolas"/>
          <w:sz w:val="19"/>
        </w:rPr>
        <w:t>alert</w:t>
      </w:r>
      <w:r>
        <w:t xml:space="preserve"> (logged only), </w:t>
      </w:r>
      <w:r>
        <w:rPr>
          <w:rFonts w:ascii="Consolas" w:hAnsi="Consolas"/>
          <w:sz w:val="19"/>
        </w:rPr>
        <w:t>allow</w:t>
      </w:r>
      <w:r>
        <w:t xml:space="preserve"> (untouched). Defaults: </w:t>
      </w:r>
      <w:r>
        <w:rPr>
          <w:rFonts w:ascii="Consolas" w:hAnsi="Consolas"/>
          <w:sz w:val="19"/>
        </w:rPr>
        <w:t>location</w:t>
      </w:r>
      <w:r>
        <w:t>/</w:t>
      </w:r>
      <w:r>
        <w:rPr>
          <w:rFonts w:ascii="Consolas" w:hAnsi="Consolas"/>
          <w:sz w:val="19"/>
        </w:rPr>
        <w:t>organization</w:t>
      </w:r>
      <w:r>
        <w:t>/</w:t>
      </w:r>
      <w:r>
        <w:rPr>
          <w:rFonts w:ascii="Consolas" w:hAnsi="Consolas"/>
          <w:sz w:val="19"/>
        </w:rPr>
        <w:t>url</w:t>
      </w:r>
      <w:r>
        <w:t xml:space="preserve"> → allow; everything else → mask.</w:t>
      </w:r>
    </w:p>
    <w:p>
      <w:pPr>
        <w:pStyle w:val="ListBullet"/>
      </w:pPr>
      <w:r>
        <w:rPr>
          <w:b/>
        </w:rPr>
        <w:t>Severity</w:t>
      </w:r>
      <w:r>
        <w:t xml:space="preserve"> (</w:t>
      </w:r>
      <w:r>
        <w:rPr>
          <w:rFonts w:ascii="Consolas" w:hAnsi="Consolas"/>
          <w:sz w:val="19"/>
        </w:rPr>
        <w:t>compute_pii_severity</w:t>
      </w:r>
      <w:r>
        <w:t xml:space="preserve">) — fixed by a recent commit that changed the signature from </w:t>
      </w:r>
      <w:r>
        <w:rPr>
          <w:rFonts w:ascii="Consolas" w:hAnsi="Consolas"/>
          <w:sz w:val="19"/>
        </w:rPr>
        <w:t>(pii_types, total_count)</w:t>
      </w:r>
      <w:r>
        <w:t xml:space="preserve"> to </w:t>
      </w:r>
      <w:r>
        <w:rPr>
          <w:rFonts w:ascii="Consolas" w:hAnsi="Consolas"/>
          <w:sz w:val="19"/>
        </w:rPr>
        <w:t>(entity_types)</w:t>
      </w:r>
      <w:r>
        <w:t>:</w:t>
      </w:r>
    </w:p>
    <w:p>
      <w:pPr>
        <w:spacing w:before="40" w:after="120"/>
      </w:pPr>
      <w:r>
        <w:rPr>
          <w:rFonts w:ascii="Consolas" w:hAnsi="Consolas"/>
          <w:color w:val="333333"/>
          <w:sz w:val="18"/>
        </w:rPr>
        <w:t xml:space="preserve">  HIGH_SENSITIVITY = {aadhar, credit_card, passport, ssn, bank_account, national_id}</w:t>
      </w:r>
      <w:r>
        <w:rPr>
          <w:rFonts w:ascii="Consolas" w:hAnsi="Consolas"/>
          <w:color w:val="333333"/>
          <w:sz w:val="18"/>
        </w:rPr>
        <w:br/>
        <w:t xml:space="preserve">  LOW_SENSITIVITY_DEFAULT_ALLOW = {location, organization, url}</w:t>
      </w:r>
      <w:r>
        <w:rPr>
          <w:rFonts w:ascii="Consolas" w:hAnsi="Consolas"/>
          <w:color w:val="333333"/>
          <w:sz w:val="18"/>
        </w:rPr>
        <w:br/>
      </w:r>
      <w:r>
        <w:rPr>
          <w:rFonts w:ascii="Consolas" w:hAnsi="Consolas"/>
          <w:color w:val="333333"/>
          <w:sz w:val="18"/>
        </w:rPr>
        <w:br/>
        <w:t xml:space="preserve">  any high-sensitivity type present        → "high"</w:t>
      </w:r>
      <w:r>
        <w:rPr>
          <w:rFonts w:ascii="Consolas" w:hAnsi="Consolas"/>
          <w:color w:val="333333"/>
          <w:sz w:val="18"/>
        </w:rPr>
        <w:br/>
        <w:t xml:space="preserve">  ≥5 "significant" (non-low) types present → "high"</w:t>
      </w:r>
      <w:r>
        <w:rPr>
          <w:rFonts w:ascii="Consolas" w:hAnsi="Consolas"/>
          <w:color w:val="333333"/>
          <w:sz w:val="18"/>
        </w:rPr>
        <w:br/>
        <w:t xml:space="preserve">  ≥3 "significant" types present           → "medium"</w:t>
      </w:r>
      <w:r>
        <w:rPr>
          <w:rFonts w:ascii="Consolas" w:hAnsi="Consolas"/>
          <w:color w:val="333333"/>
          <w:sz w:val="18"/>
        </w:rPr>
        <w:br/>
        <w:t xml:space="preserve">  otherwise                                 → "low"</w:t>
      </w:r>
    </w:p>
    <w:p>
      <w:r>
        <w:t xml:space="preserve">Previously, severity escalated to </w:t>
      </w:r>
      <w:r>
        <w:rPr>
          <w:rFonts w:ascii="Consolas" w:hAnsi="Consolas"/>
          <w:sz w:val="19"/>
        </w:rPr>
        <w:t>"high"</w:t>
      </w:r>
      <w:r>
        <w:t xml:space="preserve"> once *any* 5 PII detections occurred, regardless of type — so repeated low-sensitivity hits (organization/location/url) wrongly pushed nearly every flagged request to High. Now only non-low-sensitivity entities count toward the volume thresholds, while a single occurrence of a genuinely sensitive type (SSN, credit card, Aadhaar, passport, bank account, national ID) still forces High immediately.</w:t>
      </w:r>
    </w:p>
    <w:p>
      <w:pPr>
        <w:pStyle w:val="Heading2"/>
      </w:pPr>
      <w:r>
        <w:t>8. Token counting (`token_counter.py`)</w:t>
      </w:r>
    </w:p>
    <w:p>
      <w:pPr>
        <w:pStyle w:val="ListBullet"/>
      </w:pPr>
      <w:r>
        <w:t xml:space="preserve">Uses </w:t>
      </w:r>
      <w:r>
        <w:rPr>
          <w:rFonts w:ascii="Consolas" w:hAnsi="Consolas"/>
          <w:sz w:val="19"/>
        </w:rPr>
        <w:t>tiktoken</w:t>
      </w:r>
      <w:r>
        <w:t xml:space="preserve">, resolving an encoding via </w:t>
      </w:r>
      <w:r>
        <w:rPr>
          <w:rFonts w:ascii="Consolas" w:hAnsi="Consolas"/>
          <w:sz w:val="19"/>
        </w:rPr>
        <w:t>encoding_for_model()</w:t>
      </w:r>
      <w:r>
        <w:t xml:space="preserve"> with prefix-based fallback (</w:t>
      </w:r>
      <w:r>
        <w:rPr>
          <w:rFonts w:ascii="Consolas" w:hAnsi="Consolas"/>
          <w:sz w:val="19"/>
        </w:rPr>
        <w:t>gpt-4</w:t>
      </w:r>
      <w:r>
        <w:t xml:space="preserve">, </w:t>
      </w:r>
      <w:r>
        <w:rPr>
          <w:rFonts w:ascii="Consolas" w:hAnsi="Consolas"/>
          <w:sz w:val="19"/>
        </w:rPr>
        <w:t>gpt-3.5</w:t>
      </w:r>
      <w:r>
        <w:t xml:space="preserve">, </w:t>
      </w:r>
      <w:r>
        <w:rPr>
          <w:rFonts w:ascii="Consolas" w:hAnsi="Consolas"/>
          <w:sz w:val="19"/>
        </w:rPr>
        <w:t>text-embedding</w:t>
      </w:r>
      <w:r>
        <w:t xml:space="preserve">, </w:t>
      </w:r>
      <w:r>
        <w:rPr>
          <w:rFonts w:ascii="Consolas" w:hAnsi="Consolas"/>
          <w:sz w:val="19"/>
        </w:rPr>
        <w:t>claude</w:t>
      </w:r>
      <w:r>
        <w:t xml:space="preserve">, </w:t>
      </w:r>
      <w:r>
        <w:rPr>
          <w:rFonts w:ascii="Consolas" w:hAnsi="Consolas"/>
          <w:sz w:val="19"/>
        </w:rPr>
        <w:t>gemini</w:t>
      </w:r>
      <w:r>
        <w:t xml:space="preserve">, </w:t>
      </w:r>
      <w:r>
        <w:rPr>
          <w:rFonts w:ascii="Consolas" w:hAnsi="Consolas"/>
          <w:sz w:val="19"/>
        </w:rPr>
        <w:t>mistral</w:t>
      </w:r>
      <w:r>
        <w:t xml:space="preserve">, </w:t>
      </w:r>
      <w:r>
        <w:rPr>
          <w:rFonts w:ascii="Consolas" w:hAnsi="Consolas"/>
          <w:sz w:val="19"/>
        </w:rPr>
        <w:t>llama</w:t>
      </w:r>
      <w:r>
        <w:t xml:space="preserve"> all map to </w:t>
      </w:r>
      <w:r>
        <w:rPr>
          <w:rFonts w:ascii="Consolas" w:hAnsi="Consolas"/>
          <w:sz w:val="19"/>
        </w:rPr>
        <w:t>cl100k_base</w:t>
      </w:r>
      <w:r>
        <w:t>).</w:t>
      </w:r>
    </w:p>
    <w:p>
      <w:pPr>
        <w:pStyle w:val="ListBullet"/>
      </w:pPr>
      <w:r>
        <w:rPr>
          <w:b/>
        </w:rPr>
        <w:t>Non-streaming</w:t>
      </w:r>
      <w:r>
        <w:t xml:space="preserve">: prefers the provider's own reported </w:t>
      </w:r>
      <w:r>
        <w:rPr>
          <w:rFonts w:ascii="Consolas" w:hAnsi="Consolas"/>
          <w:sz w:val="19"/>
        </w:rPr>
        <w:t>usage.prompt_tokens</w:t>
      </w:r>
      <w:r>
        <w:t>/</w:t>
      </w:r>
      <w:r>
        <w:rPr>
          <w:rFonts w:ascii="Consolas" w:hAnsi="Consolas"/>
          <w:sz w:val="19"/>
        </w:rPr>
        <w:t>completion_tokens</w:t>
      </w:r>
      <w:r>
        <w:t>; tiktoken is only a fallback when the provider omits usage.</w:t>
      </w:r>
    </w:p>
    <w:p>
      <w:pPr>
        <w:pStyle w:val="ListBullet"/>
      </w:pPr>
      <w:r>
        <w:rPr>
          <w:b/>
        </w:rPr>
        <w:t>Streaming</w:t>
      </w:r>
      <w:r>
        <w:t>: always tiktoken-estimated, both sides.</w:t>
      </w:r>
    </w:p>
    <w:p>
      <w:pPr>
        <w:pStyle w:val="ListBullet"/>
      </w:pPr>
      <w:r>
        <w:t>The source of each count is recorded (</w:t>
      </w:r>
      <w:r>
        <w:rPr>
          <w:rFonts w:ascii="Consolas" w:hAnsi="Consolas"/>
          <w:sz w:val="19"/>
        </w:rPr>
        <w:t>TokenUsage.input_token_source</w:t>
      </w:r>
      <w:r>
        <w:t>/</w:t>
      </w:r>
      <w:r>
        <w:rPr>
          <w:rFonts w:ascii="Consolas" w:hAnsi="Consolas"/>
          <w:sz w:val="19"/>
        </w:rPr>
        <w:t>output_token_source</w:t>
      </w:r>
      <w:r>
        <w:t xml:space="preserve"> = </w:t>
      </w:r>
      <w:r>
        <w:rPr>
          <w:rFonts w:ascii="Consolas" w:hAnsi="Consolas"/>
          <w:sz w:val="19"/>
        </w:rPr>
        <w:t>"azure"</w:t>
      </w:r>
      <w:r>
        <w:t xml:space="preserve"> or </w:t>
      </w:r>
      <w:r>
        <w:rPr>
          <w:rFonts w:ascii="Consolas" w:hAnsi="Consolas"/>
          <w:sz w:val="19"/>
        </w:rPr>
        <w:t>"tiktoken_estimate"</w:t>
      </w:r>
      <w:r>
        <w:t xml:space="preserve">), and </w:t>
      </w:r>
      <w:r>
        <w:rPr>
          <w:rFonts w:ascii="Consolas" w:hAnsi="Consolas"/>
          <w:sz w:val="19"/>
        </w:rPr>
        <w:t>TokenUsage.is_estimated</w:t>
      </w:r>
      <w:r>
        <w:t xml:space="preserve"> is set whenever either side isn't a real provider-reported count.</w:t>
      </w:r>
    </w:p>
    <w:p>
      <w:pPr>
        <w:pStyle w:val="ListBullet"/>
      </w:pPr>
      <w:r>
        <w:t xml:space="preserve">Vision/image tokens are estimated separately using OpenAI's official image-tiling formula when </w:t>
      </w:r>
      <w:r>
        <w:rPr>
          <w:rFonts w:ascii="Consolas" w:hAnsi="Consolas"/>
          <w:sz w:val="19"/>
        </w:rPr>
        <w:t>image_url</w:t>
      </w:r>
      <w:r>
        <w:t xml:space="preserve"> blocks are present.</w:t>
      </w:r>
    </w:p>
    <w:p>
      <w:pPr>
        <w:pStyle w:val="Heading2"/>
      </w:pPr>
      <w:r>
        <w:t>9. Cost calculation</w:t>
      </w:r>
    </w:p>
    <w:p>
      <w:r>
        <w:t xml:space="preserve">Note: there are </w:t>
      </w:r>
      <w:r>
        <w:rPr>
          <w:b/>
        </w:rPr>
        <w:t>two independent cost-calculation code paths</w:t>
      </w:r>
      <w:r>
        <w:t xml:space="preserve"> in this codebase:</w:t>
      </w:r>
    </w:p>
    <w:p>
      <w:pPr>
        <w:pStyle w:val="ListBullet"/>
      </w:pPr>
      <w:r>
        <w:rPr>
          <w:b/>
        </w:rPr>
        <w:t>`proxy.py`'s own `_calculate_cost()`</w:t>
      </w:r>
      <w:r>
        <w:t xml:space="preserve"> — used by the live proxy request path. Lookup order: DB </w:t>
      </w:r>
      <w:r>
        <w:rPr>
          <w:rFonts w:ascii="Consolas" w:hAnsi="Consolas"/>
          <w:sz w:val="19"/>
        </w:rPr>
        <w:t>model_pricing</w:t>
      </w:r>
      <w:r>
        <w:t xml:space="preserve"> row scoped to </w:t>
      </w:r>
      <w:r>
        <w:rPr>
          <w:rFonts w:ascii="Consolas" w:hAnsi="Consolas"/>
          <w:sz w:val="19"/>
        </w:rPr>
        <w:t>(model_name, provider)</w:t>
      </w:r>
      <w:r>
        <w:t xml:space="preserve"> → DB row scoped to </w:t>
      </w:r>
      <w:r>
        <w:rPr>
          <w:rFonts w:ascii="Consolas" w:hAnsi="Consolas"/>
          <w:sz w:val="19"/>
        </w:rPr>
        <w:t>model_name</w:t>
      </w:r>
      <w:r>
        <w:t xml:space="preserve"> only → static </w:t>
      </w:r>
      <w:r>
        <w:rPr>
          <w:rFonts w:ascii="Consolas" w:hAnsi="Consolas"/>
          <w:sz w:val="19"/>
        </w:rPr>
        <w:t>PROVIDER_PRICING</w:t>
      </w:r>
      <w:r>
        <w:t xml:space="preserve"> dict → static </w:t>
      </w:r>
      <w:r>
        <w:rPr>
          <w:rFonts w:ascii="Consolas" w:hAnsi="Consolas"/>
          <w:sz w:val="19"/>
        </w:rPr>
        <w:t>MODEL_PRICING</w:t>
      </w:r>
      <w:r>
        <w:t xml:space="preserve"> catalogue (~35 models). If nothing matches, cost is recorded as </w:t>
      </w:r>
      <w:r>
        <w:rPr>
          <w:b/>
        </w:rPr>
        <w:t>$0</w:t>
      </w:r>
      <w:r>
        <w:t xml:space="preserve"> with </w:t>
      </w:r>
      <w:r>
        <w:rPr>
          <w:rFonts w:ascii="Consolas" w:hAnsi="Consolas"/>
          <w:sz w:val="19"/>
        </w:rPr>
        <w:t>cost_model_type="unknown"</w:t>
      </w:r>
      <w:r>
        <w:t xml:space="preserve"> and a warning is logged.</w:t>
      </w:r>
    </w:p>
    <w:p>
      <w:pPr>
        <w:pStyle w:val="ListBullet"/>
      </w:pPr>
      <w:r>
        <w:rPr>
          <w:b/>
        </w:rPr>
        <w:t>`cost_engine.py`'s `CostEngine`</w:t>
      </w:r>
      <w:r>
        <w:t xml:space="preserve"> — used only by the separate telemetry/ingestion pipeline (</w:t>
      </w:r>
      <w:r>
        <w:rPr>
          <w:rFonts w:ascii="Consolas" w:hAnsi="Consolas"/>
          <w:sz w:val="19"/>
        </w:rPr>
        <w:t>app/services/ingestion/</w:t>
      </w:r>
      <w:r>
        <w:t xml:space="preserve">), not by </w:t>
      </w:r>
      <w:r>
        <w:rPr>
          <w:rFonts w:ascii="Consolas" w:hAnsi="Consolas"/>
          <w:sz w:val="19"/>
        </w:rPr>
        <w:t>/proxy</w:t>
      </w:r>
      <w:r>
        <w:t>. It has its own 3-tier lookup plus infra-cost (latency, data transfer) calculation.</w:t>
      </w:r>
    </w:p>
    <w:p>
      <w:r>
        <w:t>These two paths can drift independently since they don't share pricing-resolution code; worth reconciling if pricing changes need to apply consistently to both the proxy and the ingestion pipeline.</w:t>
      </w:r>
    </w:p>
    <w:p>
      <w:r>
        <w:t xml:space="preserve">Model name aliases (e.g. </w:t>
      </w:r>
      <w:r>
        <w:rPr>
          <w:rFonts w:ascii="Consolas" w:hAnsi="Consolas"/>
          <w:sz w:val="19"/>
        </w:rPr>
        <w:t>gpt4o</w:t>
      </w:r>
      <w:r>
        <w:t xml:space="preserve"> → </w:t>
      </w:r>
      <w:r>
        <w:rPr>
          <w:rFonts w:ascii="Consolas" w:hAnsi="Consolas"/>
          <w:sz w:val="19"/>
        </w:rPr>
        <w:t>gpt-4o</w:t>
      </w:r>
      <w:r>
        <w:t>) are normalized before lookup. All costs are stored to 6 decimal places (</w:t>
      </w:r>
      <w:r>
        <w:rPr>
          <w:rFonts w:ascii="Consolas" w:hAnsi="Consolas"/>
          <w:sz w:val="19"/>
        </w:rPr>
        <w:t>Decimal("0.000001")</w:t>
      </w:r>
      <w:r>
        <w:t>).</w:t>
      </w:r>
    </w:p>
    <w:p>
      <w:pPr>
        <w:pStyle w:val="Heading2"/>
      </w:pPr>
      <w:r>
        <w:t>10. Key tables written per request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Pr>
                <w:b/>
              </w:rPr>
            </w:r>
            <w:r>
              <w:rPr>
                <w:b/>
              </w:rPr>
              <w:t>Table</w:t>
            </w:r>
          </w:p>
        </w:tc>
        <w:tc>
          <w:tcPr>
            <w:tcW w:type="dxa" w:w="2880"/>
            <w:shd w:val="clear" w:color="auto" w:fill="D9E2F3"/>
          </w:tcPr>
          <w:p>
            <w:r>
              <w:rPr>
                <w:b/>
              </w:rPr>
            </w:r>
            <w:r>
              <w:rPr>
                <w:b/>
              </w:rPr>
              <w:t>Written by</w:t>
            </w:r>
          </w:p>
        </w:tc>
        <w:tc>
          <w:tcPr>
            <w:tcW w:type="dxa" w:w="2880"/>
            <w:shd w:val="clear" w:color="auto" w:fill="D9E2F3"/>
          </w:tcPr>
          <w:p>
            <w:r>
              <w:rPr>
                <w:b/>
              </w:rPr>
            </w:r>
            <w:r>
              <w:rPr>
                <w:b/>
              </w:rPr>
              <w:t>Contents</w:t>
            </w:r>
          </w:p>
        </w:tc>
      </w:tr>
      <w:tr>
        <w:tc>
          <w:tcPr>
            <w:tcW w:type="dxa" w:w="2880"/>
          </w:tcPr>
          <w:p>
            <w:r/>
            <w:r>
              <w:rPr>
                <w:rFonts w:ascii="Consolas" w:hAnsi="Consolas"/>
                <w:sz w:val="19"/>
              </w:rPr>
              <w:t>ai_requests</w:t>
            </w:r>
          </w:p>
        </w:tc>
        <w:tc>
          <w:tcPr>
            <w:tcW w:type="dxa" w:w="2880"/>
          </w:tcPr>
          <w:p>
            <w:r/>
            <w:r>
              <w:t>pre-flight, step 7</w:t>
            </w:r>
          </w:p>
        </w:tc>
        <w:tc>
          <w:tcPr>
            <w:tcW w:type="dxa" w:w="2880"/>
          </w:tcPr>
          <w:p>
            <w:r/>
            <w:r>
              <w:t>request/response status, original + masked text, PII metadata, model/deployment</w:t>
            </w:r>
          </w:p>
        </w:tc>
      </w:tr>
      <w:tr>
        <w:tc>
          <w:tcPr>
            <w:tcW w:type="dxa" w:w="2880"/>
          </w:tcPr>
          <w:p>
            <w:r/>
            <w:r>
              <w:rPr>
                <w:rFonts w:ascii="Consolas" w:hAnsi="Consolas"/>
                <w:sz w:val="19"/>
              </w:rPr>
              <w:t>ai_responses</w:t>
            </w:r>
          </w:p>
        </w:tc>
        <w:tc>
          <w:tcPr>
            <w:tcW w:type="dxa" w:w="2880"/>
          </w:tcPr>
          <w:p>
            <w:r/>
            <w:r>
              <w:t>post-forward (background for non-stream)</w:t>
            </w:r>
          </w:p>
        </w:tc>
        <w:tc>
          <w:tcPr>
            <w:tcW w:type="dxa" w:w="2880"/>
          </w:tcPr>
          <w:p>
            <w:r/>
            <w:r>
              <w:t>raw response payload, tool calls, finish reason, latency</w:t>
            </w:r>
          </w:p>
        </w:tc>
      </w:tr>
      <w:tr>
        <w:tc>
          <w:tcPr>
            <w:tcW w:type="dxa" w:w="2880"/>
          </w:tcPr>
          <w:p>
            <w:r/>
            <w:r>
              <w:rPr>
                <w:rFonts w:ascii="Consolas" w:hAnsi="Consolas"/>
                <w:sz w:val="19"/>
              </w:rPr>
              <w:t>token_usage</w:t>
            </w:r>
          </w:p>
        </w:tc>
        <w:tc>
          <w:tcPr>
            <w:tcW w:type="dxa" w:w="2880"/>
          </w:tcPr>
          <w:p>
            <w:r/>
            <w:r>
              <w:t>post-forward</w:t>
            </w:r>
          </w:p>
        </w:tc>
        <w:tc>
          <w:tcPr>
            <w:tcW w:type="dxa" w:w="2880"/>
          </w:tcPr>
          <w:p>
            <w:r/>
            <w:r>
              <w:t>input/output/total tokens, source (</w:t>
            </w:r>
            <w:r>
              <w:rPr>
                <w:rFonts w:ascii="Consolas" w:hAnsi="Consolas"/>
                <w:sz w:val="19"/>
              </w:rPr>
              <w:t>azure</w:t>
            </w:r>
            <w:r>
              <w:t>/</w:t>
            </w:r>
            <w:r>
              <w:rPr>
                <w:rFonts w:ascii="Consolas" w:hAnsi="Consolas"/>
                <w:sz w:val="19"/>
              </w:rPr>
              <w:t>tiktoken_estimate</w:t>
            </w:r>
            <w:r>
              <w:t>)</w:t>
            </w:r>
          </w:p>
        </w:tc>
      </w:tr>
      <w:tr>
        <w:tc>
          <w:tcPr>
            <w:tcW w:type="dxa" w:w="2880"/>
          </w:tcPr>
          <w:p>
            <w:r/>
            <w:r>
              <w:rPr>
                <w:rFonts w:ascii="Consolas" w:hAnsi="Consolas"/>
                <w:sz w:val="19"/>
              </w:rPr>
              <w:t>request_cost</w:t>
            </w:r>
          </w:p>
        </w:tc>
        <w:tc>
          <w:tcPr>
            <w:tcW w:type="dxa" w:w="2880"/>
          </w:tcPr>
          <w:p>
            <w:r/>
            <w:r>
              <w:t>post-forward</w:t>
            </w:r>
          </w:p>
        </w:tc>
        <w:tc>
          <w:tcPr>
            <w:tcW w:type="dxa" w:w="2880"/>
          </w:tcPr>
          <w:p>
            <w:r/>
            <w:r>
              <w:t>per-token costs, total cost, currency, pricing snapshot</w:t>
            </w:r>
          </w:p>
        </w:tc>
      </w:tr>
      <w:tr>
        <w:tc>
          <w:tcPr>
            <w:tcW w:type="dxa" w:w="2880"/>
          </w:tcPr>
          <w:p>
            <w:r/>
            <w:r>
              <w:rPr>
                <w:rFonts w:ascii="Consolas" w:hAnsi="Consolas"/>
                <w:sz w:val="19"/>
              </w:rPr>
              <w:t>route_executions</w:t>
            </w:r>
          </w:p>
        </w:tc>
        <w:tc>
          <w:tcPr>
            <w:tcW w:type="dxa" w:w="2880"/>
          </w:tcPr>
          <w:p>
            <w:r/>
            <w:r>
              <w:t>post-forward</w:t>
            </w:r>
          </w:p>
        </w:tc>
        <w:tc>
          <w:tcPr>
            <w:tcW w:type="dxa" w:w="2880"/>
          </w:tcPr>
          <w:p>
            <w:r/>
            <w:r>
              <w:t>latency breakdown by pipeline phase</w:t>
            </w:r>
          </w:p>
        </w:tc>
      </w:tr>
      <w:tr>
        <w:tc>
          <w:tcPr>
            <w:tcW w:type="dxa" w:w="2880"/>
          </w:tcPr>
          <w:p>
            <w:r/>
            <w:r>
              <w:rPr>
                <w:rFonts w:ascii="Consolas" w:hAnsi="Consolas"/>
                <w:sz w:val="19"/>
              </w:rPr>
              <w:t>audit_logs</w:t>
            </w:r>
          </w:p>
        </w:tc>
        <w:tc>
          <w:tcPr>
            <w:tcW w:type="dxa" w:w="2880"/>
          </w:tcPr>
          <w:p>
            <w:r/>
            <w:r>
              <w:t>every enforcement decision</w:t>
            </w:r>
          </w:p>
        </w:tc>
        <w:tc>
          <w:tcPr>
            <w:tcW w:type="dxa" w:w="2880"/>
          </w:tcPr>
          <w:p>
            <w:r/>
            <w:r>
              <w:t>category/action/status, compliance flags, linked request</w:t>
            </w:r>
          </w:p>
        </w:tc>
      </w:tr>
      <w:tr>
        <w:tc>
          <w:tcPr>
            <w:tcW w:type="dxa" w:w="2880"/>
          </w:tcPr>
          <w:p>
            <w:r/>
            <w:r>
              <w:rPr>
                <w:rFonts w:ascii="Consolas" w:hAnsi="Consolas"/>
                <w:sz w:val="19"/>
              </w:rPr>
              <w:t>alerts</w:t>
            </w:r>
          </w:p>
        </w:tc>
        <w:tc>
          <w:tcPr>
            <w:tcW w:type="dxa" w:w="2880"/>
          </w:tcPr>
          <w:p>
            <w:r/>
            <w:r>
              <w:t>budget/governance violations</w:t>
            </w:r>
          </w:p>
        </w:tc>
        <w:tc>
          <w:tcPr>
            <w:tcW w:type="dxa" w:w="2880"/>
          </w:tcPr>
          <w:p>
            <w:r/>
            <w:r>
              <w:t>type, severity, threshold vs actual, active/resolved/dismissed</w:t>
            </w:r>
          </w:p>
        </w:tc>
      </w:tr>
    </w:tbl>
    <w:p>
      <w:pPr>
        <w:pStyle w:val="Heading2"/>
      </w:pPr>
      <w:r>
        <w:t>11. Background aggregation (`app/scheduler.py`)</w:t>
      </w:r>
    </w:p>
    <w:p>
      <w:r>
        <w:t>Two in-process APScheduler jobs (</w:t>
      </w:r>
      <w:r>
        <w:rPr>
          <w:rFonts w:ascii="Consolas" w:hAnsi="Consolas"/>
          <w:sz w:val="19"/>
        </w:rPr>
        <w:t>coalesce=True, max_instances=1</w:t>
      </w:r>
      <w:r>
        <w:t>):</w:t>
      </w:r>
    </w:p>
    <w:p>
      <w:pPr>
        <w:pStyle w:val="ListBullet"/>
      </w:pPr>
      <w:r>
        <w:rPr>
          <w:b/>
        </w:rPr>
        <w:t>Hourly</w:t>
      </w:r>
      <w:r>
        <w:t xml:space="preserve"> — rebuilds </w:t>
      </w:r>
      <w:r>
        <w:rPr>
          <w:rFonts w:ascii="Consolas" w:hAnsi="Consolas"/>
          <w:sz w:val="19"/>
        </w:rPr>
        <w:t>DailyOrgSummary</w:t>
      </w:r>
      <w:r>
        <w:t xml:space="preserve"> for today from </w:t>
      </w:r>
      <w:r>
        <w:rPr>
          <w:rFonts w:ascii="Consolas" w:hAnsi="Consolas"/>
          <w:sz w:val="19"/>
        </w:rPr>
        <w:t>RequestCost</w:t>
      </w:r>
      <w:r>
        <w:t xml:space="preserve"> + </w:t>
      </w:r>
      <w:r>
        <w:rPr>
          <w:rFonts w:ascii="Consolas" w:hAnsi="Consolas"/>
          <w:sz w:val="19"/>
        </w:rPr>
        <w:t>AiRequest</w:t>
      </w:r>
      <w:r>
        <w:t>, then runs anomaly detection (</w:t>
      </w:r>
      <w:r>
        <w:rPr>
          <w:rFonts w:ascii="Consolas" w:hAnsi="Consolas"/>
          <w:sz w:val="19"/>
        </w:rPr>
        <w:t>UsageAnomaly</w:t>
      </w:r>
      <w:r>
        <w:t>) comparing today's metrics against a historical baseline.</w:t>
      </w:r>
    </w:p>
    <w:p>
      <w:pPr>
        <w:pStyle w:val="ListBullet"/>
      </w:pPr>
      <w:r>
        <w:rPr>
          <w:b/>
        </w:rPr>
        <w:t>Every 24h</w:t>
      </w:r>
      <w:r>
        <w:t xml:space="preserve"> — rebuilds </w:t>
      </w:r>
      <w:r>
        <w:rPr>
          <w:rFonts w:ascii="Consolas" w:hAnsi="Consolas"/>
          <w:sz w:val="19"/>
        </w:rPr>
        <w:t>MonthlyOrgSummary</w:t>
      </w:r>
      <w:r>
        <w:t xml:space="preserve"> from the current month's </w:t>
      </w:r>
      <w:r>
        <w:rPr>
          <w:rFonts w:ascii="Consolas" w:hAnsi="Consolas"/>
          <w:sz w:val="19"/>
        </w:rPr>
        <w:t>DailyOrgSummary</w:t>
      </w:r>
      <w:r>
        <w:t xml:space="preserve"> rows.</w:t>
      </w:r>
    </w:p>
    <w:p>
      <w:r>
        <w:t xml:space="preserve">Both are idempotent (delete-then-reinsert for the current period) and can be manually re-triggered via </w:t>
      </w:r>
      <w:r>
        <w:rPr>
          <w:rFonts w:ascii="Consolas" w:hAnsi="Consolas"/>
          <w:sz w:val="19"/>
        </w:rPr>
        <w:t>POST /summary/admin/rebuild-daily?days_back=N</w:t>
      </w:r>
      <w:r>
        <w:t xml:space="preserve"> for backfill.</w:t>
      </w:r>
    </w:p>
    <w:p>
      <w:pPr>
        <w:pStyle w:val="Heading2"/>
      </w:pPr>
      <w:r>
        <w:t>12. Output surfaces (dashboards / admin APIs)</w:t>
      </w:r>
    </w:p>
    <w:p>
      <w:r>
        <w:t>All dashboard data is read from the tables in §10 (live) or §11 (pre-aggregated, up to ~24h stale for monthly figures):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Pr>
                <w:b/>
              </w:rPr>
            </w:r>
            <w:r>
              <w:rPr>
                <w:b/>
              </w:rPr>
              <w:t>Router</w:t>
            </w:r>
          </w:p>
        </w:tc>
        <w:tc>
          <w:tcPr>
            <w:tcW w:type="dxa" w:w="2880"/>
            <w:shd w:val="clear" w:color="auto" w:fill="D9E2F3"/>
          </w:tcPr>
          <w:p>
            <w:r>
              <w:rPr>
                <w:b/>
              </w:rPr>
            </w:r>
            <w:r>
              <w:rPr>
                <w:b/>
              </w:rPr>
              <w:t>Key endpoints</w:t>
            </w:r>
          </w:p>
        </w:tc>
        <w:tc>
          <w:tcPr>
            <w:tcW w:type="dxa" w:w="2880"/>
            <w:shd w:val="clear" w:color="auto" w:fill="D9E2F3"/>
          </w:tcPr>
          <w:p>
            <w:r>
              <w:rPr>
                <w:b/>
              </w:rPr>
            </w:r>
            <w:r>
              <w:rPr>
                <w:b/>
              </w:rPr>
              <w:t>Shape</w:t>
            </w:r>
          </w:p>
        </w:tc>
      </w:tr>
      <w:tr>
        <w:tc>
          <w:tcPr>
            <w:tcW w:type="dxa" w:w="2880"/>
          </w:tcPr>
          <w:p>
            <w:r/>
            <w:r>
              <w:rPr>
                <w:rFonts w:ascii="Consolas" w:hAnsi="Consolas"/>
                <w:sz w:val="19"/>
              </w:rPr>
              <w:t>audit_logs.py</w:t>
            </w:r>
          </w:p>
        </w:tc>
        <w:tc>
          <w:tcPr>
            <w:tcW w:type="dxa" w:w="2880"/>
          </w:tcPr>
          <w:p>
            <w:r/>
            <w:r>
              <w:rPr>
                <w:rFonts w:ascii="Consolas" w:hAnsi="Consolas"/>
                <w:sz w:val="19"/>
              </w:rPr>
              <w:t>GET /audit-logs</w:t>
            </w:r>
            <w:r>
              <w:t xml:space="preserve">, </w:t>
            </w:r>
            <w:r>
              <w:rPr>
                <w:rFonts w:ascii="Consolas" w:hAnsi="Consolas"/>
                <w:sz w:val="19"/>
              </w:rPr>
              <w:t>/audit-logs/pii</w:t>
            </w:r>
            <w:r>
              <w:t xml:space="preserve"> (RBAC: admin/security_reviewer), </w:t>
            </w:r>
            <w:r>
              <w:rPr>
                <w:rFonts w:ascii="Consolas" w:hAnsi="Consolas"/>
                <w:sz w:val="19"/>
              </w:rPr>
              <w:t>/audit-logs/summary</w:t>
            </w:r>
          </w:p>
        </w:tc>
        <w:tc>
          <w:tcPr>
            <w:tcW w:type="dxa" w:w="2880"/>
          </w:tcPr>
          <w:p>
            <w:r/>
            <w:r>
              <w:rPr>
                <w:rFonts w:ascii="Consolas" w:hAnsi="Consolas"/>
                <w:sz w:val="19"/>
              </w:rPr>
              <w:t>{total, offset, items[]}</w:t>
            </w:r>
            <w:r>
              <w:t xml:space="preserve"> of audit rows, or grouped counts</w:t>
            </w:r>
          </w:p>
        </w:tc>
      </w:tr>
      <w:tr>
        <w:tc>
          <w:tcPr>
            <w:tcW w:type="dxa" w:w="2880"/>
          </w:tcPr>
          <w:p>
            <w:r/>
            <w:r>
              <w:rPr>
                <w:rFonts w:ascii="Consolas" w:hAnsi="Consolas"/>
                <w:sz w:val="19"/>
              </w:rPr>
              <w:t>costs.py</w:t>
            </w:r>
          </w:p>
        </w:tc>
        <w:tc>
          <w:tcPr>
            <w:tcW w:type="dxa" w:w="2880"/>
          </w:tcPr>
          <w:p>
            <w:r/>
            <w:r>
              <w:rPr>
                <w:rFonts w:ascii="Consolas" w:hAnsi="Consolas"/>
                <w:sz w:val="19"/>
              </w:rPr>
              <w:t>/costs/by-model</w:t>
            </w:r>
            <w:r>
              <w:t xml:space="preserve">, </w:t>
            </w:r>
            <w:r>
              <w:rPr>
                <w:rFonts w:ascii="Consolas" w:hAnsi="Consolas"/>
                <w:sz w:val="19"/>
              </w:rPr>
              <w:t>/by-project</w:t>
            </w:r>
            <w:r>
              <w:t xml:space="preserve">, </w:t>
            </w:r>
            <w:r>
              <w:rPr>
                <w:rFonts w:ascii="Consolas" w:hAnsi="Consolas"/>
                <w:sz w:val="19"/>
              </w:rPr>
              <w:t>/by-org</w:t>
            </w:r>
            <w:r>
              <w:t xml:space="preserve">, </w:t>
            </w:r>
            <w:r>
              <w:rPr>
                <w:rFonts w:ascii="Consolas" w:hAnsi="Consolas"/>
                <w:sz w:val="19"/>
              </w:rPr>
              <w:t>/trend/daily</w:t>
            </w:r>
            <w:r>
              <w:t xml:space="preserve">, </w:t>
            </w:r>
            <w:r>
              <w:rPr>
                <w:rFonts w:ascii="Consolas" w:hAnsi="Consolas"/>
                <w:sz w:val="19"/>
              </w:rPr>
              <w:t>/trend/monthly</w:t>
            </w:r>
            <w:r>
              <w:t xml:space="preserve">, </w:t>
            </w:r>
            <w:r>
              <w:rPr>
                <w:rFonts w:ascii="Consolas" w:hAnsi="Consolas"/>
                <w:sz w:val="19"/>
              </w:rPr>
              <w:t>/request/{id}</w:t>
            </w:r>
            <w:r>
              <w:t xml:space="preserve">, </w:t>
            </w:r>
            <w:r>
              <w:rPr>
                <w:rFonts w:ascii="Consolas" w:hAnsi="Consolas"/>
                <w:sz w:val="19"/>
              </w:rPr>
              <w:t>/summary</w:t>
            </w:r>
          </w:p>
        </w:tc>
        <w:tc>
          <w:tcPr>
            <w:tcW w:type="dxa" w:w="2880"/>
          </w:tcPr>
          <w:p>
            <w:r/>
            <w:r>
              <w:t>Arrays/dicts of token &amp; cost totals</w:t>
            </w:r>
          </w:p>
        </w:tc>
      </w:tr>
      <w:tr>
        <w:tc>
          <w:tcPr>
            <w:tcW w:type="dxa" w:w="2880"/>
          </w:tcPr>
          <w:p>
            <w:r/>
            <w:r>
              <w:rPr>
                <w:rFonts w:ascii="Consolas" w:hAnsi="Consolas"/>
                <w:sz w:val="19"/>
              </w:rPr>
              <w:t>summary.py</w:t>
            </w:r>
          </w:p>
        </w:tc>
        <w:tc>
          <w:tcPr>
            <w:tcW w:type="dxa" w:w="2880"/>
          </w:tcPr>
          <w:p>
            <w:r/>
            <w:r>
              <w:rPr>
                <w:rFonts w:ascii="Consolas" w:hAnsi="Consolas"/>
                <w:sz w:val="19"/>
              </w:rPr>
              <w:t>/summary/today</w:t>
            </w:r>
            <w:r>
              <w:t xml:space="preserve">, </w:t>
            </w:r>
            <w:r>
              <w:rPr>
                <w:rFonts w:ascii="Consolas" w:hAnsi="Consolas"/>
                <w:sz w:val="19"/>
              </w:rPr>
              <w:t>/daily</w:t>
            </w:r>
            <w:r>
              <w:t xml:space="preserve">, </w:t>
            </w:r>
            <w:r>
              <w:rPr>
                <w:rFonts w:ascii="Consolas" w:hAnsi="Consolas"/>
                <w:sz w:val="19"/>
              </w:rPr>
              <w:t>/monthly</w:t>
            </w:r>
            <w:r>
              <w:t xml:space="preserve">, </w:t>
            </w:r>
            <w:r>
              <w:rPr>
                <w:rFonts w:ascii="Consolas" w:hAnsi="Consolas"/>
                <w:sz w:val="19"/>
              </w:rPr>
              <w:t>/trends</w:t>
            </w:r>
            <w:r>
              <w:t xml:space="preserve">, </w:t>
            </w:r>
            <w:r>
              <w:rPr>
                <w:rFonts w:ascii="Consolas" w:hAnsi="Consolas"/>
                <w:sz w:val="19"/>
              </w:rPr>
              <w:t>/overview</w:t>
            </w:r>
          </w:p>
        </w:tc>
        <w:tc>
          <w:tcPr>
            <w:tcW w:type="dxa" w:w="2880"/>
          </w:tcPr>
          <w:p>
            <w:r/>
            <w:r>
              <w:t xml:space="preserve">Live or pre-aggregated dashboard totals; </w:t>
            </w:r>
            <w:r>
              <w:rPr>
                <w:rFonts w:ascii="Consolas" w:hAnsi="Consolas"/>
                <w:sz w:val="19"/>
              </w:rPr>
              <w:t>/overview</w:t>
            </w:r>
            <w:r>
              <w:t xml:space="preserve"> includes </w:t>
            </w:r>
            <w:r>
              <w:rPr>
                <w:rFonts w:ascii="Consolas" w:hAnsi="Consolas"/>
                <w:sz w:val="19"/>
              </w:rPr>
              <w:t>active_alerts</w:t>
            </w:r>
            <w:r>
              <w:t xml:space="preserve">, </w:t>
            </w:r>
            <w:r>
              <w:rPr>
                <w:rFonts w:ascii="Consolas" w:hAnsi="Consolas"/>
                <w:sz w:val="19"/>
              </w:rPr>
              <w:t>rules_active</w:t>
            </w:r>
            <w:r>
              <w:t xml:space="preserve">, </w:t>
            </w:r>
            <w:r>
              <w:rPr>
                <w:rFonts w:ascii="Consolas" w:hAnsi="Consolas"/>
                <w:sz w:val="19"/>
              </w:rPr>
              <w:t>budgets_at_risk</w:t>
            </w:r>
          </w:p>
        </w:tc>
      </w:tr>
      <w:tr>
        <w:tc>
          <w:tcPr>
            <w:tcW w:type="dxa" w:w="2880"/>
          </w:tcPr>
          <w:p>
            <w:r/>
            <w:r>
              <w:rPr>
                <w:rFonts w:ascii="Consolas" w:hAnsi="Consolas"/>
                <w:sz w:val="19"/>
              </w:rPr>
              <w:t>alerts.py</w:t>
            </w:r>
          </w:p>
        </w:tc>
        <w:tc>
          <w:tcPr>
            <w:tcW w:type="dxa" w:w="2880"/>
          </w:tcPr>
          <w:p>
            <w:r/>
            <w:r>
              <w:rPr>
                <w:rFonts w:ascii="Consolas" w:hAnsi="Consolas"/>
                <w:sz w:val="19"/>
              </w:rPr>
              <w:t>GET /alerts/</w:t>
            </w:r>
            <w:r>
              <w:t xml:space="preserve">, </w:t>
            </w:r>
            <w:r>
              <w:rPr>
                <w:rFonts w:ascii="Consolas" w:hAnsi="Consolas"/>
                <w:sz w:val="19"/>
              </w:rPr>
              <w:t>PATCH /alerts/{id}/resolve|dismiss</w:t>
            </w:r>
            <w:r>
              <w:t xml:space="preserve">, </w:t>
            </w:r>
            <w:r>
              <w:rPr>
                <w:rFonts w:ascii="Consolas" w:hAnsi="Consolas"/>
                <w:sz w:val="19"/>
              </w:rPr>
              <w:t>/alerts/counts</w:t>
            </w:r>
          </w:p>
        </w:tc>
        <w:tc>
          <w:tcPr>
            <w:tcW w:type="dxa" w:w="2880"/>
          </w:tcPr>
          <w:p>
            <w:r/>
            <w:r>
              <w:t>Enriched alert list/detail, severity counts</w:t>
            </w:r>
          </w:p>
        </w:tc>
      </w:tr>
    </w:tbl>
    <w:p>
      <w:pPr>
        <w:pStyle w:val="Heading2"/>
      </w:pPr>
      <w:r>
        <w:t>13. Failure-response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Pr>
                <w:b/>
              </w:rPr>
            </w:r>
            <w:r>
              <w:rPr>
                <w:b/>
              </w:rPr>
              <w:t>Condition</w:t>
            </w:r>
          </w:p>
        </w:tc>
        <w:tc>
          <w:tcPr>
            <w:tcW w:type="dxa" w:w="2880"/>
            <w:shd w:val="clear" w:color="auto" w:fill="D9E2F3"/>
          </w:tcPr>
          <w:p>
            <w:r>
              <w:rPr>
                <w:b/>
              </w:rPr>
            </w:r>
            <w:r>
              <w:rPr>
                <w:b/>
              </w:rPr>
              <w:t>Status</w:t>
            </w:r>
          </w:p>
        </w:tc>
        <w:tc>
          <w:tcPr>
            <w:tcW w:type="dxa" w:w="2880"/>
            <w:shd w:val="clear" w:color="auto" w:fill="D9E2F3"/>
          </w:tcPr>
          <w:p>
            <w:r>
              <w:rPr>
                <w:b/>
              </w:rPr>
            </w:r>
            <w:r>
              <w:rPr>
                <w:b/>
              </w:rPr>
              <w:t>Body</w:t>
            </w:r>
          </w:p>
        </w:tc>
      </w:tr>
      <w:tr>
        <w:tc>
          <w:tcPr>
            <w:tcW w:type="dxa" w:w="2880"/>
          </w:tcPr>
          <w:p>
            <w:r/>
            <w:r>
              <w:t>Invalid/expired governance key</w:t>
            </w:r>
          </w:p>
        </w:tc>
        <w:tc>
          <w:tcPr>
            <w:tcW w:type="dxa" w:w="2880"/>
          </w:tcPr>
          <w:p>
            <w:r/>
            <w:r>
              <w:t>401</w:t>
            </w:r>
          </w:p>
        </w:tc>
        <w:tc>
          <w:tcPr>
            <w:tcW w:type="dxa" w:w="2880"/>
          </w:tcPr>
          <w:p>
            <w:r/>
            <w:r>
              <w:t>plain string</w:t>
            </w:r>
          </w:p>
        </w:tc>
      </w:tr>
      <w:tr>
        <w:tc>
          <w:tcPr>
            <w:tcW w:type="dxa" w:w="2880"/>
          </w:tcPr>
          <w:p>
            <w:r/>
            <w:r>
              <w:t>Rate limit exceeded</w:t>
            </w:r>
          </w:p>
        </w:tc>
        <w:tc>
          <w:tcPr>
            <w:tcW w:type="dxa" w:w="2880"/>
          </w:tcPr>
          <w:p>
            <w:r/>
            <w:r>
              <w:t>429</w:t>
            </w:r>
          </w:p>
        </w:tc>
        <w:tc>
          <w:tcPr>
            <w:tcW w:type="dxa" w:w="2880"/>
          </w:tcPr>
          <w:p>
            <w:r/>
            <w:r>
              <w:rPr>
                <w:rFonts w:ascii="Consolas" w:hAnsi="Consolas"/>
                <w:sz w:val="19"/>
              </w:rPr>
              <w:t>rate_limit_exceeded</w:t>
            </w:r>
            <w:r>
              <w:t xml:space="preserve"> + scope/limit/retry_after</w:t>
            </w:r>
          </w:p>
        </w:tc>
      </w:tr>
      <w:tr>
        <w:tc>
          <w:tcPr>
            <w:tcW w:type="dxa" w:w="2880"/>
          </w:tcPr>
          <w:p>
            <w:r/>
            <w:r>
              <w:t>Malformed body / missing model</w:t>
            </w:r>
          </w:p>
        </w:tc>
        <w:tc>
          <w:tcPr>
            <w:tcW w:type="dxa" w:w="2880"/>
          </w:tcPr>
          <w:p>
            <w:r/>
            <w:r>
              <w:t>400</w:t>
            </w:r>
          </w:p>
        </w:tc>
        <w:tc>
          <w:tcPr>
            <w:tcW w:type="dxa" w:w="2880"/>
          </w:tcPr>
          <w:p>
            <w:r/>
            <w:r>
              <w:t>plain string</w:t>
            </w:r>
          </w:p>
        </w:tc>
      </w:tr>
      <w:tr>
        <w:tc>
          <w:tcPr>
            <w:tcW w:type="dxa" w:w="2880"/>
          </w:tcPr>
          <w:p>
            <w:r/>
            <w:r>
              <w:t>Model not configured for org/project</w:t>
            </w:r>
          </w:p>
        </w:tc>
        <w:tc>
          <w:tcPr>
            <w:tcW w:type="dxa" w:w="2880"/>
          </w:tcPr>
          <w:p>
            <w:r/>
            <w:r>
              <w:t>404</w:t>
            </w:r>
          </w:p>
        </w:tc>
        <w:tc>
          <w:tcPr>
            <w:tcW w:type="dxa" w:w="2880"/>
          </w:tcPr>
          <w:p>
            <w:r/>
            <w:r>
              <w:t>plain string</w:t>
            </w:r>
          </w:p>
        </w:tc>
      </w:tr>
      <w:tr>
        <w:tc>
          <w:tcPr>
            <w:tcW w:type="dxa" w:w="2880"/>
          </w:tcPr>
          <w:p>
            <w:r/>
            <w:r>
              <w:t>Budget exceeded</w:t>
            </w:r>
          </w:p>
        </w:tc>
        <w:tc>
          <w:tcPr>
            <w:tcW w:type="dxa" w:w="2880"/>
          </w:tcPr>
          <w:p>
            <w:r/>
            <w:r>
              <w:t>429</w:t>
            </w:r>
          </w:p>
        </w:tc>
        <w:tc>
          <w:tcPr>
            <w:tcW w:type="dxa" w:w="2880"/>
          </w:tcPr>
          <w:p>
            <w:r/>
            <w:r>
              <w:rPr>
                <w:rFonts w:ascii="Consolas" w:hAnsi="Consolas"/>
                <w:sz w:val="19"/>
              </w:rPr>
              <w:t>budget_exceeded</w:t>
            </w:r>
            <w:r>
              <w:t xml:space="preserve"> + scope/limit/current spend</w:t>
            </w:r>
          </w:p>
        </w:tc>
      </w:tr>
      <w:tr>
        <w:tc>
          <w:tcPr>
            <w:tcW w:type="dxa" w:w="2880"/>
          </w:tcPr>
          <w:p>
            <w:r/>
            <w:r>
              <w:t>PII block</w:t>
            </w:r>
          </w:p>
        </w:tc>
        <w:tc>
          <w:tcPr>
            <w:tcW w:type="dxa" w:w="2880"/>
          </w:tcPr>
          <w:p>
            <w:r/>
            <w:r>
              <w:t>403</w:t>
            </w:r>
          </w:p>
        </w:tc>
        <w:tc>
          <w:tcPr>
            <w:tcW w:type="dxa" w:w="2880"/>
          </w:tcPr>
          <w:p>
            <w:r/>
            <w:r>
              <w:rPr>
                <w:rFonts w:ascii="Consolas" w:hAnsi="Consolas"/>
                <w:sz w:val="19"/>
              </w:rPr>
              <w:t>pii_block</w:t>
            </w:r>
            <w:r>
              <w:t xml:space="preserve"> + entity types</w:t>
            </w:r>
          </w:p>
        </w:tc>
      </w:tr>
      <w:tr>
        <w:tc>
          <w:tcPr>
            <w:tcW w:type="dxa" w:w="2880"/>
          </w:tcPr>
          <w:p>
            <w:r/>
            <w:r>
              <w:t>Upstream 429</w:t>
            </w:r>
          </w:p>
        </w:tc>
        <w:tc>
          <w:tcPr>
            <w:tcW w:type="dxa" w:w="2880"/>
          </w:tcPr>
          <w:p>
            <w:r/>
            <w:r>
              <w:t>429</w:t>
            </w:r>
          </w:p>
        </w:tc>
        <w:tc>
          <w:tcPr>
            <w:tcW w:type="dxa" w:w="2880"/>
          </w:tcPr>
          <w:p>
            <w:r/>
            <w:r>
              <w:t>provider's own error body</w:t>
            </w:r>
          </w:p>
        </w:tc>
      </w:tr>
      <w:tr>
        <w:tc>
          <w:tcPr>
            <w:tcW w:type="dxa" w:w="2880"/>
          </w:tcPr>
          <w:p>
            <w:r/>
            <w:r>
              <w:t>Upstream other error</w:t>
            </w:r>
          </w:p>
        </w:tc>
        <w:tc>
          <w:tcPr>
            <w:tcW w:type="dxa" w:w="2880"/>
          </w:tcPr>
          <w:p>
            <w:r/>
            <w:r>
              <w:t>same as upstream</w:t>
            </w:r>
          </w:p>
        </w:tc>
        <w:tc>
          <w:tcPr>
            <w:tcW w:type="dxa" w:w="2880"/>
          </w:tcPr>
          <w:p>
            <w:r/>
            <w:r>
              <w:t>provider's own error body</w:t>
            </w:r>
          </w:p>
        </w:tc>
      </w:tr>
      <w:tr>
        <w:tc>
          <w:tcPr>
            <w:tcW w:type="dxa" w:w="2880"/>
          </w:tcPr>
          <w:p>
            <w:r/>
            <w:r>
              <w:t>Upstream unreachable</w:t>
            </w:r>
          </w:p>
        </w:tc>
        <w:tc>
          <w:tcPr>
            <w:tcW w:type="dxa" w:w="2880"/>
          </w:tcPr>
          <w:p>
            <w:r/>
            <w:r>
              <w:t>502</w:t>
            </w:r>
          </w:p>
        </w:tc>
        <w:tc>
          <w:tcPr>
            <w:tcW w:type="dxa" w:w="2880"/>
          </w:tcPr>
          <w:p>
            <w:r/>
            <w:r>
              <w:t>plain string</w:t>
            </w:r>
          </w:p>
        </w:tc>
      </w:tr>
      <w:tr>
        <w:tc>
          <w:tcPr>
            <w:tcW w:type="dxa" w:w="2880"/>
          </w:tcPr>
          <w:p>
            <w:r/>
            <w:r>
              <w:t>Concurrency limiter full</w:t>
            </w:r>
          </w:p>
        </w:tc>
        <w:tc>
          <w:tcPr>
            <w:tcW w:type="dxa" w:w="2880"/>
          </w:tcPr>
          <w:p>
            <w:r/>
            <w:r>
              <w:t>503</w:t>
            </w:r>
          </w:p>
        </w:tc>
        <w:tc>
          <w:tcPr>
            <w:tcW w:type="dxa" w:w="2880"/>
          </w:tcPr>
          <w:p>
            <w:r/>
            <w:r>
              <w:t>plain string</w:t>
            </w:r>
          </w:p>
        </w:tc>
      </w:tr>
      <w:tr>
        <w:tc>
          <w:tcPr>
            <w:tcW w:type="dxa" w:w="2880"/>
          </w:tcPr>
          <w:p>
            <w:r/>
            <w:r>
              <w:t>Circuit breaker open</w:t>
            </w:r>
          </w:p>
        </w:tc>
        <w:tc>
          <w:tcPr>
            <w:tcW w:type="dxa" w:w="2880"/>
          </w:tcPr>
          <w:p>
            <w:r/>
            <w:r>
              <w:t>503</w:t>
            </w:r>
          </w:p>
        </w:tc>
        <w:tc>
          <w:tcPr>
            <w:tcW w:type="dxa" w:w="2880"/>
          </w:tcPr>
          <w:p>
            <w:r/>
            <w:r>
              <w:t>plain string</w:t>
            </w:r>
          </w:p>
        </w:tc>
      </w:tr>
    </w:tbl>
    <w:p>
      <w:pPr>
        <w:pStyle w:val="Heading2"/>
      </w:pPr>
      <w:r>
        <w:t>14. Known gaps worth addressing</w:t>
      </w:r>
    </w:p>
    <w:p>
      <w:pPr>
        <w:pStyle w:val="ListNumber"/>
      </w:pPr>
      <w:r>
        <w:rPr>
          <w:b/>
        </w:rPr>
        <w:t>Model allow/block lists and token ceilings are implemented but not wired in</w:t>
      </w:r>
      <w:r>
        <w:t xml:space="preserve"> (§6) — currently have zero effect on live traffic.</w:t>
      </w:r>
    </w:p>
    <w:p>
      <w:pPr>
        <w:pStyle w:val="ListNumber"/>
      </w:pPr>
      <w:r>
        <w:rPr>
          <w:b/>
        </w:rPr>
        <w:t>`governance_rules` filtering ignores `project_id`</w:t>
      </w:r>
      <w:r>
        <w:t xml:space="preserve"> — even once wired in, rules would apply org-wide only.</w:t>
      </w:r>
    </w:p>
    <w:p>
      <w:pPr>
        <w:pStyle w:val="ListNumber"/>
      </w:pPr>
      <w:r>
        <w:rPr>
          <w:b/>
        </w:rPr>
        <w:t>Two independent, divergent cost-calculation implementations</w:t>
      </w:r>
      <w:r>
        <w:t xml:space="preserve"> (§9) — proxy path vs. ingestion/telemetry path.</w:t>
      </w:r>
    </w:p>
    <w:p>
      <w:pPr>
        <w:pStyle w:val="ListNumber"/>
      </w:pPr>
      <w:r>
        <w:rPr>
          <w:b/>
        </w:rPr>
        <w:t>Rate limiting, budget checks, and PII scanning all fail open</w:t>
      </w:r>
      <w:r>
        <w:t xml:space="preserve"> on unexpected exceptions (steps 2, 5, 6 in §2) — a bug in any of these services silently disables that control rather than blocking the request.</w:t>
      </w:r>
    </w:p>
    <w:p>
      <w:pPr>
        <w:pStyle w:val="ListNumber"/>
      </w:pPr>
      <w:r>
        <w:rPr>
          <w:b/>
        </w:rPr>
        <w:t>Per-model rate limits can't match</w:t>
      </w:r>
      <w:r>
        <w:t xml:space="preserve"> at the pre-flight call site since the model isn't resolved yet when the rate-limit check runs (§4).</w:t>
      </w:r>
    </w:p>
    <w:p>
      <w:r>
        <w:br w:type="page"/>
      </w:r>
    </w:p>
    <w:p>
      <w:pPr>
        <w:pStyle w:val="Heading1"/>
      </w:pPr>
      <w:r>
        <w:t>Part 2 — Proposed Features (Real-Time Build Approaches)</w:t>
      </w:r>
    </w:p>
    <w:p>
      <w:r>
        <w:t>Living document. This part lists proposed new features on top of the platform described in Part 1, each with 4-5 concrete ways to build it — naming real tools, libraries, and approaches. Nothing here is committed; it defines the candidate scope for prioritization.</w:t>
      </w:r>
    </w:p>
    <w:p>
      <w:pPr>
        <w:pStyle w:val="Heading2"/>
      </w:pPr>
      <w:r>
        <w:t>2.0 Read This First: A Plain-English Scenario</w:t>
      </w:r>
    </w:p>
    <w:p>
      <w:r>
        <w:t>Every feature below reads more clearly against one running example than against six abstract ones. This section sets up a fictional company; each feature section that follows opens with an “In practice at Solstice” paragraph showing exactly what that company would see once the feature is live. The numbered technical options underneath are for the engineering team — the paragraph above them is what to hand to anyone else, including a manager or a client.</w:t>
      </w:r>
    </w:p>
    <w:p>
      <w:r>
        <w:t>Solstice Retail Co. is a fictional mid-size retailer — about 600 employees — that has connected two internal tools to the AI Request Gateway described in Part 1:</w:t>
      </w:r>
    </w:p>
    <w:p>
      <w:pPr>
        <w:pStyle w:val="ListBullet"/>
      </w:pPr>
      <w:r>
        <w:t>Shopper Assist — a customer-facing chatbot on the website, handling roughly 50,000 conversations a month and answering shipping, billing, and returns questions using a premium AI model.</w:t>
      </w:r>
    </w:p>
    <w:p>
      <w:pPr>
        <w:pStyle w:val="ListBullet"/>
      </w:pPr>
      <w:r>
        <w:t>Compliance Review — an internal tool Legal and HR use to summarize supplier contracts and policy PDFs. Lower volume (about 2,000 requests a month), but each request attaches a long document, so it's expensive per call.</w:t>
      </w:r>
    </w:p>
    <w:p>
      <w:r>
        <w:t>One more wrinkle: Solstice's consulting arm resells a version of Shopper Assist to two outside retail clients. Their traffic runs through the same kind of gateway but must never mix with Solstice's own data or with each other's — a constraint that matters most in sections 2.4 and 2.5 below.</w:t>
      </w:r>
    </w:p>
    <w:p>
      <w:pPr>
        <w:pStyle w:val="Heading2"/>
      </w:pPr>
      <w:r>
        <w:t>2.1 Per-Project / Per-User Token Analysis</w:t>
      </w:r>
    </w:p>
    <w:p>
      <w:r>
        <w:t>In practice at Solstice — Finance opens the dashboard and sees Compliance Review's AI spend jumped 300% in the past week — a jump big enough to alarm anyone, technical or not. Because usage is tracked down to the individual person, not just the project as a whole, drilling in shows the entire spike traces to one HR analyst who re-ran a 40-page supplier contract through the AI 60 times in an afternoon while testing different questions. IT reaches out to that one person instead of freezing AI access for all of Legal and HR — the issue is understood and resolved the same day, with a concrete name and a concrete number instead of a vague budget scare.</w:t>
      </w:r>
    </w:p>
    <w:p>
      <w:pPr>
        <w:pStyle w:val="ListNumber"/>
      </w:pPr>
      <w:r>
        <w:t>Live counters in Redis — increment per-user/project token and cost counters the instant a request completes — sub-second dashboard updates.</w:t>
      </w:r>
    </w:p>
    <w:p>
      <w:pPr>
        <w:pStyle w:val="ListNumber"/>
      </w:pPr>
      <w:r>
        <w:t>Time-series database (TimescaleDB or InfluxDB) — for fast historical queries and percentile stats (p50/p90/p99) without extra custom code.</w:t>
      </w:r>
    </w:p>
    <w:p>
      <w:pPr>
        <w:pStyle w:val="ListNumber"/>
      </w:pPr>
      <w:r>
        <w:t>Message queue (Redis Streams or Kafka) + worker — decouples analytics updates from the request itself so tracking never slows down responses.</w:t>
      </w:r>
    </w:p>
    <w:p>
      <w:pPr>
        <w:pStyle w:val="ListNumber"/>
      </w:pPr>
      <w:r>
        <w:t>Off-the-shelf BI tool (Grafana or Metabase) — connected directly to the usage data for instant dashboards without building custom UI.</w:t>
      </w:r>
    </w:p>
    <w:p>
      <w:pPr>
        <w:pStyle w:val="ListNumber"/>
      </w:pPr>
      <w:r>
        <w:t>Rolling statistical check (z-score / EWMA) — flags unusual usage spikes per user in real time, no machine-learning infrastructure needed.</w:t>
      </w:r>
    </w:p>
    <w:p>
      <w:pPr>
        <w:pStyle w:val="Heading2"/>
      </w:pPr>
      <w:r>
        <w:t>2.2 Optimization Tips Engine</w:t>
      </w:r>
    </w:p>
    <w:p>
      <w:r>
        <w:t>In practice at Solstice — the engine reviews a week of traffic and produces three tips, each one a plain sentence anyone can act on without opening a single line of code:</w:t>
      </w:r>
    </w:p>
    <w:p>
      <w:pPr>
        <w:pStyle w:val="ListBullet"/>
      </w:pPr>
      <w:r>
        <w:t>“Shopper Assist is using a $2.50-per-million-token model just to sort messages into Billing, Shipping, or Returns. A model built for simple tasks costs $0.15 per million tokens and does the same job for about 94% less.”</w:t>
      </w:r>
    </w:p>
    <w:p>
      <w:pPr>
        <w:pStyle w:val="ListBullet"/>
      </w:pPr>
      <w:r>
        <w:t>“Compliance Review re-sends the same 15,000-word supplier contract with every question asked about it. Turning on prompt caching lets the model reuse that document instead of re-reading it each time — roughly a 90% cut on that portion of the bill.”</w:t>
      </w:r>
    </w:p>
    <w:p>
      <w:pPr>
        <w:pStyle w:val="ListBullet"/>
      </w:pPr>
      <w:r>
        <w:t>“During Tuesday's checkout outage, 200 different customers asked some version of ‘is checkout down?’ within ten minutes — 200 separate AI calls for what was really one question, and a candidate for reusing a single answer instead of paying for it 200 times.”</w:t>
      </w:r>
    </w:p>
    <w:p>
      <w:r>
        <w:t>Each tip names the project, the exact behavior, and the dollar impact — no chart-reading required.</w:t>
      </w:r>
    </w:p>
    <w:p>
      <w:pPr>
        <w:pStyle w:val="ListNumber"/>
      </w:pPr>
      <w:r>
        <w:t>Rule engine with plain if-then logic — e.g. "output far exceeds input tokens → suggest a response-length cap" — simple, explainable, fast to ship.</w:t>
      </w:r>
    </w:p>
    <w:p>
      <w:pPr>
        <w:pStyle w:val="ListNumber"/>
      </w:pPr>
      <w:r>
        <w:t>Model-substitution check — compare actual cost against a cheaper equivalent model using a maintained pricing table; surfaced as a daily summary.</w:t>
      </w:r>
    </w:p>
    <w:p>
      <w:pPr>
        <w:pStyle w:val="ListNumber"/>
      </w:pPr>
      <w:r>
        <w:t>Prompt-efficiency check using a tokenizer library — (e.g. OpenAI's tiktoken or a provider's native tokenizer) to flag oversized prompts.</w:t>
      </w:r>
    </w:p>
    <w:p>
      <w:pPr>
        <w:pStyle w:val="ListNumber"/>
      </w:pPr>
      <w:r>
        <w:t>Duplicate/cache-opportunity detection — hash prompts (SHA-256) or compare embeddings using a vector search tool (pgvector, Pinecone) to catch repeated calls that could be cached.</w:t>
      </w:r>
    </w:p>
    <w:p>
      <w:pPr>
        <w:pStyle w:val="ListNumber"/>
      </w:pPr>
      <w:r>
        <w:t>AI-generated plain-English tips — send aggregated, anonymized usage stats to a low-cost AI model on a schedule (not per-request) to write human-readable recommendations.</w:t>
      </w:r>
    </w:p>
    <w:p>
      <w:pPr>
        <w:pStyle w:val="Heading2"/>
      </w:pPr>
      <w:r>
        <w:t>2.3 Savings Counter</w:t>
      </w:r>
    </w:p>
    <w:p>
      <w:r>
        <w:t>In practice at Solstice — once the three tips from 2.2 are switched on, the counter tallies actual, confirmed savings — not a projection of what might happen, but what already did: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Pr>
                <w:b/>
              </w:rPr>
            </w:r>
            <w:r>
              <w:rPr>
                <w:b/>
              </w:rPr>
              <w:t>Change made</w:t>
            </w:r>
          </w:p>
        </w:tc>
        <w:tc>
          <w:tcPr>
            <w:tcW w:type="dxa" w:w="2160"/>
            <w:shd w:val="clear" w:color="auto" w:fill="D9E2F3"/>
          </w:tcPr>
          <w:p>
            <w:r>
              <w:rPr>
                <w:b/>
              </w:rPr>
            </w:r>
            <w:r>
              <w:rPr>
                <w:b/>
              </w:rPr>
              <w:t>Volume</w:t>
            </w:r>
          </w:p>
        </w:tc>
        <w:tc>
          <w:tcPr>
            <w:tcW w:type="dxa" w:w="2160"/>
            <w:shd w:val="clear" w:color="auto" w:fill="D9E2F3"/>
          </w:tcPr>
          <w:p>
            <w:r>
              <w:rPr>
                <w:b/>
              </w:rPr>
            </w:r>
            <w:r>
              <w:rPr>
                <w:b/>
              </w:rPr>
              <w:t>Cost before → after</w:t>
            </w:r>
          </w:p>
        </w:tc>
        <w:tc>
          <w:tcPr>
            <w:tcW w:type="dxa" w:w="2160"/>
            <w:shd w:val="clear" w:color="auto" w:fill="D9E2F3"/>
          </w:tcPr>
          <w:p>
            <w:r>
              <w:rPr>
                <w:b/>
              </w:rPr>
            </w:r>
            <w:r>
              <w:rPr>
                <w:b/>
              </w:rPr>
              <w:t>Savings</w:t>
            </w:r>
          </w:p>
        </w:tc>
      </w:tr>
      <w:tr>
        <w:tc>
          <w:tcPr>
            <w:tcW w:type="dxa" w:w="2160"/>
          </w:tcPr>
          <w:p>
            <w:r/>
            <w:r>
              <w:t>Switched Shopper Assist's message-sorting step to a cheaper model</w:t>
            </w:r>
          </w:p>
        </w:tc>
        <w:tc>
          <w:tcPr>
            <w:tcW w:type="dxa" w:w="2160"/>
          </w:tcPr>
          <w:p>
            <w:r/>
            <w:r>
              <w:t>500,000 input + 50,000 output tokens / week</w:t>
            </w:r>
          </w:p>
        </w:tc>
        <w:tc>
          <w:tcPr>
            <w:tcW w:type="dxa" w:w="2160"/>
          </w:tcPr>
          <w:p>
            <w:r/>
            <w:r>
              <w:t>$1.75 → $0.11</w:t>
            </w:r>
          </w:p>
        </w:tc>
        <w:tc>
          <w:tcPr>
            <w:tcW w:type="dxa" w:w="2160"/>
          </w:tcPr>
          <w:p>
            <w:r/>
            <w:r>
              <w:t>$1.64</w:t>
            </w:r>
          </w:p>
        </w:tc>
      </w:tr>
      <w:tr>
        <w:tc>
          <w:tcPr>
            <w:tcW w:type="dxa" w:w="2160"/>
          </w:tcPr>
          <w:p>
            <w:r/>
            <w:r>
              <w:t>Turned on prompt caching for Compliance Review's supplier contract</w:t>
            </w:r>
          </w:p>
        </w:tc>
        <w:tc>
          <w:tcPr>
            <w:tcW w:type="dxa" w:w="2160"/>
          </w:tcPr>
          <w:p>
            <w:r/>
            <w:r>
              <w:t>100 questions against the same 15,000-word contract</w:t>
            </w:r>
          </w:p>
        </w:tc>
        <w:tc>
          <w:tcPr>
            <w:tcW w:type="dxa" w:w="2160"/>
          </w:tcPr>
          <w:p>
            <w:r/>
            <w:r>
              <w:t>$4.50 → $0.45</w:t>
            </w:r>
          </w:p>
        </w:tc>
        <w:tc>
          <w:tcPr>
            <w:tcW w:type="dxa" w:w="2160"/>
          </w:tcPr>
          <w:p>
            <w:r/>
            <w:r>
              <w:t>$4.05</w:t>
            </w:r>
          </w:p>
        </w:tc>
      </w:tr>
      <w:tr>
        <w:tc>
          <w:tcPr>
            <w:tcW w:type="dxa" w:w="2160"/>
          </w:tcPr>
          <w:p>
            <w:r/>
            <w:r>
              <w:t>Reused one answer for the 200 “is checkout down?” messages during the outage</w:t>
            </w:r>
          </w:p>
        </w:tc>
        <w:tc>
          <w:tcPr>
            <w:tcW w:type="dxa" w:w="2160"/>
          </w:tcPr>
          <w:p>
            <w:r/>
            <w:r>
              <w:t>200 AI calls avoided</w:t>
            </w:r>
          </w:p>
        </w:tc>
        <w:tc>
          <w:tcPr>
            <w:tcW w:type="dxa" w:w="2160"/>
          </w:tcPr>
          <w:p>
            <w:r/>
            <w:r>
              <w:t>$0.80 → $0.00</w:t>
            </w:r>
          </w:p>
        </w:tc>
        <w:tc>
          <w:tcPr>
            <w:tcW w:type="dxa" w:w="2160"/>
          </w:tcPr>
          <w:p>
            <w:r/>
            <w:r>
              <w:t>$0.80</w:t>
            </w:r>
          </w:p>
        </w:tc>
      </w:tr>
      <w:tr>
        <w:tc>
          <w:tcPr>
            <w:tcW w:type="dxa" w:w="2160"/>
          </w:tcPr>
          <w:p>
            <w:r/>
            <w:r>
              <w:t>Total this week</w:t>
            </w:r>
          </w:p>
        </w:tc>
        <w:tc>
          <w:tcPr>
            <w:tcW w:type="dxa" w:w="2160"/>
          </w:tcPr>
          <w:p>
            <w:r/>
          </w:p>
        </w:tc>
        <w:tc>
          <w:tcPr>
            <w:tcW w:type="dxa" w:w="2160"/>
          </w:tcPr>
          <w:p>
            <w:r/>
          </w:p>
        </w:tc>
        <w:tc>
          <w:tcPr>
            <w:tcW w:type="dxa" w:w="2160"/>
          </w:tcPr>
          <w:p>
            <w:r/>
            <w:r>
              <w:t>$6.49</w:t>
            </w:r>
          </w:p>
        </w:tc>
      </w:tr>
    </w:tbl>
    <w:p>
      <w:r>
        <w:t>That $6.49 came from two small tweaks and one outage, on just two projects. At Solstice's actual scale — dozens of projects, not two — the same pattern realistically compounds into real annual savings, and the dashboard's running total is the number leadership sees the moment they open it, not a figure someone calculates for a quarterly review.</w:t>
      </w:r>
    </w:p>
    <w:p>
      <w:pPr>
        <w:pStyle w:val="ListNumber"/>
      </w:pPr>
      <w:r>
        <w:t>Real-time running total in Redis — updated the instant a request's cost is known — live "$ saved this month" figure.</w:t>
      </w:r>
    </w:p>
    <w:p>
      <w:pPr>
        <w:pStyle w:val="ListNumber"/>
      </w:pPr>
      <w:r>
        <w:t>Baseline-vs-actual comparison — for every request, calculate what it would have cost on the most expensive comparable model and add the difference to the total.</w:t>
      </w:r>
    </w:p>
    <w:p>
      <w:pPr>
        <w:pStyle w:val="ListNumber"/>
      </w:pPr>
      <w:r>
        <w:t>Event-driven savings ledger — a message queue records each moment a cheaper pattern is adopted; a worker tallies confirmed (not projected) savings into a running ledger.</w:t>
      </w:r>
    </w:p>
    <w:p>
      <w:pPr>
        <w:pStyle w:val="ListNumber"/>
      </w:pPr>
      <w:r>
        <w:t>BI dashboard (Metabase/Grafana/Looker Studio) — pointed at the ledger for a shareable, always-current savings view.</w:t>
      </w:r>
    </w:p>
    <w:p>
      <w:pPr>
        <w:pStyle w:val="ListNumber"/>
      </w:pPr>
      <w:r>
        <w:t>Slack/Teams bot notifications — post savings milestones to a channel to drive visibility and adoption.</w:t>
      </w:r>
    </w:p>
    <w:p>
      <w:pPr>
        <w:pStyle w:val="Heading2"/>
      </w:pPr>
      <w:r>
        <w:t>2.4 Multi-Model Support (Claude / Gemini / OpenAI)</w:t>
      </w:r>
    </w:p>
    <w:p>
      <w:r>
        <w:t>In practice at Solstice — Shopper Assist's message-sorting step moves to a cheaper, faster model built for simple classification, while Compliance Review stays on a model with a large context window because it needs to read entire contracts in one pass. Both run through the same gateway, so both show up on the same dashboard, hit the same budget limits, and get scanned by the same sensitive-data checks — nobody on the finance or compliance team needs to know or care which company built which model. And because each of the two outside consulting clients gets its own isolated deployment with its own credentials, a pricing change or an outage at one AI provider never touches the other client's traffic.</w:t>
      </w:r>
    </w:p>
    <w:p>
      <w:pPr>
        <w:pStyle w:val="ListNumber"/>
      </w:pPr>
      <w:r>
        <w:t>Official provider SDKs — (Anthropic, Google, OpenAI Python libraries) behind one common internal interface — swap providers without changing the rest of the system.</w:t>
      </w:r>
    </w:p>
    <w:p>
      <w:pPr>
        <w:pStyle w:val="ListNumber"/>
      </w:pPr>
      <w:r>
        <w:t>Shared, regularly-updated pricing table — sourced from each provider's public pricing, refreshed on a schedule.</w:t>
      </w:r>
    </w:p>
    <w:p>
      <w:pPr>
        <w:pStyle w:val="ListNumber"/>
      </w:pPr>
      <w:r>
        <w:t>Two onboarding speeds — full real-time routing through the gateway for tight control, or a simple usage-log upload/webhook for providers not yet fully integrated — faster to add new vendors.</w:t>
      </w:r>
    </w:p>
    <w:p>
      <w:pPr>
        <w:pStyle w:val="ListNumber"/>
      </w:pPr>
      <w:r>
        <w:t>Secrets manager — (HashiCorp Vault or a cloud provider's secrets service) to keep each provider's credentials isolated and never exposed to end users.</w:t>
      </w:r>
    </w:p>
    <w:p>
      <w:pPr>
        <w:pStyle w:val="ListNumber"/>
      </w:pPr>
      <w:r>
        <w:t>Common usage schema — (tokens, cost, latency) so dashboards and the savings counter work identically no matter which AI provider was used.</w:t>
      </w:r>
    </w:p>
    <w:p>
      <w:pPr>
        <w:pStyle w:val="Heading2"/>
      </w:pPr>
      <w:r>
        <w:t>2.5 Licensed, Expiring Downloadable Package</w:t>
      </w:r>
    </w:p>
    <w:p>
      <w:r>
        <w:t>This is a distribution/licensing decision, not a governance feature — worth confirming this delivery model is actually needed before building.</w:t>
      </w:r>
    </w:p>
    <w:p>
      <w:r>
        <w:t>In practice at Solstice's consulting arm — instead of hosting one shared copy of the platform for both outside clients (which would mean their data touches the same database and the same servers), each client gets its own copy of the packaged image installed inside their own environment, licensed for 12 months. Fifteen days before a license expires, the admin dashboard shows a renewal banner; if it lapses, AI traffic keeps flowing safely under the existing rules while the analytics dashboard freezes — an incentive to renew that never puts the client's day-to-day operations at risk.</w:t>
      </w:r>
    </w:p>
    <w:p>
      <w:pPr>
        <w:pStyle w:val="ListNumber"/>
      </w:pPr>
      <w:r>
        <w:t>Signed license file + standard container image — a signed token (JWT, via a library like PyJWT) carries expiry and enabled features; the app checks it at startup and periodically. Recommended — works fully offline, no ongoing dependency on your infrastructure.</w:t>
      </w:r>
    </w:p>
    <w:p>
      <w:pPr>
        <w:pStyle w:val="ListNumber"/>
      </w:pPr>
      <w:r>
        <w:t>Expiry built into the package at release time — simplest option, but every renewal requires shipping a new package.</w:t>
      </w:r>
    </w:p>
    <w:p>
      <w:pPr>
        <w:pStyle w:val="ListNumber"/>
      </w:pPr>
      <w:r>
        <w:t>Lightweight online license check — a small hosted validation endpoint the package calls periodically (with an offline grace period), enabling real-time revoke or extension.</w:t>
      </w:r>
    </w:p>
    <w:p>
      <w:pPr>
        <w:pStyle w:val="ListNumber"/>
      </w:pPr>
      <w:r>
        <w:t>Environment-locked license — tied to a machine or cluster identifier in addition to expiry, preventing the same package from running in unlicensed environments.</w:t>
      </w:r>
    </w:p>
    <w:p>
      <w:pPr>
        <w:pStyle w:val="ListNumber"/>
      </w:pPr>
      <w:r>
        <w:t>Virtual-machine image option — for customers needing full VM isolation instead of a container, with the license checked automatically on first boot.</w:t>
      </w:r>
    </w:p>
    <w:p>
      <w:pPr>
        <w:pStyle w:val="Heading2"/>
      </w:pPr>
      <w:r>
        <w:t>2.6 Staying Expandable</w:t>
      </w:r>
    </w:p>
    <w:p>
      <w:r>
        <w:t>In practice at Solstice — six months after launch, one of the consulting arm's clients asks for a model from a provider that wasn't part of the original build. Because each provider is a self-contained add-on rather than something wired into the core system, support for the new provider ships as a plug-in module — existing clients on the older set of providers notice nothing, and nobody has to touch or retest the code the rest of Solstice already depends on.</w:t>
      </w:r>
    </w:p>
    <w:p>
      <w:pPr>
        <w:pStyle w:val="ListNumber"/>
      </w:pPr>
      <w:r>
        <w:t>Plugin-style modules — new providers, rules, or checks are added as self-contained add-ons rather than changes to core logic.</w:t>
      </w:r>
    </w:p>
    <w:p>
      <w:pPr>
        <w:pStyle w:val="ListNumber"/>
      </w:pPr>
      <w:r>
        <w:t>Configuration-driven rules — stored in the database, so most changes don't require a new release.</w:t>
      </w:r>
    </w:p>
    <w:p>
      <w:pPr>
        <w:pStyle w:val="ListNumber"/>
      </w:pPr>
      <w:r>
        <w:t>Internal event notifications — new modules react to activity happening elsewhere in the system instead of being wired directly into it.</w:t>
      </w:r>
    </w:p>
    <w:p>
      <w:pPr>
        <w:pStyle w:val="ListNumber"/>
      </w:pPr>
      <w:r>
        <w:t>Feature flags tied to licensing — so expansion also becomes a natural packaging/upsell path.</w:t>
      </w:r>
    </w:p>
    <w:p>
      <w:pPr>
        <w:pStyle w:val="ListNumber"/>
      </w:pPr>
      <w:r>
        <w:t>New analytics features run in the background — never on the path of a live request, so growth never risks slowing down response times.</w:t>
      </w:r>
    </w:p>
    <w:p>
      <w:pPr>
        <w:pStyle w:val="Heading1"/>
      </w:pPr>
      <w:r>
        <w:t>Template for Adding a New Feature</w:t>
      </w:r>
    </w:p>
    <w:p>
      <w:r>
        <w:t>2.N  &lt;feature name&gt;</w:t>
      </w:r>
    </w:p>
    <w:p>
      <w:pPr>
        <w:spacing w:before="40" w:after="120"/>
      </w:pPr>
      <w:r>
        <w:rPr>
          <w:rFonts w:ascii="Consolas" w:hAnsi="Consolas"/>
          <w:color w:val="333333"/>
          <w:sz w:val="18"/>
        </w:rPr>
        <w:t>1. &lt;approach — tool/library&gt; — &lt;why it fits&gt;</w:t>
      </w:r>
      <w:r>
        <w:rPr>
          <w:rFonts w:ascii="Consolas" w:hAnsi="Consolas"/>
          <w:color w:val="333333"/>
          <w:sz w:val="18"/>
        </w:rPr>
        <w:br/>
        <w:t>2. ...</w:t>
      </w:r>
      <w:r>
        <w:rPr>
          <w:rFonts w:ascii="Consolas" w:hAnsi="Consolas"/>
          <w:color w:val="333333"/>
          <w:sz w:val="18"/>
        </w:rPr>
        <w:br/>
        <w:t>3. ...</w:t>
      </w:r>
      <w:r>
        <w:rPr>
          <w:rFonts w:ascii="Consolas" w:hAnsi="Consolas"/>
          <w:color w:val="333333"/>
          <w:sz w:val="18"/>
        </w:rPr>
        <w:br/>
        <w:t>4. ...</w:t>
      </w:r>
    </w:p>
    <w:p>
      <w:pPr>
        <w:pStyle w:val="Heading1"/>
      </w:pPr>
      <w:r>
        <w:t>Appendix: Plain-English Glossary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9E2F3"/>
          </w:tcPr>
          <w:p>
            <w:r>
              <w:rPr>
                <w:b/>
              </w:rPr>
            </w:r>
            <w:r>
              <w:rPr>
                <w:b/>
              </w:rPr>
              <w:t>Term</w:t>
            </w:r>
          </w:p>
        </w:tc>
        <w:tc>
          <w:tcPr>
            <w:tcW w:type="dxa" w:w="4320"/>
            <w:shd w:val="clear" w:color="auto" w:fill="D9E2F3"/>
          </w:tcPr>
          <w:p>
            <w:r>
              <w:rPr>
                <w:b/>
              </w:rPr>
            </w:r>
            <w:r>
              <w:rPr>
                <w:b/>
              </w:rPr>
              <w:t>What it means</w:t>
            </w:r>
          </w:p>
        </w:tc>
      </w:tr>
      <w:tr>
        <w:tc>
          <w:tcPr>
            <w:tcW w:type="dxa" w:w="4320"/>
          </w:tcPr>
          <w:p>
            <w:r/>
            <w:r>
              <w:t>Token</w:t>
            </w:r>
          </w:p>
        </w:tc>
        <w:tc>
          <w:tcPr>
            <w:tcW w:type="dxa" w:w="4320"/>
          </w:tcPr>
          <w:p>
            <w:r/>
            <w:r>
              <w:t>A small chunk of text (roughly ¾ of a word) that AI models read and generate. Providers charge by the token, which is why token counts drive cost.</w:t>
            </w:r>
          </w:p>
        </w:tc>
      </w:tr>
      <w:tr>
        <w:tc>
          <w:tcPr>
            <w:tcW w:type="dxa" w:w="4320"/>
          </w:tcPr>
          <w:p>
            <w:r/>
            <w:r>
              <w:t>Proxy / Gateway</w:t>
            </w:r>
          </w:p>
        </w:tc>
        <w:tc>
          <w:tcPr>
            <w:tcW w:type="dxa" w:w="4320"/>
          </w:tcPr>
          <w:p>
            <w:r/>
            <w:r>
              <w:t>A checkpoint that every AI request passes through before reaching the AI provider, so the platform can inspect, log, and enforce rules on it — this is what Part 1 describes.</w:t>
            </w:r>
          </w:p>
        </w:tc>
      </w:tr>
      <w:tr>
        <w:tc>
          <w:tcPr>
            <w:tcW w:type="dxa" w:w="4320"/>
          </w:tcPr>
          <w:p>
            <w:r/>
            <w:r>
              <w:t>API</w:t>
            </w:r>
          </w:p>
        </w:tc>
        <w:tc>
          <w:tcPr>
            <w:tcW w:type="dxa" w:w="4320"/>
          </w:tcPr>
          <w:p>
            <w:r/>
            <w:r>
              <w:t>The way one piece of software (like this platform) talks to another (like OpenAI, Anthropic, or Google) over the internet.</w:t>
            </w:r>
          </w:p>
        </w:tc>
      </w:tr>
      <w:tr>
        <w:tc>
          <w:tcPr>
            <w:tcW w:type="dxa" w:w="4320"/>
          </w:tcPr>
          <w:p>
            <w:r/>
            <w:r>
              <w:t>PII</w:t>
            </w:r>
          </w:p>
        </w:tc>
        <w:tc>
          <w:tcPr>
            <w:tcW w:type="dxa" w:w="4320"/>
          </w:tcPr>
          <w:p>
            <w:r/>
            <w:r>
              <w:t>Personally Identifiable Information — things like names, emails, ID numbers, or financial details that need special handling to stay private.</w:t>
            </w:r>
          </w:p>
        </w:tc>
      </w:tr>
      <w:tr>
        <w:tc>
          <w:tcPr>
            <w:tcW w:type="dxa" w:w="4320"/>
          </w:tcPr>
          <w:p>
            <w:r/>
            <w:r>
              <w:t>Prompt caching</w:t>
            </w:r>
          </w:p>
        </w:tc>
        <w:tc>
          <w:tcPr>
            <w:tcW w:type="dxa" w:w="4320"/>
          </w:tcPr>
          <w:p>
            <w:r/>
            <w:r>
              <w:t>Letting an AI model reuse a document or instruction it has already seen instead of being sent it fresh every time — much cheaper for repeated content.</w:t>
            </w:r>
          </w:p>
        </w:tc>
      </w:tr>
      <w:tr>
        <w:tc>
          <w:tcPr>
            <w:tcW w:type="dxa" w:w="4320"/>
          </w:tcPr>
          <w:p>
            <w:r/>
            <w:r>
              <w:t>Rate limiting</w:t>
            </w:r>
          </w:p>
        </w:tc>
        <w:tc>
          <w:tcPr>
            <w:tcW w:type="dxa" w:w="4320"/>
          </w:tcPr>
          <w:p>
            <w:r/>
            <w:r>
              <w:t>A cap on how many requests or tokens a person or project can use in a given time window, to prevent runaway usage.</w:t>
            </w:r>
          </w:p>
        </w:tc>
      </w:tr>
      <w:tr>
        <w:tc>
          <w:tcPr>
            <w:tcW w:type="dxa" w:w="4320"/>
          </w:tcPr>
          <w:p>
            <w:r/>
            <w:r>
              <w:t>Budget enforcement</w:t>
            </w:r>
          </w:p>
        </w:tc>
        <w:tc>
          <w:tcPr>
            <w:tcW w:type="dxa" w:w="4320"/>
          </w:tcPr>
          <w:p>
            <w:r/>
            <w:r>
              <w:t>Automatically warning or blocking further AI usage once a project or org crosses a spending limit for the month.</w:t>
            </w:r>
          </w:p>
        </w:tc>
      </w:tr>
      <w:tr>
        <w:tc>
          <w:tcPr>
            <w:tcW w:type="dxa" w:w="4320"/>
          </w:tcPr>
          <w:p>
            <w:r/>
            <w:r>
              <w:t>License / expiry</w:t>
            </w:r>
          </w:p>
        </w:tc>
        <w:tc>
          <w:tcPr>
            <w:tcW w:type="dxa" w:w="4320"/>
          </w:tcPr>
          <w:p>
            <w:r/>
            <w:r>
              <w:t>A time-limited permission file bundled with the software; when it lapses, certain features pause until it's renewed — the same idea as a software subscription.</w:t>
            </w:r>
          </w:p>
        </w:tc>
      </w:tr>
      <w:tr>
        <w:tc>
          <w:tcPr>
            <w:tcW w:type="dxa" w:w="4320"/>
          </w:tcPr>
          <w:p>
            <w:r/>
            <w:r>
              <w:t>Container image</w:t>
            </w:r>
          </w:p>
        </w:tc>
        <w:tc>
          <w:tcPr>
            <w:tcW w:type="dxa" w:w="4320"/>
          </w:tcPr>
          <w:p>
            <w:r/>
            <w:r>
              <w:t>A self-contained, ready-to-run package of the software and everything it needs, so it can be installed the same way in any environment.</w:t>
            </w:r>
          </w:p>
        </w:tc>
      </w:tr>
      <w:tr>
        <w:tc>
          <w:tcPr>
            <w:tcW w:type="dxa" w:w="4320"/>
          </w:tcPr>
          <w:p>
            <w:r/>
            <w:r>
              <w:t>Model / LLM</w:t>
            </w:r>
          </w:p>
        </w:tc>
        <w:tc>
          <w:tcPr>
            <w:tcW w:type="dxa" w:w="4320"/>
          </w:tcPr>
          <w:p>
            <w:r/>
            <w:r>
              <w:t>The underlying AI (e.g. GPT-4o, Claude, Gemini) that actually reads a request and writes a response; different models vary a lot in cost and capability.</w:t>
            </w:r>
          </w:p>
        </w:tc>
      </w:tr>
      <w:tr>
        <w:tc>
          <w:tcPr>
            <w:tcW w:type="dxa" w:w="4320"/>
          </w:tcPr>
          <w:p>
            <w:r/>
            <w:r>
              <w:t>Multi-tenant / isolation</w:t>
            </w:r>
          </w:p>
        </w:tc>
        <w:tc>
          <w:tcPr>
            <w:tcW w:type="dxa" w:w="4320"/>
          </w:tcPr>
          <w:p>
            <w:r/>
            <w:r>
              <w:t>Keeping each customer's or client's data and traffic completely separate from everyone else's, even though they may run the same software.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