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Governance Platform — Current Capabilities &amp; Proposed Expansion</w:t>
      </w:r>
    </w:p>
    <w:p>
      <w:r>
        <w:rPr>
          <w:i/>
        </w:rPr>
        <w:t>Living document. Part 1 summarizes what the platform already does today. Part 2 lists proposed new features, each with 4+ concrete ways to build it — naming real tools, libraries, and approaches for real-time implementation. Kept short by design; append new features using the template at the end.</w:t>
      </w:r>
    </w:p>
    <w:p>
      <w:pPr>
        <w:pStyle w:val="Heading1"/>
      </w:pPr>
      <w:r>
        <w:t>Part 1 — What the Platform Already Does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Status</w:t>
            </w:r>
          </w:p>
        </w:tc>
        <w:tc>
          <w:tcPr>
            <w:tcW w:type="dxa" w:w="2880"/>
          </w:tcPr>
          <w:p>
            <w:r>
              <w:rPr>
                <w:b/>
              </w:rPr>
              <w:t>What it does</w:t>
            </w:r>
          </w:p>
        </w:tc>
      </w:tr>
      <w:tr>
        <w:tc>
          <w:tcPr>
            <w:tcW w:type="dxa" w:w="2880"/>
          </w:tcPr>
          <w:p>
            <w:r>
              <w:t>AI Request Gateway</w:t>
            </w:r>
          </w:p>
        </w:tc>
        <w:tc>
          <w:tcPr>
            <w:tcW w:type="dxa" w:w="2880"/>
          </w:tcPr>
          <w:p>
            <w:r>
              <w:t>Live</w:t>
            </w:r>
          </w:p>
        </w:tc>
        <w:tc>
          <w:tcPr>
            <w:tcW w:type="dxa" w:w="2880"/>
          </w:tcPr>
          <w:p>
            <w:r>
              <w:t>Every AI call from a team is routed through the platform, which checks policy before forwarding it to the provider.</w:t>
            </w:r>
          </w:p>
        </w:tc>
      </w:tr>
      <w:tr>
        <w:tc>
          <w:tcPr>
            <w:tcW w:type="dxa" w:w="2880"/>
          </w:tcPr>
          <w:p>
            <w:r>
              <w:t>Rate Limiting</w:t>
            </w:r>
          </w:p>
        </w:tc>
        <w:tc>
          <w:tcPr>
            <w:tcW w:type="dxa" w:w="2880"/>
          </w:tcPr>
          <w:p>
            <w:r>
              <w:t>Live</w:t>
            </w:r>
          </w:p>
        </w:tc>
        <w:tc>
          <w:tcPr>
            <w:tcW w:type="dxa" w:w="2880"/>
          </w:tcPr>
          <w:p>
            <w:r>
              <w:t>Caps how many requests or tokens a key, project, or org can use per minute/day.</w:t>
            </w:r>
          </w:p>
        </w:tc>
      </w:tr>
      <w:tr>
        <w:tc>
          <w:tcPr>
            <w:tcW w:type="dxa" w:w="2880"/>
          </w:tcPr>
          <w:p>
            <w:r>
              <w:t>Budget Enforcement</w:t>
            </w:r>
          </w:p>
        </w:tc>
        <w:tc>
          <w:tcPr>
            <w:tcW w:type="dxa" w:w="2880"/>
          </w:tcPr>
          <w:p>
            <w:r>
              <w:t>Live</w:t>
            </w:r>
          </w:p>
        </w:tc>
        <w:tc>
          <w:tcPr>
            <w:tcW w:type="dxa" w:w="2880"/>
          </w:tcPr>
          <w:p>
            <w:r>
              <w:t>Blocks or warns when a project/org's monthly AI spend crosses a set limit.</w:t>
            </w:r>
          </w:p>
        </w:tc>
      </w:tr>
      <w:tr>
        <w:tc>
          <w:tcPr>
            <w:tcW w:type="dxa" w:w="2880"/>
          </w:tcPr>
          <w:p>
            <w:r>
              <w:t>Sensitive-Data Detection &amp; Masking</w:t>
            </w:r>
          </w:p>
        </w:tc>
        <w:tc>
          <w:tcPr>
            <w:tcW w:type="dxa" w:w="2880"/>
          </w:tcPr>
          <w:p>
            <w:r>
              <w:t>Live</w:t>
            </w:r>
          </w:p>
        </w:tc>
        <w:tc>
          <w:tcPr>
            <w:tcW w:type="dxa" w:w="2880"/>
          </w:tcPr>
          <w:p>
            <w:r>
              <w:t>Scans requests for emails, IDs, financial data, etc., and masks or blocks them based on policy.</w:t>
            </w:r>
          </w:p>
        </w:tc>
      </w:tr>
      <w:tr>
        <w:tc>
          <w:tcPr>
            <w:tcW w:type="dxa" w:w="2880"/>
          </w:tcPr>
          <w:p>
            <w:r>
              <w:t>Token &amp; Cost Tracking</w:t>
            </w:r>
          </w:p>
        </w:tc>
        <w:tc>
          <w:tcPr>
            <w:tcW w:type="dxa" w:w="2880"/>
          </w:tcPr>
          <w:p>
            <w:r>
              <w:t>Live</w:t>
            </w:r>
          </w:p>
        </w:tc>
        <w:tc>
          <w:tcPr>
            <w:tcW w:type="dxa" w:w="2880"/>
          </w:tcPr>
          <w:p>
            <w:r>
              <w:t>Counts tokens per request and calculates cost using current model pricing.</w:t>
            </w:r>
          </w:p>
        </w:tc>
      </w:tr>
      <w:tr>
        <w:tc>
          <w:tcPr>
            <w:tcW w:type="dxa" w:w="2880"/>
          </w:tcPr>
          <w:p>
            <w:r>
              <w:t>Per-Project / Per-User Usage Tracking</w:t>
            </w:r>
          </w:p>
        </w:tc>
        <w:tc>
          <w:tcPr>
            <w:tcW w:type="dxa" w:w="2880"/>
          </w:tcPr>
          <w:p>
            <w:r>
              <w:t>Live</w:t>
            </w:r>
          </w:p>
        </w:tc>
        <w:tc>
          <w:tcPr>
            <w:tcW w:type="dxa" w:w="2880"/>
          </w:tcPr>
          <w:p>
            <w:r>
              <w:t>Usage and cost are broken down by individual project and user, not just the org as a whole.</w:t>
            </w:r>
          </w:p>
        </w:tc>
      </w:tr>
      <w:tr>
        <w:tc>
          <w:tcPr>
            <w:tcW w:type="dxa" w:w="2880"/>
          </w:tcPr>
          <w:p>
            <w:r>
              <w:t>Cost Dashboards</w:t>
            </w:r>
          </w:p>
        </w:tc>
        <w:tc>
          <w:tcPr>
            <w:tcW w:type="dxa" w:w="2880"/>
          </w:tcPr>
          <w:p>
            <w:r>
              <w:t>Live</w:t>
            </w:r>
          </w:p>
        </w:tc>
        <w:tc>
          <w:tcPr>
            <w:tcW w:type="dxa" w:w="2880"/>
          </w:tcPr>
          <w:p>
            <w:r>
              <w:t>Reporting by model, project, org, and time trend.</w:t>
            </w:r>
          </w:p>
        </w:tc>
      </w:tr>
      <w:tr>
        <w:tc>
          <w:tcPr>
            <w:tcW w:type="dxa" w:w="2880"/>
          </w:tcPr>
          <w:p>
            <w:r>
              <w:t>Audit Trail &amp; Alerts</w:t>
            </w:r>
          </w:p>
        </w:tc>
        <w:tc>
          <w:tcPr>
            <w:tcW w:type="dxa" w:w="2880"/>
          </w:tcPr>
          <w:p>
            <w:r>
              <w:t>Live</w:t>
            </w:r>
          </w:p>
        </w:tc>
        <w:tc>
          <w:tcPr>
            <w:tcW w:type="dxa" w:w="2880"/>
          </w:tcPr>
          <w:p>
            <w:r>
              <w:t>Every policy decision is logged; violations raise alerts.</w:t>
            </w:r>
          </w:p>
        </w:tc>
      </w:tr>
      <w:tr>
        <w:tc>
          <w:tcPr>
            <w:tcW w:type="dxa" w:w="2880"/>
          </w:tcPr>
          <w:p>
            <w:r>
              <w:t>Scheduled Rollups</w:t>
            </w:r>
          </w:p>
        </w:tc>
        <w:tc>
          <w:tcPr>
            <w:tcW w:type="dxa" w:w="2880"/>
          </w:tcPr>
          <w:p>
            <w:r>
              <w:t>Live</w:t>
            </w:r>
          </w:p>
        </w:tc>
        <w:tc>
          <w:tcPr>
            <w:tcW w:type="dxa" w:w="2880"/>
          </w:tcPr>
          <w:p>
            <w:r>
              <w:t>Usage is automatically summarized hourly, daily, and monthly.</w:t>
            </w:r>
          </w:p>
        </w:tc>
      </w:tr>
      <w:tr>
        <w:tc>
          <w:tcPr>
            <w:tcW w:type="dxa" w:w="2880"/>
          </w:tcPr>
          <w:p>
            <w:r>
              <w:t>Multi-Provider Framework</w:t>
            </w:r>
          </w:p>
        </w:tc>
        <w:tc>
          <w:tcPr>
            <w:tcW w:type="dxa" w:w="2880"/>
          </w:tcPr>
          <w:p>
            <w:r>
              <w:t>Partially built</w:t>
            </w:r>
          </w:p>
        </w:tc>
        <w:tc>
          <w:tcPr>
            <w:tcW w:type="dxa" w:w="2880"/>
          </w:tcPr>
          <w:p>
            <w:r>
              <w:t>Groundwork exists to ingest usage from providers beyond the current one, not yet complete.</w:t>
            </w:r>
          </w:p>
        </w:tc>
      </w:tr>
      <w:tr>
        <w:tc>
          <w:tcPr>
            <w:tcW w:type="dxa" w:w="2880"/>
          </w:tcPr>
          <w:p>
            <w:r>
              <w:t>Model Allow/Block Rules</w:t>
            </w:r>
          </w:p>
        </w:tc>
        <w:tc>
          <w:tcPr>
            <w:tcW w:type="dxa" w:w="2880"/>
          </w:tcPr>
          <w:p>
            <w:r>
              <w:t>Built but inactive</w:t>
            </w:r>
          </w:p>
        </w:tc>
        <w:tc>
          <w:tcPr>
            <w:tcW w:type="dxa" w:w="2880"/>
          </w:tcPr>
          <w:p>
            <w:r>
              <w:t>Rules to restrict specific models exist but aren't yet enforced on live traffic.</w:t>
            </w:r>
          </w:p>
        </w:tc>
      </w:tr>
      <w:tr>
        <w:tc>
          <w:tcPr>
            <w:tcW w:type="dxa" w:w="2880"/>
          </w:tcPr>
          <w:p>
            <w:r>
              <w:t>Optimization Tips</w:t>
            </w:r>
          </w:p>
        </w:tc>
        <w:tc>
          <w:tcPr>
            <w:tcW w:type="dxa" w:w="2880"/>
          </w:tcPr>
          <w:p>
            <w:r>
              <w:t>Not built</w:t>
            </w:r>
          </w:p>
        </w:tc>
        <w:tc>
          <w:tcPr>
            <w:tcW w:type="dxa" w:w="2880"/>
          </w:tcPr>
          <w:p>
            <w:r>
              <w:t>—</w:t>
            </w:r>
          </w:p>
        </w:tc>
      </w:tr>
      <w:tr>
        <w:tc>
          <w:tcPr>
            <w:tcW w:type="dxa" w:w="2880"/>
          </w:tcPr>
          <w:p>
            <w:r>
              <w:t>Savings Counter</w:t>
            </w:r>
          </w:p>
        </w:tc>
        <w:tc>
          <w:tcPr>
            <w:tcW w:type="dxa" w:w="2880"/>
          </w:tcPr>
          <w:p>
            <w:r>
              <w:t>Not built</w:t>
            </w:r>
          </w:p>
        </w:tc>
        <w:tc>
          <w:tcPr>
            <w:tcW w:type="dxa" w:w="2880"/>
          </w:tcPr>
          <w:p>
            <w:r>
              <w:t>—</w:t>
            </w:r>
          </w:p>
        </w:tc>
      </w:tr>
      <w:tr>
        <w:tc>
          <w:tcPr>
            <w:tcW w:type="dxa" w:w="2880"/>
          </w:tcPr>
          <w:p>
            <w:r>
              <w:t>Licensed, Expiring Downloadable Package</w:t>
            </w:r>
          </w:p>
        </w:tc>
        <w:tc>
          <w:tcPr>
            <w:tcW w:type="dxa" w:w="2880"/>
          </w:tcPr>
          <w:p>
            <w:r>
              <w:t>Not built</w:t>
            </w:r>
          </w:p>
        </w:tc>
        <w:tc>
          <w:tcPr>
            <w:tcW w:type="dxa" w:w="2880"/>
          </w:tcPr>
          <w:p>
            <w:r>
              <w:t>—</w:t>
            </w:r>
          </w:p>
        </w:tc>
      </w:tr>
    </w:tbl>
    <w:p/>
    <w:p>
      <w:pPr>
        <w:pStyle w:val="Heading1"/>
      </w:pPr>
      <w:r>
        <w:t>Part 2 — Proposed Features (Real-Time Build Approaches)</w:t>
      </w:r>
    </w:p>
    <w:p>
      <w:pPr>
        <w:pStyle w:val="Heading2"/>
      </w:pPr>
      <w:r>
        <w:t>2.0 Read This First: A Plain-English Scenario</w:t>
      </w:r>
    </w:p>
    <w:p>
      <w:pPr/>
      <w:r>
        <w:rPr>
          <w:i/>
        </w:rPr>
        <w:t>Every feature below reads more clearly against one running example than against six abstract ones. This section sets up a fictional company; each feature section that follows opens with an “In practice at Solstice” paragraph showing exactly what that company would see once the feature is live. The numbered technical options underneath are for the engineering team — the paragraph above them is what to hand to anyone else, including a manager or a client.</w:t>
      </w:r>
    </w:p>
    <w:p>
      <w:pPr/>
      <w:r>
        <w:rPr>
          <w:b/>
        </w:rPr>
        <w:t>Solstice Retail Co.</w:t>
      </w:r>
      <w:r>
        <w:t xml:space="preserve"> is a fictional mid-size retailer — about 600 employees — that has connected two internal tools to the AI Request Gateway described in Part 1:</w:t>
      </w:r>
    </w:p>
    <w:p>
      <w:pPr>
        <w:pStyle w:val="ListBullet"/>
      </w:pPr>
      <w:r>
        <w:rPr>
          <w:b/>
        </w:rPr>
        <w:t>Shopper Assist</w:t>
      </w:r>
      <w:r>
        <w:t xml:space="preserve"> — a customer-facing chatbot on the website, handling roughly 50,000 conversations a month and answering shipping, billing, and returns questions using a premium AI model.</w:t>
      </w:r>
    </w:p>
    <w:p>
      <w:pPr>
        <w:pStyle w:val="ListBullet"/>
      </w:pPr>
      <w:r>
        <w:rPr>
          <w:b/>
        </w:rPr>
        <w:t>Compliance Review</w:t>
      </w:r>
      <w:r>
        <w:t xml:space="preserve"> — an internal tool Legal and HR use to summarize supplier contracts and policy PDFs. Lower volume (about 2,000 requests a month), but each request attaches a long document, so it's expensive per call.</w:t>
      </w:r>
    </w:p>
    <w:p>
      <w:pPr/>
      <w:r>
        <w:rPr>
          <w:b/>
        </w:rPr>
        <w:t>One more wrinkle:</w:t>
      </w:r>
      <w:r>
        <w:t xml:space="preserve"> Solstice's consulting arm resells a version of Shopper Assist to two outside retail clients. Their traffic runs through the same kind of gateway but must never mix with Solstice's own data or with each other's — a constraint that matters most in sections 2.4 and 2.5 below.</w:t>
      </w:r>
    </w:p>
    <w:p>
      <w:pPr>
        <w:pStyle w:val="Heading2"/>
      </w:pPr>
      <w:r>
        <w:t>2.1 Per-Project / Per-User Token Analysis</w:t>
      </w:r>
    </w:p>
    <w:p>
      <w:pPr/>
      <w:r>
        <w:rPr>
          <w:b/>
        </w:rPr>
        <w:t>In practice at Solstice —</w:t>
      </w:r>
      <w:r>
        <w:t xml:space="preserve"> Finance opens the dashboard and sees Compliance Review's AI spend jumped 300% in the past week — a jump big enough to alarm anyone, technical or not. Because usage is tracked down to the individual person, not just the project as a whole, drilling in shows the entire spike traces to one HR analyst who re-ran a 40-page supplier contract through the AI 60 times in an afternoon while testing different questions. IT reaches out to that one person instead of freezing AI access for all of Legal and HR — the issue is understood and resolved the same day, with a concrete name and a concrete number instead of a vague budget scare.</w:t>
      </w:r>
    </w:p>
    <w:p>
      <w:pPr>
        <w:pStyle w:val="ListNumber"/>
      </w:pPr>
      <w:r>
        <w:rPr>
          <w:b/>
        </w:rPr>
        <w:t>Live counters in Redis</w:t>
      </w:r>
      <w:r>
        <w:t xml:space="preserve"> — increment per-user/project token and cost counters the instant a request completes — sub-second dashboard updates.</w:t>
      </w:r>
    </w:p>
    <w:p>
      <w:pPr>
        <w:pStyle w:val="ListNumber"/>
      </w:pPr>
      <w:r>
        <w:rPr>
          <w:b/>
        </w:rPr>
        <w:t>Time-series database (TimescaleDB or InfluxDB)</w:t>
      </w:r>
      <w:r>
        <w:t xml:space="preserve"> — for fast historical queries and percentile stats (p50/p90/p99) without extra custom code.</w:t>
      </w:r>
    </w:p>
    <w:p>
      <w:pPr>
        <w:pStyle w:val="ListNumber"/>
      </w:pPr>
      <w:r>
        <w:rPr>
          <w:b/>
        </w:rPr>
        <w:t>Message queue (Redis Streams or Kafka) + worker</w:t>
      </w:r>
      <w:r>
        <w:t xml:space="preserve"> — decouples analytics updates from the request itself so tracking never slows down responses.</w:t>
      </w:r>
    </w:p>
    <w:p>
      <w:pPr>
        <w:pStyle w:val="ListNumber"/>
      </w:pPr>
      <w:r>
        <w:rPr>
          <w:b/>
        </w:rPr>
        <w:t>Off-the-shelf BI tool (Grafana or Metabase)</w:t>
      </w:r>
      <w:r>
        <w:t xml:space="preserve"> — connected directly to the usage data for instant dashboards without building custom UI.</w:t>
      </w:r>
    </w:p>
    <w:p>
      <w:pPr>
        <w:pStyle w:val="ListNumber"/>
      </w:pPr>
      <w:r>
        <w:rPr>
          <w:b/>
        </w:rPr>
        <w:t>Rolling statistical check (z-score / EWMA)</w:t>
      </w:r>
      <w:r>
        <w:t xml:space="preserve"> — flags unusual usage spikes per user in real time, no machine-learning infrastructure needed.</w:t>
      </w:r>
    </w:p>
    <w:p>
      <w:pPr>
        <w:pStyle w:val="Heading2"/>
      </w:pPr>
      <w:r>
        <w:t>2.2 Optimization Tips Engine</w:t>
      </w:r>
    </w:p>
    <w:p>
      <w:pPr/>
      <w:r>
        <w:rPr>
          <w:b/>
        </w:rPr>
        <w:t>In practice at Solstice —</w:t>
      </w:r>
      <w:r>
        <w:t xml:space="preserve"> the engine reviews a week of traffic and produces three tips, each one a plain sentence anyone can act on without opening a single line of code:</w:t>
      </w:r>
    </w:p>
    <w:p>
      <w:pPr>
        <w:pStyle w:val="ListBullet"/>
      </w:pPr>
      <w:r>
        <w:t>“Shopper Assist is using a $2.50-per-million-token model just to sort messages into Billing, Shipping, or Returns. A model built for simple tasks costs $0.15 per million tokens and does the same job for about 94% less.”</w:t>
      </w:r>
    </w:p>
    <w:p>
      <w:pPr>
        <w:pStyle w:val="ListBullet"/>
      </w:pPr>
      <w:r>
        <w:t>“Compliance Review re-sends the same 15,000-word supplier contract with every question asked about it. Turning on prompt caching lets the model reuse that document instead of re-reading it each time — roughly a 90% cut on that portion of the bill.”</w:t>
      </w:r>
    </w:p>
    <w:p>
      <w:pPr>
        <w:pStyle w:val="ListBullet"/>
      </w:pPr>
      <w:r>
        <w:t>“During Tuesday's checkout outage, 200 different customers asked some version of ‘is checkout down?’ within ten minutes — 200 separate AI calls for what was really one question, and a candidate for reusing a single answer instead of paying for it 200 times.”</w:t>
      </w:r>
    </w:p>
    <w:p>
      <w:pPr/>
      <w:r>
        <w:rPr>
          <w:i/>
        </w:rPr>
        <w:t>Each tip names the project, the exact behavior, and the dollar impact — no chart-reading required.</w:t>
      </w:r>
    </w:p>
    <w:p>
      <w:pPr>
        <w:pStyle w:val="ListNumber"/>
      </w:pPr>
      <w:r>
        <w:rPr>
          <w:b/>
        </w:rPr>
        <w:t>Rule engine with plain if-then logic</w:t>
      </w:r>
      <w:r>
        <w:t xml:space="preserve"> — e.g. "output far exceeds input tokens → suggest a response-length cap" — simple, explainable, fast to ship.</w:t>
      </w:r>
    </w:p>
    <w:p>
      <w:pPr>
        <w:pStyle w:val="ListNumber"/>
      </w:pPr>
      <w:r>
        <w:rPr>
          <w:b/>
        </w:rPr>
        <w:t>Model-substitution check</w:t>
      </w:r>
      <w:r>
        <w:t xml:space="preserve"> — compare actual cost against a cheaper equivalent model using a maintained pricing table; surfaced as a daily summary.</w:t>
      </w:r>
    </w:p>
    <w:p>
      <w:pPr>
        <w:pStyle w:val="ListNumber"/>
      </w:pPr>
      <w:r>
        <w:rPr>
          <w:b/>
        </w:rPr>
        <w:t>Prompt-efficiency check using a tokenizer library</w:t>
      </w:r>
      <w:r>
        <w:t xml:space="preserve"> — (e.g. OpenAI's tiktoken or a provider's native tokenizer) to flag oversized prompts.</w:t>
      </w:r>
    </w:p>
    <w:p>
      <w:pPr>
        <w:pStyle w:val="ListNumber"/>
      </w:pPr>
      <w:r>
        <w:rPr>
          <w:b/>
        </w:rPr>
        <w:t>Duplicate/cache-opportunity detection</w:t>
      </w:r>
      <w:r>
        <w:t xml:space="preserve"> — hash prompts (SHA-256) or compare embeddings using a vector search tool (pgvector, Pinecone) to catch repeated calls that could be cached.</w:t>
      </w:r>
    </w:p>
    <w:p>
      <w:pPr>
        <w:pStyle w:val="ListNumber"/>
      </w:pPr>
      <w:r>
        <w:rPr>
          <w:b/>
        </w:rPr>
        <w:t>AI-generated plain-English tips</w:t>
      </w:r>
      <w:r>
        <w:t xml:space="preserve"> — send aggregated, anonymized usage stats to a low-cost AI model on a schedule (not per-request) to write human-readable recommendations.</w:t>
      </w:r>
    </w:p>
    <w:p>
      <w:pPr>
        <w:pStyle w:val="Heading2"/>
      </w:pPr>
      <w:r>
        <w:t>2.3 Savings Counter</w:t>
      </w:r>
    </w:p>
    <w:p>
      <w:pPr/>
      <w:r>
        <w:rPr>
          <w:b/>
        </w:rPr>
        <w:t>In practice at Solstice —</w:t>
      </w:r>
      <w:r>
        <w:t xml:space="preserve"> once the three tips from 2.2 are switched on, the counter tallies actual, confirmed savings — not a projection of what might happen, but what already did: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Change made</w:t>
            </w:r>
          </w:p>
        </w:tc>
        <w:tc>
          <w:tcPr>
            <w:tcW w:type="dxa" w:w="2160"/>
          </w:tcPr>
          <w:p>
            <w:r>
              <w:t>Volume</w:t>
            </w:r>
          </w:p>
        </w:tc>
        <w:tc>
          <w:tcPr>
            <w:tcW w:type="dxa" w:w="2160"/>
          </w:tcPr>
          <w:p>
            <w:r>
              <w:t>Cost before → after</w:t>
            </w:r>
          </w:p>
        </w:tc>
        <w:tc>
          <w:tcPr>
            <w:tcW w:type="dxa" w:w="2160"/>
          </w:tcPr>
          <w:p>
            <w:r>
              <w:t>Savings</w:t>
            </w:r>
          </w:p>
        </w:tc>
      </w:tr>
      <w:tr>
        <w:tc>
          <w:tcPr>
            <w:tcW w:type="dxa" w:w="2160"/>
          </w:tcPr>
          <w:p>
            <w:r>
              <w:t>Switched Shopper Assist's message-sorting step to a cheaper model</w:t>
            </w:r>
          </w:p>
        </w:tc>
        <w:tc>
          <w:tcPr>
            <w:tcW w:type="dxa" w:w="2160"/>
          </w:tcPr>
          <w:p>
            <w:r>
              <w:t>500,000 input + 50,000 output tokens / week</w:t>
            </w:r>
          </w:p>
        </w:tc>
        <w:tc>
          <w:tcPr>
            <w:tcW w:type="dxa" w:w="2160"/>
          </w:tcPr>
          <w:p>
            <w:r>
              <w:t>$1.75 → $0.11</w:t>
            </w:r>
          </w:p>
        </w:tc>
        <w:tc>
          <w:tcPr>
            <w:tcW w:type="dxa" w:w="2160"/>
          </w:tcPr>
          <w:p>
            <w:r>
              <w:t>$1.64</w:t>
            </w:r>
          </w:p>
        </w:tc>
      </w:tr>
      <w:tr>
        <w:tc>
          <w:tcPr>
            <w:tcW w:type="dxa" w:w="2160"/>
          </w:tcPr>
          <w:p>
            <w:r>
              <w:t>Turned on prompt caching for Compliance Review's supplier contract</w:t>
            </w:r>
          </w:p>
        </w:tc>
        <w:tc>
          <w:tcPr>
            <w:tcW w:type="dxa" w:w="2160"/>
          </w:tcPr>
          <w:p>
            <w:r>
              <w:t>100 questions against the same 15,000-word contract</w:t>
            </w:r>
          </w:p>
        </w:tc>
        <w:tc>
          <w:tcPr>
            <w:tcW w:type="dxa" w:w="2160"/>
          </w:tcPr>
          <w:p>
            <w:r>
              <w:t>$4.50 → $0.45</w:t>
            </w:r>
          </w:p>
        </w:tc>
        <w:tc>
          <w:tcPr>
            <w:tcW w:type="dxa" w:w="2160"/>
          </w:tcPr>
          <w:p>
            <w:r>
              <w:t>$4.05</w:t>
            </w:r>
          </w:p>
        </w:tc>
      </w:tr>
      <w:tr>
        <w:tc>
          <w:tcPr>
            <w:tcW w:type="dxa" w:w="2160"/>
          </w:tcPr>
          <w:p>
            <w:r>
              <w:t>Reused one answer for the 200 “is checkout down?” messages during the outage</w:t>
            </w:r>
          </w:p>
        </w:tc>
        <w:tc>
          <w:tcPr>
            <w:tcW w:type="dxa" w:w="2160"/>
          </w:tcPr>
          <w:p>
            <w:r>
              <w:t>200 AI calls avoided</w:t>
            </w:r>
          </w:p>
        </w:tc>
        <w:tc>
          <w:tcPr>
            <w:tcW w:type="dxa" w:w="2160"/>
          </w:tcPr>
          <w:p>
            <w:r>
              <w:t>$0.80 → $0.00</w:t>
            </w:r>
          </w:p>
        </w:tc>
        <w:tc>
          <w:tcPr>
            <w:tcW w:type="dxa" w:w="2160"/>
          </w:tcPr>
          <w:p>
            <w:r>
              <w:t>$0.80</w:t>
            </w:r>
          </w:p>
        </w:tc>
      </w:tr>
      <w:tr>
        <w:tc>
          <w:tcPr>
            <w:tcW w:type="dxa" w:w="2160"/>
          </w:tcPr>
          <w:p>
            <w:r>
              <w:rPr>
                <w:b/>
              </w:rPr>
              <w:t>Total this week</w:t>
            </w:r>
          </w:p>
        </w:tc>
        <w:tc>
          <w:tcPr>
            <w:tcW w:type="dxa" w:w="2160"/>
          </w:tcPr>
          <w:p>
            <w:r>
              <w:rPr>
                <w:b/>
              </w:rPr>
            </w:r>
          </w:p>
        </w:tc>
        <w:tc>
          <w:tcPr>
            <w:tcW w:type="dxa" w:w="2160"/>
          </w:tcPr>
          <w:p>
            <w:r>
              <w:rPr>
                <w:b/>
              </w:rPr>
            </w:r>
          </w:p>
        </w:tc>
        <w:tc>
          <w:tcPr>
            <w:tcW w:type="dxa" w:w="2160"/>
          </w:tcPr>
          <w:p>
            <w:r>
              <w:rPr>
                <w:b/>
              </w:rPr>
              <w:t>$6.49</w:t>
            </w:r>
          </w:p>
        </w:tc>
      </w:tr>
    </w:tbl>
    <w:p>
      <w:pPr/>
      <w:r>
        <w:t>That $6.49 came from two small tweaks and one outage, on just two projects. At Solstice's actual scale — dozens of projects, not two — the same pattern realistically compounds into real annual savings, and the dashboard's running total is the number leadership sees the moment they open it, not a figure someone calculates for a quarterly review.</w:t>
      </w:r>
    </w:p>
    <w:p>
      <w:pPr>
        <w:pStyle w:val="ListNumber"/>
      </w:pPr>
      <w:r>
        <w:rPr>
          <w:b/>
        </w:rPr>
        <w:t>Real-time running total in Redis</w:t>
      </w:r>
      <w:r>
        <w:t xml:space="preserve"> — updated the instant a request's cost is known — live "$ saved this month" figure.</w:t>
      </w:r>
    </w:p>
    <w:p>
      <w:pPr>
        <w:pStyle w:val="ListNumber"/>
      </w:pPr>
      <w:r>
        <w:rPr>
          <w:b/>
        </w:rPr>
        <w:t>Baseline-vs-actual comparison</w:t>
      </w:r>
      <w:r>
        <w:t xml:space="preserve"> — for every request, calculate what it would have cost on the most expensive comparable model and add the difference to the total.</w:t>
      </w:r>
    </w:p>
    <w:p>
      <w:pPr>
        <w:pStyle w:val="ListNumber"/>
      </w:pPr>
      <w:r>
        <w:rPr>
          <w:b/>
        </w:rPr>
        <w:t>Event-driven savings ledger</w:t>
      </w:r>
      <w:r>
        <w:t xml:space="preserve"> — a message queue records each moment a cheaper pattern is adopted; a worker tallies confirmed (not projected) savings into a running ledger.</w:t>
      </w:r>
    </w:p>
    <w:p>
      <w:pPr>
        <w:pStyle w:val="ListNumber"/>
      </w:pPr>
      <w:r>
        <w:rPr>
          <w:b/>
        </w:rPr>
        <w:t>BI dashboard (Metabase/Grafana/Looker Studio)</w:t>
      </w:r>
      <w:r>
        <w:t xml:space="preserve"> — pointed at the ledger for a shareable, always-current savings view.</w:t>
      </w:r>
    </w:p>
    <w:p>
      <w:pPr>
        <w:pStyle w:val="ListNumber"/>
      </w:pPr>
      <w:r>
        <w:rPr>
          <w:b/>
        </w:rPr>
        <w:t>Slack/Teams bot notifications</w:t>
      </w:r>
      <w:r>
        <w:t xml:space="preserve"> — post savings milestones to a channel to drive visibility and adoption.</w:t>
      </w:r>
    </w:p>
    <w:p>
      <w:pPr>
        <w:pStyle w:val="Heading2"/>
      </w:pPr>
      <w:r>
        <w:t>2.4 Multi-Model Support (Claude / Gemini / OpenAI)</w:t>
      </w:r>
    </w:p>
    <w:p>
      <w:pPr/>
      <w:r>
        <w:rPr>
          <w:b/>
        </w:rPr>
        <w:t>In practice at Solstice —</w:t>
      </w:r>
      <w:r>
        <w:t xml:space="preserve"> Shopper Assist's message-sorting step moves to a cheaper, faster model built for simple classification, while Compliance Review stays on a model with a large context window because it needs to read entire contracts in one pass. Both run through the same gateway, so both show up on the same dashboard, hit the same budget limits, and get scanned by the same sensitive-data checks — nobody on the finance or compliance team needs to know or care which company built which model. And because each of the two outside consulting clients gets its own isolated deployment with its own credentials, a pricing change or an outage at one AI provider never touches the other client's traffic.</w:t>
      </w:r>
    </w:p>
    <w:p>
      <w:pPr>
        <w:pStyle w:val="ListNumber"/>
      </w:pPr>
      <w:r>
        <w:rPr>
          <w:b/>
        </w:rPr>
        <w:t>Official provider SDKs</w:t>
      </w:r>
      <w:r>
        <w:t xml:space="preserve"> — (Anthropic, Google, OpenAI Python libraries) behind one common internal interface — swap providers without changing the rest of the system.</w:t>
      </w:r>
    </w:p>
    <w:p>
      <w:pPr>
        <w:pStyle w:val="ListNumber"/>
      </w:pPr>
      <w:r>
        <w:rPr>
          <w:b/>
        </w:rPr>
        <w:t>Shared, regularly-updated pricing table</w:t>
      </w:r>
      <w:r>
        <w:t xml:space="preserve"> — sourced from each provider's public pricing, refreshed on a schedule.</w:t>
      </w:r>
    </w:p>
    <w:p>
      <w:pPr>
        <w:pStyle w:val="ListNumber"/>
      </w:pPr>
      <w:r>
        <w:rPr>
          <w:b/>
        </w:rPr>
        <w:t>Two onboarding speeds</w:t>
      </w:r>
      <w:r>
        <w:t xml:space="preserve"> — full real-time routing through the gateway for tight control, or a simple usage-log upload/webhook for providers not yet fully integrated — faster to add new vendors.</w:t>
      </w:r>
    </w:p>
    <w:p>
      <w:pPr>
        <w:pStyle w:val="ListNumber"/>
      </w:pPr>
      <w:r>
        <w:rPr>
          <w:b/>
        </w:rPr>
        <w:t>Secrets manager</w:t>
      </w:r>
      <w:r>
        <w:t xml:space="preserve"> — (HashiCorp Vault or a cloud provider's secrets service) to keep each provider's credentials isolated and never exposed to end users.</w:t>
      </w:r>
    </w:p>
    <w:p>
      <w:pPr>
        <w:pStyle w:val="ListNumber"/>
      </w:pPr>
      <w:r>
        <w:rPr>
          <w:b/>
        </w:rPr>
        <w:t>Common usage schema</w:t>
      </w:r>
      <w:r>
        <w:t xml:space="preserve"> — (tokens, cost, latency) so dashboards and the savings counter work identically no matter which AI provider was used.</w:t>
      </w:r>
    </w:p>
    <w:p>
      <w:pPr>
        <w:pStyle w:val="Heading2"/>
      </w:pPr>
      <w:r>
        <w:t>2.5 Licensed, Expiring Downloadable Package</w:t>
      </w:r>
    </w:p>
    <w:p>
      <w:r>
        <w:rPr>
          <w:i/>
        </w:rPr>
        <w:t>This is a distribution/licensing decision, not a governance feature — worth confirming this delivery model is actually needed before building.</w:t>
      </w:r>
    </w:p>
    <w:p>
      <w:pPr/>
      <w:r>
        <w:rPr>
          <w:b/>
        </w:rPr>
        <w:t>In practice at Solstice's consulting arm —</w:t>
      </w:r>
      <w:r>
        <w:t xml:space="preserve"> instead of hosting one shared copy of the platform for both outside clients (which would mean their data touches the same database and the same servers), each client gets its own copy of the packaged image installed inside their own environment, licensed for 12 months. Fifteen days before a license expires, the admin dashboard shows a renewal banner; if it lapses, AI traffic keeps flowing safely under the existing rules while the analytics dashboard freezes — an incentive to renew that never puts the client's day-to-day operations at risk.</w:t>
      </w:r>
    </w:p>
    <w:p>
      <w:pPr>
        <w:pStyle w:val="ListNumber"/>
      </w:pPr>
      <w:r>
        <w:rPr>
          <w:b/>
        </w:rPr>
        <w:t>Signed license file + standard container image</w:t>
      </w:r>
      <w:r>
        <w:t xml:space="preserve"> — a signed token (JWT, via a library like PyJWT) carries expiry and enabled features; the app checks it at startup and periodically. Recommended — works fully offline, no ongoing dependency on your infrastructure.</w:t>
      </w:r>
    </w:p>
    <w:p>
      <w:pPr>
        <w:pStyle w:val="ListNumber"/>
      </w:pPr>
      <w:r>
        <w:rPr>
          <w:b/>
        </w:rPr>
        <w:t>Expiry built into the package at release time</w:t>
      </w:r>
      <w:r>
        <w:t xml:space="preserve"> — simplest option, but every renewal requires shipping a new package.</w:t>
      </w:r>
    </w:p>
    <w:p>
      <w:pPr>
        <w:pStyle w:val="ListNumber"/>
      </w:pPr>
      <w:r>
        <w:rPr>
          <w:b/>
        </w:rPr>
        <w:t>Lightweight online license check</w:t>
      </w:r>
      <w:r>
        <w:t xml:space="preserve"> — a small hosted validation endpoint the package calls periodically (with an offline grace period), enabling real-time revoke or extension.</w:t>
      </w:r>
    </w:p>
    <w:p>
      <w:pPr>
        <w:pStyle w:val="ListNumber"/>
      </w:pPr>
      <w:r>
        <w:rPr>
          <w:b/>
        </w:rPr>
        <w:t>Environment-locked license</w:t>
      </w:r>
      <w:r>
        <w:t xml:space="preserve"> — tied to a machine or cluster identifier in addition to expiry, preventing the same package from running in unlicensed environments.</w:t>
      </w:r>
    </w:p>
    <w:p>
      <w:pPr>
        <w:pStyle w:val="ListNumber"/>
      </w:pPr>
      <w:r>
        <w:rPr>
          <w:b/>
        </w:rPr>
        <w:t>Virtual-machine image option</w:t>
      </w:r>
      <w:r>
        <w:t xml:space="preserve"> — for customers needing full VM isolation instead of a container, with the license checked automatically on first boot.</w:t>
      </w:r>
    </w:p>
    <w:p>
      <w:pPr>
        <w:pStyle w:val="Heading2"/>
      </w:pPr>
      <w:r>
        <w:t>2.6 Staying Expandable</w:t>
      </w:r>
    </w:p>
    <w:p>
      <w:pPr/>
      <w:r>
        <w:rPr>
          <w:b/>
        </w:rPr>
        <w:t>In practice at Solstice —</w:t>
      </w:r>
      <w:r>
        <w:t xml:space="preserve"> six months after launch, one of the consulting arm's clients asks for a model from a provider that wasn't part of the original build. Because each provider is a self-contained add-on rather than something wired into the core system, support for the new provider ships as a plug-in module — existing clients on the older set of providers notice nothing, and nobody has to touch or retest the code the rest of Solstice already depends on.</w:t>
      </w:r>
    </w:p>
    <w:p>
      <w:pPr>
        <w:pStyle w:val="ListNumber"/>
      </w:pPr>
      <w:r>
        <w:rPr>
          <w:b/>
        </w:rPr>
        <w:t>Plugin-style modules</w:t>
      </w:r>
      <w:r>
        <w:t xml:space="preserve"> — new providers, rules, or checks are added as self-contained add-ons rather than changes to core logic.</w:t>
      </w:r>
    </w:p>
    <w:p>
      <w:pPr>
        <w:pStyle w:val="ListNumber"/>
      </w:pPr>
      <w:r>
        <w:rPr>
          <w:b/>
        </w:rPr>
        <w:t>Configuration-driven rules</w:t>
      </w:r>
      <w:r>
        <w:t xml:space="preserve"> — stored in the database, so most changes don't require a new release.</w:t>
      </w:r>
    </w:p>
    <w:p>
      <w:pPr>
        <w:pStyle w:val="ListNumber"/>
      </w:pPr>
      <w:r>
        <w:rPr>
          <w:b/>
        </w:rPr>
        <w:t>Internal event notifications</w:t>
      </w:r>
      <w:r>
        <w:t xml:space="preserve"> — new modules react to activity happening elsewhere in the system instead of being wired directly into it.</w:t>
      </w:r>
    </w:p>
    <w:p>
      <w:pPr>
        <w:pStyle w:val="ListNumber"/>
      </w:pPr>
      <w:r>
        <w:rPr>
          <w:b/>
        </w:rPr>
        <w:t>Feature flags tied to licensing</w:t>
      </w:r>
      <w:r>
        <w:t xml:space="preserve"> — so expansion also becomes a natural packaging/upsell path.</w:t>
      </w:r>
    </w:p>
    <w:p>
      <w:pPr>
        <w:pStyle w:val="ListNumber"/>
      </w:pPr>
      <w:r>
        <w:rPr>
          <w:b/>
        </w:rPr>
        <w:t>New analytics features run in the background</w:t>
      </w:r>
      <w:r>
        <w:t xml:space="preserve"> — never on the path of a live request, so growth never risks slowing down response times.</w:t>
      </w:r>
    </w:p>
    <w:p>
      <w:pPr>
        <w:pStyle w:val="Heading1"/>
      </w:pPr>
      <w:r>
        <w:t>Template for Adding a New Feature</w:t>
      </w:r>
    </w:p>
    <w:p>
      <w:r>
        <w:rPr>
          <w:rFonts w:ascii="Consolas" w:hAnsi="Consolas"/>
          <w:sz w:val="19"/>
        </w:rPr>
        <w:t>2.N  &lt;feature name&gt;</w:t>
        <w:br/>
        <w:t>1. &lt;approach — tool/library&gt; — &lt;why it fits&gt;</w:t>
        <w:br/>
        <w:t>2. ...</w:t>
        <w:br/>
        <w:t>3. ...</w:t>
        <w:br/>
        <w:t>4. ...</w:t>
      </w:r>
    </w:p>
    <w:p>
      <w:pPr>
        <w:pStyle w:val="Heading1"/>
      </w:pPr>
      <w:r>
        <w:t>Appendix: Plain-English Glossary</w:t>
      </w:r>
    </w:p>
    <w:tbl>
      <w:tblPr>
        <w:tblStyle w:val="LightGrid-Accent1"/>
        <w:tblW w:type="auto" w:w="0"/>
        <w:tblLook w:firstColumn="1" w:firstRow="1" w:lastColumn="0" w:lastRow="0" w:noHBand="0" w:noVBand="1" w:val="04A0"/>
      </w:tblPr>
      <w:tblGrid>
        <w:gridCol w:w="4320"/>
        <w:gridCol w:w="4320"/>
      </w:tblGrid>
      <w:tr>
        <w:tc>
          <w:tcPr>
            <w:tcW w:type="dxa" w:w="4320"/>
          </w:tcPr>
          <w:p>
            <w:r>
              <w:t>Term</w:t>
            </w:r>
          </w:p>
        </w:tc>
        <w:tc>
          <w:tcPr>
            <w:tcW w:type="dxa" w:w="4320"/>
          </w:tcPr>
          <w:p>
            <w:r>
              <w:t>What it means</w:t>
            </w:r>
          </w:p>
        </w:tc>
      </w:tr>
      <w:tr>
        <w:tc>
          <w:tcPr>
            <w:tcW w:type="dxa" w:w="4320"/>
          </w:tcPr>
          <w:p>
            <w:r>
              <w:rPr>
                <w:b/>
              </w:rPr>
              <w:t>Token</w:t>
            </w:r>
          </w:p>
        </w:tc>
        <w:tc>
          <w:tcPr>
            <w:tcW w:type="dxa" w:w="4320"/>
          </w:tcPr>
          <w:p>
            <w:r>
              <w:t>A small chunk of text (roughly ¾ of a word) that AI models read and generate. Providers charge by the token, which is why token counts drive cost.</w:t>
            </w:r>
          </w:p>
        </w:tc>
      </w:tr>
      <w:tr>
        <w:tc>
          <w:tcPr>
            <w:tcW w:type="dxa" w:w="4320"/>
          </w:tcPr>
          <w:p>
            <w:r>
              <w:rPr>
                <w:b/>
              </w:rPr>
              <w:t>Proxy / Gateway</w:t>
            </w:r>
          </w:p>
        </w:tc>
        <w:tc>
          <w:tcPr>
            <w:tcW w:type="dxa" w:w="4320"/>
          </w:tcPr>
          <w:p>
            <w:r>
              <w:t>A checkpoint that every AI request passes through before reaching the AI provider, so the platform can inspect, log, and enforce rules on it — this is what Part 1 describes.</w:t>
            </w:r>
          </w:p>
        </w:tc>
      </w:tr>
      <w:tr>
        <w:tc>
          <w:tcPr>
            <w:tcW w:type="dxa" w:w="4320"/>
          </w:tcPr>
          <w:p>
            <w:r>
              <w:rPr>
                <w:b/>
              </w:rPr>
              <w:t>API</w:t>
            </w:r>
          </w:p>
        </w:tc>
        <w:tc>
          <w:tcPr>
            <w:tcW w:type="dxa" w:w="4320"/>
          </w:tcPr>
          <w:p>
            <w:r>
              <w:t>The way one piece of software (like this platform) talks to another (like OpenAI, Anthropic, or Google) over the internet.</w:t>
            </w:r>
          </w:p>
        </w:tc>
      </w:tr>
      <w:tr>
        <w:tc>
          <w:tcPr>
            <w:tcW w:type="dxa" w:w="4320"/>
          </w:tcPr>
          <w:p>
            <w:r>
              <w:rPr>
                <w:b/>
              </w:rPr>
              <w:t>PII</w:t>
            </w:r>
          </w:p>
        </w:tc>
        <w:tc>
          <w:tcPr>
            <w:tcW w:type="dxa" w:w="4320"/>
          </w:tcPr>
          <w:p>
            <w:r>
              <w:t>Personally Identifiable Information — things like names, emails, ID numbers, or financial details that need special handling to stay private.</w:t>
            </w:r>
          </w:p>
        </w:tc>
      </w:tr>
      <w:tr>
        <w:tc>
          <w:tcPr>
            <w:tcW w:type="dxa" w:w="4320"/>
          </w:tcPr>
          <w:p>
            <w:r>
              <w:rPr>
                <w:b/>
              </w:rPr>
              <w:t>Prompt caching</w:t>
            </w:r>
          </w:p>
        </w:tc>
        <w:tc>
          <w:tcPr>
            <w:tcW w:type="dxa" w:w="4320"/>
          </w:tcPr>
          <w:p>
            <w:r>
              <w:t>Letting an AI model reuse a document or instruction it has already seen instead of being sent it fresh every time — much cheaper for repeated content.</w:t>
            </w:r>
          </w:p>
        </w:tc>
      </w:tr>
      <w:tr>
        <w:tc>
          <w:tcPr>
            <w:tcW w:type="dxa" w:w="4320"/>
          </w:tcPr>
          <w:p>
            <w:r>
              <w:rPr>
                <w:b/>
              </w:rPr>
              <w:t>Rate limiting</w:t>
            </w:r>
          </w:p>
        </w:tc>
        <w:tc>
          <w:tcPr>
            <w:tcW w:type="dxa" w:w="4320"/>
          </w:tcPr>
          <w:p>
            <w:r>
              <w:t>A cap on how many requests or tokens a person or project can use in a given time window, to prevent runaway usage.</w:t>
            </w:r>
          </w:p>
        </w:tc>
      </w:tr>
      <w:tr>
        <w:tc>
          <w:tcPr>
            <w:tcW w:type="dxa" w:w="4320"/>
          </w:tcPr>
          <w:p>
            <w:r>
              <w:rPr>
                <w:b/>
              </w:rPr>
              <w:t>Budget enforcement</w:t>
            </w:r>
          </w:p>
        </w:tc>
        <w:tc>
          <w:tcPr>
            <w:tcW w:type="dxa" w:w="4320"/>
          </w:tcPr>
          <w:p>
            <w:r>
              <w:t>Automatically warning or blocking further AI usage once a project or org crosses a spending limit for the month.</w:t>
            </w:r>
          </w:p>
        </w:tc>
      </w:tr>
      <w:tr>
        <w:tc>
          <w:tcPr>
            <w:tcW w:type="dxa" w:w="4320"/>
          </w:tcPr>
          <w:p>
            <w:r>
              <w:rPr>
                <w:b/>
              </w:rPr>
              <w:t>License / expiry</w:t>
            </w:r>
          </w:p>
        </w:tc>
        <w:tc>
          <w:tcPr>
            <w:tcW w:type="dxa" w:w="4320"/>
          </w:tcPr>
          <w:p>
            <w:r>
              <w:t>A time-limited permission file bundled with the software; when it lapses, certain features pause until it's renewed — the same idea as a software subscription.</w:t>
            </w:r>
          </w:p>
        </w:tc>
      </w:tr>
      <w:tr>
        <w:tc>
          <w:tcPr>
            <w:tcW w:type="dxa" w:w="4320"/>
          </w:tcPr>
          <w:p>
            <w:r>
              <w:rPr>
                <w:b/>
              </w:rPr>
              <w:t>Container image</w:t>
            </w:r>
          </w:p>
        </w:tc>
        <w:tc>
          <w:tcPr>
            <w:tcW w:type="dxa" w:w="4320"/>
          </w:tcPr>
          <w:p>
            <w:r>
              <w:t>A self-contained, ready-to-run package of the software and everything it needs, so it can be installed the same way in any environment.</w:t>
            </w:r>
          </w:p>
        </w:tc>
      </w:tr>
      <w:tr>
        <w:tc>
          <w:tcPr>
            <w:tcW w:type="dxa" w:w="4320"/>
          </w:tcPr>
          <w:p>
            <w:r>
              <w:rPr>
                <w:b/>
              </w:rPr>
              <w:t>Model / LLM</w:t>
            </w:r>
          </w:p>
        </w:tc>
        <w:tc>
          <w:tcPr>
            <w:tcW w:type="dxa" w:w="4320"/>
          </w:tcPr>
          <w:p>
            <w:r>
              <w:t>The underlying AI (e.g. GPT-4o, Claude, Gemini) that actually reads a request and writes a response; different models vary a lot in cost and capability.</w:t>
            </w:r>
          </w:p>
        </w:tc>
      </w:tr>
      <w:tr>
        <w:tc>
          <w:tcPr>
            <w:tcW w:type="dxa" w:w="4320"/>
          </w:tcPr>
          <w:p>
            <w:r>
              <w:rPr>
                <w:b/>
              </w:rPr>
              <w:t>Multi-tenant / isolation</w:t>
            </w:r>
          </w:p>
        </w:tc>
        <w:tc>
          <w:tcPr>
            <w:tcW w:type="dxa" w:w="4320"/>
          </w:tcPr>
          <w:p>
            <w:r>
              <w:t>Keeping each customer's or client's data and traffic completely separate from everyone else's, even though they may run the same software.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