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6E9D" w14:textId="47124DED" w:rsidR="00B51FBE" w:rsidRDefault="00E02848" w:rsidP="00E02848">
      <w:pPr>
        <w:pStyle w:val="Heading1"/>
      </w:pPr>
      <w:r>
        <w:t>93-101 Derivatives: Business Conduct</w:t>
      </w:r>
    </w:p>
    <w:p w14:paraId="6F548980" w14:textId="347740F6" w:rsidR="00E02848" w:rsidRDefault="00E02848" w:rsidP="00E02848">
      <w:hyperlink r:id="rId5" w:history="1">
        <w:r w:rsidRPr="00E02848">
          <w:rPr>
            <w:rStyle w:val="Hyperlink"/>
          </w:rPr>
          <w:t>93101-NI-September-28-2024.pdf</w:t>
        </w:r>
      </w:hyperlink>
    </w:p>
    <w:p w14:paraId="416338A6" w14:textId="77777777" w:rsidR="00E02848" w:rsidRDefault="00E02848" w:rsidP="00E02848">
      <w:r w:rsidRPr="00E02848">
        <w:t>“</w:t>
      </w:r>
      <w:proofErr w:type="gramStart"/>
      <w:r w:rsidRPr="00E02848">
        <w:t>commercial</w:t>
      </w:r>
      <w:proofErr w:type="gramEnd"/>
      <w:r w:rsidRPr="00E02848">
        <w:t xml:space="preserve"> hedger” means a person or company that carries on a business and that transacts a derivative to hedge a risk in respect of the business, related to any of the following: </w:t>
      </w:r>
    </w:p>
    <w:p w14:paraId="07792E9D" w14:textId="5F1C7F27" w:rsidR="00E02848" w:rsidRDefault="00E02848" w:rsidP="00E02848">
      <w:pPr>
        <w:pStyle w:val="ListParagraph"/>
        <w:numPr>
          <w:ilvl w:val="0"/>
          <w:numId w:val="1"/>
        </w:numPr>
      </w:pPr>
      <w:r w:rsidRPr="00E02848">
        <w:t xml:space="preserve">an asset that the person or company owns, produces, manufactures, processes, or merchandises or, at the time of the execution of the transaction, reasonably anticipates owning, producing, manufacturing, processing, or </w:t>
      </w:r>
      <w:proofErr w:type="gramStart"/>
      <w:r w:rsidRPr="00E02848">
        <w:t>merchandising;</w:t>
      </w:r>
      <w:proofErr w:type="gramEnd"/>
    </w:p>
    <w:p w14:paraId="4F0071D9" w14:textId="21E7D5C8" w:rsidR="00E02848" w:rsidRDefault="00E02848" w:rsidP="00E02848">
      <w:pPr>
        <w:pStyle w:val="ListParagraph"/>
        <w:numPr>
          <w:ilvl w:val="0"/>
          <w:numId w:val="1"/>
        </w:numPr>
      </w:pPr>
      <w:r w:rsidRPr="00E02848">
        <w:t xml:space="preserve">a liability that the person or company incurs or, at the time the transaction occurs, reasonably anticipates </w:t>
      </w:r>
      <w:proofErr w:type="gramStart"/>
      <w:r w:rsidRPr="00E02848">
        <w:t>incurring;</w:t>
      </w:r>
      <w:proofErr w:type="gramEnd"/>
    </w:p>
    <w:p w14:paraId="06CE0490" w14:textId="1478E791" w:rsidR="00E02848" w:rsidRDefault="00E02848" w:rsidP="00E02848">
      <w:pPr>
        <w:pStyle w:val="ListParagraph"/>
        <w:numPr>
          <w:ilvl w:val="0"/>
          <w:numId w:val="1"/>
        </w:numPr>
      </w:pPr>
      <w:r w:rsidRPr="00E02848">
        <w:t xml:space="preserve">a service that the person or company provides, purchases, or, at the time the transaction occurs, reasonably anticipates providing or </w:t>
      </w:r>
      <w:proofErr w:type="gramStart"/>
      <w:r w:rsidRPr="00E02848">
        <w:t>purchasing;</w:t>
      </w:r>
      <w:proofErr w:type="gramEnd"/>
    </w:p>
    <w:p w14:paraId="43666790" w14:textId="0A7B1AD0" w:rsidR="00E02848" w:rsidRDefault="00E02848" w:rsidP="00E02848">
      <w:r w:rsidRPr="00E02848">
        <w:t>“</w:t>
      </w:r>
      <w:proofErr w:type="gramStart"/>
      <w:r w:rsidRPr="00E02848">
        <w:t>eligible</w:t>
      </w:r>
      <w:proofErr w:type="gramEnd"/>
      <w:r w:rsidRPr="00E02848">
        <w:t xml:space="preserve"> commercial hedger” means a person or company that</w:t>
      </w:r>
    </w:p>
    <w:p w14:paraId="0002FD88" w14:textId="0B960301" w:rsidR="00E02848" w:rsidRDefault="00E02848" w:rsidP="00E02848">
      <w:pPr>
        <w:pStyle w:val="ListParagraph"/>
        <w:numPr>
          <w:ilvl w:val="0"/>
          <w:numId w:val="2"/>
        </w:numPr>
      </w:pPr>
      <w:r w:rsidRPr="00E02848">
        <w:t>is described in paragraph (n) of the definition of “</w:t>
      </w:r>
      <w:r w:rsidRPr="0019524F">
        <w:rPr>
          <w:highlight w:val="magenta"/>
        </w:rPr>
        <w:t>eligible derivatives party</w:t>
      </w:r>
      <w:r w:rsidRPr="00E02848">
        <w:t>”, and</w:t>
      </w:r>
    </w:p>
    <w:p w14:paraId="6CF91AAE" w14:textId="7D3F2AA0" w:rsidR="00E02848" w:rsidRDefault="00E02848" w:rsidP="00E02848">
      <w:pPr>
        <w:pStyle w:val="ListParagraph"/>
        <w:numPr>
          <w:ilvl w:val="0"/>
          <w:numId w:val="2"/>
        </w:numPr>
      </w:pPr>
      <w:r w:rsidRPr="00E02848">
        <w:t xml:space="preserve">is not described in any other paragraph of that </w:t>
      </w:r>
      <w:proofErr w:type="gramStart"/>
      <w:r w:rsidRPr="00E02848">
        <w:t>definition;</w:t>
      </w:r>
      <w:proofErr w:type="gramEnd"/>
    </w:p>
    <w:p w14:paraId="67764047" w14:textId="77777777" w:rsidR="00E02848" w:rsidRDefault="00E02848" w:rsidP="00E02848">
      <w:r w:rsidRPr="00E02848">
        <w:t>“</w:t>
      </w:r>
      <w:proofErr w:type="gramStart"/>
      <w:r w:rsidRPr="0019524F">
        <w:rPr>
          <w:highlight w:val="magenta"/>
        </w:rPr>
        <w:t>eligible</w:t>
      </w:r>
      <w:proofErr w:type="gramEnd"/>
      <w:r w:rsidRPr="0019524F">
        <w:rPr>
          <w:highlight w:val="magenta"/>
        </w:rPr>
        <w:t xml:space="preserve"> derivatives party</w:t>
      </w:r>
      <w:r w:rsidRPr="00E02848">
        <w:t>” means, for a derivatives party of a derivatives firm, any of the following</w:t>
      </w:r>
      <w:r>
        <w:t>:</w:t>
      </w:r>
    </w:p>
    <w:p w14:paraId="0C36331D" w14:textId="16539928" w:rsidR="00E83B44" w:rsidRDefault="00E02848" w:rsidP="00E83B44">
      <w:pPr>
        <w:ind w:left="360"/>
      </w:pPr>
      <w:r>
        <w:t xml:space="preserve">(n) </w:t>
      </w:r>
      <w:r w:rsidRPr="00E02848">
        <w:t xml:space="preserve">a person or company that has represented </w:t>
      </w:r>
      <w:r w:rsidRPr="0019524F">
        <w:rPr>
          <w:highlight w:val="green"/>
        </w:rPr>
        <w:t>to the derivatives firm, in writing</w:t>
      </w:r>
      <w:r w:rsidRPr="00E02848">
        <w:t xml:space="preserve">, that it is a </w:t>
      </w:r>
      <w:r>
        <w:t xml:space="preserve">                                                  </w:t>
      </w:r>
      <w:r w:rsidRPr="0019524F">
        <w:rPr>
          <w:highlight w:val="green"/>
        </w:rPr>
        <w:t xml:space="preserve">commercial hedger in relation to the derivatives that it transacts with the derivatives </w:t>
      </w:r>
      <w:proofErr w:type="gramStart"/>
      <w:r w:rsidRPr="0019524F">
        <w:rPr>
          <w:highlight w:val="green"/>
        </w:rPr>
        <w:t>firm</w:t>
      </w:r>
      <w:r w:rsidRPr="00E02848">
        <w:t>;</w:t>
      </w:r>
      <w:proofErr w:type="gramEnd"/>
      <w:r w:rsidRPr="00E02848">
        <w:t xml:space="preserve">  </w:t>
      </w:r>
      <w:r>
        <w:t xml:space="preserve"> </w:t>
      </w:r>
    </w:p>
    <w:p w14:paraId="36C043B8" w14:textId="77777777" w:rsidR="00E83B44" w:rsidRDefault="00E83B44" w:rsidP="00E83B44">
      <w:r w:rsidRPr="00E83B44">
        <w:t xml:space="preserve">Exemptions from certain requirements in this Instrument when dealing with or advising an eligible derivatives party </w:t>
      </w:r>
    </w:p>
    <w:p w14:paraId="6186C20F" w14:textId="77777777" w:rsidR="00E83B44" w:rsidRDefault="00E83B44" w:rsidP="00E83B44">
      <w:r w:rsidRPr="00E83B44">
        <w:t xml:space="preserve">8. (1) Subject to subsection (3), a derivatives firm is exempt from this Instrument, in relation to a transaction with a derivatives party if the derivatives party  </w:t>
      </w:r>
    </w:p>
    <w:p w14:paraId="49805487" w14:textId="77777777" w:rsidR="00E83B44" w:rsidRDefault="00E83B44" w:rsidP="00E83B44">
      <w:r w:rsidRPr="00E83B44">
        <w:t>(a)</w:t>
      </w:r>
      <w:r>
        <w:t xml:space="preserve"> </w:t>
      </w:r>
      <w:r w:rsidRPr="00E83B44">
        <w:t xml:space="preserve">is an eligible derivatives party, and </w:t>
      </w:r>
    </w:p>
    <w:p w14:paraId="0D38EEE5" w14:textId="77777777" w:rsidR="00E83B44" w:rsidRDefault="00E83B44" w:rsidP="00E83B44">
      <w:r>
        <w:t xml:space="preserve">(b) </w:t>
      </w:r>
      <w:r w:rsidRPr="00E83B44">
        <w:t xml:space="preserve">is not an individual or an eligible commercial hedger.  </w:t>
      </w:r>
    </w:p>
    <w:p w14:paraId="28B2B05A" w14:textId="77777777" w:rsidR="00E83B44" w:rsidRDefault="00E83B44" w:rsidP="00E83B44">
      <w:r>
        <w:t xml:space="preserve">(2) </w:t>
      </w:r>
      <w:r w:rsidRPr="00E83B44">
        <w:t xml:space="preserve">Subject to subsection (3), a derivatives firm is exempt from this Instrument, in relation to a transaction with a derivatives party,  </w:t>
      </w:r>
    </w:p>
    <w:p w14:paraId="33D0E375" w14:textId="77777777" w:rsidR="00E83B44" w:rsidRDefault="00E83B44" w:rsidP="00E83B44">
      <w:r w:rsidRPr="00E83B44">
        <w:t>(a) if the derivatives party (</w:t>
      </w:r>
      <w:proofErr w:type="spellStart"/>
      <w:r w:rsidRPr="00E83B44">
        <w:t>i</w:t>
      </w:r>
      <w:proofErr w:type="spellEnd"/>
      <w:r w:rsidRPr="00E83B44">
        <w:t xml:space="preserve">) is an </w:t>
      </w:r>
      <w:r w:rsidRPr="0019524F">
        <w:rPr>
          <w:highlight w:val="green"/>
        </w:rPr>
        <w:t>eligible derivatives party</w:t>
      </w:r>
      <w:r w:rsidRPr="00E83B44">
        <w:t xml:space="preserve">, </w:t>
      </w:r>
    </w:p>
    <w:p w14:paraId="5B49D4F2" w14:textId="77777777" w:rsidR="00E83B44" w:rsidRDefault="00E83B44" w:rsidP="00E83B44">
      <w:r w:rsidRPr="00E83B44">
        <w:t xml:space="preserve">(ii) is an individual or an </w:t>
      </w:r>
      <w:r w:rsidRPr="0019524F">
        <w:rPr>
          <w:highlight w:val="green"/>
        </w:rPr>
        <w:t>eligible commercial hedger,</w:t>
      </w:r>
      <w:r w:rsidRPr="00E83B44">
        <w:t xml:space="preserve"> and </w:t>
      </w:r>
    </w:p>
    <w:p w14:paraId="134E1123" w14:textId="77777777" w:rsidR="00E83B44" w:rsidRDefault="00E83B44" w:rsidP="00E83B44">
      <w:r w:rsidRPr="00E83B44">
        <w:t xml:space="preserve">(iii) </w:t>
      </w:r>
      <w:r w:rsidRPr="0019524F">
        <w:rPr>
          <w:highlight w:val="yellow"/>
        </w:rPr>
        <w:t>has provided the derivatives firm with a written statement that it “waives protections provided in National Instrument 93-101” and specifies which protections that statement applies to, and</w:t>
      </w:r>
      <w:r w:rsidRPr="00E83B44">
        <w:t xml:space="preserve"> </w:t>
      </w:r>
    </w:p>
    <w:p w14:paraId="2417E3B5" w14:textId="77777777" w:rsidR="00E83B44" w:rsidRDefault="00E83B44" w:rsidP="00E83B44">
      <w:r>
        <w:t xml:space="preserve">(b) </w:t>
      </w:r>
      <w:r w:rsidRPr="00E83B44">
        <w:t xml:space="preserve">if, in the case of a derivatives party that is an individual and is an eligible commercial hedger, the derivatives firm has identified and documented the nature of the derivatives party’s business and the related commercial risks that the derivatives party is hedging. </w:t>
      </w:r>
    </w:p>
    <w:p w14:paraId="38208C24" w14:textId="77777777" w:rsidR="00E83B44" w:rsidRDefault="00E83B44" w:rsidP="00E83B44">
      <w:r w:rsidRPr="00E83B44">
        <w:t xml:space="preserve">(3) The exemptions in subsections (1) and (2) do not apply in respect of the following: </w:t>
      </w:r>
    </w:p>
    <w:p w14:paraId="1997B318" w14:textId="77777777" w:rsidR="00E83B44" w:rsidRDefault="00E83B44" w:rsidP="00E83B44">
      <w:r w:rsidRPr="00E83B44">
        <w:lastRenderedPageBreak/>
        <w:t>(a)  Division 1 [General obligations towards all derivatives parties] of Part 3 [Dealing with or advising derivatives parties</w:t>
      </w:r>
      <w:proofErr w:type="gramStart"/>
      <w:r w:rsidRPr="00E83B44">
        <w:t>];</w:t>
      </w:r>
      <w:proofErr w:type="gramEnd"/>
      <w:r w:rsidRPr="00E83B44">
        <w:t xml:space="preserve"> </w:t>
      </w:r>
    </w:p>
    <w:p w14:paraId="3AAB2BBB" w14:textId="77777777" w:rsidR="00E83B44" w:rsidRDefault="00E83B44" w:rsidP="00E83B44">
      <w:r w:rsidRPr="00E83B44">
        <w:t>(b) sections 24 [Application and Interaction with other Instruments] and 25 [Segregating derivatives party assets</w:t>
      </w:r>
      <w:proofErr w:type="gramStart"/>
      <w:r w:rsidRPr="00E83B44">
        <w:t>];</w:t>
      </w:r>
      <w:proofErr w:type="gramEnd"/>
      <w:r w:rsidRPr="00E83B44">
        <w:t xml:space="preserve"> </w:t>
      </w:r>
    </w:p>
    <w:p w14:paraId="065CC5B4" w14:textId="77777777" w:rsidR="00E83B44" w:rsidRDefault="00E83B44" w:rsidP="00E83B44">
      <w:r w:rsidRPr="00E83B44">
        <w:t>(c)  subsection 28(1) [Content and delivery of transaction information</w:t>
      </w:r>
      <w:proofErr w:type="gramStart"/>
      <w:r w:rsidRPr="00E83B44">
        <w:t>];</w:t>
      </w:r>
      <w:proofErr w:type="gramEnd"/>
      <w:r w:rsidRPr="00E83B44">
        <w:t xml:space="preserve"> </w:t>
      </w:r>
    </w:p>
    <w:p w14:paraId="21C71C44" w14:textId="0305787D" w:rsidR="00E83B44" w:rsidRDefault="00E83B44" w:rsidP="00E83B44">
      <w:r w:rsidRPr="00E83B44">
        <w:t>(d)  Part 5 [Compliance and recordkeeping].</w:t>
      </w:r>
    </w:p>
    <w:p w14:paraId="2EC8C683" w14:textId="77777777" w:rsidR="00E83B44" w:rsidRDefault="00E83B44" w:rsidP="00E83B44"/>
    <w:p w14:paraId="44F713C9" w14:textId="5DBDAADA" w:rsidR="00E83B44" w:rsidRDefault="00E83B44" w:rsidP="00E83B44">
      <w:r w:rsidRPr="00E83B44">
        <w:t xml:space="preserve">Part 6 [Exemptions] of this Instrument </w:t>
      </w:r>
      <w:proofErr w:type="gramStart"/>
      <w:r w:rsidRPr="00E83B44">
        <w:t>provides</w:t>
      </w:r>
      <w:proofErr w:type="gramEnd"/>
      <w:r w:rsidRPr="00E83B44">
        <w:t xml:space="preserve"> exemptions from the requirements of this Instrument to persons or companies, subject to certain terms and conditions: </w:t>
      </w:r>
    </w:p>
    <w:p w14:paraId="593E090F" w14:textId="3BEE6DCD" w:rsidR="00E83B44" w:rsidRDefault="00E83B44" w:rsidP="00E83B44">
      <w:pPr>
        <w:spacing w:after="0" w:line="240" w:lineRule="auto"/>
        <w:contextualSpacing/>
      </w:pPr>
      <w:r w:rsidRPr="00E83B44">
        <w:t xml:space="preserve">Foreign liquidity providers – transactions with derivatives dealers (s. 37) </w:t>
      </w:r>
    </w:p>
    <w:p w14:paraId="7DE30F67" w14:textId="0AD2EF96" w:rsidR="00E83B44" w:rsidRDefault="00E83B44" w:rsidP="00E83B44">
      <w:pPr>
        <w:spacing w:after="0" w:line="240" w:lineRule="auto"/>
        <w:contextualSpacing/>
      </w:pPr>
      <w:r w:rsidRPr="00E83B44">
        <w:t xml:space="preserve">Certain derivatives end-users (s. 38) </w:t>
      </w:r>
    </w:p>
    <w:p w14:paraId="088E51C6" w14:textId="56E3D805" w:rsidR="00E83B44" w:rsidRDefault="00E83B44" w:rsidP="00E83B44">
      <w:pPr>
        <w:spacing w:after="0" w:line="240" w:lineRule="auto"/>
        <w:contextualSpacing/>
      </w:pPr>
      <w:r w:rsidRPr="00E83B44">
        <w:t xml:space="preserve">Foreign derivatives dealers (s. 39) </w:t>
      </w:r>
    </w:p>
    <w:p w14:paraId="7FCC978B" w14:textId="66DEB338" w:rsidR="00E83B44" w:rsidRDefault="00E83B44" w:rsidP="00E83B44">
      <w:pPr>
        <w:spacing w:after="0" w:line="240" w:lineRule="auto"/>
        <w:contextualSpacing/>
      </w:pPr>
      <w:r w:rsidRPr="00E83B44">
        <w:t xml:space="preserve">Investment dealers (s. 41) </w:t>
      </w:r>
    </w:p>
    <w:p w14:paraId="08193A98" w14:textId="4AE9A0DA" w:rsidR="00E83B44" w:rsidRDefault="00E83B44" w:rsidP="00E83B44">
      <w:pPr>
        <w:spacing w:after="0" w:line="240" w:lineRule="auto"/>
        <w:contextualSpacing/>
      </w:pPr>
      <w:r w:rsidRPr="00E83B44">
        <w:t xml:space="preserve">Canadian financial institutions (s. 42) </w:t>
      </w:r>
    </w:p>
    <w:p w14:paraId="6D4DF444" w14:textId="410C189E" w:rsidR="00E83B44" w:rsidRDefault="00E83B44" w:rsidP="00E83B44">
      <w:pPr>
        <w:spacing w:after="0" w:line="240" w:lineRule="auto"/>
        <w:contextualSpacing/>
      </w:pPr>
      <w:r w:rsidRPr="00E83B44">
        <w:t xml:space="preserve">Derivatives transacted on a derivatives trading facility where the identity of the derivatives party is unknown (s. 43) </w:t>
      </w:r>
    </w:p>
    <w:p w14:paraId="519F136A" w14:textId="5EB8A990" w:rsidR="00E83B44" w:rsidRDefault="00E83B44" w:rsidP="00E83B44">
      <w:pPr>
        <w:spacing w:after="0" w:line="240" w:lineRule="auto"/>
        <w:contextualSpacing/>
      </w:pPr>
      <w:r w:rsidRPr="00E83B44">
        <w:t xml:space="preserve">Certain notional amounts of certain commodity derivatives and other derivatives activity (s.44) </w:t>
      </w:r>
    </w:p>
    <w:p w14:paraId="53525326" w14:textId="184CB3EC" w:rsidR="00E83B44" w:rsidRDefault="00E83B44" w:rsidP="00E83B44">
      <w:pPr>
        <w:spacing w:after="0" w:line="240" w:lineRule="auto"/>
        <w:contextualSpacing/>
      </w:pPr>
      <w:r w:rsidRPr="00E83B44">
        <w:t xml:space="preserve">Advising generally (s. 45) </w:t>
      </w:r>
    </w:p>
    <w:p w14:paraId="74379E15" w14:textId="5E49E13A" w:rsidR="00E83B44" w:rsidRDefault="00E83B44" w:rsidP="00E83B44">
      <w:pPr>
        <w:spacing w:after="0" w:line="240" w:lineRule="auto"/>
        <w:contextualSpacing/>
      </w:pPr>
      <w:r w:rsidRPr="00E83B44">
        <w:t>Foreign derivatives advisers (s. 46)</w:t>
      </w:r>
    </w:p>
    <w:p w14:paraId="7972AA2C" w14:textId="77777777" w:rsidR="00E83B44" w:rsidRDefault="00E83B44" w:rsidP="00E83B44">
      <w:pPr>
        <w:spacing w:after="0" w:line="240" w:lineRule="auto"/>
        <w:contextualSpacing/>
      </w:pPr>
      <w:r w:rsidRPr="00E83B44">
        <w:t xml:space="preserve">Foreign derivatives sub-advisers (s. 47) </w:t>
      </w:r>
    </w:p>
    <w:p w14:paraId="333A4A87" w14:textId="77777777" w:rsidR="00E83B44" w:rsidRDefault="00E83B44" w:rsidP="00E83B44">
      <w:pPr>
        <w:spacing w:after="0" w:line="240" w:lineRule="auto"/>
        <w:contextualSpacing/>
      </w:pPr>
      <w:r w:rsidRPr="00E83B44">
        <w:t xml:space="preserve">Registered advisers under securities or commodity futures legislation (s. 48)  </w:t>
      </w:r>
    </w:p>
    <w:p w14:paraId="70FAC859" w14:textId="3EF76068" w:rsidR="00E83B44" w:rsidRPr="00E02848" w:rsidRDefault="00E83B44" w:rsidP="00E83B44">
      <w:r w:rsidRPr="00E83B44">
        <w:t>The text boxes in this Instrument do not form part of this Instrument and have no official status.</w:t>
      </w:r>
    </w:p>
    <w:sectPr w:rsidR="00E83B44" w:rsidRPr="00E02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0E84"/>
    <w:multiLevelType w:val="hybridMultilevel"/>
    <w:tmpl w:val="D7987284"/>
    <w:lvl w:ilvl="0" w:tplc="94F03D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9B3ED5"/>
    <w:multiLevelType w:val="hybridMultilevel"/>
    <w:tmpl w:val="3AF8BFCA"/>
    <w:lvl w:ilvl="0" w:tplc="C936C6E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5054022">
    <w:abstractNumId w:val="0"/>
  </w:num>
  <w:num w:numId="2" w16cid:durableId="1126050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48"/>
    <w:rsid w:val="000F69E8"/>
    <w:rsid w:val="0019524F"/>
    <w:rsid w:val="00266E59"/>
    <w:rsid w:val="002B34A5"/>
    <w:rsid w:val="008157BC"/>
    <w:rsid w:val="00B51FBE"/>
    <w:rsid w:val="00E02848"/>
    <w:rsid w:val="00E83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C148"/>
  <w15:chartTrackingRefBased/>
  <w15:docId w15:val="{A3172292-1AA8-4E83-A624-B8D87633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848"/>
    <w:rPr>
      <w:rFonts w:eastAsiaTheme="majorEastAsia" w:cstheme="majorBidi"/>
      <w:color w:val="272727" w:themeColor="text1" w:themeTint="D8"/>
    </w:rPr>
  </w:style>
  <w:style w:type="paragraph" w:styleId="Title">
    <w:name w:val="Title"/>
    <w:basedOn w:val="Normal"/>
    <w:next w:val="Normal"/>
    <w:link w:val="TitleChar"/>
    <w:uiPriority w:val="10"/>
    <w:qFormat/>
    <w:rsid w:val="00E02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848"/>
    <w:pPr>
      <w:spacing w:before="160"/>
      <w:jc w:val="center"/>
    </w:pPr>
    <w:rPr>
      <w:i/>
      <w:iCs/>
      <w:color w:val="404040" w:themeColor="text1" w:themeTint="BF"/>
    </w:rPr>
  </w:style>
  <w:style w:type="character" w:customStyle="1" w:styleId="QuoteChar">
    <w:name w:val="Quote Char"/>
    <w:basedOn w:val="DefaultParagraphFont"/>
    <w:link w:val="Quote"/>
    <w:uiPriority w:val="29"/>
    <w:rsid w:val="00E02848"/>
    <w:rPr>
      <w:i/>
      <w:iCs/>
      <w:color w:val="404040" w:themeColor="text1" w:themeTint="BF"/>
    </w:rPr>
  </w:style>
  <w:style w:type="paragraph" w:styleId="ListParagraph">
    <w:name w:val="List Paragraph"/>
    <w:basedOn w:val="Normal"/>
    <w:uiPriority w:val="34"/>
    <w:qFormat/>
    <w:rsid w:val="00E02848"/>
    <w:pPr>
      <w:ind w:left="720"/>
      <w:contextualSpacing/>
    </w:pPr>
  </w:style>
  <w:style w:type="character" w:styleId="IntenseEmphasis">
    <w:name w:val="Intense Emphasis"/>
    <w:basedOn w:val="DefaultParagraphFont"/>
    <w:uiPriority w:val="21"/>
    <w:qFormat/>
    <w:rsid w:val="00E02848"/>
    <w:rPr>
      <w:i/>
      <w:iCs/>
      <w:color w:val="0F4761" w:themeColor="accent1" w:themeShade="BF"/>
    </w:rPr>
  </w:style>
  <w:style w:type="paragraph" w:styleId="IntenseQuote">
    <w:name w:val="Intense Quote"/>
    <w:basedOn w:val="Normal"/>
    <w:next w:val="Normal"/>
    <w:link w:val="IntenseQuoteChar"/>
    <w:uiPriority w:val="30"/>
    <w:qFormat/>
    <w:rsid w:val="00E02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848"/>
    <w:rPr>
      <w:i/>
      <w:iCs/>
      <w:color w:val="0F4761" w:themeColor="accent1" w:themeShade="BF"/>
    </w:rPr>
  </w:style>
  <w:style w:type="character" w:styleId="IntenseReference">
    <w:name w:val="Intense Reference"/>
    <w:basedOn w:val="DefaultParagraphFont"/>
    <w:uiPriority w:val="32"/>
    <w:qFormat/>
    <w:rsid w:val="00E02848"/>
    <w:rPr>
      <w:b/>
      <w:bCs/>
      <w:smallCaps/>
      <w:color w:val="0F4761" w:themeColor="accent1" w:themeShade="BF"/>
      <w:spacing w:val="5"/>
    </w:rPr>
  </w:style>
  <w:style w:type="character" w:styleId="Hyperlink">
    <w:name w:val="Hyperlink"/>
    <w:basedOn w:val="DefaultParagraphFont"/>
    <w:uiPriority w:val="99"/>
    <w:unhideWhenUsed/>
    <w:rsid w:val="00E02848"/>
    <w:rPr>
      <w:color w:val="467886" w:themeColor="hyperlink"/>
      <w:u w:val="single"/>
    </w:rPr>
  </w:style>
  <w:style w:type="character" w:styleId="UnresolvedMention">
    <w:name w:val="Unresolved Mention"/>
    <w:basedOn w:val="DefaultParagraphFont"/>
    <w:uiPriority w:val="99"/>
    <w:semiHidden/>
    <w:unhideWhenUsed/>
    <w:rsid w:val="00E02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csc.bc.ca/-/media/PWS/New-Resources/Securities-Law/Instruments-and-Policies/Policy-9/93101-NI-September-28-2024.pdf?dt=202503251655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589</Words>
  <Characters>3348</Characters>
  <Application>Microsoft Office Word</Application>
  <DocSecurity>0</DocSecurity>
  <Lines>60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Irwin</dc:creator>
  <cp:keywords/>
  <dc:description/>
  <cp:lastModifiedBy>Steve Irwin</cp:lastModifiedBy>
  <cp:revision>2</cp:revision>
  <dcterms:created xsi:type="dcterms:W3CDTF">2026-01-21T12:58:00Z</dcterms:created>
  <dcterms:modified xsi:type="dcterms:W3CDTF">2026-01-21T15:50:00Z</dcterms:modified>
</cp:coreProperties>
</file>