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058A34" w14:textId="69808992" w:rsidR="00EA6E5B" w:rsidRDefault="00EA6E5B" w:rsidP="00EA6E5B">
      <w:pPr>
        <w:pStyle w:val="Heading1"/>
        <w:jc w:val="both"/>
      </w:pPr>
      <w:r>
        <w:t>32-506 C</w:t>
      </w:r>
      <w:r w:rsidR="009D15C1">
        <w:t>ommodity</w:t>
      </w:r>
      <w:r>
        <w:t xml:space="preserve"> Futures Act – International Dealer Exemption</w:t>
      </w:r>
    </w:p>
    <w:p w14:paraId="3793CAC7" w14:textId="77777777" w:rsidR="00EA6E5B" w:rsidRPr="00072DAD" w:rsidRDefault="00EA6E5B" w:rsidP="00EA6E5B">
      <w:pPr>
        <w:jc w:val="both"/>
      </w:pPr>
      <w:hyperlink r:id="rId4" w:history="1">
        <w:r w:rsidRPr="00072DAD">
          <w:rPr>
            <w:rStyle w:val="Hyperlink"/>
          </w:rPr>
          <w:t>sn_20221013_32-506_sub-advisers.pdf</w:t>
        </w:r>
      </w:hyperlink>
    </w:p>
    <w:p w14:paraId="164801C6" w14:textId="77777777" w:rsidR="00EA6E5B" w:rsidRDefault="00EA6E5B" w:rsidP="00EA6E5B">
      <w:pPr>
        <w:spacing w:after="0" w:line="240" w:lineRule="auto"/>
        <w:contextualSpacing/>
        <w:jc w:val="both"/>
      </w:pPr>
      <w:r>
        <w:t xml:space="preserve">3. Dealer registration exemption – International dealer </w:t>
      </w:r>
    </w:p>
    <w:p w14:paraId="2C130851" w14:textId="23E97DB1" w:rsidR="00EA6E5B" w:rsidRDefault="00EA6E5B" w:rsidP="00EA6E5B">
      <w:pPr>
        <w:spacing w:after="0" w:line="240" w:lineRule="auto"/>
        <w:contextualSpacing/>
        <w:jc w:val="both"/>
      </w:pPr>
      <w:r>
        <w:t xml:space="preserve">(1)      The CFA dealer registration requirement does not apply to a person or company in respect of a trade in a contract to, with or on behalf of a </w:t>
      </w:r>
      <w:r w:rsidRPr="00EA6E5B">
        <w:rPr>
          <w:highlight w:val="yellow"/>
        </w:rPr>
        <w:t>CFA permitted client</w:t>
      </w:r>
      <w:r>
        <w:t xml:space="preserve">, where the person or company is acting as principal or agent in such trade to, with or on behalf of the CFA permitted client, if at the time of the trade </w:t>
      </w:r>
      <w:r w:rsidRPr="00EA6E5B">
        <w:rPr>
          <w:b/>
          <w:bCs/>
          <w:u w:val="single"/>
        </w:rPr>
        <w:t>all of the following apply</w:t>
      </w:r>
      <w:r>
        <w:t xml:space="preserve">: </w:t>
      </w:r>
    </w:p>
    <w:p w14:paraId="7132E3FD" w14:textId="77777777" w:rsidR="00EA6E5B" w:rsidRDefault="00EA6E5B" w:rsidP="00EA6E5B">
      <w:pPr>
        <w:spacing w:after="0" w:line="240" w:lineRule="auto"/>
        <w:contextualSpacing/>
        <w:jc w:val="both"/>
      </w:pPr>
      <w:r>
        <w:t xml:space="preserve">         (a)       the trade is in respect of a </w:t>
      </w:r>
      <w:r w:rsidRPr="00EA6E5B">
        <w:rPr>
          <w:highlight w:val="green"/>
        </w:rPr>
        <w:t xml:space="preserve">foreign contract on a non-Canadian </w:t>
      </w:r>
      <w:proofErr w:type="gramStart"/>
      <w:r w:rsidRPr="00EA6E5B">
        <w:rPr>
          <w:highlight w:val="green"/>
        </w:rPr>
        <w:t>exchange</w:t>
      </w:r>
      <w:r>
        <w:t>;</w:t>
      </w:r>
      <w:proofErr w:type="gramEnd"/>
      <w:r>
        <w:t xml:space="preserve"> </w:t>
      </w:r>
    </w:p>
    <w:p w14:paraId="48615593" w14:textId="77777777" w:rsidR="00EA6E5B" w:rsidRDefault="00EA6E5B" w:rsidP="00EA6E5B">
      <w:pPr>
        <w:spacing w:after="0" w:line="240" w:lineRule="auto"/>
        <w:contextualSpacing/>
        <w:jc w:val="both"/>
      </w:pPr>
      <w:r>
        <w:t xml:space="preserve">         (b)       the person or company: </w:t>
      </w:r>
    </w:p>
    <w:p w14:paraId="3E46625A" w14:textId="5E3B9104" w:rsidR="00EA6E5B" w:rsidRDefault="00EA6E5B" w:rsidP="00EA6E5B">
      <w:pPr>
        <w:spacing w:after="0" w:line="240" w:lineRule="auto"/>
        <w:contextualSpacing/>
        <w:jc w:val="both"/>
      </w:pPr>
      <w:r>
        <w:t xml:space="preserve">                   (</w:t>
      </w:r>
      <w:proofErr w:type="spellStart"/>
      <w:r>
        <w:t>i</w:t>
      </w:r>
      <w:proofErr w:type="spellEnd"/>
      <w:r>
        <w:t xml:space="preserve">)      has its </w:t>
      </w:r>
      <w:r w:rsidRPr="00EA6E5B">
        <w:rPr>
          <w:highlight w:val="green"/>
        </w:rPr>
        <w:t>head office</w:t>
      </w:r>
      <w:r>
        <w:t xml:space="preserve"> or principal place of business in a specified </w:t>
      </w:r>
      <w:r w:rsidRPr="00EA6E5B">
        <w:rPr>
          <w:highlight w:val="green"/>
        </w:rPr>
        <w:t>foreign jurisdiction</w:t>
      </w:r>
      <w:r>
        <w:t xml:space="preserve"> and </w:t>
      </w:r>
      <w:r w:rsidRPr="0046509F">
        <w:rPr>
          <w:b/>
          <w:bCs/>
          <w:highlight w:val="yellow"/>
          <w:u w:val="single"/>
        </w:rPr>
        <w:t xml:space="preserve">does not have an office or place of business in </w:t>
      </w:r>
      <w:proofErr w:type="gramStart"/>
      <w:r w:rsidRPr="0046509F">
        <w:rPr>
          <w:b/>
          <w:bCs/>
          <w:highlight w:val="yellow"/>
          <w:u w:val="single"/>
        </w:rPr>
        <w:t>Ontario</w:t>
      </w:r>
      <w:r>
        <w:t>;</w:t>
      </w:r>
      <w:proofErr w:type="gramEnd"/>
      <w:r>
        <w:t xml:space="preserve"> </w:t>
      </w:r>
    </w:p>
    <w:p w14:paraId="2D37F3D5" w14:textId="16C44D8E" w:rsidR="00EA6E5B" w:rsidRDefault="00EA6E5B" w:rsidP="00EA6E5B">
      <w:pPr>
        <w:spacing w:after="0" w:line="240" w:lineRule="auto"/>
        <w:contextualSpacing/>
        <w:jc w:val="both"/>
      </w:pPr>
      <w:r>
        <w:t xml:space="preserve">                   (ii)     engages in the business of </w:t>
      </w:r>
      <w:r w:rsidRPr="00EA6E5B">
        <w:rPr>
          <w:highlight w:val="green"/>
        </w:rPr>
        <w:t>trading in contracts</w:t>
      </w:r>
      <w:r>
        <w:t xml:space="preserve"> in the specified </w:t>
      </w:r>
      <w:r w:rsidRPr="00EA6E5B">
        <w:rPr>
          <w:highlight w:val="green"/>
        </w:rPr>
        <w:t>foreign jurisdiction</w:t>
      </w:r>
      <w:r>
        <w:t xml:space="preserve">; and  </w:t>
      </w:r>
    </w:p>
    <w:p w14:paraId="5E0BD1C8" w14:textId="40D3ED4B" w:rsidR="00EA6E5B" w:rsidRDefault="00EA6E5B" w:rsidP="00EA6E5B">
      <w:pPr>
        <w:spacing w:after="0" w:line="240" w:lineRule="auto"/>
        <w:contextualSpacing/>
        <w:jc w:val="both"/>
      </w:pPr>
      <w:r>
        <w:t xml:space="preserve">                   (iii)    </w:t>
      </w:r>
      <w:r w:rsidRPr="00EA6E5B">
        <w:rPr>
          <w:highlight w:val="green"/>
        </w:rPr>
        <w:t>is registered</w:t>
      </w:r>
      <w:r>
        <w:t xml:space="preserve">, licensed or otherwise authorized under the securities, commodity futures or derivatives legislation of the </w:t>
      </w:r>
      <w:r w:rsidRPr="00EA6E5B">
        <w:rPr>
          <w:highlight w:val="green"/>
        </w:rPr>
        <w:t>specified foreign jurisdiction</w:t>
      </w:r>
      <w:r>
        <w:t xml:space="preserve"> in which its head office or principal place of business is located in a category of registration, licensing or authorization that permits it to carry on the activities in that jurisdiction that registration as a dealer would permit it to carry on in Ontario;  </w:t>
      </w:r>
    </w:p>
    <w:p w14:paraId="6EF2E842" w14:textId="040B1AE5" w:rsidR="00EA6E5B" w:rsidRDefault="00EA6E5B" w:rsidP="00EA6E5B">
      <w:pPr>
        <w:spacing w:after="0" w:line="240" w:lineRule="auto"/>
        <w:contextualSpacing/>
        <w:jc w:val="both"/>
      </w:pPr>
      <w:r>
        <w:t xml:space="preserve">         (c)       the person or </w:t>
      </w:r>
      <w:r w:rsidRPr="00EA6E5B">
        <w:rPr>
          <w:highlight w:val="green"/>
        </w:rPr>
        <w:t>company has provided</w:t>
      </w:r>
      <w:r>
        <w:t xml:space="preserve"> to the CFA permitted client, other than a CFA permitted client that is registered under the securities, commodity futures or derivatives legislation of a jurisdiction of Canada, the following disclosure in writing: </w:t>
      </w:r>
    </w:p>
    <w:p w14:paraId="60AA4490" w14:textId="6AFD6C1F" w:rsidR="00EA6E5B" w:rsidRDefault="00EA6E5B" w:rsidP="00EA6E5B">
      <w:pPr>
        <w:spacing w:after="0" w:line="240" w:lineRule="auto"/>
        <w:contextualSpacing/>
        <w:jc w:val="both"/>
      </w:pPr>
      <w:r>
        <w:t xml:space="preserve">                   (</w:t>
      </w:r>
      <w:proofErr w:type="spellStart"/>
      <w:r>
        <w:t>i</w:t>
      </w:r>
      <w:proofErr w:type="spellEnd"/>
      <w:r>
        <w:t xml:space="preserve">)      a </w:t>
      </w:r>
      <w:r w:rsidRPr="00EA6E5B">
        <w:rPr>
          <w:highlight w:val="green"/>
        </w:rPr>
        <w:t>statement</w:t>
      </w:r>
      <w:r>
        <w:t xml:space="preserve"> that the person or </w:t>
      </w:r>
      <w:r w:rsidRPr="00EA6E5B">
        <w:rPr>
          <w:highlight w:val="green"/>
        </w:rPr>
        <w:t>company is not registered in Ontario</w:t>
      </w:r>
      <w:r>
        <w:t xml:space="preserve"> to trade in contracts as principal or </w:t>
      </w:r>
      <w:proofErr w:type="gramStart"/>
      <w:r>
        <w:t>agent;</w:t>
      </w:r>
      <w:proofErr w:type="gramEnd"/>
      <w:r>
        <w:t xml:space="preserve"> </w:t>
      </w:r>
    </w:p>
    <w:p w14:paraId="6A0275DF" w14:textId="1F17D617" w:rsidR="00EA6E5B" w:rsidRDefault="00EA6E5B" w:rsidP="00EA6E5B">
      <w:pPr>
        <w:spacing w:after="0" w:line="240" w:lineRule="auto"/>
        <w:contextualSpacing/>
        <w:jc w:val="both"/>
      </w:pPr>
      <w:r>
        <w:t xml:space="preserve">                   (ii)     a statement specifying the </w:t>
      </w:r>
      <w:r w:rsidRPr="00EA6E5B">
        <w:rPr>
          <w:highlight w:val="green"/>
        </w:rPr>
        <w:t>location of the head office</w:t>
      </w:r>
      <w:r>
        <w:t xml:space="preserve"> or principal place of business of the person or </w:t>
      </w:r>
      <w:proofErr w:type="gramStart"/>
      <w:r>
        <w:t>company;</w:t>
      </w:r>
      <w:proofErr w:type="gramEnd"/>
      <w:r>
        <w:t xml:space="preserve"> </w:t>
      </w:r>
    </w:p>
    <w:p w14:paraId="32A1F401" w14:textId="55F2E0AF" w:rsidR="00EA6E5B" w:rsidRDefault="00EA6E5B" w:rsidP="00EA6E5B">
      <w:pPr>
        <w:spacing w:after="0" w:line="240" w:lineRule="auto"/>
        <w:contextualSpacing/>
        <w:jc w:val="both"/>
      </w:pPr>
      <w:r>
        <w:t xml:space="preserve">                   (iii)    a statement that all or substantially </w:t>
      </w:r>
      <w:proofErr w:type="gramStart"/>
      <w:r w:rsidRPr="00EA6E5B">
        <w:rPr>
          <w:highlight w:val="green"/>
        </w:rPr>
        <w:t>all of</w:t>
      </w:r>
      <w:proofErr w:type="gramEnd"/>
      <w:r w:rsidRPr="00EA6E5B">
        <w:rPr>
          <w:highlight w:val="green"/>
        </w:rPr>
        <w:t xml:space="preserve"> the assets</w:t>
      </w:r>
      <w:r>
        <w:t xml:space="preserve"> of the person or company may be situated </w:t>
      </w:r>
      <w:r w:rsidRPr="00EA6E5B">
        <w:rPr>
          <w:highlight w:val="green"/>
        </w:rPr>
        <w:t xml:space="preserve">outside of </w:t>
      </w:r>
      <w:proofErr w:type="gramStart"/>
      <w:r w:rsidRPr="00EA6E5B">
        <w:rPr>
          <w:highlight w:val="green"/>
        </w:rPr>
        <w:t>Canada</w:t>
      </w:r>
      <w:r>
        <w:t>;</w:t>
      </w:r>
      <w:proofErr w:type="gramEnd"/>
      <w:r>
        <w:t xml:space="preserve"> </w:t>
      </w:r>
    </w:p>
    <w:p w14:paraId="3845D127" w14:textId="164ACA7A" w:rsidR="00EA6E5B" w:rsidRDefault="00EA6E5B" w:rsidP="00EA6E5B">
      <w:pPr>
        <w:spacing w:after="0" w:line="240" w:lineRule="auto"/>
        <w:contextualSpacing/>
        <w:jc w:val="both"/>
      </w:pPr>
      <w:r>
        <w:t xml:space="preserve">                   (iv)     a statement that there may be </w:t>
      </w:r>
      <w:r w:rsidRPr="00EA6E5B">
        <w:rPr>
          <w:highlight w:val="green"/>
        </w:rPr>
        <w:t>difficulty enforcing legal rights</w:t>
      </w:r>
      <w:r>
        <w:t xml:space="preserve"> against the person or company because of the above; and </w:t>
      </w:r>
    </w:p>
    <w:p w14:paraId="6975A141" w14:textId="77777777" w:rsidR="00EA6E5B" w:rsidRDefault="00EA6E5B" w:rsidP="00EA6E5B">
      <w:pPr>
        <w:spacing w:after="0" w:line="240" w:lineRule="auto"/>
        <w:contextualSpacing/>
        <w:jc w:val="both"/>
      </w:pPr>
      <w:r>
        <w:t xml:space="preserve">                   (v)      the </w:t>
      </w:r>
      <w:r w:rsidRPr="00EA6E5B">
        <w:rPr>
          <w:highlight w:val="green"/>
        </w:rPr>
        <w:t>name and address of the person or company’s agent for service</w:t>
      </w:r>
      <w:r>
        <w:t xml:space="preserve"> of process in Ontario; and  </w:t>
      </w:r>
    </w:p>
    <w:p w14:paraId="1251482B" w14:textId="0F41061E" w:rsidR="00EA6E5B" w:rsidRDefault="00EA6E5B" w:rsidP="00EA6E5B">
      <w:pPr>
        <w:spacing w:after="0" w:line="240" w:lineRule="auto"/>
        <w:contextualSpacing/>
        <w:jc w:val="both"/>
      </w:pPr>
      <w:r>
        <w:t xml:space="preserve">         (d)       </w:t>
      </w:r>
      <w:proofErr w:type="gramStart"/>
      <w:r>
        <w:t>the  person</w:t>
      </w:r>
      <w:proofErr w:type="gramEnd"/>
      <w:r>
        <w:t xml:space="preserve">  </w:t>
      </w:r>
      <w:proofErr w:type="gramStart"/>
      <w:r>
        <w:t>or  company</w:t>
      </w:r>
      <w:proofErr w:type="gramEnd"/>
      <w:r>
        <w:t xml:space="preserve">  </w:t>
      </w:r>
      <w:proofErr w:type="gramStart"/>
      <w:r>
        <w:t>has  submitted</w:t>
      </w:r>
      <w:proofErr w:type="gramEnd"/>
      <w:r>
        <w:t xml:space="preserve">  </w:t>
      </w:r>
      <w:proofErr w:type="gramStart"/>
      <w:r>
        <w:t>to  the</w:t>
      </w:r>
      <w:proofErr w:type="gramEnd"/>
      <w:r>
        <w:t xml:space="preserve">  </w:t>
      </w:r>
      <w:proofErr w:type="gramStart"/>
      <w:r>
        <w:t>Commission  a</w:t>
      </w:r>
      <w:proofErr w:type="gramEnd"/>
      <w:r>
        <w:t xml:space="preserve">  </w:t>
      </w:r>
      <w:proofErr w:type="gramStart"/>
      <w:r>
        <w:t xml:space="preserve">completed  </w:t>
      </w:r>
      <w:r w:rsidRPr="008C11F4">
        <w:rPr>
          <w:highlight w:val="cyan"/>
        </w:rPr>
        <w:t>Form</w:t>
      </w:r>
      <w:proofErr w:type="gramEnd"/>
      <w:r w:rsidRPr="008C11F4">
        <w:rPr>
          <w:highlight w:val="cyan"/>
        </w:rPr>
        <w:t xml:space="preserve">  32-506F</w:t>
      </w:r>
      <w:proofErr w:type="gramStart"/>
      <w:r w:rsidRPr="008C11F4">
        <w:rPr>
          <w:highlight w:val="cyan"/>
        </w:rPr>
        <w:t>1  Submission</w:t>
      </w:r>
      <w:proofErr w:type="gramEnd"/>
      <w:r w:rsidRPr="008C11F4">
        <w:rPr>
          <w:highlight w:val="cyan"/>
        </w:rPr>
        <w:t xml:space="preserve">  to Jurisdiction and Appointment of Agent for </w:t>
      </w:r>
      <w:proofErr w:type="gramStart"/>
      <w:r w:rsidRPr="008C11F4">
        <w:rPr>
          <w:highlight w:val="cyan"/>
        </w:rPr>
        <w:t>Service</w:t>
      </w:r>
      <w:r>
        <w:t>;</w:t>
      </w:r>
      <w:proofErr w:type="gramEnd"/>
      <w:r>
        <w:t xml:space="preserve"> </w:t>
      </w:r>
    </w:p>
    <w:p w14:paraId="646E2A66" w14:textId="35031649" w:rsidR="00EA6E5B" w:rsidRDefault="00EA6E5B" w:rsidP="00EA6E5B">
      <w:pPr>
        <w:spacing w:after="0" w:line="240" w:lineRule="auto"/>
        <w:contextualSpacing/>
        <w:jc w:val="both"/>
      </w:pPr>
      <w:r>
        <w:t xml:space="preserve">(2)      A person or company that relied on the exemption in subsection (1) during the 12-month period preceding December 1 of a year must </w:t>
      </w:r>
      <w:r w:rsidRPr="008C11F4">
        <w:rPr>
          <w:highlight w:val="green"/>
        </w:rPr>
        <w:t>notify the Commission of that fact by December 1 of that year</w:t>
      </w:r>
      <w:r>
        <w:t xml:space="preserve">. </w:t>
      </w:r>
    </w:p>
    <w:p w14:paraId="29F9B414" w14:textId="3BB1AB37" w:rsidR="00EA6E5B" w:rsidRDefault="00EA6E5B" w:rsidP="00EA6E5B">
      <w:pPr>
        <w:spacing w:after="0" w:line="240" w:lineRule="auto"/>
        <w:contextualSpacing/>
        <w:jc w:val="both"/>
      </w:pPr>
      <w:r>
        <w:t xml:space="preserve">(3)      </w:t>
      </w:r>
      <w:proofErr w:type="gramStart"/>
      <w:r>
        <w:t>Subsection  (</w:t>
      </w:r>
      <w:proofErr w:type="gramEnd"/>
      <w:r>
        <w:t>2</w:t>
      </w:r>
      <w:proofErr w:type="gramStart"/>
      <w:r>
        <w:t>)  does</w:t>
      </w:r>
      <w:proofErr w:type="gramEnd"/>
      <w:r>
        <w:t xml:space="preserve">  </w:t>
      </w:r>
      <w:proofErr w:type="gramStart"/>
      <w:r>
        <w:t>not  apply</w:t>
      </w:r>
      <w:proofErr w:type="gramEnd"/>
      <w:r>
        <w:t xml:space="preserve">  </w:t>
      </w:r>
      <w:proofErr w:type="gramStart"/>
      <w:r>
        <w:t>to  a</w:t>
      </w:r>
      <w:proofErr w:type="gramEnd"/>
      <w:r>
        <w:t xml:space="preserve">  </w:t>
      </w:r>
      <w:proofErr w:type="gramStart"/>
      <w:r>
        <w:t>person  or</w:t>
      </w:r>
      <w:proofErr w:type="gramEnd"/>
      <w:r>
        <w:t xml:space="preserve">  </w:t>
      </w:r>
      <w:proofErr w:type="gramStart"/>
      <w:r>
        <w:t>company  that</w:t>
      </w:r>
      <w:proofErr w:type="gramEnd"/>
      <w:r>
        <w:t xml:space="preserve">  </w:t>
      </w:r>
      <w:proofErr w:type="gramStart"/>
      <w:r>
        <w:t>complies  with</w:t>
      </w:r>
      <w:proofErr w:type="gramEnd"/>
      <w:r>
        <w:t xml:space="preserve">  </w:t>
      </w:r>
      <w:proofErr w:type="gramStart"/>
      <w:r>
        <w:t>the  filing</w:t>
      </w:r>
      <w:proofErr w:type="gramEnd"/>
      <w:r>
        <w:t xml:space="preserve">  </w:t>
      </w:r>
      <w:proofErr w:type="gramStart"/>
      <w:r>
        <w:t>and  fee</w:t>
      </w:r>
      <w:proofErr w:type="gramEnd"/>
      <w:r>
        <w:t xml:space="preserve">  </w:t>
      </w:r>
      <w:proofErr w:type="gramStart"/>
      <w:r>
        <w:t>payment  requirements</w:t>
      </w:r>
      <w:proofErr w:type="gramEnd"/>
      <w:r>
        <w:t xml:space="preserve"> applicable to an </w:t>
      </w:r>
      <w:r w:rsidRPr="008C11F4">
        <w:rPr>
          <w:highlight w:val="green"/>
        </w:rPr>
        <w:t>unregistered exempt international firm under Ontario Securities Commission Rule 13-502 Fees</w:t>
      </w:r>
      <w:r>
        <w:t xml:space="preserve">.  </w:t>
      </w:r>
    </w:p>
    <w:p w14:paraId="3EE0874F" w14:textId="639E436D" w:rsidR="00EA6E5B" w:rsidRDefault="00EA6E5B" w:rsidP="00EA6E5B">
      <w:pPr>
        <w:spacing w:after="0" w:line="240" w:lineRule="auto"/>
        <w:contextualSpacing/>
        <w:jc w:val="both"/>
      </w:pPr>
      <w:r>
        <w:t xml:space="preserve">(4)      If a person or company relied on the exemption in subsection (1) during the 12-month period preceding December 1 of a year and is not registered under the Securities Act and does not rely on the OSA international dealer exemption, the person or company must pay a participation fee based on its specified Ontario revenues for its previous financial year in compliance with the requirements of </w:t>
      </w:r>
      <w:r w:rsidRPr="008C11F4">
        <w:rPr>
          <w:highlight w:val="green"/>
        </w:rPr>
        <w:t>Part 3 and section 6.4 of OSC Rule 13-502 Fees</w:t>
      </w:r>
      <w:r>
        <w:t xml:space="preserve">, as if the person or company relied on the OSA international dealer exemption. </w:t>
      </w:r>
    </w:p>
    <w:p w14:paraId="777956F3" w14:textId="24EF7072" w:rsidR="00EA6E5B" w:rsidRDefault="00EA6E5B" w:rsidP="00EA6E5B">
      <w:pPr>
        <w:spacing w:after="0" w:line="240" w:lineRule="auto"/>
        <w:contextualSpacing/>
        <w:jc w:val="both"/>
      </w:pPr>
      <w:r>
        <w:lastRenderedPageBreak/>
        <w:t xml:space="preserve">(5)      The CFA adviser registration requirement does not apply to a person or company that is exempt from the CFA dealer registration requirement under this section where the person or company provides advice to a CFA permitted client and </w:t>
      </w:r>
    </w:p>
    <w:p w14:paraId="05099F1E" w14:textId="77777777" w:rsidR="00EA6E5B" w:rsidRDefault="00EA6E5B" w:rsidP="00EA6E5B">
      <w:pPr>
        <w:spacing w:after="0" w:line="240" w:lineRule="auto"/>
        <w:contextualSpacing/>
        <w:jc w:val="both"/>
      </w:pPr>
      <w:r>
        <w:t xml:space="preserve">         the advice is </w:t>
      </w:r>
    </w:p>
    <w:p w14:paraId="5D29F8AB" w14:textId="77777777" w:rsidR="00EA6E5B" w:rsidRDefault="00EA6E5B" w:rsidP="00EA6E5B">
      <w:pPr>
        <w:spacing w:after="0" w:line="240" w:lineRule="auto"/>
        <w:contextualSpacing/>
        <w:jc w:val="both"/>
      </w:pPr>
      <w:r>
        <w:t xml:space="preserve">         (a)       in connection with an activity or trade described under subsection (1), and </w:t>
      </w:r>
    </w:p>
    <w:p w14:paraId="10D487F0" w14:textId="2E35AFDC" w:rsidR="00EA6E5B" w:rsidRDefault="00EA6E5B" w:rsidP="00EA6E5B">
      <w:pPr>
        <w:spacing w:after="0" w:line="240" w:lineRule="auto"/>
        <w:contextualSpacing/>
        <w:jc w:val="both"/>
      </w:pPr>
      <w:r>
        <w:t xml:space="preserve">         (b)       not in respect of a managed account of the CFA permitted client.</w:t>
      </w:r>
    </w:p>
    <w:sectPr w:rsidR="00EA6E5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6E5B"/>
    <w:rsid w:val="000F69E8"/>
    <w:rsid w:val="001251A6"/>
    <w:rsid w:val="00266E59"/>
    <w:rsid w:val="0046509F"/>
    <w:rsid w:val="007E77D4"/>
    <w:rsid w:val="008C11F4"/>
    <w:rsid w:val="00953A9E"/>
    <w:rsid w:val="009D15C1"/>
    <w:rsid w:val="00B51FBE"/>
    <w:rsid w:val="00BB3801"/>
    <w:rsid w:val="00C54221"/>
    <w:rsid w:val="00C5560C"/>
    <w:rsid w:val="00E44D58"/>
    <w:rsid w:val="00EA6E5B"/>
    <w:rsid w:val="00F613F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2E311A"/>
  <w15:chartTrackingRefBased/>
  <w15:docId w15:val="{56209254-3A21-4B48-812B-76B453337C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A6E5B"/>
  </w:style>
  <w:style w:type="paragraph" w:styleId="Heading1">
    <w:name w:val="heading 1"/>
    <w:basedOn w:val="Normal"/>
    <w:next w:val="Normal"/>
    <w:link w:val="Heading1Char"/>
    <w:uiPriority w:val="9"/>
    <w:qFormat/>
    <w:rsid w:val="00EA6E5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A6E5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A6E5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A6E5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A6E5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A6E5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A6E5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A6E5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A6E5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6E5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A6E5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A6E5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A6E5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A6E5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A6E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A6E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A6E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A6E5B"/>
    <w:rPr>
      <w:rFonts w:eastAsiaTheme="majorEastAsia" w:cstheme="majorBidi"/>
      <w:color w:val="272727" w:themeColor="text1" w:themeTint="D8"/>
    </w:rPr>
  </w:style>
  <w:style w:type="paragraph" w:styleId="Title">
    <w:name w:val="Title"/>
    <w:basedOn w:val="Normal"/>
    <w:next w:val="Normal"/>
    <w:link w:val="TitleChar"/>
    <w:uiPriority w:val="10"/>
    <w:qFormat/>
    <w:rsid w:val="00EA6E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A6E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A6E5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A6E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A6E5B"/>
    <w:pPr>
      <w:spacing w:before="160"/>
      <w:jc w:val="center"/>
    </w:pPr>
    <w:rPr>
      <w:i/>
      <w:iCs/>
      <w:color w:val="404040" w:themeColor="text1" w:themeTint="BF"/>
    </w:rPr>
  </w:style>
  <w:style w:type="character" w:customStyle="1" w:styleId="QuoteChar">
    <w:name w:val="Quote Char"/>
    <w:basedOn w:val="DefaultParagraphFont"/>
    <w:link w:val="Quote"/>
    <w:uiPriority w:val="29"/>
    <w:rsid w:val="00EA6E5B"/>
    <w:rPr>
      <w:i/>
      <w:iCs/>
      <w:color w:val="404040" w:themeColor="text1" w:themeTint="BF"/>
    </w:rPr>
  </w:style>
  <w:style w:type="paragraph" w:styleId="ListParagraph">
    <w:name w:val="List Paragraph"/>
    <w:basedOn w:val="Normal"/>
    <w:uiPriority w:val="34"/>
    <w:qFormat/>
    <w:rsid w:val="00EA6E5B"/>
    <w:pPr>
      <w:ind w:left="720"/>
      <w:contextualSpacing/>
    </w:pPr>
  </w:style>
  <w:style w:type="character" w:styleId="IntenseEmphasis">
    <w:name w:val="Intense Emphasis"/>
    <w:basedOn w:val="DefaultParagraphFont"/>
    <w:uiPriority w:val="21"/>
    <w:qFormat/>
    <w:rsid w:val="00EA6E5B"/>
    <w:rPr>
      <w:i/>
      <w:iCs/>
      <w:color w:val="0F4761" w:themeColor="accent1" w:themeShade="BF"/>
    </w:rPr>
  </w:style>
  <w:style w:type="paragraph" w:styleId="IntenseQuote">
    <w:name w:val="Intense Quote"/>
    <w:basedOn w:val="Normal"/>
    <w:next w:val="Normal"/>
    <w:link w:val="IntenseQuoteChar"/>
    <w:uiPriority w:val="30"/>
    <w:qFormat/>
    <w:rsid w:val="00EA6E5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A6E5B"/>
    <w:rPr>
      <w:i/>
      <w:iCs/>
      <w:color w:val="0F4761" w:themeColor="accent1" w:themeShade="BF"/>
    </w:rPr>
  </w:style>
  <w:style w:type="character" w:styleId="IntenseReference">
    <w:name w:val="Intense Reference"/>
    <w:basedOn w:val="DefaultParagraphFont"/>
    <w:uiPriority w:val="32"/>
    <w:qFormat/>
    <w:rsid w:val="00EA6E5B"/>
    <w:rPr>
      <w:b/>
      <w:bCs/>
      <w:smallCaps/>
      <w:color w:val="0F4761" w:themeColor="accent1" w:themeShade="BF"/>
      <w:spacing w:val="5"/>
    </w:rPr>
  </w:style>
  <w:style w:type="character" w:styleId="Hyperlink">
    <w:name w:val="Hyperlink"/>
    <w:basedOn w:val="DefaultParagraphFont"/>
    <w:uiPriority w:val="99"/>
    <w:unhideWhenUsed/>
    <w:rsid w:val="00EA6E5B"/>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osc.ca/sites/default/files/2022-10/sn_20221013_32-506_sub-advisers.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205</TotalTime>
  <Pages>2</Pages>
  <Words>599</Words>
  <Characters>2998</Characters>
  <Application>Microsoft Office Word</Application>
  <DocSecurity>0</DocSecurity>
  <Lines>52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Steve Irwin</dc:creator>
  <cp:keywords/>
  <dc:description/>
  <cp:lastModifiedBy>Steve Irwin</cp:lastModifiedBy>
  <cp:revision>7</cp:revision>
  <dcterms:created xsi:type="dcterms:W3CDTF">2026-01-21T11:33:00Z</dcterms:created>
  <dcterms:modified xsi:type="dcterms:W3CDTF">2026-01-23T16:48:00Z</dcterms:modified>
</cp:coreProperties>
</file>