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3FDD" w14:textId="77777777" w:rsidR="00392EF9" w:rsidRPr="00392EF9" w:rsidRDefault="00392EF9" w:rsidP="00392EF9">
      <w:pPr>
        <w:spacing w:after="0" w:line="240" w:lineRule="auto"/>
        <w:contextualSpacing/>
      </w:pPr>
      <w:r w:rsidRPr="00392EF9">
        <w:t xml:space="preserve">Under the regulatory framework of </w:t>
      </w:r>
      <w:r w:rsidRPr="00392EF9">
        <w:rPr>
          <w:b/>
          <w:bCs/>
        </w:rPr>
        <w:t>NI 93-101</w:t>
      </w:r>
      <w:r w:rsidRPr="00392EF9">
        <w:t xml:space="preserve">, a transit company transacting in derivatives to hedge the price of diesel used in its business operations qualifies as a </w:t>
      </w:r>
      <w:r w:rsidRPr="00392EF9">
        <w:rPr>
          <w:b/>
          <w:bCs/>
        </w:rPr>
        <w:t>commercial hedger</w:t>
      </w:r>
      <w:r w:rsidRPr="00392EF9">
        <w:t xml:space="preserve">. If this company meets the criteria of an </w:t>
      </w:r>
      <w:r w:rsidRPr="00392EF9">
        <w:rPr>
          <w:b/>
          <w:bCs/>
        </w:rPr>
        <w:t>eligible commercial hedger</w:t>
      </w:r>
      <w:r w:rsidRPr="00392EF9">
        <w:t xml:space="preserve"> (meaning it is an </w:t>
      </w:r>
      <w:r w:rsidRPr="00392EF9">
        <w:rPr>
          <w:b/>
          <w:bCs/>
        </w:rPr>
        <w:t>eligible derivatives party</w:t>
      </w:r>
      <w:r w:rsidRPr="00392EF9">
        <w:t xml:space="preserve"> (EDP) solely because it is a commercial hedger and does not meet other EDP categories, such as the $25 million net asset test), you must obtain a specific </w:t>
      </w:r>
      <w:r w:rsidRPr="00392EF9">
        <w:rPr>
          <w:b/>
          <w:bCs/>
        </w:rPr>
        <w:t>written waiver</w:t>
      </w:r>
      <w:r w:rsidRPr="00392EF9">
        <w:t xml:space="preserve"> to exempt your firm from certain conduct obligations.</w:t>
      </w:r>
    </w:p>
    <w:p w14:paraId="4E90ADCB" w14:textId="77777777" w:rsidR="00392EF9" w:rsidRPr="00392EF9" w:rsidRDefault="00392EF9" w:rsidP="00392EF9">
      <w:pPr>
        <w:spacing w:after="0" w:line="240" w:lineRule="auto"/>
        <w:contextualSpacing/>
        <w:rPr>
          <w:b/>
          <w:bCs/>
        </w:rPr>
      </w:pPr>
      <w:r w:rsidRPr="00392EF9">
        <w:t>Example Written Waiver Statement</w:t>
      </w:r>
    </w:p>
    <w:p w14:paraId="1F681A8B" w14:textId="77777777" w:rsidR="00392EF9" w:rsidRPr="00392EF9" w:rsidRDefault="00392EF9" w:rsidP="00392EF9">
      <w:pPr>
        <w:spacing w:after="0" w:line="240" w:lineRule="auto"/>
        <w:contextualSpacing/>
      </w:pPr>
      <w:r w:rsidRPr="00392EF9">
        <w:t>A compliant written statement from the transit company would likely take the following form:</w:t>
      </w:r>
    </w:p>
    <w:p w14:paraId="77CEF925" w14:textId="77777777" w:rsidR="00392EF9" w:rsidRPr="00392EF9" w:rsidRDefault="00392EF9" w:rsidP="00392EF9">
      <w:pPr>
        <w:spacing w:after="0" w:line="240" w:lineRule="auto"/>
        <w:contextualSpacing/>
      </w:pPr>
    </w:p>
    <w:p w14:paraId="5A38F88D" w14:textId="77777777" w:rsidR="00392EF9" w:rsidRPr="00392EF9" w:rsidRDefault="00392EF9" w:rsidP="00392EF9">
      <w:pPr>
        <w:spacing w:after="0" w:line="240" w:lineRule="auto"/>
        <w:contextualSpacing/>
      </w:pPr>
      <w:r w:rsidRPr="00392EF9">
        <w:t xml:space="preserve">Transit Company Name represents to The Fuel trading Company Limited in writing that it is a </w:t>
      </w:r>
      <w:r w:rsidRPr="00392EF9">
        <w:rPr>
          <w:b/>
          <w:bCs/>
        </w:rPr>
        <w:t>commercial hedger</w:t>
      </w:r>
      <w:r w:rsidRPr="00392EF9">
        <w:t xml:space="preserve"> in relation to the OTC swaps it transacts with The Fuel trading Company Limited. Transit Company Name hereby </w:t>
      </w:r>
      <w:r w:rsidRPr="00392EF9">
        <w:rPr>
          <w:b/>
          <w:bCs/>
        </w:rPr>
        <w:t>waives protections provided in National Instrument 93-101</w:t>
      </w:r>
      <w:r w:rsidRPr="00392EF9">
        <w:t>. Specifically, this waiver applies to the following protections:</w:t>
      </w:r>
    </w:p>
    <w:p w14:paraId="56A419A8" w14:textId="77777777" w:rsidR="00392EF9" w:rsidRPr="00392EF9" w:rsidRDefault="00392EF9" w:rsidP="00392EF9">
      <w:pPr>
        <w:numPr>
          <w:ilvl w:val="0"/>
          <w:numId w:val="1"/>
        </w:numPr>
        <w:spacing w:after="0" w:line="240" w:lineRule="auto"/>
        <w:contextualSpacing/>
      </w:pPr>
      <w:r w:rsidRPr="00392EF9">
        <w:t xml:space="preserve">The requirement to make a </w:t>
      </w:r>
      <w:r w:rsidRPr="00392EF9">
        <w:rPr>
          <w:b/>
          <w:bCs/>
        </w:rPr>
        <w:t>suitability determination</w:t>
      </w:r>
      <w:r w:rsidRPr="00392EF9">
        <w:t xml:space="preserve"> (Section 15).</w:t>
      </w:r>
    </w:p>
    <w:p w14:paraId="7079131A" w14:textId="77777777" w:rsidR="00392EF9" w:rsidRPr="00392EF9" w:rsidRDefault="00392EF9" w:rsidP="00392EF9">
      <w:pPr>
        <w:numPr>
          <w:ilvl w:val="0"/>
          <w:numId w:val="1"/>
        </w:numPr>
        <w:spacing w:after="0" w:line="240" w:lineRule="auto"/>
        <w:contextualSpacing/>
      </w:pPr>
      <w:r w:rsidRPr="00392EF9">
        <w:t xml:space="preserve">The requirement to collect information regarding </w:t>
      </w:r>
      <w:r w:rsidRPr="00392EF9">
        <w:rPr>
          <w:b/>
          <w:bCs/>
        </w:rPr>
        <w:t>derivatives-party-specific needs and objectives</w:t>
      </w:r>
      <w:r w:rsidRPr="00392EF9">
        <w:t xml:space="preserve"> (Section 14).</w:t>
      </w:r>
    </w:p>
    <w:p w14:paraId="6FDEBAD0" w14:textId="77777777" w:rsidR="00392EF9" w:rsidRPr="00392EF9" w:rsidRDefault="00392EF9" w:rsidP="00392EF9">
      <w:pPr>
        <w:numPr>
          <w:ilvl w:val="0"/>
          <w:numId w:val="1"/>
        </w:numPr>
        <w:spacing w:after="0" w:line="240" w:lineRule="auto"/>
        <w:contextualSpacing/>
      </w:pPr>
      <w:r w:rsidRPr="00392EF9">
        <w:t xml:space="preserve">The requirement to provide </w:t>
      </w:r>
      <w:r w:rsidRPr="00392EF9">
        <w:rPr>
          <w:b/>
          <w:bCs/>
        </w:rPr>
        <w:t>relationship disclosure information</w:t>
      </w:r>
      <w:r w:rsidRPr="00392EF9">
        <w:t xml:space="preserve"> (Section 19).</w:t>
      </w:r>
    </w:p>
    <w:p w14:paraId="4EB1ACD5" w14:textId="77777777" w:rsidR="00392EF9" w:rsidRPr="00392EF9" w:rsidRDefault="00392EF9" w:rsidP="00392EF9">
      <w:pPr>
        <w:numPr>
          <w:ilvl w:val="0"/>
          <w:numId w:val="1"/>
        </w:numPr>
        <w:spacing w:after="0" w:line="240" w:lineRule="auto"/>
        <w:contextualSpacing/>
      </w:pPr>
      <w:r w:rsidRPr="00392EF9">
        <w:t xml:space="preserve">The requirement to provide </w:t>
      </w:r>
      <w:r w:rsidRPr="00392EF9">
        <w:rPr>
          <w:b/>
          <w:bCs/>
        </w:rPr>
        <w:t>pre-transaction disclosure</w:t>
      </w:r>
      <w:r w:rsidRPr="00392EF9">
        <w:t>, including risks and material characteristics of the derivative (Section 20).</w:t>
      </w:r>
    </w:p>
    <w:p w14:paraId="1140372E" w14:textId="77777777" w:rsidR="00392EF9" w:rsidRPr="00392EF9" w:rsidRDefault="00392EF9" w:rsidP="00392EF9">
      <w:pPr>
        <w:numPr>
          <w:ilvl w:val="0"/>
          <w:numId w:val="1"/>
        </w:numPr>
        <w:spacing w:after="0" w:line="240" w:lineRule="auto"/>
        <w:contextualSpacing/>
      </w:pPr>
      <w:r w:rsidRPr="00392EF9">
        <w:t xml:space="preserve">The requirement to provide daily or quarterly </w:t>
      </w:r>
      <w:r w:rsidRPr="00392EF9">
        <w:rPr>
          <w:b/>
          <w:bCs/>
        </w:rPr>
        <w:t>valuation reporting</w:t>
      </w:r>
      <w:r w:rsidRPr="00392EF9">
        <w:t xml:space="preserve"> (Section 21).</w:t>
      </w:r>
    </w:p>
    <w:p w14:paraId="6791A458" w14:textId="77777777" w:rsidR="00392EF9" w:rsidRPr="00392EF9" w:rsidRDefault="00392EF9" w:rsidP="00392EF9">
      <w:pPr>
        <w:numPr>
          <w:ilvl w:val="0"/>
          <w:numId w:val="1"/>
        </w:numPr>
        <w:spacing w:after="0" w:line="240" w:lineRule="auto"/>
        <w:contextualSpacing/>
      </w:pPr>
      <w:r w:rsidRPr="00392EF9">
        <w:t xml:space="preserve">The requirement to provide detailed </w:t>
      </w:r>
      <w:r w:rsidRPr="00392EF9">
        <w:rPr>
          <w:b/>
          <w:bCs/>
        </w:rPr>
        <w:t>quarterly derivatives party statements</w:t>
      </w:r>
      <w:r w:rsidRPr="00392EF9">
        <w:t xml:space="preserve"> (Section 29).</w:t>
      </w:r>
    </w:p>
    <w:p w14:paraId="595AAC7E" w14:textId="77777777" w:rsidR="00392EF9" w:rsidRPr="00392EF9" w:rsidRDefault="00392EF9" w:rsidP="00392EF9">
      <w:pPr>
        <w:numPr>
          <w:ilvl w:val="0"/>
          <w:numId w:val="1"/>
        </w:numPr>
        <w:spacing w:after="0" w:line="240" w:lineRule="auto"/>
        <w:contextualSpacing/>
      </w:pPr>
      <w:r w:rsidRPr="00392EF9">
        <w:t xml:space="preserve">The requirement to provide written disclosure of </w:t>
      </w:r>
      <w:r w:rsidRPr="00392EF9">
        <w:rPr>
          <w:b/>
          <w:bCs/>
        </w:rPr>
        <w:t>referral arrangements</w:t>
      </w:r>
      <w:r w:rsidRPr="00392EF9">
        <w:t xml:space="preserve"> (Section 18).</w:t>
      </w:r>
    </w:p>
    <w:p w14:paraId="452E9E46" w14:textId="77777777" w:rsidR="00392EF9" w:rsidRDefault="00392EF9" w:rsidP="00392EF9">
      <w:pPr>
        <w:spacing w:after="0" w:line="240" w:lineRule="auto"/>
        <w:contextualSpacing/>
      </w:pPr>
    </w:p>
    <w:p w14:paraId="0677005B" w14:textId="004C683E" w:rsidR="00392EF9" w:rsidRDefault="00392EF9" w:rsidP="00392EF9">
      <w:pPr>
        <w:spacing w:after="0" w:line="240" w:lineRule="auto"/>
        <w:contextualSpacing/>
      </w:pPr>
      <w:r>
        <w:t>The following protection will apply in full force and are not affected at all by the statement above:</w:t>
      </w:r>
    </w:p>
    <w:p w14:paraId="2C467063" w14:textId="77777777" w:rsidR="00392EF9" w:rsidRPr="00392EF9" w:rsidRDefault="00392EF9" w:rsidP="00392EF9">
      <w:pPr>
        <w:numPr>
          <w:ilvl w:val="0"/>
          <w:numId w:val="2"/>
        </w:numPr>
        <w:spacing w:after="0" w:line="240" w:lineRule="auto"/>
        <w:contextualSpacing/>
      </w:pPr>
      <w:r w:rsidRPr="00392EF9">
        <w:rPr>
          <w:b/>
          <w:bCs/>
        </w:rPr>
        <w:t>Fair Dealing:</w:t>
      </w:r>
      <w:r w:rsidRPr="00392EF9">
        <w:t xml:space="preserve"> The absolute requirement to act fairly, honestly, and in good faith.</w:t>
      </w:r>
    </w:p>
    <w:p w14:paraId="25525205" w14:textId="77777777" w:rsidR="00392EF9" w:rsidRPr="00392EF9" w:rsidRDefault="00392EF9" w:rsidP="00392EF9">
      <w:pPr>
        <w:numPr>
          <w:ilvl w:val="0"/>
          <w:numId w:val="2"/>
        </w:numPr>
        <w:spacing w:after="0" w:line="240" w:lineRule="auto"/>
        <w:contextualSpacing/>
      </w:pPr>
      <w:r w:rsidRPr="00392EF9">
        <w:rPr>
          <w:b/>
          <w:bCs/>
        </w:rPr>
        <w:t>Conflicts of Interest:</w:t>
      </w:r>
      <w:r w:rsidRPr="00392EF9">
        <w:t xml:space="preserve"> The duty to identify, respond to, and disclose material conflicts of interest.</w:t>
      </w:r>
    </w:p>
    <w:p w14:paraId="62214B4D" w14:textId="77777777" w:rsidR="00392EF9" w:rsidRPr="00392EF9" w:rsidRDefault="00392EF9" w:rsidP="00392EF9">
      <w:pPr>
        <w:numPr>
          <w:ilvl w:val="0"/>
          <w:numId w:val="2"/>
        </w:numPr>
        <w:spacing w:after="0" w:line="240" w:lineRule="auto"/>
        <w:contextualSpacing/>
      </w:pPr>
      <w:r w:rsidRPr="00392EF9">
        <w:rPr>
          <w:b/>
          <w:bCs/>
        </w:rPr>
        <w:t>Know Your Derivatives Party (KYC):</w:t>
      </w:r>
      <w:r w:rsidRPr="00392EF9">
        <w:t xml:space="preserve"> The obligation to verify the client's identity and establish their creditworthiness.</w:t>
      </w:r>
    </w:p>
    <w:p w14:paraId="3252BFBC" w14:textId="77777777" w:rsidR="00392EF9" w:rsidRPr="00392EF9" w:rsidRDefault="00392EF9" w:rsidP="00392EF9">
      <w:pPr>
        <w:numPr>
          <w:ilvl w:val="0"/>
          <w:numId w:val="2"/>
        </w:numPr>
        <w:spacing w:after="0" w:line="240" w:lineRule="auto"/>
        <w:contextualSpacing/>
      </w:pPr>
      <w:r w:rsidRPr="00392EF9">
        <w:rPr>
          <w:b/>
          <w:bCs/>
        </w:rPr>
        <w:t>Handling Complaints:</w:t>
      </w:r>
      <w:r w:rsidRPr="00392EF9">
        <w:t xml:space="preserve"> The requirement to document and respond to complaints effectively.</w:t>
      </w:r>
    </w:p>
    <w:p w14:paraId="2B926551" w14:textId="77777777" w:rsidR="00392EF9" w:rsidRPr="00392EF9" w:rsidRDefault="00392EF9" w:rsidP="00392EF9">
      <w:pPr>
        <w:numPr>
          <w:ilvl w:val="0"/>
          <w:numId w:val="2"/>
        </w:numPr>
        <w:spacing w:after="0" w:line="240" w:lineRule="auto"/>
        <w:contextualSpacing/>
      </w:pPr>
      <w:r w:rsidRPr="00392EF9">
        <w:rPr>
          <w:b/>
          <w:bCs/>
        </w:rPr>
        <w:t>Segregation:</w:t>
      </w:r>
      <w:r w:rsidRPr="00392EF9">
        <w:t xml:space="preserve"> The requirement to </w:t>
      </w:r>
      <w:r w:rsidRPr="00392EF9">
        <w:rPr>
          <w:b/>
          <w:bCs/>
        </w:rPr>
        <w:t>segregate</w:t>
      </w:r>
      <w:r w:rsidRPr="00392EF9">
        <w:t xml:space="preserve"> derivatives party assets and positions from the firm's own property.</w:t>
      </w:r>
    </w:p>
    <w:p w14:paraId="2A459BFC" w14:textId="77777777" w:rsidR="00392EF9" w:rsidRPr="00392EF9" w:rsidRDefault="00392EF9" w:rsidP="00392EF9">
      <w:pPr>
        <w:numPr>
          <w:ilvl w:val="0"/>
          <w:numId w:val="2"/>
        </w:numPr>
        <w:spacing w:after="0" w:line="240" w:lineRule="auto"/>
        <w:contextualSpacing/>
      </w:pPr>
      <w:r w:rsidRPr="00392EF9">
        <w:rPr>
          <w:b/>
          <w:bCs/>
        </w:rPr>
        <w:t>Recordkeeping:</w:t>
      </w:r>
      <w:r w:rsidRPr="00392EF9">
        <w:t xml:space="preserve"> All compliance and recordkeeping requirements set out in Part 5 of the Instrument.</w:t>
      </w:r>
    </w:p>
    <w:p w14:paraId="4B7DD7EE" w14:textId="77777777" w:rsidR="00392EF9" w:rsidRPr="00392EF9" w:rsidRDefault="00392EF9" w:rsidP="00392EF9">
      <w:pPr>
        <w:numPr>
          <w:ilvl w:val="0"/>
          <w:numId w:val="2"/>
        </w:numPr>
        <w:spacing w:after="0" w:line="240" w:lineRule="auto"/>
        <w:contextualSpacing/>
      </w:pPr>
      <w:r w:rsidRPr="00392EF9">
        <w:rPr>
          <w:b/>
          <w:bCs/>
        </w:rPr>
        <w:t>Transaction Confirmations:</w:t>
      </w:r>
      <w:r w:rsidRPr="00392EF9">
        <w:t xml:space="preserve"> The basic obligation to deliver a written confirmation of each transaction promptly (though the specific content requirements for non-EDPs may be bypassed by the EDP status).</w:t>
      </w:r>
    </w:p>
    <w:p w14:paraId="79084D4B" w14:textId="0E47AFD3" w:rsidR="00B51FBE" w:rsidRDefault="00B51FBE" w:rsidP="00392EF9">
      <w:pPr>
        <w:spacing w:after="0" w:line="240" w:lineRule="auto"/>
        <w:contextualSpacing/>
      </w:pPr>
    </w:p>
    <w:sectPr w:rsidR="00B51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1D59"/>
    <w:multiLevelType w:val="multilevel"/>
    <w:tmpl w:val="2FF4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722A8"/>
    <w:multiLevelType w:val="multilevel"/>
    <w:tmpl w:val="6EFE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688375">
    <w:abstractNumId w:val="1"/>
  </w:num>
  <w:num w:numId="2" w16cid:durableId="208085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F9"/>
    <w:rsid w:val="000F69E8"/>
    <w:rsid w:val="00392EF9"/>
    <w:rsid w:val="00B51FBE"/>
    <w:rsid w:val="00BB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8D78"/>
  <w15:chartTrackingRefBased/>
  <w15:docId w15:val="{ABDE5D17-A8BD-4A6D-9CB5-684E6F28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423</Words>
  <Characters>2116</Characters>
  <Application>Microsoft Office Word</Application>
  <DocSecurity>0</DocSecurity>
  <Lines>37</Lines>
  <Paragraphs>19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Irwin</dc:creator>
  <cp:keywords/>
  <dc:description/>
  <cp:lastModifiedBy>Steve Irwin</cp:lastModifiedBy>
  <cp:revision>1</cp:revision>
  <dcterms:created xsi:type="dcterms:W3CDTF">2026-01-23T14:39:00Z</dcterms:created>
  <dcterms:modified xsi:type="dcterms:W3CDTF">2026-01-23T14:42:00Z</dcterms:modified>
</cp:coreProperties>
</file>