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6/5 operating review — DC notes / copied after meeting</w:t>
      </w:r>
    </w:p>
    <w:p>
      <w:r>
        <w:rPr>
          <w:rFonts w:ascii="Arial" w:hAnsi="Arial"/>
          <w:b w:val="0"/>
          <w:i/>
          <w:color w:val="655C55"/>
          <w:sz w:val="20"/>
        </w:rPr>
        <w:t>Not minutes. For June deck follow-through; numbers in the May deck were final for May, comments below were typed during the room discussion and cleaned up only enough to read.</w:t>
      </w:r>
    </w:p>
    <w:p>
      <w:pPr>
        <w:pStyle w:val="Heading1"/>
      </w:pPr>
      <w:r>
        <w:t>P&amp;L / margin</w:t>
      </w:r>
    </w:p>
    <w:p>
      <w:r>
        <w:rPr>
          <w:rFonts w:ascii="Arial" w:hAnsi="Arial"/>
          <w:b w:val="0"/>
          <w:i w:val="0"/>
          <w:color w:val="222222"/>
          <w:sz w:val="21"/>
        </w:rPr>
        <w:t>• Revenue beat is fine but do not headline it without mix. Eastbank procurement is doing too much of the work.</w:t>
      </w:r>
    </w:p>
    <w:p>
      <w:r>
        <w:rPr>
          <w:rFonts w:ascii="Arial" w:hAnsi="Arial"/>
          <w:b w:val="0"/>
          <w:i w:val="0"/>
          <w:color w:val="222222"/>
          <w:sz w:val="21"/>
        </w:rPr>
        <w:t>• June page needs actual / plan / prior month and YTD. Show dollars plus margin rate; stop making reader calculate it.</w:t>
      </w:r>
    </w:p>
    <w:p>
      <w:r>
        <w:rPr>
          <w:rFonts w:ascii="Arial" w:hAnsi="Arial"/>
          <w:b w:val="0"/>
          <w:i w:val="0"/>
          <w:color w:val="222222"/>
          <w:sz w:val="21"/>
        </w:rPr>
        <w:t>• NB: reconcile board plan workbook to reporting deck before sending. May v3 used the earlier opex phasing.</w:t>
      </w:r>
    </w:p>
    <w:p>
      <w:pPr>
        <w:pStyle w:val="Heading1"/>
      </w:pPr>
      <w:r>
        <w:t>WIP / commercial</w:t>
      </w:r>
    </w:p>
    <w:p>
      <w:r>
        <w:rPr>
          <w:rFonts w:ascii="Arial" w:hAnsi="Arial"/>
          <w:b w:val="0"/>
          <w:i w:val="0"/>
          <w:color w:val="222222"/>
          <w:sz w:val="21"/>
        </w:rPr>
        <w:t>• Need an estimate-quality page, not just largest assets. Separate executed changes, pending pricing, and probable cost exposure.</w:t>
      </w:r>
    </w:p>
    <w:p>
      <w:r>
        <w:rPr>
          <w:rFonts w:ascii="Arial" w:hAnsi="Arial"/>
          <w:b w:val="0"/>
          <w:i w:val="0"/>
          <w:color w:val="222222"/>
          <w:sz w:val="21"/>
        </w:rPr>
        <w:t>• Cascade night work and the Northline forecast follow-up remain open; use the current commercial files for the June review.</w:t>
      </w:r>
    </w:p>
    <w:p>
      <w:r>
        <w:rPr>
          <w:rFonts w:ascii="Arial" w:hAnsi="Arial"/>
          <w:b w:val="0"/>
          <w:i w:val="0"/>
          <w:color w:val="222222"/>
          <w:sz w:val="21"/>
        </w:rPr>
        <w:t>• PR says change log is not clean enough to use without reading support packets. Status words are inconsistent.</w:t>
      </w:r>
    </w:p>
    <w:p>
      <w:r>
        <w:rPr>
          <w:rFonts w:ascii="Arial" w:hAnsi="Arial"/>
          <w:b w:val="0"/>
          <w:i w:val="0"/>
          <w:color w:val="222222"/>
          <w:sz w:val="21"/>
        </w:rPr>
        <w:t>• Show which projects moved since May and why. Add reconciliation appendix to source tabs / accounting extracts.</w:t>
      </w:r>
    </w:p>
    <w:p>
      <w:pPr>
        <w:pStyle w:val="Heading1"/>
      </w:pPr>
      <w:r>
        <w:t>Cash / working capital</w:t>
      </w:r>
    </w:p>
    <w:p>
      <w:r>
        <w:rPr>
          <w:rFonts w:ascii="Arial" w:hAnsi="Arial"/>
          <w:b w:val="0"/>
          <w:i w:val="0"/>
          <w:color w:val="222222"/>
          <w:sz w:val="21"/>
        </w:rPr>
        <w:t>• Eastbank date is the swing. Show base date and evidence, no upside case in headline cash.</w:t>
      </w:r>
    </w:p>
    <w:p>
      <w:r>
        <w:rPr>
          <w:rFonts w:ascii="Arial" w:hAnsi="Arial"/>
          <w:b w:val="0"/>
          <w:i w:val="0"/>
          <w:color w:val="222222"/>
          <w:sz w:val="21"/>
        </w:rPr>
        <w:t>• Public owners are warrant-calendar timing, not credit risk. Columbia is close-out / documentation risk.</w:t>
      </w:r>
    </w:p>
    <w:p>
      <w:r>
        <w:rPr>
          <w:rFonts w:ascii="Arial" w:hAnsi="Arial"/>
          <w:b w:val="0"/>
          <w:i w:val="0"/>
          <w:color w:val="222222"/>
          <w:sz w:val="21"/>
        </w:rPr>
        <w:t>• Put revolver availability and $1.25m internal cash floor on the same page. State whether draw is modeled.</w:t>
      </w:r>
    </w:p>
    <w:p>
      <w:pPr>
        <w:pStyle w:val="Heading1"/>
      </w:pPr>
      <w:r>
        <w:t>Deck construction notes</w:t>
      </w:r>
    </w:p>
    <w:p>
      <w:r>
        <w:rPr>
          <w:rFonts w:ascii="Arial" w:hAnsi="Arial"/>
          <w:b w:val="0"/>
          <w:i w:val="0"/>
          <w:color w:val="222222"/>
          <w:sz w:val="21"/>
        </w:rPr>
        <w:t>• Keep May layout cues but switch away from the old blue template when we refresh the annual reporting look.</w:t>
      </w:r>
    </w:p>
    <w:p>
      <w:r>
        <w:rPr>
          <w:rFonts w:ascii="Arial" w:hAnsi="Arial"/>
          <w:b w:val="0"/>
          <w:i w:val="0"/>
          <w:color w:val="222222"/>
          <w:sz w:val="21"/>
        </w:rPr>
        <w:t>• Nine slides max for June, with decisions before appendix. Presenter notes should state sources and unresolved items.</w:t>
      </w:r>
    </w:p>
    <w:p>
      <w:r>
        <w:rPr>
          <w:rFonts w:ascii="Arial" w:hAnsi="Arial"/>
          <w:b w:val="0"/>
          <w:i w:val="0"/>
          <w:color w:val="222222"/>
          <w:sz w:val="21"/>
        </w:rPr>
        <w:t>• CFO draft needs PPT plus PDF. PDF page count and numbers must match the deck exactly.</w:t>
      </w:r>
    </w:p>
    <w:p>
      <w:pPr>
        <w:pStyle w:val="Heading1"/>
      </w:pPr>
      <w:r>
        <w:t>Action scratchpad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6500"/>
        <w:gridCol w:w="1660"/>
      </w:tblGrid>
      <w:tr>
        <w:trPr>
          <w:tblHeader w:val="true"/>
        </w:trPr>
        <w:tc>
          <w:tcPr>
            <w:tcW w:type="dxa" w:w="1200"/>
            <w:shd w:fill="2A4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Owner</w:t>
            </w:r>
          </w:p>
        </w:tc>
        <w:tc>
          <w:tcPr>
            <w:tcW w:type="dxa" w:w="6500"/>
            <w:shd w:fill="2A4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Open item</w:t>
            </w:r>
          </w:p>
        </w:tc>
        <w:tc>
          <w:tcPr>
            <w:tcW w:type="dxa" w:w="1660"/>
            <w:shd w:fill="2A4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Need by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NB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June actual / plan bridge and WIP reconciliation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7/2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KS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AR evidence dates and concentration callouts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7/2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PR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Commercial support / status clean-up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7/2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DC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Decision wording and liquidity trigger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7/3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655C55"/>
        <w:sz w:val="18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i w:val="0"/>
        <w:color w:val="655C55"/>
        <w:sz w:val="17"/>
      </w:rPr>
      <w:t>ARM  |  OPERATING REVIEW NOTES  |  DC COPY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9B6A3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9B6A3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5A766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Notes from 6.5 operating review</dc:title>
  <dc:subject/>
  <dc:creator>Daniel Cho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