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60" w:lineRule="exact" w:after="80"/>
        <w:jc w:val="center"/>
      </w:pPr>
      <w:r>
        <w:rPr>
          <w:rFonts w:ascii="Calibri" w:hAnsi="Calibri"/>
          <w:b/>
          <w:color w:val="2A4337"/>
          <w:sz w:val="44"/>
        </w:rPr>
        <w:t>Q2 REPORTING REVIEW</w:t>
        <w:br/>
        <w:t>REVIEW NOTES AND DECISIONS</w:t>
      </w:r>
    </w:p>
    <w:p>
      <w:pPr>
        <w:jc w:val="center"/>
      </w:pPr>
      <w:r>
        <w:t>Alder Ridge Mechanical • Review through July 5, 2026</w:t>
      </w:r>
    </w:p>
    <w:p>
      <w:pPr>
        <w:pStyle w:val="Heading1"/>
      </w:pPr>
      <w:r>
        <w:t>Purpose and reporting basis</w:t>
      </w:r>
    </w:p>
    <w:p>
      <w:r>
        <w:t>This record captures the source and presentation decisions from the July 4–5 review of the Q2 close, board materials, lender measures, and investor reporting. It is a meeting record, not a completed analysis or recommendation.</w:t>
      </w:r>
    </w:p>
    <w:p>
      <w:r>
        <w:t>The approved Q2 plan remains the performance comparator, and the June reforecast is the current FY26 outlook. Earlier working files remain available only for change history.</w:t>
      </w:r>
    </w:p>
    <w:p>
      <w:pPr>
        <w:pStyle w:val="Heading1"/>
      </w:pPr>
      <w:r>
        <w:t>Materials reviewed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2F4F7"/>
            <w:tcBorders>
              <w:left w:val="nil"/>
              <w:right w:val="nil"/>
              <w:top w:val="single" w:sz="8" w:space="0" w:color="000000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Record</w:t>
            </w:r>
          </w:p>
        </w:tc>
        <w:tc>
          <w:tcPr>
            <w:tcW w:type="dxa" w:w="3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2F4F7"/>
            <w:tcBorders>
              <w:left w:val="nil"/>
              <w:right w:val="nil"/>
              <w:top w:val="single" w:sz="8" w:space="0" w:color="000000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Reporting use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2F4F7"/>
            <w:tcBorders>
              <w:left w:val="nil"/>
              <w:right w:val="nil"/>
              <w:top w:val="single" w:sz="8" w:space="0" w:color="000000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Status at review</w:t>
            </w:r>
          </w:p>
        </w:tc>
      </w:tr>
      <w:tr>
        <w:trPr>
          <w:cantSplit w:val="true"/>
        </w:trPr>
        <w:tc>
          <w:tcPr>
            <w:tcW w:type="dxa" w:w="24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Controller close package</w:t>
            </w:r>
          </w:p>
        </w:tc>
        <w:tc>
          <w:tcPr>
            <w:tcW w:type="dxa" w:w="3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Q2 and June reported results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Released 7/3 17:40</w:t>
            </w:r>
          </w:p>
        </w:tc>
      </w:tr>
      <w:tr>
        <w:trPr>
          <w:cantSplit w:val="true"/>
        </w:trPr>
        <w:tc>
          <w:tcPr>
            <w:tcW w:type="dxa" w:w="24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Q2 approved plan</w:t>
            </w:r>
          </w:p>
        </w:tc>
        <w:tc>
          <w:tcPr>
            <w:tcW w:type="dxa" w:w="3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Actual-to-plan comparison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Approved comparator</w:t>
            </w:r>
          </w:p>
        </w:tc>
      </w:tr>
      <w:tr>
        <w:trPr>
          <w:cantSplit w:val="true"/>
        </w:trPr>
        <w:tc>
          <w:tcPr>
            <w:tcW w:type="dxa" w:w="24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June reforecast</w:t>
            </w:r>
          </w:p>
        </w:tc>
        <w:tc>
          <w:tcPr>
            <w:tcW w:type="dxa" w:w="3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FY26 management outlook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Current approved</w:t>
            </w:r>
          </w:p>
        </w:tc>
      </w:tr>
      <w:tr>
        <w:trPr>
          <w:cantSplit w:val="true"/>
        </w:trPr>
        <w:tc>
          <w:tcPr>
            <w:tcW w:type="dxa" w:w="24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Vista ERP posting history</w:t>
            </w:r>
          </w:p>
        </w:tc>
        <w:tc>
          <w:tcPr>
            <w:tcW w:type="dxa" w:w="3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Posted balances and populations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Extracted 7/5 18:00</w:t>
            </w:r>
          </w:p>
        </w:tc>
      </w:tr>
      <w:tr>
        <w:trPr>
          <w:cantSplit w:val="true"/>
        </w:trPr>
        <w:tc>
          <w:tcPr>
            <w:tcW w:type="dxa" w:w="24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Executed credit agreement</w:t>
            </w:r>
          </w:p>
        </w:tc>
        <w:tc>
          <w:tcPr>
            <w:tcW w:type="dxa" w:w="3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Lender measures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Contractual basis</w:t>
            </w:r>
          </w:p>
        </w:tc>
      </w:tr>
      <w:tr>
        <w:trPr>
          <w:cantSplit w:val="true"/>
        </w:trPr>
        <w:tc>
          <w:tcPr>
            <w:tcW w:type="dxa" w:w="24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Signed KPI presentation policy</w:t>
            </w:r>
          </w:p>
        </w:tc>
        <w:tc>
          <w:tcPr>
            <w:tcW w:type="dxa" w:w="3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Investor and organic measures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Current policy</w:t>
            </w:r>
          </w:p>
        </w:tc>
      </w:tr>
    </w:tbl>
    <w:p>
      <w:r>
        <w:br w:type="page"/>
      </w:r>
    </w:p>
    <w:p>
      <w:pPr>
        <w:pStyle w:val="Heading1"/>
      </w:pPr>
      <w:r>
        <w:t>Review observations</w:t>
      </w:r>
    </w:p>
    <w:p>
      <w:pPr>
        <w:pStyle w:val="ListBullet"/>
        <w:spacing w:after="140"/>
      </w:pPr>
      <w:r>
        <w:t>Any adjustment to reported figures requires Controller review, posted support, and a documented close correction.</w:t>
      </w:r>
    </w:p>
    <w:p>
      <w:pPr>
        <w:pStyle w:val="ListBullet"/>
        <w:spacing w:after="140"/>
      </w:pPr>
      <w:r>
        <w:t>Cash timing, operating performance, and EBITDA matters remain in their documented financial categories. Narrative descriptions do not change that classification.</w:t>
      </w:r>
    </w:p>
    <w:p>
      <w:pPr>
        <w:pStyle w:val="ListBullet"/>
        <w:spacing w:after="140"/>
      </w:pPr>
      <w:r>
        <w:t>Plan, current outlook, public guidance, lender, and investor measures remain separate bases. Each use should retain its period, units, approval status, and source citation.</w:t>
      </w:r>
    </w:p>
    <w:p>
      <w:pPr>
        <w:pStyle w:val="ListBullet"/>
        <w:spacing w:after="140"/>
      </w:pPr>
      <w:r>
        <w:t>Release recommendations follow the signed decision thresholds and evidence available at the review date. A management action is not treated as complete solely because it appears in an operating discussion.</w:t>
      </w:r>
    </w:p>
    <w:p>
      <w:pPr>
        <w:pStyle w:val="Heading1"/>
      </w:pPr>
      <w:r>
        <w:t>Open follow-ups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2F4F7"/>
            <w:tcBorders>
              <w:left w:val="nil"/>
              <w:right w:val="nil"/>
              <w:top w:val="single" w:sz="8" w:space="0" w:color="000000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Owner</w:t>
            </w:r>
          </w:p>
        </w:tc>
        <w:tc>
          <w:tcPr>
            <w:tcW w:type="dxa" w:w="48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2F4F7"/>
            <w:tcBorders>
              <w:left w:val="nil"/>
              <w:right w:val="nil"/>
              <w:top w:val="single" w:sz="8" w:space="0" w:color="000000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Follow-up</w:t>
            </w:r>
          </w:p>
        </w:tc>
        <w:tc>
          <w:tcPr>
            <w:tcW w:type="dxa" w:w="2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2F4F7"/>
            <w:tcBorders>
              <w:left w:val="nil"/>
              <w:right w:val="nil"/>
              <w:top w:val="single" w:sz="8" w:space="0" w:color="000000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Next review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Controller</w:t>
            </w:r>
          </w:p>
        </w:tc>
        <w:tc>
          <w:tcPr>
            <w:tcW w:type="dxa" w:w="48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Confirm final accounting citations and release checklist</w:t>
            </w:r>
          </w:p>
        </w:tc>
        <w:tc>
          <w:tcPr>
            <w:tcW w:type="dxa" w:w="2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Before circulation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FP&amp;A</w:t>
            </w:r>
          </w:p>
        </w:tc>
        <w:tc>
          <w:tcPr>
            <w:tcW w:type="dxa" w:w="48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Refresh commentary to the current outlook and approved comparator</w:t>
            </w:r>
          </w:p>
        </w:tc>
        <w:tc>
          <w:tcPr>
            <w:tcW w:type="dxa" w:w="2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Leadership review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Investor Relations</w:t>
            </w:r>
          </w:p>
        </w:tc>
        <w:tc>
          <w:tcPr>
            <w:tcW w:type="dxa" w:w="48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Confirm external-measure basis and public-range wording</w:t>
            </w:r>
          </w:p>
        </w:tc>
        <w:tc>
          <w:tcPr>
            <w:tcW w:type="dxa" w:w="2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C0C0C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Release review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Operations</w:t>
            </w:r>
          </w:p>
        </w:tc>
        <w:tc>
          <w:tcPr>
            <w:tcW w:type="dxa" w:w="486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Provide support and accountable dates for proposed actions</w:t>
            </w:r>
          </w:p>
        </w:tc>
        <w:tc>
          <w:tcPr>
            <w:tcW w:type="dxa" w:w="2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val="clear" w:color="auto" w:fill="FFFFFF"/>
            <w:tcBorders>
              <w:left w:val="nil"/>
              <w:right w:val="nil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Next operating review</w:t>
            </w:r>
          </w:p>
        </w:tc>
      </w:tr>
    </w:tbl>
    <w:p>
      <w:pPr>
        <w:pStyle w:val="Heading1"/>
      </w:pPr>
      <w:r>
        <w:t>Record boundary</w:t>
      </w:r>
    </w:p>
    <w:p>
      <w:r>
        <w:t>This note records the review basis and unresolved follow-ups. It does not approve a journal entry, revise guidance, certify an action benefit, or substitute for the underlying close, planning, operating, lender, or investor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368"/>
        <w:sz w:val="16"/>
      </w:rPr>
      <w:t xml:space="preserve">Page </w:t>
    </w:r>
    <w:r>
      <w:rPr>
        <w:rFonts w:ascii="Calibri" w:hAnsi="Calibri"/>
        <w:color w:val="5F636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F6368"/>
        <w:sz w:val="16"/>
      </w:rPr>
      <w:t>ALDER RIDGE MECHANICAL • BOARD &amp; LENDER REPORTING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A43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A43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Alder Ridge Finance</cp:lastModifiedBy>
  <cp:revision>1</cp:revision>
  <dcterms:created xsi:type="dcterms:W3CDTF">2026-07-01T15:47:00Z</dcterms:created>
  <dcterms:modified xsi:type="dcterms:W3CDTF">2026-07-01T15:47:00Z</dcterms:modified>
  <cp:category/>
</cp:coreProperties>
</file>