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TREASURY, BANKING, AND CREDIT OUTLOOK</w:t>
        <w:br/>
        <w:t>REVIEW NOTES AND DECISIONS</w:t>
      </w:r>
    </w:p>
    <w:p>
      <w:pPr>
        <w:jc w:val="center"/>
      </w:pPr>
      <w:r>
        <w:t>Alder Ridge Mechanical • Review through July 5, 2026</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30-day daily cash-position model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Bank Balances, Expected Disbursements, Expected Receipts, Treasury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Seasonal liquidity and revolver headroom</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Borrowing base, Liquidity policy, Monthly liquidity forecast, Opening liquidity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Term-loan refinancing NPV decision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Existing notes, Refinancing proposals, Treasury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Interest-rate hedge strategy</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Debt forecast, Floating debt, Hedge terms, SOFR scenarios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Bank RFP economics and relationship recommendation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Bank proposals, Forecast relationship volumes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Foreign-currency equipment hedge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Downside FX scenario, Equipment payment schedule, Existing hedge register, Hedge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Short-term liquidity investment allocation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Approved investment menu, Available cash, Investment policy, Liquidity floors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FY27 covenant outlook</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Covenant Downside, Covenant policy, Debt Schedule, Forecast Inputs, Historical Covenant Inputs, Opening Balances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Credit metrics and incremental debt capacity</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Credit policy, Credit population</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Bank relationship profitability scorecard</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Bank relationship economics, Treasury concentration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dynamic 13-week cash and revolver model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13-week cash baseline, 13-week direct cash forecast, Weekly borrowing base policy, Weekly collection and collateral control, Weekly funding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Refinancing, hedge, and covenant economics</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Approved SOFR term curve, Rate cap term sheet, Rate cases, Refinancing alternatives, Refinancing decision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Layered FX hedge plan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Approved layered hedge plan, Approved natural FX offsets, Committed FX exposures, FX risk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ABL borrowing base and covenant cure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ABL borrowing base, ABL covenant inputs, ABL eligibility exclusions, Detailed ABL policy, Detailed AR collateral control, Detailed inventory collateral control</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Cash-investment liquidity ladder</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Investment policy, Investment stress control, Liquidity requirement tranches, Permitted cash investments</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External / management source only</w:t>
            </w:r>
          </w:p>
        </w:tc>
      </w:tr>
    </w:tbl>
    <w:p>
      <w:pPr>
        <w:pStyle w:val="Heading1"/>
      </w:pPr>
      <w:r>
        <w:t>Review decisions by analysis</w:t>
      </w:r>
    </w:p>
    <w:p>
      <w:pPr>
        <w:pStyle w:val="Heading2"/>
      </w:pPr>
      <w:r>
        <w:t>30-day daily cash-position model</w:t>
      </w:r>
    </w:p>
    <w:p>
      <w:r>
        <w:t>Decision 1: Use settlement date, not initiation date, and exclude restricted cash from available cash.</w:t>
      </w:r>
    </w:p>
    <w:p>
      <w:r>
        <w:t>Decision 2: Fund all bank minimums through concentration transfers before drawing; draw only enough to restore the consolidated floor.</w:t>
      </w:r>
    </w:p>
    <w:p>
      <w:r>
        <w:t>Decision 3: Repay the revolver only from cash above the floor plus the documented $500,000 operating buffer.</w:t>
      </w:r>
    </w:p>
    <w:p>
      <w:pPr>
        <w:pStyle w:val="Heading2"/>
      </w:pPr>
      <w:r>
        <w:t>Seasonal liquidity and revolver headroom</w:t>
      </w:r>
    </w:p>
    <w:p>
      <w:r>
        <w:t>Decision 1: Calculate monthly pre-financing cash before any draw or repayment, then restore only the $2.25 million operating floor.</w:t>
      </w:r>
    </w:p>
    <w:p>
      <w:r>
        <w:t>Decision 2: Available revolver is the lower of commitment and the monthly borrowing base; apply the spring step-down independently.</w:t>
      </w:r>
    </w:p>
    <w:p>
      <w:r>
        <w:t>Decision 3: Total liquidity equals ending cash plus undrawn availability, excluding restricted cash.</w:t>
      </w:r>
    </w:p>
    <w:p>
      <w:pPr>
        <w:pStyle w:val="Heading2"/>
      </w:pPr>
      <w:r>
        <w:t>Term-loan refinancing NPV decision</w:t>
      </w:r>
    </w:p>
    <w:p>
      <w:r>
        <w:t>Decision 1: Model monthly principal and interest through contractual maturity and include any final balloon.</w:t>
      </w:r>
    </w:p>
    <w:p>
      <w:r>
        <w:t>Decision 2: A refinance incurs proposal fees, the existing-note prepayment penalty, and the unamortized fee write-off at closing.</w:t>
      </w:r>
    </w:p>
    <w:p>
      <w:r>
        <w:t>Decision 3: Discount all cash outflows at the treasury monthly hurdle and compare with keeping the existing notes.</w:t>
      </w:r>
    </w:p>
    <w:p>
      <w:pPr>
        <w:pStyle w:val="Heading2"/>
      </w:pPr>
      <w:r>
        <w:t>Interest-rate hedge strategy</w:t>
      </w:r>
    </w:p>
    <w:p>
      <w:r>
        <w:t>Decision 1: Probability-weight three-year interest across all SOFR paths using the scheduled average balance for each year.</w:t>
      </w:r>
    </w:p>
    <w:p>
      <w:r>
        <w:t>Decision 2: The cap limits SOFR but not the credit spread; add premium once. The swap fixes SOFR but retains the spread and termination reserve.</w:t>
      </w:r>
    </w:p>
    <w:p>
      <w:r>
        <w:t>Decision 3: Recommend the lowest expected-cost strategy that also satisfies the maximum annual Downside interest ceiling.</w:t>
      </w:r>
    </w:p>
    <w:p>
      <w:pPr>
        <w:pStyle w:val="Heading2"/>
      </w:pPr>
      <w:r>
        <w:t>Bank RFP economics and relationship recommendation</w:t>
      </w:r>
    </w:p>
    <w:p>
      <w:r>
        <w:t>Decision 1: Use forecast deposits, average borrowings, and unused commitment rather than the current month's volumes.</w:t>
      </w:r>
    </w:p>
    <w:p>
      <w:r>
        <w:t>Decision 2: Annual net cost includes service fees less earnings credit and card rebate plus revolver interest and unused fees.</w:t>
      </w:r>
    </w:p>
    <w:p>
      <w:r>
        <w:t>Decision 3: Amortize implementation cost over three years for annual economics, but use full implementation plus transition reserve for switching payback; enforce mandatory capabilities.</w:t>
      </w:r>
    </w:p>
    <w:p>
      <w:pPr>
        <w:pStyle w:val="Heading2"/>
      </w:pPr>
      <w:r>
        <w:t>Foreign-currency equipment hedge</w:t>
      </w:r>
    </w:p>
    <w:p>
      <w:r>
        <w:t>Decision 1: Hedge committed purchase orders at 100%; do not include the optional order even after probability-weighting.</w:t>
      </w:r>
    </w:p>
    <w:p>
      <w:r>
        <w:t>Decision 2: Existing forwards remain assigned to their original settlement months and cannot be redesignated.</w:t>
      </w:r>
    </w:p>
    <w:p>
      <w:r>
        <w:t>Decision 3: Price the remaining committed notional at month-specific forwards; compare with the month-specific Downside spot cost.</w:t>
      </w:r>
    </w:p>
    <w:p>
      <w:pPr>
        <w:pStyle w:val="Heading2"/>
      </w:pPr>
      <w:r>
        <w:t>Short-term liquidity investment allocation</w:t>
      </w:r>
    </w:p>
    <w:p>
      <w:r>
        <w:t>Decision 1: Invest only unrestricted cash after the operating and payroll floors; exclude restricted surety cash.</w:t>
      </w:r>
    </w:p>
    <w:p>
      <w:r>
        <w:t>Decision 2: Maximize annualized interest in $250,000 increments while enforcing capacity, Bank A counterparty, WAM, and same-day liquidity limits.</w:t>
      </w:r>
    </w:p>
    <w:p>
      <w:r>
        <w:t>Decision 3: Weighted-average maturity and same-day liquidity are portfolio-weighted on invested principal.</w:t>
      </w:r>
    </w:p>
    <w:p>
      <w:pPr>
        <w:pStyle w:val="Heading2"/>
      </w:pPr>
      <w:r>
        <w:t>FY27 covenant outlook</w:t>
      </w:r>
    </w:p>
    <w:p>
      <w:r>
        <w:t>Decision 1: Roll funded debt quarterly after the acquisition draw and scheduled principal payments.</w:t>
      </w:r>
    </w:p>
    <w:p>
      <w:r>
        <w:t>Decision 2: Test leverage on trailing-four-quarter covenant EBITDA using the executed 3.00x maximum.</w:t>
      </w:r>
    </w:p>
    <w:p>
      <w:r>
        <w:t>Decision 3: Calculate FCCR under the executed amendment as trailing EBITDA less cash taxes and unfunded capex, divided by cash interest plus scheduled principal.</w:t>
      </w:r>
    </w:p>
    <w:p>
      <w:r>
        <w:t>Decision 4: Roll tangible net worth from the controller-tied opening balance using quarterly net income less distributions, and test the executed $2.5 million minimum at each quarter end.</w:t>
      </w:r>
    </w:p>
    <w:p>
      <w:r>
        <w:t>Decision 5: Roll pre-financing unrestricted cash from posted opening cash using operating cash generation less cash interest, cash taxes, unfunded capex, distributions, and scheduled principal. Test the board's $2.25 million minimum cash floor.</w:t>
      </w:r>
    </w:p>
    <w:p>
      <w:r>
        <w:t>Decision 6: At the first leverage breach, calculate the immediate debt paydown required to reach the covenant maximum and the portion financeable from cash above the board floor; do not solve an FCCR breach with a debt plug.</w:t>
      </w:r>
    </w:p>
    <w:p>
      <w:r>
        <w:t>Decision 7: For the covenant downside, reduce forecast covenant EBITDA and operating cash generation by 12%, apply 90% of forecast cash taxes, add $75,000 of quarterly cash interest beginning in 2026-Q4, and add $250,000 of unfunded capex in 2027-Q2 and 2028-Q2. Historical quarters remain actual.</w:t>
      </w:r>
    </w:p>
    <w:p>
      <w:r>
        <w:t>Decision 8: For downside tangible net worth, reduce forecast net income by the after-tax EBITDA shortfall and after-tax incremental interest using the approved 26% conversion tax rate. Capex and cash-tax timing changes affect cash, not tangible net worth.</w:t>
      </w:r>
    </w:p>
    <w:p>
      <w:pPr>
        <w:pStyle w:val="Heading2"/>
      </w:pPr>
      <w:r>
        <w:t>Credit metrics and incremental debt capacity</w:t>
      </w:r>
    </w:p>
    <w:p>
      <w:r>
        <w:t>Decision 1: Net leverage subtracts unrestricted cash; gross-leverage debt capacity does not.</w:t>
      </w:r>
    </w:p>
    <w:p>
      <w:r>
        <w:t>Decision 2: FCCR includes cash interest, cash taxes, maintenance capex, and distributions; incremental debt adds interest at the stated rate.</w:t>
      </w:r>
    </w:p>
    <w:p>
      <w:r>
        <w:t>Decision 3: Maximum incremental debt is the minimum of leverage, FCCR, and internal ratings capacities; report tangible-net-worth headroom separately.</w:t>
      </w:r>
    </w:p>
    <w:p>
      <w:pPr>
        <w:pStyle w:val="Heading2"/>
      </w:pPr>
      <w:r>
        <w:t>Bank relationship profitability scorecard</w:t>
      </w:r>
    </w:p>
    <w:p>
      <w:r>
        <w:t>Decision 1: Net relationship value equals credit economics plus treasury fee revenue less relationship risk cost.</w:t>
      </w:r>
    </w:p>
    <w:p>
      <w:r>
        <w:t>Decision 2: Calculate deposit and credit concentration on their separate portfolio totals and identify every policy exception.</w:t>
      </w:r>
    </w:p>
    <w:p>
      <w:r>
        <w:t>Decision 3: Move the prescribed increments from the largest concentration to the bank with the lowest combined deposit-plus-credit concentration.</w:t>
      </w:r>
    </w:p>
    <w:p>
      <w:pPr>
        <w:pStyle w:val="Heading2"/>
      </w:pPr>
      <w:r>
        <w:t>dynamic 13-week cash and revolver model</w:t>
      </w:r>
    </w:p>
    <w:p>
      <w:r>
        <w:t>Decision 1: Roll all thirteen weeks chronologically from posted opening cash and retain payroll, tax, and capex timing from the controller-tied forecast.</w:t>
      </w:r>
    </w:p>
    <w:p>
      <w:r>
        <w:t>Decision 2: Calculate each week's interest and unused fee on beginning-of-week revolver balances before determining the funding need.</w:t>
      </w:r>
    </w:p>
    <w:p>
      <w:r>
        <w:t>Decision 3: Draw only to the operating-cash floor and repay excess cash immediately without taking the revolver below zero.</w:t>
      </w:r>
    </w:p>
    <w:p>
      <w:r>
        <w:t>Decision 4: Do not net future receipts against an earlier liquidity shortfall or ignore feedback from debt interest into cash.</w:t>
      </w:r>
    </w:p>
    <w:p>
      <w:r>
        <w:t>Decision 5: Haircut weekly receipts by the approved collection-confidence factors. For collateral availability, the executed Amendment No. 2 controls: advance 80% of eligible A/R, give no inventory advance, then deduct current letters of credit and the availability block before capping each funding draw.</w:t>
      </w:r>
    </w:p>
    <w:p>
      <w:r>
        <w:t>Decision 6: Interest and unused fees remain based on beginning debt and commitment. Report any operating-floor breach or unfunded liquidity after the borrowing-base cap, plus minimum borrowing-base headroom.</w:t>
      </w:r>
    </w:p>
    <w:p>
      <w:pPr>
        <w:pStyle w:val="Heading2"/>
      </w:pPr>
      <w:r>
        <w:t>Refinancing, hedge, and covenant economics</w:t>
      </w:r>
    </w:p>
    <w:p>
      <w:r>
        <w:t>Decision 1: Compare present values over each alternative's contractual term. Apply the 26% tax shield to interest only; treat proposal fees, other closing costs, the prepayment penalty, and the existing-fee write-off as gross time-zero cash outflows with no assumed tax shield.</w:t>
      </w:r>
    </w:p>
    <w:p>
      <w:r>
        <w:t>Decision 2: Apply SOFR floors before adding spreads; the swapped proposal uses its all-in fixed rate and must not receive a second SOFR charge.</w:t>
      </w:r>
    </w:p>
    <w:p>
      <w:r>
        <w:t>Decision 3: Test downside interest, fixed-charge coverage, and leverage independently. Fixed-charge coverage equals (covenant EBITDA minus downside cash interest) divided by (annual fixed charges excluding interest plus opening principal times the annual principal-amortization percent).</w:t>
      </w:r>
    </w:p>
    <w:p>
      <w:r>
        <w:t>Decision 4: The recommendation must be based on total economics and covenant feasibility, not the lowest stated spread.</w:t>
      </w:r>
    </w:p>
    <w:p>
      <w:r>
        <w:t>Decision 5: Rebuild annual interest and principal from the five-year SOFR curve instead of applying one average rate to every year, and separately evaluate the approved cap on Term Loan A.</w:t>
      </w:r>
    </w:p>
    <w:p>
      <w:r>
        <w:t>Decision 6: Report the base-rate break-even against the all-in swap, five-year after-tax interest, principal repaid, capped downside interest, and capped downside fixed-charge coverage.</w:t>
      </w:r>
    </w:p>
    <w:p>
      <w:pPr>
        <w:pStyle w:val="Heading2"/>
      </w:pPr>
      <w:r>
        <w:t>Layered FX hedge plan</w:t>
      </w:r>
    </w:p>
    <w:p>
      <w:r>
        <w:t>Decision 1: Translate each committed foreign-currency payable using the correct currency-specific quote; all rates are USD per foreign unit.</w:t>
      </w:r>
    </w:p>
    <w:p>
      <w:r>
        <w:t>Decision 2: Forwards settle at the forward rate. Purchased options use the better of the scenario spot and strike for a payable, plus premium.</w:t>
      </w:r>
    </w:p>
    <w:p>
      <w:r>
        <w:t>Decision 3: For the expected case, use the budget USD rate as the scenario spot for option and residual-unhedged exposure; the forward USD rate applies only to the contracted forward layer.</w:t>
      </w:r>
    </w:p>
    <w:p>
      <w:r>
        <w:t>Decision 4: Leave only the documented residual unhedged and test policy by exposure rather than on a blended portfolio percentage.</w:t>
      </w:r>
    </w:p>
    <w:p>
      <w:r>
        <w:t>Decision 5: Compare the fully layered downside cash cost, including premiums, with the budget USD cost.</w:t>
      </w:r>
    </w:p>
    <w:p>
      <w:r>
        <w:t>Decision 6: Net only documented same-currency operating receipts against payables before applying hedge layers; cross-currency netting is prohibited.</w:t>
      </w:r>
    </w:p>
    <w:p>
      <w:r>
        <w:t>Decision 7: The approved option premiums are already contracted, nonrefundable cash costs and remain fixed after the natural-offset update.</w:t>
      </w:r>
    </w:p>
    <w:p>
      <w:r>
        <w:t>Decision 8: Test both the residual unhedged cap and counterparty notional limit after natural offsets. Report net exposure, natural-hedge benefit, largest downside currency, and adjusted downside cash cost.</w:t>
      </w:r>
    </w:p>
    <w:p>
      <w:pPr>
        <w:pStyle w:val="Heading2"/>
      </w:pPr>
      <w:r>
        <w:t>ABL borrowing base and covenant cure</w:t>
      </w:r>
    </w:p>
    <w:p>
      <w:r>
        <w:t>Decision 1: Apply eligibility exclusions to the correct collateral pool before advance rates. Gross borrowing base is the resulting advance-rate amount before specific reserves; deduct those reserves when calculating net loan availability.</w:t>
      </w:r>
    </w:p>
    <w:p>
      <w:r>
        <w:t>Decision 2: Facility availability is the lesser of commitment and borrowing base, less letters of credit and the availability block.</w:t>
      </w:r>
    </w:p>
    <w:p>
      <w:r>
        <w:t>Decision 3: Test excess availability after the existing revolver and compare it with the contractual minimum.</w:t>
      </w:r>
    </w:p>
    <w:p>
      <w:r>
        <w:t>Decision 4: Calculate and apply only the minimum equity cure needed for the fixed-charge-coverage shortfall, capped at the approved cure; post-cure coverage must reflect that amount rather than the full approval. Do not treat the cure as collateral or revolver repayment.</w:t>
      </w:r>
    </w:p>
    <w:p>
      <w:r>
        <w:t>Decision 5: This assignment evaluates the controller-approved pro forma ABL alternative, not the company's executed AR-only revolver. The Detailed ABL policy and the aggregate ABL advance-rate schedule are the controlling scenario terms; do not substitute Amendment No. 2's 25% concentration cap or 80% AR advance rate into this separate alternative-facility analysis.</w:t>
      </w:r>
    </w:p>
    <w:p>
      <w:r>
        <w:t>Decision 6: The detailed collateral control supersedes the aggregate management collateral amounts. Apply invoice-level aging, cross-aging and related-party exclusions, then the pro forma 20% single-customer concentration cap, before the scheduled AR advance rate.</w:t>
      </w:r>
    </w:p>
    <w:p>
      <w:r>
        <w:t>Decision 7: Apply category eligibility factors before the inventory advance rate, reconcile total detailed exclusions, and use the resulting detailed borrowing base for availability and cure conclusions.</w:t>
      </w:r>
    </w:p>
    <w:p>
      <w:pPr>
        <w:pStyle w:val="Heading2"/>
      </w:pPr>
      <w:r>
        <w:t>Cash-investment liquidity ladder</w:t>
      </w:r>
    </w:p>
    <w:p>
      <w:r>
        <w:t>Decision 1: Allocate the entire investable balance in approved $50,000 denominations while respecting instrument caps.</w:t>
      </w:r>
    </w:p>
    <w:p>
      <w:r>
        <w:t>Decision 2: Same-day liquidity includes only instruments settling within one day and applies the documented value factor.</w:t>
      </w:r>
    </w:p>
    <w:p>
      <w:r>
        <w:t>Decision 3: The dated liquidity rows are incremental cash-need tranches; sum them through each date to obtain the cumulative requirement. Each cumulative requirement may be met by instruments matured by that day or by qualifying same-day liquidity.</w:t>
      </w:r>
    </w:p>
    <w:p>
      <w:r>
        <w:t>Decision 4: Maximize expected income over the common 100-day investment horizon, assuming matured instruments roll at the same approved yield, subject to every liquidity and concentration constraint.</w:t>
      </w:r>
    </w:p>
    <w:p>
      <w:r>
        <w:t>Decision 5: Construct one income-maximizing executable ladder subject simultaneously to the ordinary cumulative cash needs and the stress constraints. Calculate weighted average maturity, Treasury-issuer concentration, and day-35 liquidation value after approved stress haircuts.</w:t>
      </w:r>
    </w:p>
    <w:p>
      <w:r>
        <w:t>Decision 6: Do not stop after testing an ordinary-only optimum: if it fails a stress cap or floor, reoptimize under those constraints. The final ladder is executable only if both ordinary and stress requirements pass; report each final stress metric and any remaining breach explicitly.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TREASURY &amp; BANKING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