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379E9" w14:textId="210E053D" w:rsidR="001759A6" w:rsidRPr="001759A6" w:rsidRDefault="001759A6" w:rsidP="001759A6">
      <w:pPr>
        <w:rPr>
          <w:b/>
          <w:bCs/>
        </w:rPr>
      </w:pPr>
      <w:r w:rsidRPr="001759A6">
        <w:rPr>
          <w:b/>
          <w:bCs/>
        </w:rPr>
        <w:t>GLOBAL DATA ON SUSTAINABLE ENERGY (2000–2020)</w:t>
      </w:r>
    </w:p>
    <w:p w14:paraId="12077F9F" w14:textId="77777777" w:rsidR="001759A6" w:rsidRDefault="001759A6" w:rsidP="00B4739F">
      <w:pPr>
        <w:rPr>
          <w:b/>
          <w:bCs/>
        </w:rPr>
      </w:pPr>
    </w:p>
    <w:p w14:paraId="566F27CB" w14:textId="77777777" w:rsidR="001759A6" w:rsidRDefault="001759A6" w:rsidP="00B4739F">
      <w:pPr>
        <w:rPr>
          <w:b/>
          <w:bCs/>
        </w:rPr>
      </w:pPr>
    </w:p>
    <w:p w14:paraId="70010FEF" w14:textId="77777777" w:rsidR="001759A6" w:rsidRDefault="001759A6" w:rsidP="00B4739F">
      <w:pPr>
        <w:rPr>
          <w:b/>
          <w:bCs/>
        </w:rPr>
      </w:pPr>
    </w:p>
    <w:p w14:paraId="1BAD1CF9" w14:textId="01568A37" w:rsidR="00B4739F" w:rsidRPr="00B4739F" w:rsidRDefault="00B4739F" w:rsidP="00B4739F">
      <w:pPr>
        <w:rPr>
          <w:b/>
          <w:bCs/>
        </w:rPr>
      </w:pPr>
      <w:r w:rsidRPr="00B4739F">
        <w:rPr>
          <w:b/>
          <w:bCs/>
        </w:rPr>
        <w:t>About Dataset</w:t>
      </w:r>
    </w:p>
    <w:p w14:paraId="5B3D3A46" w14:textId="77777777" w:rsidR="00B4739F" w:rsidRPr="00B4739F" w:rsidRDefault="00B4739F" w:rsidP="00B4739F">
      <w:pPr>
        <w:rPr>
          <w:b/>
          <w:bCs/>
        </w:rPr>
      </w:pPr>
      <w:r w:rsidRPr="00B4739F">
        <w:rPr>
          <w:b/>
          <w:bCs/>
        </w:rPr>
        <w:t>Description</w:t>
      </w:r>
    </w:p>
    <w:p w14:paraId="56F163A6" w14:textId="4296E500" w:rsidR="00B4739F" w:rsidRPr="00B4739F" w:rsidRDefault="00B4739F" w:rsidP="00B4739F">
      <w:r w:rsidRPr="00B4739F">
        <w:t>Uncover this dataset showcasing sustainable energy indicators and other useful factors across all countries from 2000 to 2020. Dive into vital aspects such as electricity access, renewable energy, carbon emissions, energy intensity, financial flows, and economic growth. Compare nations, track progress towards Sustainable Development Goal 7, and gain profound insights into </w:t>
      </w:r>
      <w:r w:rsidRPr="00B4739F">
        <w:rPr>
          <w:b/>
          <w:bCs/>
        </w:rPr>
        <w:t>global energy consumption patterns</w:t>
      </w:r>
      <w:r w:rsidRPr="00B4739F">
        <w:t> over time.</w:t>
      </w:r>
    </w:p>
    <w:p w14:paraId="0588B771" w14:textId="77777777" w:rsidR="00B4739F" w:rsidRPr="00B4739F" w:rsidRDefault="00B4739F" w:rsidP="00B4739F">
      <w:pPr>
        <w:rPr>
          <w:b/>
          <w:bCs/>
        </w:rPr>
      </w:pPr>
      <w:r w:rsidRPr="00B4739F">
        <w:rPr>
          <w:b/>
          <w:bCs/>
        </w:rPr>
        <w:t>Key Features:</w:t>
      </w:r>
    </w:p>
    <w:p w14:paraId="68F21F3F" w14:textId="77777777" w:rsidR="00B4739F" w:rsidRPr="00B4739F" w:rsidRDefault="00B4739F" w:rsidP="00B4739F">
      <w:pPr>
        <w:numPr>
          <w:ilvl w:val="0"/>
          <w:numId w:val="1"/>
        </w:numPr>
      </w:pPr>
      <w:r w:rsidRPr="00B4739F">
        <w:rPr>
          <w:b/>
          <w:bCs/>
        </w:rPr>
        <w:t>Entity</w:t>
      </w:r>
      <w:r w:rsidRPr="00B4739F">
        <w:t>: The name of the country or region for which the data is reported.</w:t>
      </w:r>
    </w:p>
    <w:p w14:paraId="2BA5B2BE" w14:textId="77777777" w:rsidR="00B4739F" w:rsidRPr="00B4739F" w:rsidRDefault="00B4739F" w:rsidP="00B4739F">
      <w:pPr>
        <w:numPr>
          <w:ilvl w:val="0"/>
          <w:numId w:val="1"/>
        </w:numPr>
      </w:pPr>
      <w:r w:rsidRPr="00B4739F">
        <w:rPr>
          <w:b/>
          <w:bCs/>
        </w:rPr>
        <w:t>Year</w:t>
      </w:r>
      <w:r w:rsidRPr="00B4739F">
        <w:t>: The year for which the data is reported, ranging from 2000 to 2020.</w:t>
      </w:r>
    </w:p>
    <w:p w14:paraId="0EC6EA5C" w14:textId="77777777" w:rsidR="00B4739F" w:rsidRPr="00B4739F" w:rsidRDefault="00B4739F" w:rsidP="00B4739F">
      <w:pPr>
        <w:numPr>
          <w:ilvl w:val="0"/>
          <w:numId w:val="1"/>
        </w:numPr>
      </w:pPr>
      <w:r w:rsidRPr="00B4739F">
        <w:rPr>
          <w:b/>
          <w:bCs/>
        </w:rPr>
        <w:t>Access to electricity (% of population)</w:t>
      </w:r>
      <w:r w:rsidRPr="00B4739F">
        <w:t>: The percentage of population with access to electricity.</w:t>
      </w:r>
    </w:p>
    <w:p w14:paraId="00197BE8" w14:textId="77777777" w:rsidR="00B4739F" w:rsidRPr="00B4739F" w:rsidRDefault="00B4739F" w:rsidP="00B4739F">
      <w:pPr>
        <w:numPr>
          <w:ilvl w:val="0"/>
          <w:numId w:val="1"/>
        </w:numPr>
      </w:pPr>
      <w:r w:rsidRPr="00B4739F">
        <w:rPr>
          <w:b/>
          <w:bCs/>
        </w:rPr>
        <w:t>Access to clean fuels for cooking (% of population)</w:t>
      </w:r>
      <w:r w:rsidRPr="00B4739F">
        <w:t>: The percentage of the population with primary reliance on clean fuels.</w:t>
      </w:r>
    </w:p>
    <w:p w14:paraId="6CB31466" w14:textId="5812130B" w:rsidR="00B4739F" w:rsidRPr="00B4739F" w:rsidRDefault="00B4739F" w:rsidP="00B4739F">
      <w:pPr>
        <w:numPr>
          <w:ilvl w:val="0"/>
          <w:numId w:val="1"/>
        </w:numPr>
      </w:pPr>
      <w:r w:rsidRPr="00B4739F">
        <w:rPr>
          <w:b/>
          <w:bCs/>
        </w:rPr>
        <w:t>Renewable-electricity-generating-capacity-per-capita</w:t>
      </w:r>
      <w:r w:rsidRPr="00B4739F">
        <w:t>: Renewable energy capacity per person</w:t>
      </w:r>
    </w:p>
    <w:p w14:paraId="2D2271D6" w14:textId="77777777" w:rsidR="00B4739F" w:rsidRPr="00B4739F" w:rsidRDefault="00B4739F" w:rsidP="00B4739F">
      <w:pPr>
        <w:numPr>
          <w:ilvl w:val="0"/>
          <w:numId w:val="1"/>
        </w:numPr>
      </w:pPr>
      <w:r w:rsidRPr="00B4739F">
        <w:rPr>
          <w:b/>
          <w:bCs/>
        </w:rPr>
        <w:t>Financial flows to developing countries (US $)</w:t>
      </w:r>
      <w:r w:rsidRPr="00B4739F">
        <w:t>: Aid and assistance from developed countries for clean energy projects.</w:t>
      </w:r>
    </w:p>
    <w:p w14:paraId="1D75EBB2" w14:textId="77777777" w:rsidR="00B4739F" w:rsidRPr="00B4739F" w:rsidRDefault="00B4739F" w:rsidP="00B4739F">
      <w:pPr>
        <w:numPr>
          <w:ilvl w:val="0"/>
          <w:numId w:val="1"/>
        </w:numPr>
      </w:pPr>
      <w:r w:rsidRPr="00B4739F">
        <w:rPr>
          <w:b/>
          <w:bCs/>
        </w:rPr>
        <w:t>Renewable energy share in total final energy consumption (%)</w:t>
      </w:r>
      <w:r w:rsidRPr="00B4739F">
        <w:t>: Percentage of renewable energy in final energy consumption.</w:t>
      </w:r>
    </w:p>
    <w:p w14:paraId="4FDFD40B" w14:textId="77777777" w:rsidR="00B4739F" w:rsidRPr="00B4739F" w:rsidRDefault="00B4739F" w:rsidP="00B4739F">
      <w:pPr>
        <w:numPr>
          <w:ilvl w:val="0"/>
          <w:numId w:val="1"/>
        </w:numPr>
      </w:pPr>
      <w:r w:rsidRPr="00B4739F">
        <w:rPr>
          <w:b/>
          <w:bCs/>
        </w:rPr>
        <w:t>Electricity from fossil fuels (TWh)</w:t>
      </w:r>
      <w:r w:rsidRPr="00B4739F">
        <w:t>: Electricity generated from fossil fuels (coal, oil, gas) in terawatt-hours.</w:t>
      </w:r>
    </w:p>
    <w:p w14:paraId="58D695AB" w14:textId="77777777" w:rsidR="00B4739F" w:rsidRPr="00B4739F" w:rsidRDefault="00B4739F" w:rsidP="00B4739F">
      <w:pPr>
        <w:numPr>
          <w:ilvl w:val="0"/>
          <w:numId w:val="1"/>
        </w:numPr>
      </w:pPr>
      <w:r w:rsidRPr="00B4739F">
        <w:rPr>
          <w:b/>
          <w:bCs/>
        </w:rPr>
        <w:t>Electricity from nuclear (TWh)</w:t>
      </w:r>
      <w:r w:rsidRPr="00B4739F">
        <w:t>: Electricity generated from nuclear power in terawatt-hours.</w:t>
      </w:r>
    </w:p>
    <w:p w14:paraId="3B389BA3" w14:textId="77777777" w:rsidR="00B4739F" w:rsidRPr="00B4739F" w:rsidRDefault="00B4739F" w:rsidP="00B4739F">
      <w:pPr>
        <w:numPr>
          <w:ilvl w:val="0"/>
          <w:numId w:val="1"/>
        </w:numPr>
      </w:pPr>
      <w:r w:rsidRPr="00B4739F">
        <w:rPr>
          <w:b/>
          <w:bCs/>
        </w:rPr>
        <w:t>Electricity from renewables (TWh)</w:t>
      </w:r>
      <w:r w:rsidRPr="00B4739F">
        <w:t>: Electricity generated from renewable sources (hydro, solar, wind, etc.) in terawatt-hours.</w:t>
      </w:r>
    </w:p>
    <w:p w14:paraId="05B77FE1" w14:textId="77777777" w:rsidR="00B4739F" w:rsidRPr="00B4739F" w:rsidRDefault="00B4739F" w:rsidP="00B4739F">
      <w:pPr>
        <w:numPr>
          <w:ilvl w:val="0"/>
          <w:numId w:val="1"/>
        </w:numPr>
      </w:pPr>
      <w:r w:rsidRPr="00B4739F">
        <w:rPr>
          <w:b/>
          <w:bCs/>
        </w:rPr>
        <w:t>Low-carbon electricity (% electricity)</w:t>
      </w:r>
      <w:r w:rsidRPr="00B4739F">
        <w:t>: Percentage of electricity from low-carbon sources (nuclear and renewables).</w:t>
      </w:r>
    </w:p>
    <w:p w14:paraId="6BB18F09" w14:textId="77777777" w:rsidR="00B4739F" w:rsidRPr="00B4739F" w:rsidRDefault="00B4739F" w:rsidP="00B4739F">
      <w:pPr>
        <w:numPr>
          <w:ilvl w:val="0"/>
          <w:numId w:val="1"/>
        </w:numPr>
      </w:pPr>
      <w:r w:rsidRPr="00B4739F">
        <w:rPr>
          <w:b/>
          <w:bCs/>
        </w:rPr>
        <w:t>Primary energy consumption per capita (kWh/person)</w:t>
      </w:r>
      <w:r w:rsidRPr="00B4739F">
        <w:t>: Energy consumption per person in kilowatt-hours.</w:t>
      </w:r>
    </w:p>
    <w:p w14:paraId="15C9443C" w14:textId="77777777" w:rsidR="00B4739F" w:rsidRPr="00B4739F" w:rsidRDefault="00B4739F" w:rsidP="00B4739F">
      <w:pPr>
        <w:numPr>
          <w:ilvl w:val="0"/>
          <w:numId w:val="1"/>
        </w:numPr>
      </w:pPr>
      <w:r w:rsidRPr="00B4739F">
        <w:rPr>
          <w:b/>
          <w:bCs/>
        </w:rPr>
        <w:lastRenderedPageBreak/>
        <w:t>Energy intensity level of primary energy (MJ/$2011 PPP GDP)</w:t>
      </w:r>
      <w:r w:rsidRPr="00B4739F">
        <w:t>: Energy use per unit of GDP at purchasing power parity.</w:t>
      </w:r>
    </w:p>
    <w:p w14:paraId="654B5DED" w14:textId="77777777" w:rsidR="00B4739F" w:rsidRPr="00B4739F" w:rsidRDefault="00B4739F" w:rsidP="00B4739F">
      <w:pPr>
        <w:numPr>
          <w:ilvl w:val="0"/>
          <w:numId w:val="1"/>
        </w:numPr>
      </w:pPr>
      <w:r w:rsidRPr="00B4739F">
        <w:rPr>
          <w:b/>
          <w:bCs/>
        </w:rPr>
        <w:t>Value_co2_emissions (metric tons per capita)</w:t>
      </w:r>
      <w:r w:rsidRPr="00B4739F">
        <w:t>: Carbon dioxide emissions per person in metric tons.</w:t>
      </w:r>
    </w:p>
    <w:p w14:paraId="175F4CC7" w14:textId="77777777" w:rsidR="00B4739F" w:rsidRPr="00B4739F" w:rsidRDefault="00B4739F" w:rsidP="00B4739F">
      <w:pPr>
        <w:numPr>
          <w:ilvl w:val="0"/>
          <w:numId w:val="1"/>
        </w:numPr>
      </w:pPr>
      <w:r w:rsidRPr="00B4739F">
        <w:rPr>
          <w:b/>
          <w:bCs/>
        </w:rPr>
        <w:t>Renewables (% equivalent primary energy)</w:t>
      </w:r>
      <w:r w:rsidRPr="00B4739F">
        <w:t>: Equivalent primary energy that is derived from renewable sources.</w:t>
      </w:r>
    </w:p>
    <w:p w14:paraId="3E11358D" w14:textId="77777777" w:rsidR="00B4739F" w:rsidRPr="00B4739F" w:rsidRDefault="00B4739F" w:rsidP="00B4739F">
      <w:pPr>
        <w:numPr>
          <w:ilvl w:val="0"/>
          <w:numId w:val="1"/>
        </w:numPr>
      </w:pPr>
      <w:r w:rsidRPr="00B4739F">
        <w:rPr>
          <w:b/>
          <w:bCs/>
        </w:rPr>
        <w:t>GDP growth (annual %)</w:t>
      </w:r>
      <w:r w:rsidRPr="00B4739F">
        <w:t>: Annual GDP growth rate based on constant local currency.</w:t>
      </w:r>
    </w:p>
    <w:p w14:paraId="35403219" w14:textId="77777777" w:rsidR="00B4739F" w:rsidRPr="00B4739F" w:rsidRDefault="00B4739F" w:rsidP="00B4739F">
      <w:pPr>
        <w:numPr>
          <w:ilvl w:val="0"/>
          <w:numId w:val="1"/>
        </w:numPr>
      </w:pPr>
      <w:r w:rsidRPr="00B4739F">
        <w:rPr>
          <w:b/>
          <w:bCs/>
        </w:rPr>
        <w:t>GDP per capita</w:t>
      </w:r>
      <w:r w:rsidRPr="00B4739F">
        <w:t>: Gross domestic product per person.</w:t>
      </w:r>
    </w:p>
    <w:p w14:paraId="7ACEB4AE" w14:textId="77777777" w:rsidR="00B4739F" w:rsidRPr="00B4739F" w:rsidRDefault="00B4739F" w:rsidP="00B4739F">
      <w:pPr>
        <w:numPr>
          <w:ilvl w:val="0"/>
          <w:numId w:val="1"/>
        </w:numPr>
      </w:pPr>
      <w:r w:rsidRPr="00B4739F">
        <w:rPr>
          <w:b/>
          <w:bCs/>
        </w:rPr>
        <w:t>Density (P/Km2)</w:t>
      </w:r>
      <w:r w:rsidRPr="00B4739F">
        <w:t>: Population density in persons per square kilometer.</w:t>
      </w:r>
    </w:p>
    <w:p w14:paraId="66F681FA" w14:textId="77777777" w:rsidR="00B4739F" w:rsidRPr="00B4739F" w:rsidRDefault="00B4739F" w:rsidP="00B4739F">
      <w:pPr>
        <w:numPr>
          <w:ilvl w:val="0"/>
          <w:numId w:val="1"/>
        </w:numPr>
      </w:pPr>
      <w:r w:rsidRPr="00B4739F">
        <w:rPr>
          <w:b/>
          <w:bCs/>
        </w:rPr>
        <w:t>Land Area (Km2)</w:t>
      </w:r>
      <w:r w:rsidRPr="00B4739F">
        <w:t>: Total land area in square kilometers.</w:t>
      </w:r>
    </w:p>
    <w:p w14:paraId="19E53CF3" w14:textId="77777777" w:rsidR="00B4739F" w:rsidRPr="00B4739F" w:rsidRDefault="00B4739F" w:rsidP="00B4739F">
      <w:pPr>
        <w:numPr>
          <w:ilvl w:val="0"/>
          <w:numId w:val="1"/>
        </w:numPr>
      </w:pPr>
      <w:r w:rsidRPr="00B4739F">
        <w:rPr>
          <w:b/>
          <w:bCs/>
        </w:rPr>
        <w:t>Latitude</w:t>
      </w:r>
      <w:r w:rsidRPr="00B4739F">
        <w:t>: Latitude of the country's centroid in decimal degrees.</w:t>
      </w:r>
    </w:p>
    <w:p w14:paraId="0A5FE3B0" w14:textId="77777777" w:rsidR="00B4739F" w:rsidRPr="00B4739F" w:rsidRDefault="00B4739F" w:rsidP="00B4739F">
      <w:pPr>
        <w:numPr>
          <w:ilvl w:val="0"/>
          <w:numId w:val="1"/>
        </w:numPr>
      </w:pPr>
      <w:r w:rsidRPr="00B4739F">
        <w:rPr>
          <w:b/>
          <w:bCs/>
        </w:rPr>
        <w:t>Longitude</w:t>
      </w:r>
      <w:r w:rsidRPr="00B4739F">
        <w:t>: Longitude of the country's centroid in decimal degrees.</w:t>
      </w:r>
    </w:p>
    <w:p w14:paraId="1BAE8D43" w14:textId="77777777" w:rsidR="00B4739F" w:rsidRPr="00B4739F" w:rsidRDefault="00B4739F" w:rsidP="00B4739F">
      <w:pPr>
        <w:rPr>
          <w:b/>
          <w:bCs/>
        </w:rPr>
      </w:pPr>
      <w:r w:rsidRPr="00B4739F">
        <w:rPr>
          <w:b/>
          <w:bCs/>
        </w:rPr>
        <w:t>Potential Use cases</w:t>
      </w:r>
    </w:p>
    <w:p w14:paraId="126E1145" w14:textId="77777777" w:rsidR="00B4739F" w:rsidRPr="00B4739F" w:rsidRDefault="00B4739F" w:rsidP="00B4739F">
      <w:pPr>
        <w:numPr>
          <w:ilvl w:val="0"/>
          <w:numId w:val="2"/>
        </w:numPr>
      </w:pPr>
      <w:r w:rsidRPr="00B4739F">
        <w:rPr>
          <w:b/>
          <w:bCs/>
        </w:rPr>
        <w:t>Energy Consumption Prediction:</w:t>
      </w:r>
      <w:r w:rsidRPr="00B4739F">
        <w:t> Predict future energy usage, aid planning, and track SDG 7 progress.</w:t>
      </w:r>
    </w:p>
    <w:p w14:paraId="239933F3" w14:textId="77777777" w:rsidR="00B4739F" w:rsidRPr="00B4739F" w:rsidRDefault="00B4739F" w:rsidP="00B4739F">
      <w:pPr>
        <w:numPr>
          <w:ilvl w:val="0"/>
          <w:numId w:val="2"/>
        </w:numPr>
      </w:pPr>
      <w:r w:rsidRPr="00B4739F">
        <w:rPr>
          <w:b/>
          <w:bCs/>
        </w:rPr>
        <w:t>Carbon Emission Forecasting:</w:t>
      </w:r>
      <w:r w:rsidRPr="00B4739F">
        <w:t> Forecast CO2 emissions, support climate strategies.</w:t>
      </w:r>
    </w:p>
    <w:p w14:paraId="476AA760" w14:textId="77777777" w:rsidR="00B4739F" w:rsidRPr="00B4739F" w:rsidRDefault="00B4739F" w:rsidP="00B4739F">
      <w:pPr>
        <w:numPr>
          <w:ilvl w:val="0"/>
          <w:numId w:val="2"/>
        </w:numPr>
      </w:pPr>
      <w:r w:rsidRPr="00B4739F">
        <w:rPr>
          <w:b/>
          <w:bCs/>
        </w:rPr>
        <w:t>Energy Access Classification:</w:t>
      </w:r>
      <w:r w:rsidRPr="00B4739F">
        <w:t> Categorize regions for infrastructure development, understand sustainable energy's role.</w:t>
      </w:r>
    </w:p>
    <w:p w14:paraId="61A3ED42" w14:textId="77777777" w:rsidR="00B4739F" w:rsidRPr="00B4739F" w:rsidRDefault="00B4739F" w:rsidP="00B4739F">
      <w:pPr>
        <w:numPr>
          <w:ilvl w:val="0"/>
          <w:numId w:val="2"/>
        </w:numPr>
      </w:pPr>
      <w:r w:rsidRPr="00B4739F">
        <w:rPr>
          <w:b/>
          <w:bCs/>
        </w:rPr>
        <w:t>Sustainable Development Goal Tracking:</w:t>
      </w:r>
      <w:r w:rsidRPr="00B4739F">
        <w:t> Monitor progress towards Goal 7, evaluate policy impact.</w:t>
      </w:r>
    </w:p>
    <w:p w14:paraId="68D1DF94" w14:textId="77777777" w:rsidR="00B4739F" w:rsidRPr="00B4739F" w:rsidRDefault="00B4739F" w:rsidP="00B4739F">
      <w:pPr>
        <w:numPr>
          <w:ilvl w:val="0"/>
          <w:numId w:val="2"/>
        </w:numPr>
      </w:pPr>
      <w:r w:rsidRPr="00B4739F">
        <w:rPr>
          <w:b/>
          <w:bCs/>
        </w:rPr>
        <w:t>Energy Equity Analysis:</w:t>
      </w:r>
      <w:r w:rsidRPr="00B4739F">
        <w:t> Analyze access, density, and growth for equitable distribution.</w:t>
      </w:r>
    </w:p>
    <w:p w14:paraId="567B3277" w14:textId="77777777" w:rsidR="00B4739F" w:rsidRPr="00B4739F" w:rsidRDefault="00B4739F" w:rsidP="00B4739F">
      <w:pPr>
        <w:numPr>
          <w:ilvl w:val="0"/>
          <w:numId w:val="2"/>
        </w:numPr>
      </w:pPr>
      <w:r w:rsidRPr="00B4739F">
        <w:rPr>
          <w:b/>
          <w:bCs/>
        </w:rPr>
        <w:t>Energy Efficiency Optimization:</w:t>
      </w:r>
      <w:r w:rsidRPr="00B4739F">
        <w:t> Identify intensive areas for environmental impact reduction.</w:t>
      </w:r>
    </w:p>
    <w:p w14:paraId="4F4BE92E" w14:textId="77777777" w:rsidR="00B4739F" w:rsidRPr="00B4739F" w:rsidRDefault="00B4739F" w:rsidP="00B4739F">
      <w:pPr>
        <w:numPr>
          <w:ilvl w:val="0"/>
          <w:numId w:val="2"/>
        </w:numPr>
      </w:pPr>
      <w:r w:rsidRPr="00B4739F">
        <w:rPr>
          <w:b/>
          <w:bCs/>
        </w:rPr>
        <w:t>Renewable Energy Potential Assessment:</w:t>
      </w:r>
      <w:r w:rsidRPr="00B4739F">
        <w:t> Identify regions for green investments based on capacity.</w:t>
      </w:r>
    </w:p>
    <w:p w14:paraId="2E3D5D68" w14:textId="77777777" w:rsidR="00B4739F" w:rsidRDefault="00B4739F" w:rsidP="00B4739F">
      <w:pPr>
        <w:numPr>
          <w:ilvl w:val="0"/>
          <w:numId w:val="2"/>
        </w:numPr>
      </w:pPr>
      <w:r w:rsidRPr="00B4739F">
        <w:rPr>
          <w:b/>
          <w:bCs/>
        </w:rPr>
        <w:t>Renewable Energy Investment Strategies:</w:t>
      </w:r>
      <w:r w:rsidRPr="00B4739F">
        <w:t> Guide investors towards sustainable opportunities.</w:t>
      </w:r>
    </w:p>
    <w:p w14:paraId="13B7F350" w14:textId="77777777" w:rsidR="00B4739F" w:rsidRPr="00B4739F" w:rsidRDefault="00B4739F" w:rsidP="00B4739F">
      <w:r w:rsidRPr="00B4739F">
        <w:t>Creating a Power BI dashboard for global data on sustainable energy from 2000 to 2020 involves several key steps. Here's a structured approach to help you design a comprehensive and insightful dashboard:</w:t>
      </w:r>
    </w:p>
    <w:p w14:paraId="12FE051A" w14:textId="77777777" w:rsidR="00B4739F" w:rsidRPr="00B4739F" w:rsidRDefault="00B4739F" w:rsidP="00B4739F">
      <w:pPr>
        <w:rPr>
          <w:b/>
          <w:bCs/>
        </w:rPr>
      </w:pPr>
      <w:r w:rsidRPr="00B4739F">
        <w:rPr>
          <w:b/>
          <w:bCs/>
        </w:rPr>
        <w:t>1. Data Sources</w:t>
      </w:r>
    </w:p>
    <w:p w14:paraId="36168366" w14:textId="77777777" w:rsidR="00B4739F" w:rsidRPr="00B4739F" w:rsidRDefault="00B4739F" w:rsidP="00B4739F">
      <w:r w:rsidRPr="00B4739F">
        <w:t>Gather relevant datasets, including:</w:t>
      </w:r>
    </w:p>
    <w:p w14:paraId="18BBA870" w14:textId="77777777" w:rsidR="00B4739F" w:rsidRPr="00B4739F" w:rsidRDefault="00B4739F" w:rsidP="00B4739F">
      <w:pPr>
        <w:numPr>
          <w:ilvl w:val="0"/>
          <w:numId w:val="3"/>
        </w:numPr>
      </w:pPr>
      <w:r w:rsidRPr="00B4739F">
        <w:rPr>
          <w:b/>
          <w:bCs/>
        </w:rPr>
        <w:lastRenderedPageBreak/>
        <w:t>Global Renewable Energy Capacity</w:t>
      </w:r>
      <w:r w:rsidRPr="00B4739F">
        <w:t>: Data on solar, wind, hydro, and other renewable sources.</w:t>
      </w:r>
    </w:p>
    <w:p w14:paraId="723995FE" w14:textId="77777777" w:rsidR="00B4739F" w:rsidRPr="00B4739F" w:rsidRDefault="00B4739F" w:rsidP="00B4739F">
      <w:pPr>
        <w:numPr>
          <w:ilvl w:val="0"/>
          <w:numId w:val="3"/>
        </w:numPr>
      </w:pPr>
      <w:r w:rsidRPr="00B4739F">
        <w:rPr>
          <w:b/>
          <w:bCs/>
        </w:rPr>
        <w:t>CO2 Emissions</w:t>
      </w:r>
      <w:r w:rsidRPr="00B4739F">
        <w:t>: Annual emissions data to analyze the impact of renewable energy adoption.</w:t>
      </w:r>
    </w:p>
    <w:p w14:paraId="263C3227" w14:textId="77777777" w:rsidR="00B4739F" w:rsidRPr="00B4739F" w:rsidRDefault="00B4739F" w:rsidP="00B4739F">
      <w:pPr>
        <w:numPr>
          <w:ilvl w:val="0"/>
          <w:numId w:val="3"/>
        </w:numPr>
      </w:pPr>
      <w:r w:rsidRPr="00B4739F">
        <w:rPr>
          <w:b/>
          <w:bCs/>
        </w:rPr>
        <w:t>Energy Consumption</w:t>
      </w:r>
      <w:r w:rsidRPr="00B4739F">
        <w:t>: Total energy consumption by type (renewable vs. non-renewable).</w:t>
      </w:r>
    </w:p>
    <w:p w14:paraId="6E5CC5D3" w14:textId="77777777" w:rsidR="00B4739F" w:rsidRPr="00B4739F" w:rsidRDefault="00B4739F" w:rsidP="00B4739F">
      <w:pPr>
        <w:numPr>
          <w:ilvl w:val="0"/>
          <w:numId w:val="3"/>
        </w:numPr>
      </w:pPr>
      <w:r w:rsidRPr="00B4739F">
        <w:rPr>
          <w:b/>
          <w:bCs/>
        </w:rPr>
        <w:t>Investment in Renewable Energy</w:t>
      </w:r>
      <w:r w:rsidRPr="00B4739F">
        <w:t>: Data on global investments in sustainable energy initiatives.</w:t>
      </w:r>
    </w:p>
    <w:p w14:paraId="781E30AD" w14:textId="77777777" w:rsidR="00B4739F" w:rsidRPr="00B4739F" w:rsidRDefault="00B4739F" w:rsidP="00B4739F">
      <w:pPr>
        <w:rPr>
          <w:b/>
          <w:bCs/>
        </w:rPr>
      </w:pPr>
      <w:r w:rsidRPr="00B4739F">
        <w:rPr>
          <w:b/>
          <w:bCs/>
        </w:rPr>
        <w:t>2. Data Preparation</w:t>
      </w:r>
    </w:p>
    <w:p w14:paraId="393E54F5" w14:textId="77777777" w:rsidR="00B4739F" w:rsidRPr="00B4739F" w:rsidRDefault="00B4739F" w:rsidP="00B4739F">
      <w:pPr>
        <w:numPr>
          <w:ilvl w:val="0"/>
          <w:numId w:val="4"/>
        </w:numPr>
      </w:pPr>
      <w:r w:rsidRPr="00B4739F">
        <w:rPr>
          <w:b/>
          <w:bCs/>
        </w:rPr>
        <w:t>Clean the Data</w:t>
      </w:r>
      <w:r w:rsidRPr="00B4739F">
        <w:t>: Ensure your data is free from inconsistencies, duplicates, and errors.</w:t>
      </w:r>
    </w:p>
    <w:p w14:paraId="274E1B70" w14:textId="77777777" w:rsidR="00B4739F" w:rsidRPr="00B4739F" w:rsidRDefault="00B4739F" w:rsidP="00B4739F">
      <w:pPr>
        <w:numPr>
          <w:ilvl w:val="0"/>
          <w:numId w:val="4"/>
        </w:numPr>
      </w:pPr>
      <w:r w:rsidRPr="00B4739F">
        <w:rPr>
          <w:b/>
          <w:bCs/>
        </w:rPr>
        <w:t>Transform the Data</w:t>
      </w:r>
      <w:r w:rsidRPr="00B4739F">
        <w:t>: Convert data types as needed, create calculated columns (e.g., growth rates), and establish relationships between tables.</w:t>
      </w:r>
    </w:p>
    <w:p w14:paraId="7A7F68C2" w14:textId="77777777" w:rsidR="00B4739F" w:rsidRPr="00B4739F" w:rsidRDefault="00B4739F" w:rsidP="00B4739F">
      <w:pPr>
        <w:rPr>
          <w:b/>
          <w:bCs/>
        </w:rPr>
      </w:pPr>
      <w:r w:rsidRPr="00B4739F">
        <w:rPr>
          <w:b/>
          <w:bCs/>
        </w:rPr>
        <w:t>3. Key Metrics to Include</w:t>
      </w:r>
    </w:p>
    <w:p w14:paraId="04E2C8DA" w14:textId="77777777" w:rsidR="00B4739F" w:rsidRPr="00B4739F" w:rsidRDefault="00B4739F" w:rsidP="00B4739F">
      <w:pPr>
        <w:numPr>
          <w:ilvl w:val="0"/>
          <w:numId w:val="5"/>
        </w:numPr>
      </w:pPr>
      <w:r w:rsidRPr="00B4739F">
        <w:rPr>
          <w:b/>
          <w:bCs/>
        </w:rPr>
        <w:t>Total Renewable Energy Capacity (2000–2020)</w:t>
      </w:r>
      <w:r w:rsidRPr="00B4739F">
        <w:t>: Yearly growth in gigawatts (GW).</w:t>
      </w:r>
    </w:p>
    <w:p w14:paraId="0B3FF5BE" w14:textId="77777777" w:rsidR="00B4739F" w:rsidRPr="00B4739F" w:rsidRDefault="00B4739F" w:rsidP="00B4739F">
      <w:pPr>
        <w:numPr>
          <w:ilvl w:val="0"/>
          <w:numId w:val="5"/>
        </w:numPr>
      </w:pPr>
      <w:r w:rsidRPr="00B4739F">
        <w:rPr>
          <w:b/>
          <w:bCs/>
        </w:rPr>
        <w:t>CO2 Emissions Trends</w:t>
      </w:r>
      <w:r w:rsidRPr="00B4739F">
        <w:t>: Comparison of emissions against renewable energy capacity.</w:t>
      </w:r>
    </w:p>
    <w:p w14:paraId="2FC32363" w14:textId="77777777" w:rsidR="00B4739F" w:rsidRPr="00B4739F" w:rsidRDefault="00B4739F" w:rsidP="00B4739F">
      <w:pPr>
        <w:numPr>
          <w:ilvl w:val="0"/>
          <w:numId w:val="5"/>
        </w:numPr>
      </w:pPr>
      <w:r w:rsidRPr="00B4739F">
        <w:rPr>
          <w:b/>
          <w:bCs/>
        </w:rPr>
        <w:t>Investment Trends</w:t>
      </w:r>
      <w:r w:rsidRPr="00B4739F">
        <w:t>: Annual global investments in renewable energy technologies.</w:t>
      </w:r>
    </w:p>
    <w:p w14:paraId="6C314AA1" w14:textId="77777777" w:rsidR="00B4739F" w:rsidRPr="00B4739F" w:rsidRDefault="00B4739F" w:rsidP="00B4739F">
      <w:pPr>
        <w:numPr>
          <w:ilvl w:val="0"/>
          <w:numId w:val="5"/>
        </w:numPr>
      </w:pPr>
      <w:r w:rsidRPr="00B4739F">
        <w:rPr>
          <w:b/>
          <w:bCs/>
        </w:rPr>
        <w:t>Energy Mix</w:t>
      </w:r>
      <w:r w:rsidRPr="00B4739F">
        <w:t>: Percentage of energy derived from renewable vs. non-renewable sources.</w:t>
      </w:r>
    </w:p>
    <w:p w14:paraId="3A08EF23" w14:textId="77777777" w:rsidR="00B4739F" w:rsidRPr="00B4739F" w:rsidRDefault="00B4739F" w:rsidP="00B4739F">
      <w:pPr>
        <w:rPr>
          <w:b/>
          <w:bCs/>
        </w:rPr>
      </w:pPr>
      <w:r w:rsidRPr="00B4739F">
        <w:rPr>
          <w:b/>
          <w:bCs/>
        </w:rPr>
        <w:t>4. Visualization Elements</w:t>
      </w:r>
    </w:p>
    <w:p w14:paraId="03CAD3E1" w14:textId="77777777" w:rsidR="00B4739F" w:rsidRPr="00B4739F" w:rsidRDefault="00B4739F" w:rsidP="00B4739F">
      <w:pPr>
        <w:numPr>
          <w:ilvl w:val="0"/>
          <w:numId w:val="6"/>
        </w:numPr>
      </w:pPr>
      <w:r w:rsidRPr="00B4739F">
        <w:rPr>
          <w:b/>
          <w:bCs/>
        </w:rPr>
        <w:t>Line Charts</w:t>
      </w:r>
      <w:r w:rsidRPr="00B4739F">
        <w:t>: Show trends over time for renewable capacity and CO2 emissions.</w:t>
      </w:r>
    </w:p>
    <w:p w14:paraId="172F2121" w14:textId="77777777" w:rsidR="00B4739F" w:rsidRPr="00B4739F" w:rsidRDefault="00B4739F" w:rsidP="00B4739F">
      <w:pPr>
        <w:numPr>
          <w:ilvl w:val="0"/>
          <w:numId w:val="6"/>
        </w:numPr>
      </w:pPr>
      <w:r w:rsidRPr="00B4739F">
        <w:rPr>
          <w:b/>
          <w:bCs/>
        </w:rPr>
        <w:t>Bar Charts</w:t>
      </w:r>
      <w:r w:rsidRPr="00B4739F">
        <w:t>: Compare investments in different types of renewable energy.</w:t>
      </w:r>
    </w:p>
    <w:p w14:paraId="06169FEC" w14:textId="77777777" w:rsidR="00B4739F" w:rsidRPr="00B4739F" w:rsidRDefault="00B4739F" w:rsidP="00B4739F">
      <w:pPr>
        <w:numPr>
          <w:ilvl w:val="0"/>
          <w:numId w:val="6"/>
        </w:numPr>
      </w:pPr>
      <w:r w:rsidRPr="00B4739F">
        <w:rPr>
          <w:b/>
          <w:bCs/>
        </w:rPr>
        <w:t>Pie Charts</w:t>
      </w:r>
      <w:r w:rsidRPr="00B4739F">
        <w:t>: Illustrate the energy mix for specific years.</w:t>
      </w:r>
    </w:p>
    <w:p w14:paraId="2D01C54D" w14:textId="77777777" w:rsidR="00B4739F" w:rsidRPr="00B4739F" w:rsidRDefault="00B4739F" w:rsidP="00B4739F">
      <w:pPr>
        <w:numPr>
          <w:ilvl w:val="0"/>
          <w:numId w:val="6"/>
        </w:numPr>
      </w:pPr>
      <w:r w:rsidRPr="00B4739F">
        <w:rPr>
          <w:b/>
          <w:bCs/>
        </w:rPr>
        <w:t>Maps</w:t>
      </w:r>
      <w:r w:rsidRPr="00B4739F">
        <w:t>: Display geographic data showing countries leading in renewable energy adoption.</w:t>
      </w:r>
    </w:p>
    <w:p w14:paraId="37FAE707" w14:textId="77777777" w:rsidR="00B4739F" w:rsidRPr="00B4739F" w:rsidRDefault="00B4739F" w:rsidP="00B4739F">
      <w:pPr>
        <w:rPr>
          <w:b/>
          <w:bCs/>
        </w:rPr>
      </w:pPr>
      <w:r w:rsidRPr="00B4739F">
        <w:rPr>
          <w:b/>
          <w:bCs/>
        </w:rPr>
        <w:t>5. Interactive Features</w:t>
      </w:r>
    </w:p>
    <w:p w14:paraId="2F7DB908" w14:textId="77777777" w:rsidR="00B4739F" w:rsidRPr="00B4739F" w:rsidRDefault="00B4739F" w:rsidP="00B4739F">
      <w:pPr>
        <w:numPr>
          <w:ilvl w:val="0"/>
          <w:numId w:val="7"/>
        </w:numPr>
      </w:pPr>
      <w:r w:rsidRPr="00B4739F">
        <w:rPr>
          <w:b/>
          <w:bCs/>
        </w:rPr>
        <w:t>Filters</w:t>
      </w:r>
      <w:r w:rsidRPr="00B4739F">
        <w:t>: Allow users to filter by year, region, or energy type.</w:t>
      </w:r>
    </w:p>
    <w:p w14:paraId="0530384F" w14:textId="77777777" w:rsidR="00B4739F" w:rsidRPr="00B4739F" w:rsidRDefault="00B4739F" w:rsidP="00B4739F">
      <w:pPr>
        <w:numPr>
          <w:ilvl w:val="0"/>
          <w:numId w:val="7"/>
        </w:numPr>
      </w:pPr>
      <w:r w:rsidRPr="00B4739F">
        <w:rPr>
          <w:b/>
          <w:bCs/>
        </w:rPr>
        <w:t>Tooltips</w:t>
      </w:r>
      <w:r w:rsidRPr="00B4739F">
        <w:t>: Provide additional context when hovering over data points.</w:t>
      </w:r>
    </w:p>
    <w:p w14:paraId="25ECDE5B" w14:textId="77777777" w:rsidR="00B4739F" w:rsidRPr="00B4739F" w:rsidRDefault="00B4739F" w:rsidP="00B4739F">
      <w:pPr>
        <w:numPr>
          <w:ilvl w:val="0"/>
          <w:numId w:val="7"/>
        </w:numPr>
      </w:pPr>
      <w:r w:rsidRPr="00B4739F">
        <w:rPr>
          <w:b/>
          <w:bCs/>
        </w:rPr>
        <w:t>Drill-throughs</w:t>
      </w:r>
      <w:r w:rsidRPr="00B4739F">
        <w:t>: Enable users to click on a data point for more detailed information.</w:t>
      </w:r>
    </w:p>
    <w:p w14:paraId="0B1B109E" w14:textId="77777777" w:rsidR="00B4739F" w:rsidRPr="00B4739F" w:rsidRDefault="00B4739F" w:rsidP="00B4739F">
      <w:pPr>
        <w:rPr>
          <w:b/>
          <w:bCs/>
        </w:rPr>
      </w:pPr>
      <w:r w:rsidRPr="00B4739F">
        <w:rPr>
          <w:b/>
          <w:bCs/>
        </w:rPr>
        <w:t>6. Dashboard Layout</w:t>
      </w:r>
    </w:p>
    <w:p w14:paraId="285942C9" w14:textId="77777777" w:rsidR="00B4739F" w:rsidRPr="00B4739F" w:rsidRDefault="00B4739F" w:rsidP="00B4739F">
      <w:pPr>
        <w:numPr>
          <w:ilvl w:val="0"/>
          <w:numId w:val="8"/>
        </w:numPr>
      </w:pPr>
      <w:r w:rsidRPr="00B4739F">
        <w:rPr>
          <w:b/>
          <w:bCs/>
        </w:rPr>
        <w:t>Header</w:t>
      </w:r>
      <w:r w:rsidRPr="00B4739F">
        <w:t>: Title and date range of the data.</w:t>
      </w:r>
    </w:p>
    <w:p w14:paraId="0363D424" w14:textId="77777777" w:rsidR="00B4739F" w:rsidRPr="00B4739F" w:rsidRDefault="00B4739F" w:rsidP="00B4739F">
      <w:pPr>
        <w:numPr>
          <w:ilvl w:val="0"/>
          <w:numId w:val="8"/>
        </w:numPr>
      </w:pPr>
      <w:r w:rsidRPr="00B4739F">
        <w:rPr>
          <w:b/>
          <w:bCs/>
        </w:rPr>
        <w:t>Main Visuals</w:t>
      </w:r>
      <w:r w:rsidRPr="00B4739F">
        <w:t>: Place key metrics at the top (e.g., total renewable capacity and emissions).</w:t>
      </w:r>
    </w:p>
    <w:p w14:paraId="27CE289E" w14:textId="77777777" w:rsidR="00B4739F" w:rsidRPr="00B4739F" w:rsidRDefault="00B4739F" w:rsidP="00B4739F">
      <w:pPr>
        <w:numPr>
          <w:ilvl w:val="0"/>
          <w:numId w:val="8"/>
        </w:numPr>
      </w:pPr>
      <w:r w:rsidRPr="00B4739F">
        <w:rPr>
          <w:b/>
          <w:bCs/>
        </w:rPr>
        <w:t>Secondary Visuals</w:t>
      </w:r>
      <w:r w:rsidRPr="00B4739F">
        <w:t>: Include investment trends and detailed breakdowns below.</w:t>
      </w:r>
    </w:p>
    <w:p w14:paraId="2AF91070" w14:textId="77777777" w:rsidR="00B4739F" w:rsidRPr="00B4739F" w:rsidRDefault="00B4739F" w:rsidP="00B4739F">
      <w:pPr>
        <w:numPr>
          <w:ilvl w:val="0"/>
          <w:numId w:val="8"/>
        </w:numPr>
      </w:pPr>
      <w:r w:rsidRPr="00B4739F">
        <w:rPr>
          <w:b/>
          <w:bCs/>
        </w:rPr>
        <w:t>Summary Section</w:t>
      </w:r>
      <w:r w:rsidRPr="00B4739F">
        <w:t>: Provide key takeaways or insights based on the visualizations.</w:t>
      </w:r>
    </w:p>
    <w:p w14:paraId="2FF866C4" w14:textId="77777777" w:rsidR="00B4739F" w:rsidRPr="00B4739F" w:rsidRDefault="00B4739F" w:rsidP="00B4739F">
      <w:pPr>
        <w:rPr>
          <w:b/>
          <w:bCs/>
        </w:rPr>
      </w:pPr>
      <w:r w:rsidRPr="00B4739F">
        <w:rPr>
          <w:b/>
          <w:bCs/>
        </w:rPr>
        <w:lastRenderedPageBreak/>
        <w:t>7. Insights and Analysis</w:t>
      </w:r>
    </w:p>
    <w:p w14:paraId="678B2B04" w14:textId="77777777" w:rsidR="00B4739F" w:rsidRPr="00B4739F" w:rsidRDefault="00B4739F" w:rsidP="00B4739F">
      <w:pPr>
        <w:numPr>
          <w:ilvl w:val="0"/>
          <w:numId w:val="9"/>
        </w:numPr>
      </w:pPr>
      <w:r w:rsidRPr="00B4739F">
        <w:t>Highlight trends in renewable energy adoption.</w:t>
      </w:r>
    </w:p>
    <w:p w14:paraId="60FE3309" w14:textId="77777777" w:rsidR="00B4739F" w:rsidRPr="00B4739F" w:rsidRDefault="00B4739F" w:rsidP="00B4739F">
      <w:pPr>
        <w:numPr>
          <w:ilvl w:val="0"/>
          <w:numId w:val="9"/>
        </w:numPr>
      </w:pPr>
      <w:r w:rsidRPr="00B4739F">
        <w:t>Analyze the relationship between renewable energy growth and CO2 emissions reduction.</w:t>
      </w:r>
    </w:p>
    <w:p w14:paraId="12F8C068" w14:textId="77777777" w:rsidR="00B4739F" w:rsidRPr="00B4739F" w:rsidRDefault="00B4739F" w:rsidP="00B4739F">
      <w:pPr>
        <w:numPr>
          <w:ilvl w:val="0"/>
          <w:numId w:val="9"/>
        </w:numPr>
      </w:pPr>
      <w:r w:rsidRPr="00B4739F">
        <w:t>Identify key regions or countries that have made significant progress.</w:t>
      </w:r>
    </w:p>
    <w:p w14:paraId="6BFA0AFA" w14:textId="77777777" w:rsidR="00B4739F" w:rsidRPr="00B4739F" w:rsidRDefault="00B4739F" w:rsidP="00B4739F">
      <w:pPr>
        <w:rPr>
          <w:b/>
          <w:bCs/>
        </w:rPr>
      </w:pPr>
      <w:r w:rsidRPr="00B4739F">
        <w:rPr>
          <w:b/>
          <w:bCs/>
        </w:rPr>
        <w:t>8. Share and Collaborate</w:t>
      </w:r>
    </w:p>
    <w:p w14:paraId="728417AC" w14:textId="77777777" w:rsidR="00B4739F" w:rsidRPr="00B4739F" w:rsidRDefault="00B4739F" w:rsidP="00B4739F">
      <w:pPr>
        <w:numPr>
          <w:ilvl w:val="0"/>
          <w:numId w:val="10"/>
        </w:numPr>
      </w:pPr>
      <w:r w:rsidRPr="00B4739F">
        <w:t>Publish the dashboard to Power BI Service for easy sharing with stakeholders.</w:t>
      </w:r>
    </w:p>
    <w:p w14:paraId="508D0F41" w14:textId="77777777" w:rsidR="00B4739F" w:rsidRPr="00B4739F" w:rsidRDefault="00B4739F" w:rsidP="00B4739F">
      <w:pPr>
        <w:numPr>
          <w:ilvl w:val="0"/>
          <w:numId w:val="10"/>
        </w:numPr>
      </w:pPr>
      <w:r w:rsidRPr="00B4739F">
        <w:t>Consider embedding it in reports or presentations for broader visibility.</w:t>
      </w:r>
    </w:p>
    <w:p w14:paraId="4092FDE3" w14:textId="77777777" w:rsidR="00B4739F" w:rsidRPr="00B4739F" w:rsidRDefault="00B4739F" w:rsidP="00B4739F"/>
    <w:sectPr w:rsidR="00B4739F" w:rsidRPr="00B47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07FB"/>
    <w:multiLevelType w:val="multilevel"/>
    <w:tmpl w:val="C342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548F"/>
    <w:multiLevelType w:val="multilevel"/>
    <w:tmpl w:val="92C8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00F7"/>
    <w:multiLevelType w:val="multilevel"/>
    <w:tmpl w:val="5786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E2824"/>
    <w:multiLevelType w:val="multilevel"/>
    <w:tmpl w:val="5404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6990"/>
    <w:multiLevelType w:val="multilevel"/>
    <w:tmpl w:val="F5D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F312D"/>
    <w:multiLevelType w:val="multilevel"/>
    <w:tmpl w:val="AF66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143E0"/>
    <w:multiLevelType w:val="multilevel"/>
    <w:tmpl w:val="4FA4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5F7DF5"/>
    <w:multiLevelType w:val="multilevel"/>
    <w:tmpl w:val="D07E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6BC9"/>
    <w:multiLevelType w:val="multilevel"/>
    <w:tmpl w:val="851E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7E75DE"/>
    <w:multiLevelType w:val="multilevel"/>
    <w:tmpl w:val="22EC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084807">
    <w:abstractNumId w:val="8"/>
  </w:num>
  <w:num w:numId="2" w16cid:durableId="1856261781">
    <w:abstractNumId w:val="6"/>
  </w:num>
  <w:num w:numId="3" w16cid:durableId="1454442776">
    <w:abstractNumId w:val="3"/>
  </w:num>
  <w:num w:numId="4" w16cid:durableId="458576894">
    <w:abstractNumId w:val="4"/>
  </w:num>
  <w:num w:numId="5" w16cid:durableId="288826116">
    <w:abstractNumId w:val="0"/>
  </w:num>
  <w:num w:numId="6" w16cid:durableId="1008025290">
    <w:abstractNumId w:val="1"/>
  </w:num>
  <w:num w:numId="7" w16cid:durableId="751194686">
    <w:abstractNumId w:val="5"/>
  </w:num>
  <w:num w:numId="8" w16cid:durableId="1609123951">
    <w:abstractNumId w:val="7"/>
  </w:num>
  <w:num w:numId="9" w16cid:durableId="1164854178">
    <w:abstractNumId w:val="2"/>
  </w:num>
  <w:num w:numId="10" w16cid:durableId="1476678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9F"/>
    <w:rsid w:val="00105519"/>
    <w:rsid w:val="001759A6"/>
    <w:rsid w:val="00376015"/>
    <w:rsid w:val="004A2317"/>
    <w:rsid w:val="00664BE2"/>
    <w:rsid w:val="0080661E"/>
    <w:rsid w:val="009A6592"/>
    <w:rsid w:val="009D5D3B"/>
    <w:rsid w:val="009F3489"/>
    <w:rsid w:val="00B4739F"/>
    <w:rsid w:val="00C746DB"/>
    <w:rsid w:val="00F5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D5C1"/>
  <w15:chartTrackingRefBased/>
  <w15:docId w15:val="{3DD8CCC3-02AB-4A3A-874F-A1305A6B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7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7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39F"/>
    <w:rPr>
      <w:rFonts w:eastAsiaTheme="majorEastAsia" w:cstheme="majorBidi"/>
      <w:color w:val="272727" w:themeColor="text1" w:themeTint="D8"/>
    </w:rPr>
  </w:style>
  <w:style w:type="paragraph" w:styleId="Title">
    <w:name w:val="Title"/>
    <w:basedOn w:val="Normal"/>
    <w:next w:val="Normal"/>
    <w:link w:val="TitleChar"/>
    <w:uiPriority w:val="10"/>
    <w:qFormat/>
    <w:rsid w:val="00B47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39F"/>
    <w:pPr>
      <w:spacing w:before="160"/>
      <w:jc w:val="center"/>
    </w:pPr>
    <w:rPr>
      <w:i/>
      <w:iCs/>
      <w:color w:val="404040" w:themeColor="text1" w:themeTint="BF"/>
    </w:rPr>
  </w:style>
  <w:style w:type="character" w:customStyle="1" w:styleId="QuoteChar">
    <w:name w:val="Quote Char"/>
    <w:basedOn w:val="DefaultParagraphFont"/>
    <w:link w:val="Quote"/>
    <w:uiPriority w:val="29"/>
    <w:rsid w:val="00B4739F"/>
    <w:rPr>
      <w:i/>
      <w:iCs/>
      <w:color w:val="404040" w:themeColor="text1" w:themeTint="BF"/>
    </w:rPr>
  </w:style>
  <w:style w:type="paragraph" w:styleId="ListParagraph">
    <w:name w:val="List Paragraph"/>
    <w:basedOn w:val="Normal"/>
    <w:uiPriority w:val="34"/>
    <w:qFormat/>
    <w:rsid w:val="00B4739F"/>
    <w:pPr>
      <w:ind w:left="720"/>
      <w:contextualSpacing/>
    </w:pPr>
  </w:style>
  <w:style w:type="character" w:styleId="IntenseEmphasis">
    <w:name w:val="Intense Emphasis"/>
    <w:basedOn w:val="DefaultParagraphFont"/>
    <w:uiPriority w:val="21"/>
    <w:qFormat/>
    <w:rsid w:val="00B4739F"/>
    <w:rPr>
      <w:i/>
      <w:iCs/>
      <w:color w:val="0F4761" w:themeColor="accent1" w:themeShade="BF"/>
    </w:rPr>
  </w:style>
  <w:style w:type="paragraph" w:styleId="IntenseQuote">
    <w:name w:val="Intense Quote"/>
    <w:basedOn w:val="Normal"/>
    <w:next w:val="Normal"/>
    <w:link w:val="IntenseQuoteChar"/>
    <w:uiPriority w:val="30"/>
    <w:qFormat/>
    <w:rsid w:val="00B47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39F"/>
    <w:rPr>
      <w:i/>
      <w:iCs/>
      <w:color w:val="0F4761" w:themeColor="accent1" w:themeShade="BF"/>
    </w:rPr>
  </w:style>
  <w:style w:type="character" w:styleId="IntenseReference">
    <w:name w:val="Intense Reference"/>
    <w:basedOn w:val="DefaultParagraphFont"/>
    <w:uiPriority w:val="32"/>
    <w:qFormat/>
    <w:rsid w:val="00B4739F"/>
    <w:rPr>
      <w:b/>
      <w:bCs/>
      <w:smallCaps/>
      <w:color w:val="0F4761" w:themeColor="accent1" w:themeShade="BF"/>
      <w:spacing w:val="5"/>
    </w:rPr>
  </w:style>
  <w:style w:type="character" w:styleId="Hyperlink">
    <w:name w:val="Hyperlink"/>
    <w:basedOn w:val="DefaultParagraphFont"/>
    <w:uiPriority w:val="99"/>
    <w:unhideWhenUsed/>
    <w:rsid w:val="00B4739F"/>
    <w:rPr>
      <w:color w:val="467886" w:themeColor="hyperlink"/>
      <w:u w:val="single"/>
    </w:rPr>
  </w:style>
  <w:style w:type="character" w:styleId="UnresolvedMention">
    <w:name w:val="Unresolved Mention"/>
    <w:basedOn w:val="DefaultParagraphFont"/>
    <w:uiPriority w:val="99"/>
    <w:semiHidden/>
    <w:unhideWhenUsed/>
    <w:rsid w:val="00B47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1600">
      <w:bodyDiv w:val="1"/>
      <w:marLeft w:val="0"/>
      <w:marRight w:val="0"/>
      <w:marTop w:val="0"/>
      <w:marBottom w:val="0"/>
      <w:divBdr>
        <w:top w:val="none" w:sz="0" w:space="0" w:color="auto"/>
        <w:left w:val="none" w:sz="0" w:space="0" w:color="auto"/>
        <w:bottom w:val="none" w:sz="0" w:space="0" w:color="auto"/>
        <w:right w:val="none" w:sz="0" w:space="0" w:color="auto"/>
      </w:divBdr>
      <w:divsChild>
        <w:div w:id="1296838710">
          <w:marLeft w:val="0"/>
          <w:marRight w:val="0"/>
          <w:marTop w:val="0"/>
          <w:marBottom w:val="0"/>
          <w:divBdr>
            <w:top w:val="none" w:sz="0" w:space="0" w:color="auto"/>
            <w:left w:val="none" w:sz="0" w:space="0" w:color="auto"/>
            <w:bottom w:val="none" w:sz="0" w:space="0" w:color="auto"/>
            <w:right w:val="none" w:sz="0" w:space="0" w:color="auto"/>
          </w:divBdr>
          <w:divsChild>
            <w:div w:id="1143617667">
              <w:marLeft w:val="0"/>
              <w:marRight w:val="0"/>
              <w:marTop w:val="0"/>
              <w:marBottom w:val="0"/>
              <w:divBdr>
                <w:top w:val="none" w:sz="0" w:space="0" w:color="auto"/>
                <w:left w:val="none" w:sz="0" w:space="0" w:color="auto"/>
                <w:bottom w:val="none" w:sz="0" w:space="0" w:color="auto"/>
                <w:right w:val="none" w:sz="0" w:space="0" w:color="auto"/>
              </w:divBdr>
              <w:divsChild>
                <w:div w:id="379091515">
                  <w:marLeft w:val="0"/>
                  <w:marRight w:val="180"/>
                  <w:marTop w:val="0"/>
                  <w:marBottom w:val="0"/>
                  <w:divBdr>
                    <w:top w:val="none" w:sz="0" w:space="0" w:color="auto"/>
                    <w:left w:val="none" w:sz="0" w:space="0" w:color="auto"/>
                    <w:bottom w:val="none" w:sz="0" w:space="0" w:color="auto"/>
                    <w:right w:val="none" w:sz="0" w:space="0" w:color="auto"/>
                  </w:divBdr>
                  <w:divsChild>
                    <w:div w:id="8905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479">
              <w:marLeft w:val="0"/>
              <w:marRight w:val="0"/>
              <w:marTop w:val="0"/>
              <w:marBottom w:val="0"/>
              <w:divBdr>
                <w:top w:val="none" w:sz="0" w:space="0" w:color="auto"/>
                <w:left w:val="none" w:sz="0" w:space="0" w:color="auto"/>
                <w:bottom w:val="none" w:sz="0" w:space="0" w:color="auto"/>
                <w:right w:val="none" w:sz="0" w:space="0" w:color="auto"/>
              </w:divBdr>
              <w:divsChild>
                <w:div w:id="13774117">
                  <w:marLeft w:val="0"/>
                  <w:marRight w:val="0"/>
                  <w:marTop w:val="0"/>
                  <w:marBottom w:val="0"/>
                  <w:divBdr>
                    <w:top w:val="none" w:sz="0" w:space="0" w:color="auto"/>
                    <w:left w:val="none" w:sz="0" w:space="0" w:color="auto"/>
                    <w:bottom w:val="none" w:sz="0" w:space="0" w:color="auto"/>
                    <w:right w:val="none" w:sz="0" w:space="0" w:color="auto"/>
                  </w:divBdr>
                  <w:divsChild>
                    <w:div w:id="1821114832">
                      <w:marLeft w:val="0"/>
                      <w:marRight w:val="0"/>
                      <w:marTop w:val="0"/>
                      <w:marBottom w:val="0"/>
                      <w:divBdr>
                        <w:top w:val="none" w:sz="0" w:space="0" w:color="auto"/>
                        <w:left w:val="none" w:sz="0" w:space="0" w:color="auto"/>
                        <w:bottom w:val="none" w:sz="0" w:space="0" w:color="auto"/>
                        <w:right w:val="none" w:sz="0" w:space="0" w:color="auto"/>
                      </w:divBdr>
                      <w:divsChild>
                        <w:div w:id="1554779163">
                          <w:marLeft w:val="0"/>
                          <w:marRight w:val="0"/>
                          <w:marTop w:val="0"/>
                          <w:marBottom w:val="0"/>
                          <w:divBdr>
                            <w:top w:val="none" w:sz="0" w:space="0" w:color="auto"/>
                            <w:left w:val="none" w:sz="0" w:space="0" w:color="auto"/>
                            <w:bottom w:val="none" w:sz="0" w:space="0" w:color="auto"/>
                            <w:right w:val="none" w:sz="0" w:space="0" w:color="auto"/>
                          </w:divBdr>
                          <w:divsChild>
                            <w:div w:id="369382714">
                              <w:blockQuote w:val="1"/>
                              <w:marLeft w:val="0"/>
                              <w:marRight w:val="0"/>
                              <w:marTop w:val="360"/>
                              <w:marBottom w:val="360"/>
                              <w:divBdr>
                                <w:top w:val="single" w:sz="6" w:space="9" w:color="3C4043"/>
                                <w:left w:val="single" w:sz="6" w:space="12" w:color="3C4043"/>
                                <w:bottom w:val="single" w:sz="6" w:space="9" w:color="3C4043"/>
                                <w:right w:val="single" w:sz="6" w:space="12" w:color="3C4043"/>
                              </w:divBdr>
                            </w:div>
                            <w:div w:id="802426547">
                              <w:blockQuote w:val="1"/>
                              <w:marLeft w:val="0"/>
                              <w:marRight w:val="0"/>
                              <w:marTop w:val="360"/>
                              <w:marBottom w:val="360"/>
                              <w:divBdr>
                                <w:top w:val="single" w:sz="6" w:space="9" w:color="3C4043"/>
                                <w:left w:val="single" w:sz="6" w:space="12" w:color="3C4043"/>
                                <w:bottom w:val="single" w:sz="6" w:space="9" w:color="3C4043"/>
                                <w:right w:val="single" w:sz="6" w:space="12" w:color="3C4043"/>
                              </w:divBdr>
                            </w:div>
                            <w:div w:id="1221861914">
                              <w:blockQuote w:val="1"/>
                              <w:marLeft w:val="0"/>
                              <w:marRight w:val="0"/>
                              <w:marTop w:val="360"/>
                              <w:marBottom w:val="360"/>
                              <w:divBdr>
                                <w:top w:val="single" w:sz="6" w:space="9" w:color="3C4043"/>
                                <w:left w:val="single" w:sz="6" w:space="12" w:color="3C4043"/>
                                <w:bottom w:val="single" w:sz="6" w:space="9" w:color="3C4043"/>
                                <w:right w:val="single" w:sz="6" w:space="12" w:color="3C4043"/>
                              </w:divBdr>
                            </w:div>
                          </w:divsChild>
                        </w:div>
                      </w:divsChild>
                    </w:div>
                  </w:divsChild>
                </w:div>
              </w:divsChild>
            </w:div>
          </w:divsChild>
        </w:div>
        <w:div w:id="2081249246">
          <w:marLeft w:val="0"/>
          <w:marRight w:val="0"/>
          <w:marTop w:val="0"/>
          <w:marBottom w:val="0"/>
          <w:divBdr>
            <w:top w:val="none" w:sz="0" w:space="0" w:color="auto"/>
            <w:left w:val="none" w:sz="0" w:space="0" w:color="auto"/>
            <w:bottom w:val="none" w:sz="0" w:space="0" w:color="auto"/>
            <w:right w:val="none" w:sz="0" w:space="0" w:color="auto"/>
          </w:divBdr>
          <w:divsChild>
            <w:div w:id="112288508">
              <w:marLeft w:val="0"/>
              <w:marRight w:val="0"/>
              <w:marTop w:val="540"/>
              <w:marBottom w:val="0"/>
              <w:divBdr>
                <w:top w:val="none" w:sz="0" w:space="0" w:color="auto"/>
                <w:left w:val="none" w:sz="0" w:space="0" w:color="auto"/>
                <w:bottom w:val="none" w:sz="0" w:space="0" w:color="auto"/>
                <w:right w:val="none" w:sz="0" w:space="0" w:color="auto"/>
              </w:divBdr>
              <w:divsChild>
                <w:div w:id="1926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6262">
      <w:bodyDiv w:val="1"/>
      <w:marLeft w:val="0"/>
      <w:marRight w:val="0"/>
      <w:marTop w:val="0"/>
      <w:marBottom w:val="0"/>
      <w:divBdr>
        <w:top w:val="none" w:sz="0" w:space="0" w:color="auto"/>
        <w:left w:val="none" w:sz="0" w:space="0" w:color="auto"/>
        <w:bottom w:val="none" w:sz="0" w:space="0" w:color="auto"/>
        <w:right w:val="none" w:sz="0" w:space="0" w:color="auto"/>
      </w:divBdr>
    </w:div>
    <w:div w:id="380792179">
      <w:bodyDiv w:val="1"/>
      <w:marLeft w:val="0"/>
      <w:marRight w:val="0"/>
      <w:marTop w:val="0"/>
      <w:marBottom w:val="0"/>
      <w:divBdr>
        <w:top w:val="none" w:sz="0" w:space="0" w:color="auto"/>
        <w:left w:val="none" w:sz="0" w:space="0" w:color="auto"/>
        <w:bottom w:val="none" w:sz="0" w:space="0" w:color="auto"/>
        <w:right w:val="none" w:sz="0" w:space="0" w:color="auto"/>
      </w:divBdr>
      <w:divsChild>
        <w:div w:id="1525247707">
          <w:marLeft w:val="0"/>
          <w:marRight w:val="0"/>
          <w:marTop w:val="0"/>
          <w:marBottom w:val="0"/>
          <w:divBdr>
            <w:top w:val="none" w:sz="0" w:space="0" w:color="auto"/>
            <w:left w:val="none" w:sz="0" w:space="0" w:color="auto"/>
            <w:bottom w:val="none" w:sz="0" w:space="0" w:color="auto"/>
            <w:right w:val="none" w:sz="0" w:space="0" w:color="auto"/>
          </w:divBdr>
          <w:divsChild>
            <w:div w:id="156121403">
              <w:marLeft w:val="0"/>
              <w:marRight w:val="0"/>
              <w:marTop w:val="0"/>
              <w:marBottom w:val="0"/>
              <w:divBdr>
                <w:top w:val="none" w:sz="0" w:space="0" w:color="auto"/>
                <w:left w:val="none" w:sz="0" w:space="0" w:color="auto"/>
                <w:bottom w:val="none" w:sz="0" w:space="0" w:color="auto"/>
                <w:right w:val="none" w:sz="0" w:space="0" w:color="auto"/>
              </w:divBdr>
              <w:divsChild>
                <w:div w:id="942104429">
                  <w:marLeft w:val="0"/>
                  <w:marRight w:val="180"/>
                  <w:marTop w:val="0"/>
                  <w:marBottom w:val="0"/>
                  <w:divBdr>
                    <w:top w:val="none" w:sz="0" w:space="0" w:color="auto"/>
                    <w:left w:val="none" w:sz="0" w:space="0" w:color="auto"/>
                    <w:bottom w:val="none" w:sz="0" w:space="0" w:color="auto"/>
                    <w:right w:val="none" w:sz="0" w:space="0" w:color="auto"/>
                  </w:divBdr>
                  <w:divsChild>
                    <w:div w:id="15208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3486">
              <w:marLeft w:val="0"/>
              <w:marRight w:val="0"/>
              <w:marTop w:val="0"/>
              <w:marBottom w:val="0"/>
              <w:divBdr>
                <w:top w:val="none" w:sz="0" w:space="0" w:color="auto"/>
                <w:left w:val="none" w:sz="0" w:space="0" w:color="auto"/>
                <w:bottom w:val="none" w:sz="0" w:space="0" w:color="auto"/>
                <w:right w:val="none" w:sz="0" w:space="0" w:color="auto"/>
              </w:divBdr>
              <w:divsChild>
                <w:div w:id="410353615">
                  <w:marLeft w:val="0"/>
                  <w:marRight w:val="0"/>
                  <w:marTop w:val="0"/>
                  <w:marBottom w:val="0"/>
                  <w:divBdr>
                    <w:top w:val="none" w:sz="0" w:space="0" w:color="auto"/>
                    <w:left w:val="none" w:sz="0" w:space="0" w:color="auto"/>
                    <w:bottom w:val="none" w:sz="0" w:space="0" w:color="auto"/>
                    <w:right w:val="none" w:sz="0" w:space="0" w:color="auto"/>
                  </w:divBdr>
                  <w:divsChild>
                    <w:div w:id="511263125">
                      <w:marLeft w:val="0"/>
                      <w:marRight w:val="0"/>
                      <w:marTop w:val="0"/>
                      <w:marBottom w:val="0"/>
                      <w:divBdr>
                        <w:top w:val="none" w:sz="0" w:space="0" w:color="auto"/>
                        <w:left w:val="none" w:sz="0" w:space="0" w:color="auto"/>
                        <w:bottom w:val="none" w:sz="0" w:space="0" w:color="auto"/>
                        <w:right w:val="none" w:sz="0" w:space="0" w:color="auto"/>
                      </w:divBdr>
                      <w:divsChild>
                        <w:div w:id="1076393526">
                          <w:marLeft w:val="0"/>
                          <w:marRight w:val="0"/>
                          <w:marTop w:val="0"/>
                          <w:marBottom w:val="0"/>
                          <w:divBdr>
                            <w:top w:val="none" w:sz="0" w:space="0" w:color="auto"/>
                            <w:left w:val="none" w:sz="0" w:space="0" w:color="auto"/>
                            <w:bottom w:val="none" w:sz="0" w:space="0" w:color="auto"/>
                            <w:right w:val="none" w:sz="0" w:space="0" w:color="auto"/>
                          </w:divBdr>
                          <w:divsChild>
                            <w:div w:id="329254334">
                              <w:blockQuote w:val="1"/>
                              <w:marLeft w:val="0"/>
                              <w:marRight w:val="0"/>
                              <w:marTop w:val="360"/>
                              <w:marBottom w:val="360"/>
                              <w:divBdr>
                                <w:top w:val="single" w:sz="6" w:space="9" w:color="3C4043"/>
                                <w:left w:val="single" w:sz="6" w:space="12" w:color="3C4043"/>
                                <w:bottom w:val="single" w:sz="6" w:space="9" w:color="3C4043"/>
                                <w:right w:val="single" w:sz="6" w:space="12" w:color="3C4043"/>
                              </w:divBdr>
                            </w:div>
                            <w:div w:id="1547831038">
                              <w:blockQuote w:val="1"/>
                              <w:marLeft w:val="0"/>
                              <w:marRight w:val="0"/>
                              <w:marTop w:val="360"/>
                              <w:marBottom w:val="360"/>
                              <w:divBdr>
                                <w:top w:val="single" w:sz="6" w:space="9" w:color="3C4043"/>
                                <w:left w:val="single" w:sz="6" w:space="12" w:color="3C4043"/>
                                <w:bottom w:val="single" w:sz="6" w:space="9" w:color="3C4043"/>
                                <w:right w:val="single" w:sz="6" w:space="12" w:color="3C4043"/>
                              </w:divBdr>
                            </w:div>
                            <w:div w:id="1732657759">
                              <w:blockQuote w:val="1"/>
                              <w:marLeft w:val="0"/>
                              <w:marRight w:val="0"/>
                              <w:marTop w:val="360"/>
                              <w:marBottom w:val="360"/>
                              <w:divBdr>
                                <w:top w:val="single" w:sz="6" w:space="9" w:color="3C4043"/>
                                <w:left w:val="single" w:sz="6" w:space="12" w:color="3C4043"/>
                                <w:bottom w:val="single" w:sz="6" w:space="9" w:color="3C4043"/>
                                <w:right w:val="single" w:sz="6" w:space="12" w:color="3C4043"/>
                              </w:divBdr>
                            </w:div>
                          </w:divsChild>
                        </w:div>
                      </w:divsChild>
                    </w:div>
                  </w:divsChild>
                </w:div>
              </w:divsChild>
            </w:div>
          </w:divsChild>
        </w:div>
        <w:div w:id="245769309">
          <w:marLeft w:val="0"/>
          <w:marRight w:val="0"/>
          <w:marTop w:val="0"/>
          <w:marBottom w:val="0"/>
          <w:divBdr>
            <w:top w:val="none" w:sz="0" w:space="0" w:color="auto"/>
            <w:left w:val="none" w:sz="0" w:space="0" w:color="auto"/>
            <w:bottom w:val="none" w:sz="0" w:space="0" w:color="auto"/>
            <w:right w:val="none" w:sz="0" w:space="0" w:color="auto"/>
          </w:divBdr>
          <w:divsChild>
            <w:div w:id="899629409">
              <w:marLeft w:val="0"/>
              <w:marRight w:val="0"/>
              <w:marTop w:val="540"/>
              <w:marBottom w:val="0"/>
              <w:divBdr>
                <w:top w:val="none" w:sz="0" w:space="0" w:color="auto"/>
                <w:left w:val="none" w:sz="0" w:space="0" w:color="auto"/>
                <w:bottom w:val="none" w:sz="0" w:space="0" w:color="auto"/>
                <w:right w:val="none" w:sz="0" w:space="0" w:color="auto"/>
              </w:divBdr>
              <w:divsChild>
                <w:div w:id="59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8078">
      <w:bodyDiv w:val="1"/>
      <w:marLeft w:val="0"/>
      <w:marRight w:val="0"/>
      <w:marTop w:val="0"/>
      <w:marBottom w:val="0"/>
      <w:divBdr>
        <w:top w:val="none" w:sz="0" w:space="0" w:color="auto"/>
        <w:left w:val="none" w:sz="0" w:space="0" w:color="auto"/>
        <w:bottom w:val="none" w:sz="0" w:space="0" w:color="auto"/>
        <w:right w:val="none" w:sz="0" w:space="0" w:color="auto"/>
      </w:divBdr>
      <w:divsChild>
        <w:div w:id="1400594580">
          <w:marLeft w:val="0"/>
          <w:marRight w:val="0"/>
          <w:marTop w:val="0"/>
          <w:marBottom w:val="0"/>
          <w:divBdr>
            <w:top w:val="none" w:sz="0" w:space="0" w:color="auto"/>
            <w:left w:val="none" w:sz="0" w:space="0" w:color="auto"/>
            <w:bottom w:val="none" w:sz="0" w:space="0" w:color="auto"/>
            <w:right w:val="none" w:sz="0" w:space="0" w:color="auto"/>
          </w:divBdr>
          <w:divsChild>
            <w:div w:id="1336301099">
              <w:marLeft w:val="0"/>
              <w:marRight w:val="0"/>
              <w:marTop w:val="0"/>
              <w:marBottom w:val="0"/>
              <w:divBdr>
                <w:top w:val="none" w:sz="0" w:space="0" w:color="auto"/>
                <w:left w:val="none" w:sz="0" w:space="0" w:color="auto"/>
                <w:bottom w:val="none" w:sz="0" w:space="0" w:color="auto"/>
                <w:right w:val="none" w:sz="0" w:space="0" w:color="auto"/>
              </w:divBdr>
              <w:divsChild>
                <w:div w:id="1480343258">
                  <w:marLeft w:val="0"/>
                  <w:marRight w:val="0"/>
                  <w:marTop w:val="0"/>
                  <w:marBottom w:val="0"/>
                  <w:divBdr>
                    <w:top w:val="none" w:sz="0" w:space="0" w:color="auto"/>
                    <w:left w:val="none" w:sz="0" w:space="0" w:color="auto"/>
                    <w:bottom w:val="none" w:sz="0" w:space="0" w:color="auto"/>
                    <w:right w:val="none" w:sz="0" w:space="0" w:color="auto"/>
                  </w:divBdr>
                  <w:divsChild>
                    <w:div w:id="1736971291">
                      <w:marLeft w:val="0"/>
                      <w:marRight w:val="0"/>
                      <w:marTop w:val="0"/>
                      <w:marBottom w:val="0"/>
                      <w:divBdr>
                        <w:top w:val="none" w:sz="0" w:space="0" w:color="auto"/>
                        <w:left w:val="none" w:sz="0" w:space="0" w:color="auto"/>
                        <w:bottom w:val="none" w:sz="0" w:space="0" w:color="auto"/>
                        <w:right w:val="none" w:sz="0" w:space="0" w:color="auto"/>
                      </w:divBdr>
                      <w:divsChild>
                        <w:div w:id="1995723524">
                          <w:marLeft w:val="0"/>
                          <w:marRight w:val="0"/>
                          <w:marTop w:val="0"/>
                          <w:marBottom w:val="0"/>
                          <w:divBdr>
                            <w:top w:val="none" w:sz="0" w:space="0" w:color="auto"/>
                            <w:left w:val="none" w:sz="0" w:space="0" w:color="auto"/>
                            <w:bottom w:val="none" w:sz="0" w:space="0" w:color="auto"/>
                            <w:right w:val="none" w:sz="0" w:space="0" w:color="auto"/>
                          </w:divBdr>
                          <w:divsChild>
                            <w:div w:id="7936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635573">
      <w:bodyDiv w:val="1"/>
      <w:marLeft w:val="0"/>
      <w:marRight w:val="0"/>
      <w:marTop w:val="0"/>
      <w:marBottom w:val="0"/>
      <w:divBdr>
        <w:top w:val="none" w:sz="0" w:space="0" w:color="auto"/>
        <w:left w:val="none" w:sz="0" w:space="0" w:color="auto"/>
        <w:bottom w:val="none" w:sz="0" w:space="0" w:color="auto"/>
        <w:right w:val="none" w:sz="0" w:space="0" w:color="auto"/>
      </w:divBdr>
      <w:divsChild>
        <w:div w:id="1606418977">
          <w:marLeft w:val="0"/>
          <w:marRight w:val="0"/>
          <w:marTop w:val="0"/>
          <w:marBottom w:val="0"/>
          <w:divBdr>
            <w:top w:val="none" w:sz="0" w:space="0" w:color="auto"/>
            <w:left w:val="none" w:sz="0" w:space="0" w:color="auto"/>
            <w:bottom w:val="none" w:sz="0" w:space="0" w:color="auto"/>
            <w:right w:val="none" w:sz="0" w:space="0" w:color="auto"/>
          </w:divBdr>
          <w:divsChild>
            <w:div w:id="537357796">
              <w:marLeft w:val="0"/>
              <w:marRight w:val="0"/>
              <w:marTop w:val="0"/>
              <w:marBottom w:val="0"/>
              <w:divBdr>
                <w:top w:val="none" w:sz="0" w:space="0" w:color="auto"/>
                <w:left w:val="none" w:sz="0" w:space="0" w:color="auto"/>
                <w:bottom w:val="none" w:sz="0" w:space="0" w:color="auto"/>
                <w:right w:val="none" w:sz="0" w:space="0" w:color="auto"/>
              </w:divBdr>
              <w:divsChild>
                <w:div w:id="652369934">
                  <w:marLeft w:val="0"/>
                  <w:marRight w:val="0"/>
                  <w:marTop w:val="0"/>
                  <w:marBottom w:val="0"/>
                  <w:divBdr>
                    <w:top w:val="none" w:sz="0" w:space="0" w:color="auto"/>
                    <w:left w:val="none" w:sz="0" w:space="0" w:color="auto"/>
                    <w:bottom w:val="none" w:sz="0" w:space="0" w:color="auto"/>
                    <w:right w:val="none" w:sz="0" w:space="0" w:color="auto"/>
                  </w:divBdr>
                  <w:divsChild>
                    <w:div w:id="44959278">
                      <w:marLeft w:val="0"/>
                      <w:marRight w:val="0"/>
                      <w:marTop w:val="0"/>
                      <w:marBottom w:val="0"/>
                      <w:divBdr>
                        <w:top w:val="none" w:sz="0" w:space="0" w:color="auto"/>
                        <w:left w:val="none" w:sz="0" w:space="0" w:color="auto"/>
                        <w:bottom w:val="none" w:sz="0" w:space="0" w:color="auto"/>
                        <w:right w:val="none" w:sz="0" w:space="0" w:color="auto"/>
                      </w:divBdr>
                      <w:divsChild>
                        <w:div w:id="652412541">
                          <w:marLeft w:val="0"/>
                          <w:marRight w:val="0"/>
                          <w:marTop w:val="0"/>
                          <w:marBottom w:val="0"/>
                          <w:divBdr>
                            <w:top w:val="none" w:sz="0" w:space="0" w:color="auto"/>
                            <w:left w:val="none" w:sz="0" w:space="0" w:color="auto"/>
                            <w:bottom w:val="none" w:sz="0" w:space="0" w:color="auto"/>
                            <w:right w:val="none" w:sz="0" w:space="0" w:color="auto"/>
                          </w:divBdr>
                          <w:divsChild>
                            <w:div w:id="19676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Chathampally</dc:creator>
  <cp:keywords/>
  <dc:description/>
  <cp:lastModifiedBy>Surekha Chathampally</cp:lastModifiedBy>
  <cp:revision>2</cp:revision>
  <dcterms:created xsi:type="dcterms:W3CDTF">2024-10-11T21:50:00Z</dcterms:created>
  <dcterms:modified xsi:type="dcterms:W3CDTF">2024-10-11T21:50:00Z</dcterms:modified>
</cp:coreProperties>
</file>