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0"/>
      </w:pPr>
      <w:r>
        <w:t xml:space="preserve"/>
      </w:r>
    </w:p>
    <w:p>
      <w:pPr>
        <w:spacing w:after="650"/>
        <w:jc w:val="center"/>
      </w:pPr>
      <w:r>
        <w:rPr>
          <w:rFonts w:ascii="Arial" w:cs="Arial" w:eastAsia="Arial" w:hAnsi="Arial"/>
          <w:b/>
          <w:bCs/>
          <w:color w:val="1F3864"/>
          <w:sz w:val="38"/>
          <w:szCs w:val="38"/>
        </w:rPr>
        <w:t xml:space="preserve">ALTERNATIVE DISPUTE RESOLUTION</w:t>
      </w:r>
    </w:p>
    <w:p>
      <w:pPr>
        <w:jc w:val="center"/>
      </w:pPr>
      <w:r>
        <w:rPr>
          <w:rFonts w:ascii="Arial" w:cs="Arial" w:eastAsia="Arial" w:hAnsi="Arial"/>
          <w:sz w:val="25"/>
          <w:szCs w:val="25"/>
        </w:rPr>
        <w:t xml:space="preserve">Surendra Mundvadiya</w:t>
      </w:r>
    </w:p>
    <w:p>
      <w:r>
        <w:br w:type="page"/>
      </w:r>
    </w:p>
    <w:p>
      <w:pPr>
        <w:spacing w:after="15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keepNext/>
        <w:pBdr>
          <w:bottom w:val="single" w:color="1F3864" w:sz="6" w:space="4"/>
        </w:pBdr>
        <w:spacing w:after="160" w:before="420"/>
      </w:pPr>
      <w:r>
        <w:t xml:space="preserve">Before You Start: The Basics</w:t>
      </w:r>
    </w:p>
    <w:p>
      <w:pPr>
        <w:spacing w:after="120" w:line="264"/>
        <w:jc w:val="both"/>
      </w:pPr>
      <w:r>
        <w:t xml:space="preserve">This short chapter explains the ideas and words used again and again in the chapters that follow. Read it once, and the rest will make sense without stopping.</w:t>
      </w:r>
    </w:p>
    <w:p>
      <w:pPr>
        <w:pStyle w:val="Heading2"/>
        <w:keepNext/>
        <w:spacing w:after="100" w:before="250"/>
      </w:pPr>
      <w:r>
        <w:t xml:space="preserve">What arbitration is</w:t>
      </w:r>
    </w:p>
    <w:p>
      <w:pPr>
        <w:spacing w:after="120" w:line="264"/>
        <w:jc w:val="both"/>
      </w:pPr>
      <w:r>
        <w:t xml:space="preserve">If two parties have a dispute, they can go to court. Or they can agree to put the dispute to a private judge of their own choosing. That private judge is called an </w:t>
      </w:r>
      <w:r>
        <w:rPr>
          <w:b/>
          <w:bCs/>
        </w:rPr>
        <w:t xml:space="preserve">arbitrator</w:t>
      </w:r>
      <w:r>
        <w:t xml:space="preserve">, and the process is </w:t>
      </w:r>
      <w:r>
        <w:rPr>
          <w:b/>
          <w:bCs/>
        </w:rPr>
        <w:t xml:space="preserve">arbitration</w:t>
      </w:r>
      <w:r>
        <w:t xml:space="preserve">.</w:t>
      </w:r>
    </w:p>
    <w:p>
      <w:pPr>
        <w:spacing w:after="120" w:line="264"/>
        <w:jc w:val="both"/>
      </w:pPr>
      <w:r>
        <w:t xml:space="preserve">The arbitrator hears both sides and gives a decision. That decision is called an </w:t>
      </w:r>
      <w:r>
        <w:rPr>
          <w:b/>
          <w:bCs/>
        </w:rPr>
        <w:t xml:space="preserve">award</w:t>
      </w:r>
      <w:r>
        <w:t xml:space="preserve">. </w:t>
      </w:r>
      <w:r>
        <w:rPr>
          <w:b/>
          <w:bCs/>
          <w:shd w:fill="FFF2CC" w:color="auto" w:val="clear"/>
        </w:rPr>
        <w:t xml:space="preserve">An award is binding on the parties and can be enforced like a decree of a civil court.</w:t>
      </w:r>
    </w:p>
    <w:p>
      <w:pPr>
        <w:spacing w:after="120" w:line="264"/>
        <w:jc w:val="both"/>
      </w:pPr>
      <w:r>
        <w:t xml:space="preserve">Arbitration is one of several methods grouped together as </w:t>
      </w:r>
      <w:r>
        <w:rPr>
          <w:b/>
          <w:bCs/>
        </w:rPr>
        <w:t xml:space="preserve">alternative dispute resolution (ADR)</w:t>
      </w:r>
      <w:r>
        <w:t xml:space="preserve">. The others are negotiation, mediation and conciliation. The difference is simple. In mediation and conciliation the neutral person only helps the parties settle and cannot force a result. </w:t>
      </w:r>
      <w:r>
        <w:rPr>
          <w:b/>
          <w:bCs/>
        </w:rPr>
        <w:t xml:space="preserve">In arbitration the neutral person actually decides.</w:t>
      </w:r>
    </w:p>
    <w:p>
      <w:pPr>
        <w:pStyle w:val="Heading2"/>
        <w:keepNext/>
        <w:spacing w:after="100" w:before="250"/>
      </w:pPr>
      <w:r>
        <w:t xml:space="preserve">The governing law in India</w:t>
      </w:r>
    </w:p>
    <w:p>
      <w:pPr>
        <w:spacing w:after="120" w:line="264"/>
        <w:jc w:val="both"/>
      </w:pPr>
      <w:r>
        <w:t xml:space="preserve">The law is the </w:t>
      </w:r>
      <w:r>
        <w:rPr>
          <w:b/>
          <w:bCs/>
        </w:rPr>
        <w:t xml:space="preserve">Arbitration and Conciliation Act, 1996</w:t>
      </w:r>
      <w:r>
        <w:t xml:space="preserve">. It has been amended three times, in </w:t>
      </w:r>
      <w:r>
        <w:rPr>
          <w:b/>
          <w:bCs/>
        </w:rPr>
        <w:t xml:space="preserve">2015, 2019 and 2021</w:t>
      </w:r>
      <w:r>
        <w:t xml:space="preserve">. Where a chapter says “inserted in 2015”, it means the Arbitration and Conciliation (Amendment) Act, 2015, which came into force on 23 October 2015.</w:t>
      </w:r>
    </w:p>
    <w:p>
      <w:pPr>
        <w:spacing w:after="120" w:line="264"/>
        <w:jc w:val="both"/>
      </w:pPr>
      <w:r>
        <w:t xml:space="preserve">The Act is divided into Parts. Only the first two matter for these notes.</w:t>
      </w:r>
    </w:p>
    <w:p>
      <w:pPr>
        <w:pStyle w:val="ListParagraph"/>
        <w:numPr>
          <w:ilvl w:val="0"/>
          <w:numId w:val="2"/>
        </w:numPr>
        <w:spacing w:after="70" w:line="264"/>
        <w:jc w:val="both"/>
      </w:pPr>
      <w:r>
        <w:rPr>
          <w:b/>
          <w:bCs/>
        </w:rPr>
        <w:t xml:space="preserve">Part I (sections 2 to 43)</w:t>
      </w:r>
      <w:r>
        <w:t xml:space="preserve"> — arbitration that takes place in India. All the sections in these notes are in Part I.</w:t>
      </w:r>
    </w:p>
    <w:p>
      <w:pPr>
        <w:pStyle w:val="ListParagraph"/>
        <w:numPr>
          <w:ilvl w:val="0"/>
          <w:numId w:val="2"/>
        </w:numPr>
        <w:spacing w:after="70" w:line="264"/>
        <w:jc w:val="both"/>
      </w:pPr>
      <w:r>
        <w:rPr>
          <w:b/>
          <w:bCs/>
        </w:rPr>
        <w:t xml:space="preserve">Part II (sections 44 to 60)</w:t>
      </w:r>
      <w:r>
        <w:t xml:space="preserve"> — enforcement in India of awards made in other countries (called </w:t>
      </w:r>
      <w:r>
        <w:rPr>
          <w:b/>
          <w:bCs/>
        </w:rPr>
        <w:t xml:space="preserve">foreign awards</w:t>
      </w:r>
      <w:r>
        <w:t xml:space="preserve">).</w:t>
      </w:r>
    </w:p>
    <w:p>
      <w:pPr>
        <w:spacing w:after="120" w:line="264"/>
        <w:jc w:val="both"/>
      </w:pPr>
      <w:r>
        <w:t xml:space="preserve">Parts III and IV deal with conciliation and minor supplementary matters, and are not covered here.</w:t>
      </w:r>
    </w:p>
    <w:p>
      <w:pPr>
        <w:pStyle w:val="Heading2"/>
        <w:keepNext/>
        <w:spacing w:after="100" w:before="250"/>
      </w:pPr>
      <w:r>
        <w:t xml:space="preserve">Sections referred to throughout</w:t>
      </w:r>
    </w:p>
    <w:p>
      <w:pPr>
        <w:spacing w:after="120" w:line="264"/>
        <w:jc w:val="both"/>
      </w:pPr>
      <w:r>
        <w:t xml:space="preserve">A few sections come up in almost every chapter. Here is what each one does, so that a reference to it later is clear.</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2350"/>
        <w:gridCol w:w="6500"/>
      </w:tblGrid>
      <w:tr>
        <w:trPr>
          <w:tblHeader/>
        </w:trPr>
        <w:tc>
          <w:tcPr>
            <w:tcW w:type="dxa" w:w="2350"/>
            <w:tcMar>
              <w:top w:type="dxa" w:w="70"/>
              <w:left w:type="dxa" w:w="100"/>
              <w:bottom w:type="dxa" w:w="70"/>
              <w:right w:type="dxa" w:w="100"/>
            </w:tcMar>
          </w:tcPr>
          <w:p>
            <w:pPr>
              <w:spacing w:after="0" w:line="240"/>
            </w:pPr>
            <w:r>
              <w:rPr>
                <w:b/>
                <w:bCs/>
                <w:color w:val="1F3864"/>
                <w:sz w:val="18"/>
                <w:szCs w:val="18"/>
              </w:rPr>
              <w:t xml:space="preserve">Section</w:t>
            </w:r>
          </w:p>
        </w:tc>
        <w:tc>
          <w:tcPr>
            <w:tcW w:type="dxa" w:w="6500"/>
            <w:tcMar>
              <w:top w:type="dxa" w:w="70"/>
              <w:left w:type="dxa" w:w="100"/>
              <w:bottom w:type="dxa" w:w="70"/>
              <w:right w:type="dxa" w:w="100"/>
            </w:tcMar>
          </w:tcPr>
          <w:p>
            <w:pPr>
              <w:spacing w:after="0" w:line="240"/>
            </w:pPr>
            <w:r>
              <w:rPr>
                <w:b/>
                <w:bCs/>
                <w:color w:val="1F3864"/>
                <w:sz w:val="18"/>
                <w:szCs w:val="18"/>
              </w:rPr>
              <w:t xml:space="preserve">What it does</w:t>
            </w:r>
          </w:p>
        </w:tc>
      </w:tr>
      <w:tr>
        <w:tc>
          <w:tcPr>
            <w:tcW w:type="dxa" w:w="2350"/>
            <w:tcMar>
              <w:top w:type="dxa" w:w="70"/>
              <w:left w:type="dxa" w:w="100"/>
              <w:bottom w:type="dxa" w:w="70"/>
              <w:right w:type="dxa" w:w="100"/>
            </w:tcMar>
          </w:tcPr>
          <w:p>
            <w:pPr>
              <w:spacing w:after="0" w:line="240"/>
            </w:pPr>
            <w:r>
              <w:rPr>
                <w:b/>
                <w:bCs/>
                <w:sz w:val="18"/>
                <w:szCs w:val="18"/>
              </w:rPr>
              <w:t xml:space="preserve">Section 9</w:t>
            </w:r>
          </w:p>
        </w:tc>
        <w:tc>
          <w:tcPr>
            <w:tcW w:type="dxa" w:w="6500"/>
            <w:tcMar>
              <w:top w:type="dxa" w:w="70"/>
              <w:left w:type="dxa" w:w="100"/>
              <w:bottom w:type="dxa" w:w="70"/>
              <w:right w:type="dxa" w:w="100"/>
            </w:tcMar>
          </w:tcPr>
          <w:p>
            <w:pPr>
              <w:spacing w:after="0" w:line="240"/>
            </w:pPr>
            <w:r>
              <w:rPr>
                <w:sz w:val="18"/>
                <w:szCs w:val="18"/>
              </w:rPr>
              <w:t xml:space="preserve">A party asks the </w:t>
            </w:r>
            <w:r>
              <w:rPr>
                <w:b/>
                <w:bCs/>
                <w:sz w:val="18"/>
                <w:szCs w:val="18"/>
              </w:rPr>
              <w:t xml:space="preserve">court</w:t>
            </w:r>
            <w:r>
              <w:rPr>
                <w:sz w:val="18"/>
                <w:szCs w:val="18"/>
              </w:rPr>
              <w:t xml:space="preserve"> for temporary protective orders before the award is made.</w:t>
            </w:r>
          </w:p>
        </w:tc>
      </w:tr>
      <w:tr>
        <w:tc>
          <w:tcPr>
            <w:tcW w:type="dxa" w:w="2350"/>
            <w:tcMar>
              <w:top w:type="dxa" w:w="70"/>
              <w:left w:type="dxa" w:w="100"/>
              <w:bottom w:type="dxa" w:w="70"/>
              <w:right w:type="dxa" w:w="100"/>
            </w:tcMar>
          </w:tcPr>
          <w:p>
            <w:pPr>
              <w:spacing w:after="0" w:line="240"/>
            </w:pPr>
            <w:r>
              <w:rPr>
                <w:b/>
                <w:bCs/>
                <w:sz w:val="18"/>
                <w:szCs w:val="18"/>
              </w:rPr>
              <w:t xml:space="preserve">Section 17</w:t>
            </w:r>
          </w:p>
        </w:tc>
        <w:tc>
          <w:tcPr>
            <w:tcW w:type="dxa" w:w="6500"/>
            <w:tcMar>
              <w:top w:type="dxa" w:w="70"/>
              <w:left w:type="dxa" w:w="100"/>
              <w:bottom w:type="dxa" w:w="70"/>
              <w:right w:type="dxa" w:w="100"/>
            </w:tcMar>
          </w:tcPr>
          <w:p>
            <w:pPr>
              <w:spacing w:after="0" w:line="240"/>
            </w:pPr>
            <w:r>
              <w:rPr>
                <w:sz w:val="18"/>
                <w:szCs w:val="18"/>
              </w:rPr>
              <w:t xml:space="preserve">A party asks the </w:t>
            </w:r>
            <w:r>
              <w:rPr>
                <w:b/>
                <w:bCs/>
                <w:sz w:val="18"/>
                <w:szCs w:val="18"/>
              </w:rPr>
              <w:t xml:space="preserve">tribunal</w:t>
            </w:r>
            <w:r>
              <w:rPr>
                <w:sz w:val="18"/>
                <w:szCs w:val="18"/>
              </w:rPr>
              <w:t xml:space="preserve"> for the same kind of temporary orders.</w:t>
            </w:r>
          </w:p>
        </w:tc>
      </w:tr>
      <w:tr>
        <w:tc>
          <w:tcPr>
            <w:tcW w:type="dxa" w:w="2350"/>
            <w:tcMar>
              <w:top w:type="dxa" w:w="70"/>
              <w:left w:type="dxa" w:w="100"/>
              <w:bottom w:type="dxa" w:w="70"/>
              <w:right w:type="dxa" w:w="100"/>
            </w:tcMar>
          </w:tcPr>
          <w:p>
            <w:pPr>
              <w:spacing w:after="0" w:line="240"/>
            </w:pPr>
            <w:r>
              <w:rPr>
                <w:b/>
                <w:bCs/>
                <w:sz w:val="18"/>
                <w:szCs w:val="18"/>
              </w:rPr>
              <w:t xml:space="preserve">Section 27</w:t>
            </w:r>
          </w:p>
        </w:tc>
        <w:tc>
          <w:tcPr>
            <w:tcW w:type="dxa" w:w="6500"/>
            <w:tcMar>
              <w:top w:type="dxa" w:w="70"/>
              <w:left w:type="dxa" w:w="100"/>
              <w:bottom w:type="dxa" w:w="70"/>
              <w:right w:type="dxa" w:w="100"/>
            </w:tcMar>
          </w:tcPr>
          <w:p>
            <w:pPr>
              <w:spacing w:after="0" w:line="240"/>
            </w:pPr>
            <w:r>
              <w:rPr>
                <w:sz w:val="18"/>
                <w:szCs w:val="18"/>
              </w:rPr>
              <w:t xml:space="preserve">The court helps the tribunal collect evidence, for example by summoning a witness.</w:t>
            </w:r>
          </w:p>
        </w:tc>
      </w:tr>
      <w:tr>
        <w:tc>
          <w:tcPr>
            <w:tcW w:type="dxa" w:w="2350"/>
            <w:tcMar>
              <w:top w:type="dxa" w:w="70"/>
              <w:left w:type="dxa" w:w="100"/>
              <w:bottom w:type="dxa" w:w="70"/>
              <w:right w:type="dxa" w:w="100"/>
            </w:tcMar>
          </w:tcPr>
          <w:p>
            <w:pPr>
              <w:spacing w:after="0" w:line="240"/>
            </w:pPr>
            <w:r>
              <w:rPr>
                <w:b/>
                <w:bCs/>
                <w:sz w:val="18"/>
                <w:szCs w:val="18"/>
              </w:rPr>
              <w:t xml:space="preserve">Section 29A</w:t>
            </w:r>
          </w:p>
        </w:tc>
        <w:tc>
          <w:tcPr>
            <w:tcW w:type="dxa" w:w="6500"/>
            <w:tcMar>
              <w:top w:type="dxa" w:w="70"/>
              <w:left w:type="dxa" w:w="100"/>
              <w:bottom w:type="dxa" w:w="70"/>
              <w:right w:type="dxa" w:w="100"/>
            </w:tcMar>
          </w:tcPr>
          <w:p>
            <w:pPr>
              <w:spacing w:after="0" w:line="240"/>
            </w:pPr>
            <w:r>
              <w:rPr>
                <w:sz w:val="18"/>
                <w:szCs w:val="18"/>
              </w:rPr>
              <w:t xml:space="preserve">Sets the time limit within which the award must be made.</w:t>
            </w:r>
          </w:p>
        </w:tc>
      </w:tr>
      <w:tr>
        <w:tc>
          <w:tcPr>
            <w:tcW w:type="dxa" w:w="2350"/>
            <w:tcMar>
              <w:top w:type="dxa" w:w="70"/>
              <w:left w:type="dxa" w:w="100"/>
              <w:bottom w:type="dxa" w:w="70"/>
              <w:right w:type="dxa" w:w="100"/>
            </w:tcMar>
          </w:tcPr>
          <w:p>
            <w:pPr>
              <w:spacing w:after="0" w:line="240"/>
            </w:pPr>
            <w:r>
              <w:rPr>
                <w:b/>
                <w:bCs/>
                <w:sz w:val="18"/>
                <w:szCs w:val="18"/>
              </w:rPr>
              <w:t xml:space="preserve">Section 34</w:t>
            </w:r>
          </w:p>
        </w:tc>
        <w:tc>
          <w:tcPr>
            <w:tcW w:type="dxa" w:w="6500"/>
            <w:tcMar>
              <w:top w:type="dxa" w:w="70"/>
              <w:left w:type="dxa" w:w="100"/>
              <w:bottom w:type="dxa" w:w="70"/>
              <w:right w:type="dxa" w:w="100"/>
            </w:tcMar>
          </w:tcPr>
          <w:p>
            <w:pPr>
              <w:spacing w:after="0" w:line="240"/>
            </w:pPr>
            <w:r>
              <w:rPr>
                <w:sz w:val="18"/>
                <w:szCs w:val="18"/>
              </w:rPr>
              <w:t xml:space="preserve">The only way to attack an award. A party applies to the court to </w:t>
            </w:r>
            <w:r>
              <w:rPr>
                <w:b/>
                <w:bCs/>
                <w:sz w:val="18"/>
                <w:szCs w:val="18"/>
              </w:rPr>
              <w:t xml:space="preserve">set the award aside</w:t>
            </w:r>
            <w:r>
              <w:rPr>
                <w:sz w:val="18"/>
                <w:szCs w:val="18"/>
              </w:rPr>
              <w:t xml:space="preserve"> on a short list of grounds. </w:t>
            </w:r>
            <w:r>
              <w:rPr>
                <w:b/>
                <w:bCs/>
                <w:sz w:val="18"/>
                <w:szCs w:val="18"/>
                <w:shd w:fill="FFF2CC" w:color="auto" w:val="clear"/>
              </w:rPr>
              <w:t xml:space="preserve">There is no appeal on the merits, so a wrong award is still enforceable.</w:t>
            </w:r>
          </w:p>
        </w:tc>
      </w:tr>
      <w:tr>
        <w:tc>
          <w:tcPr>
            <w:tcW w:type="dxa" w:w="2350"/>
            <w:tcMar>
              <w:top w:type="dxa" w:w="70"/>
              <w:left w:type="dxa" w:w="100"/>
              <w:bottom w:type="dxa" w:w="70"/>
              <w:right w:type="dxa" w:w="100"/>
            </w:tcMar>
          </w:tcPr>
          <w:p>
            <w:pPr>
              <w:spacing w:after="0" w:line="240"/>
            </w:pPr>
            <w:r>
              <w:rPr>
                <w:b/>
                <w:bCs/>
                <w:sz w:val="18"/>
                <w:szCs w:val="18"/>
              </w:rPr>
              <w:t xml:space="preserve">Section 36</w:t>
            </w:r>
          </w:p>
        </w:tc>
        <w:tc>
          <w:tcPr>
            <w:tcW w:type="dxa" w:w="6500"/>
            <w:tcMar>
              <w:top w:type="dxa" w:w="70"/>
              <w:left w:type="dxa" w:w="100"/>
              <w:bottom w:type="dxa" w:w="70"/>
              <w:right w:type="dxa" w:w="100"/>
            </w:tcMar>
          </w:tcPr>
          <w:p>
            <w:pPr>
              <w:spacing w:after="0" w:line="240"/>
            </w:pPr>
            <w:r>
              <w:rPr>
                <w:sz w:val="18"/>
                <w:szCs w:val="18"/>
              </w:rPr>
              <w:t xml:space="preserve">Enforcement of the award, like a court decree.</w:t>
            </w:r>
          </w:p>
        </w:tc>
      </w:tr>
      <w:tr>
        <w:tc>
          <w:tcPr>
            <w:tcW w:type="dxa" w:w="2350"/>
            <w:tcMar>
              <w:top w:type="dxa" w:w="70"/>
              <w:left w:type="dxa" w:w="100"/>
              <w:bottom w:type="dxa" w:w="70"/>
              <w:right w:type="dxa" w:w="100"/>
            </w:tcMar>
          </w:tcPr>
          <w:p>
            <w:pPr>
              <w:spacing w:after="0" w:line="240"/>
            </w:pPr>
            <w:r>
              <w:rPr>
                <w:b/>
                <w:bCs/>
                <w:sz w:val="18"/>
                <w:szCs w:val="18"/>
              </w:rPr>
              <w:t xml:space="preserve">Section 37</w:t>
            </w:r>
          </w:p>
        </w:tc>
        <w:tc>
          <w:tcPr>
            <w:tcW w:type="dxa" w:w="6500"/>
            <w:tcMar>
              <w:top w:type="dxa" w:w="70"/>
              <w:left w:type="dxa" w:w="100"/>
              <w:bottom w:type="dxa" w:w="70"/>
              <w:right w:type="dxa" w:w="100"/>
            </w:tcMar>
          </w:tcPr>
          <w:p>
            <w:pPr>
              <w:spacing w:after="0" w:line="240"/>
            </w:pPr>
            <w:r>
              <w:rPr>
                <w:sz w:val="18"/>
                <w:szCs w:val="18"/>
              </w:rPr>
              <w:t xml:space="preserve">Lists the few orders against which an </w:t>
            </w:r>
            <w:r>
              <w:rPr>
                <w:b/>
                <w:bCs/>
                <w:sz w:val="18"/>
                <w:szCs w:val="18"/>
              </w:rPr>
              <w:t xml:space="preserve">appeal</w:t>
            </w:r>
            <w:r>
              <w:rPr>
                <w:sz w:val="18"/>
                <w:szCs w:val="18"/>
              </w:rPr>
              <w:t xml:space="preserve"> is allowed.</w:t>
            </w:r>
          </w:p>
        </w:tc>
      </w:tr>
      <w:tr>
        <w:tc>
          <w:tcPr>
            <w:tcW w:type="dxa" w:w="2350"/>
            <w:tcMar>
              <w:top w:type="dxa" w:w="70"/>
              <w:left w:type="dxa" w:w="100"/>
              <w:bottom w:type="dxa" w:w="70"/>
              <w:right w:type="dxa" w:w="100"/>
            </w:tcMar>
          </w:tcPr>
          <w:p>
            <w:pPr>
              <w:spacing w:after="0" w:line="240"/>
            </w:pPr>
            <w:r>
              <w:rPr>
                <w:b/>
                <w:bCs/>
                <w:sz w:val="18"/>
                <w:szCs w:val="18"/>
              </w:rPr>
              <w:t xml:space="preserve">Section 89, Code of Civil Procedure, 1908</w:t>
            </w:r>
          </w:p>
        </w:tc>
        <w:tc>
          <w:tcPr>
            <w:tcW w:type="dxa" w:w="6500"/>
            <w:tcMar>
              <w:top w:type="dxa" w:w="70"/>
              <w:left w:type="dxa" w:w="100"/>
              <w:bottom w:type="dxa" w:w="70"/>
              <w:right w:type="dxa" w:w="100"/>
            </w:tcMar>
          </w:tcPr>
          <w:p>
            <w:pPr>
              <w:spacing w:after="0" w:line="240"/>
            </w:pPr>
            <w:r>
              <w:rPr>
                <w:sz w:val="18"/>
                <w:szCs w:val="18"/>
              </w:rPr>
              <w:t xml:space="preserve">Lets a court send a pending case to arbitration, conciliation, mediation or judicial settlement.</w:t>
            </w:r>
          </w:p>
        </w:tc>
      </w:tr>
    </w:tbl>
    <w:p>
      <w:pPr>
        <w:spacing w:after="120"/>
      </w:pPr>
      <w:r>
        <w:rPr>
          <w:sz w:val="10"/>
          <w:szCs w:val="10"/>
        </w:rPr>
        <w:t xml:space="preserve"/>
      </w:r>
    </w:p>
    <w:p>
      <w:pPr>
        <w:pStyle w:val="Heading2"/>
        <w:keepNext/>
        <w:spacing w:after="100" w:before="250"/>
      </w:pPr>
      <w:r>
        <w:t xml:space="preserve">Words used throughout</w:t>
      </w:r>
    </w:p>
    <w:p>
      <w:pPr>
        <w:spacing w:after="120" w:line="264"/>
        <w:jc w:val="both"/>
      </w:pPr>
      <w:r>
        <w:t xml:space="preserve">Arbitration law uses some Latin and some technical terms. Each is explained below in plain words, and again briefly where it first appears in a chapter.</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2350"/>
        <w:gridCol w:w="6500"/>
      </w:tblGrid>
      <w:tr>
        <w:trPr>
          <w:tblHeader/>
        </w:trPr>
        <w:tc>
          <w:tcPr>
            <w:tcW w:type="dxa" w:w="2350"/>
            <w:tcMar>
              <w:top w:type="dxa" w:w="70"/>
              <w:left w:type="dxa" w:w="100"/>
              <w:bottom w:type="dxa" w:w="70"/>
              <w:right w:type="dxa" w:w="100"/>
            </w:tcMar>
          </w:tcPr>
          <w:p>
            <w:pPr>
              <w:spacing w:after="0" w:line="240"/>
            </w:pPr>
            <w:r>
              <w:rPr>
                <w:b/>
                <w:bCs/>
                <w:color w:val="1F3864"/>
                <w:sz w:val="18"/>
                <w:szCs w:val="18"/>
              </w:rPr>
              <w:t xml:space="preserve">Term</w:t>
            </w:r>
          </w:p>
        </w:tc>
        <w:tc>
          <w:tcPr>
            <w:tcW w:type="dxa" w:w="6500"/>
            <w:tcMar>
              <w:top w:type="dxa" w:w="70"/>
              <w:left w:type="dxa" w:w="100"/>
              <w:bottom w:type="dxa" w:w="70"/>
              <w:right w:type="dxa" w:w="100"/>
            </w:tcMar>
          </w:tcPr>
          <w:p>
            <w:pPr>
              <w:spacing w:after="0" w:line="240"/>
            </w:pPr>
            <w:r>
              <w:rPr>
                <w:b/>
                <w:bCs/>
                <w:color w:val="1F3864"/>
                <w:sz w:val="18"/>
                <w:szCs w:val="18"/>
              </w:rPr>
              <w:t xml:space="preserve">Plain meaning</w:t>
            </w:r>
          </w:p>
        </w:tc>
      </w:tr>
      <w:tr>
        <w:tc>
          <w:tcPr>
            <w:tcW w:type="dxa" w:w="2350"/>
            <w:tcMar>
              <w:top w:type="dxa" w:w="70"/>
              <w:left w:type="dxa" w:w="100"/>
              <w:bottom w:type="dxa" w:w="70"/>
              <w:right w:type="dxa" w:w="100"/>
            </w:tcMar>
          </w:tcPr>
          <w:p>
            <w:pPr>
              <w:spacing w:after="0" w:line="240"/>
            </w:pPr>
            <w:r>
              <w:rPr>
                <w:b/>
                <w:bCs/>
                <w:sz w:val="18"/>
                <w:szCs w:val="18"/>
              </w:rPr>
              <w:t xml:space="preserve">Arbitral tribunal</w:t>
            </w:r>
          </w:p>
        </w:tc>
        <w:tc>
          <w:tcPr>
            <w:tcW w:type="dxa" w:w="6500"/>
            <w:tcMar>
              <w:top w:type="dxa" w:w="70"/>
              <w:left w:type="dxa" w:w="100"/>
              <w:bottom w:type="dxa" w:w="70"/>
              <w:right w:type="dxa" w:w="100"/>
            </w:tcMar>
          </w:tcPr>
          <w:p>
            <w:pPr>
              <w:spacing w:after="0" w:line="240"/>
            </w:pPr>
            <w:r>
              <w:rPr>
                <w:sz w:val="18"/>
                <w:szCs w:val="18"/>
              </w:rPr>
              <w:t xml:space="preserve">The arbitrator, or the panel of arbitrators, deciding the case. Also called the tribunal or the panel.</w:t>
            </w:r>
          </w:p>
        </w:tc>
      </w:tr>
      <w:tr>
        <w:tc>
          <w:tcPr>
            <w:tcW w:type="dxa" w:w="2350"/>
            <w:tcMar>
              <w:top w:type="dxa" w:w="70"/>
              <w:left w:type="dxa" w:w="100"/>
              <w:bottom w:type="dxa" w:w="70"/>
              <w:right w:type="dxa" w:w="100"/>
            </w:tcMar>
          </w:tcPr>
          <w:p>
            <w:pPr>
              <w:spacing w:after="0" w:line="240"/>
            </w:pPr>
            <w:r>
              <w:rPr>
                <w:b/>
                <w:bCs/>
                <w:sz w:val="18"/>
                <w:szCs w:val="18"/>
              </w:rPr>
              <w:t xml:space="preserve">Arbitration agreement</w:t>
            </w:r>
          </w:p>
        </w:tc>
        <w:tc>
          <w:tcPr>
            <w:tcW w:type="dxa" w:w="6500"/>
            <w:tcMar>
              <w:top w:type="dxa" w:w="70"/>
              <w:left w:type="dxa" w:w="100"/>
              <w:bottom w:type="dxa" w:w="70"/>
              <w:right w:type="dxa" w:w="100"/>
            </w:tcMar>
          </w:tcPr>
          <w:p>
            <w:pPr>
              <w:spacing w:after="0" w:line="240"/>
            </w:pPr>
            <w:r>
              <w:rPr>
                <w:sz w:val="18"/>
                <w:szCs w:val="18"/>
              </w:rPr>
              <w:t xml:space="preserve">The written agreement by which the parties choose arbitration. It is usually a clause inside a bigger contract.</w:t>
            </w:r>
          </w:p>
        </w:tc>
      </w:tr>
      <w:tr>
        <w:tc>
          <w:tcPr>
            <w:tcW w:type="dxa" w:w="2350"/>
            <w:tcMar>
              <w:top w:type="dxa" w:w="70"/>
              <w:left w:type="dxa" w:w="100"/>
              <w:bottom w:type="dxa" w:w="70"/>
              <w:right w:type="dxa" w:w="100"/>
            </w:tcMar>
          </w:tcPr>
          <w:p>
            <w:pPr>
              <w:spacing w:after="0" w:line="240"/>
            </w:pPr>
            <w:r>
              <w:rPr>
                <w:b/>
                <w:bCs/>
                <w:sz w:val="18"/>
                <w:szCs w:val="18"/>
              </w:rPr>
              <w:t xml:space="preserve">Seat</w:t>
            </w:r>
          </w:p>
        </w:tc>
        <w:tc>
          <w:tcPr>
            <w:tcW w:type="dxa" w:w="6500"/>
            <w:tcMar>
              <w:top w:type="dxa" w:w="70"/>
              <w:left w:type="dxa" w:w="100"/>
              <w:bottom w:type="dxa" w:w="70"/>
              <w:right w:type="dxa" w:w="100"/>
            </w:tcMar>
          </w:tcPr>
          <w:p>
            <w:pPr>
              <w:spacing w:after="0" w:line="240"/>
            </w:pPr>
            <w:r>
              <w:rPr>
                <w:sz w:val="18"/>
                <w:szCs w:val="18"/>
              </w:rPr>
              <w:t xml:space="preserve">The country or city whose law governs how the arbitration is run, and whose courts supervise it. A legal idea, not a place on a map.</w:t>
            </w:r>
          </w:p>
        </w:tc>
      </w:tr>
      <w:tr>
        <w:tc>
          <w:tcPr>
            <w:tcW w:type="dxa" w:w="2350"/>
            <w:tcMar>
              <w:top w:type="dxa" w:w="70"/>
              <w:left w:type="dxa" w:w="100"/>
              <w:bottom w:type="dxa" w:w="70"/>
              <w:right w:type="dxa" w:w="100"/>
            </w:tcMar>
          </w:tcPr>
          <w:p>
            <w:pPr>
              <w:spacing w:after="0" w:line="240"/>
            </w:pPr>
            <w:r>
              <w:rPr>
                <w:b/>
                <w:bCs/>
                <w:sz w:val="18"/>
                <w:szCs w:val="18"/>
              </w:rPr>
              <w:t xml:space="preserve">Venue</w:t>
            </w:r>
          </w:p>
        </w:tc>
        <w:tc>
          <w:tcPr>
            <w:tcW w:type="dxa" w:w="6500"/>
            <w:tcMar>
              <w:top w:type="dxa" w:w="70"/>
              <w:left w:type="dxa" w:w="100"/>
              <w:bottom w:type="dxa" w:w="70"/>
              <w:right w:type="dxa" w:w="100"/>
            </w:tcMar>
          </w:tcPr>
          <w:p>
            <w:pPr>
              <w:spacing w:after="0" w:line="240"/>
            </w:pPr>
            <w:r>
              <w:rPr>
                <w:sz w:val="18"/>
                <w:szCs w:val="18"/>
              </w:rPr>
              <w:t xml:space="preserve">The place where the tribunal actually sits and holds hearings. This can differ from the seat.</w:t>
            </w:r>
          </w:p>
        </w:tc>
      </w:tr>
      <w:tr>
        <w:tc>
          <w:tcPr>
            <w:tcW w:type="dxa" w:w="2350"/>
            <w:tcMar>
              <w:top w:type="dxa" w:w="70"/>
              <w:left w:type="dxa" w:w="100"/>
              <w:bottom w:type="dxa" w:w="70"/>
              <w:right w:type="dxa" w:w="100"/>
            </w:tcMar>
          </w:tcPr>
          <w:p>
            <w:pPr>
              <w:spacing w:after="0" w:line="240"/>
            </w:pPr>
            <w:r>
              <w:rPr>
                <w:b/>
                <w:bCs/>
                <w:sz w:val="18"/>
                <w:szCs w:val="18"/>
              </w:rPr>
              <w:t xml:space="preserve">Derogable provision</w:t>
            </w:r>
          </w:p>
        </w:tc>
        <w:tc>
          <w:tcPr>
            <w:tcW w:type="dxa" w:w="6500"/>
            <w:tcMar>
              <w:top w:type="dxa" w:w="70"/>
              <w:left w:type="dxa" w:w="100"/>
              <w:bottom w:type="dxa" w:w="70"/>
              <w:right w:type="dxa" w:w="100"/>
            </w:tcMar>
          </w:tcPr>
          <w:p>
            <w:pPr>
              <w:spacing w:after="0" w:line="240"/>
            </w:pPr>
            <w:r>
              <w:rPr>
                <w:sz w:val="18"/>
                <w:szCs w:val="18"/>
              </w:rPr>
              <w:t xml:space="preserve">A rule of the Act that the parties are allowed to change or ignore by agreement.</w:t>
            </w:r>
          </w:p>
        </w:tc>
      </w:tr>
      <w:tr>
        <w:tc>
          <w:tcPr>
            <w:tcW w:type="dxa" w:w="2350"/>
            <w:tcMar>
              <w:top w:type="dxa" w:w="70"/>
              <w:left w:type="dxa" w:w="100"/>
              <w:bottom w:type="dxa" w:w="70"/>
              <w:right w:type="dxa" w:w="100"/>
            </w:tcMar>
          </w:tcPr>
          <w:p>
            <w:pPr>
              <w:spacing w:after="0" w:line="240"/>
            </w:pPr>
            <w:r>
              <w:rPr>
                <w:b/>
                <w:bCs/>
                <w:sz w:val="18"/>
                <w:szCs w:val="18"/>
              </w:rPr>
              <w:t xml:space="preserve">Non-derogable provision</w:t>
            </w:r>
          </w:p>
        </w:tc>
        <w:tc>
          <w:tcPr>
            <w:tcW w:type="dxa" w:w="6500"/>
            <w:tcMar>
              <w:top w:type="dxa" w:w="70"/>
              <w:left w:type="dxa" w:w="100"/>
              <w:bottom w:type="dxa" w:w="70"/>
              <w:right w:type="dxa" w:w="100"/>
            </w:tcMar>
          </w:tcPr>
          <w:p>
            <w:pPr>
              <w:spacing w:after="0" w:line="240"/>
            </w:pPr>
            <w:r>
              <w:rPr>
                <w:sz w:val="18"/>
                <w:szCs w:val="18"/>
              </w:rPr>
              <w:t xml:space="preserve">A rule the parties cannot change or contract out of, however they agree.</w:t>
            </w:r>
          </w:p>
        </w:tc>
      </w:tr>
      <w:tr>
        <w:tc>
          <w:tcPr>
            <w:tcW w:type="dxa" w:w="2350"/>
            <w:tcMar>
              <w:top w:type="dxa" w:w="70"/>
              <w:left w:type="dxa" w:w="100"/>
              <w:bottom w:type="dxa" w:w="70"/>
              <w:right w:type="dxa" w:w="100"/>
            </w:tcMar>
          </w:tcPr>
          <w:p>
            <w:pPr>
              <w:spacing w:after="0" w:line="240"/>
            </w:pPr>
            <w:r>
              <w:rPr>
                <w:b/>
                <w:bCs/>
                <w:i/>
                <w:iCs/>
                <w:sz w:val="18"/>
                <w:szCs w:val="18"/>
              </w:rPr>
              <w:t xml:space="preserve">Prima facie</w:t>
            </w:r>
          </w:p>
        </w:tc>
        <w:tc>
          <w:tcPr>
            <w:tcW w:type="dxa" w:w="6500"/>
            <w:tcMar>
              <w:top w:type="dxa" w:w="70"/>
              <w:left w:type="dxa" w:w="100"/>
              <w:bottom w:type="dxa" w:w="70"/>
              <w:right w:type="dxa" w:w="100"/>
            </w:tcMar>
          </w:tcPr>
          <w:p>
            <w:pPr>
              <w:spacing w:after="0" w:line="240"/>
            </w:pPr>
            <w:r>
              <w:rPr>
                <w:sz w:val="18"/>
                <w:szCs w:val="18"/>
              </w:rPr>
              <w:t xml:space="preserve">On the face of it. A quick first look, not a full decision after trial.</w:t>
            </w:r>
          </w:p>
        </w:tc>
      </w:tr>
      <w:tr>
        <w:tc>
          <w:tcPr>
            <w:tcW w:type="dxa" w:w="2350"/>
            <w:tcMar>
              <w:top w:type="dxa" w:w="70"/>
              <w:left w:type="dxa" w:w="100"/>
              <w:bottom w:type="dxa" w:w="70"/>
              <w:right w:type="dxa" w:w="100"/>
            </w:tcMar>
          </w:tcPr>
          <w:p>
            <w:pPr>
              <w:spacing w:after="0" w:line="240"/>
            </w:pPr>
            <w:r>
              <w:rPr>
                <w:b/>
                <w:bCs/>
                <w:sz w:val="18"/>
                <w:szCs w:val="18"/>
              </w:rPr>
              <w:t xml:space="preserve">Unable in law</w:t>
            </w:r>
            <w:r>
              <w:rPr>
                <w:sz w:val="18"/>
                <w:szCs w:val="18"/>
              </w:rPr>
              <w:t xml:space="preserve"> (</w:t>
            </w:r>
            <w:r>
              <w:rPr>
                <w:i/>
                <w:iCs/>
                <w:sz w:val="18"/>
                <w:szCs w:val="18"/>
              </w:rPr>
              <w:t xml:space="preserve">de jure</w:t>
            </w:r>
            <w:r>
              <w:rPr>
                <w:sz w:val="18"/>
                <w:szCs w:val="18"/>
              </w:rPr>
              <w:t xml:space="preserve">)</w:t>
            </w:r>
          </w:p>
        </w:tc>
        <w:tc>
          <w:tcPr>
            <w:tcW w:type="dxa" w:w="6500"/>
            <w:tcMar>
              <w:top w:type="dxa" w:w="70"/>
              <w:left w:type="dxa" w:w="100"/>
              <w:bottom w:type="dxa" w:w="70"/>
              <w:right w:type="dxa" w:w="100"/>
            </w:tcMar>
          </w:tcPr>
          <w:p>
            <w:pPr>
              <w:spacing w:after="0" w:line="240"/>
            </w:pPr>
            <w:r>
              <w:rPr>
                <w:sz w:val="18"/>
                <w:szCs w:val="18"/>
              </w:rPr>
              <w:t xml:space="preserve">Unable in </w:t>
            </w:r>
            <w:r>
              <w:rPr>
                <w:b/>
                <w:bCs/>
                <w:sz w:val="18"/>
                <w:szCs w:val="18"/>
              </w:rPr>
              <w:t xml:space="preserve">law</w:t>
            </w:r>
            <w:r>
              <w:rPr>
                <w:sz w:val="18"/>
                <w:szCs w:val="18"/>
              </w:rPr>
              <w:t xml:space="preserve"> to do the job, whatever his health or willingness.</w:t>
            </w:r>
          </w:p>
        </w:tc>
      </w:tr>
      <w:tr>
        <w:tc>
          <w:tcPr>
            <w:tcW w:type="dxa" w:w="2350"/>
            <w:tcMar>
              <w:top w:type="dxa" w:w="70"/>
              <w:left w:type="dxa" w:w="100"/>
              <w:bottom w:type="dxa" w:w="70"/>
              <w:right w:type="dxa" w:w="100"/>
            </w:tcMar>
          </w:tcPr>
          <w:p>
            <w:pPr>
              <w:spacing w:after="0" w:line="240"/>
            </w:pPr>
            <w:r>
              <w:rPr>
                <w:b/>
                <w:bCs/>
                <w:sz w:val="18"/>
                <w:szCs w:val="18"/>
              </w:rPr>
              <w:t xml:space="preserve">Unable in fact</w:t>
            </w:r>
            <w:r>
              <w:rPr>
                <w:sz w:val="18"/>
                <w:szCs w:val="18"/>
              </w:rPr>
              <w:t xml:space="preserve"> (</w:t>
            </w:r>
            <w:r>
              <w:rPr>
                <w:i/>
                <w:iCs/>
                <w:sz w:val="18"/>
                <w:szCs w:val="18"/>
              </w:rPr>
              <w:t xml:space="preserve">de facto</w:t>
            </w:r>
            <w:r>
              <w:rPr>
                <w:sz w:val="18"/>
                <w:szCs w:val="18"/>
              </w:rPr>
              <w:t xml:space="preserve">)</w:t>
            </w:r>
          </w:p>
        </w:tc>
        <w:tc>
          <w:tcPr>
            <w:tcW w:type="dxa" w:w="6500"/>
            <w:tcMar>
              <w:top w:type="dxa" w:w="70"/>
              <w:left w:type="dxa" w:w="100"/>
              <w:bottom w:type="dxa" w:w="70"/>
              <w:right w:type="dxa" w:w="100"/>
            </w:tcMar>
          </w:tcPr>
          <w:p>
            <w:pPr>
              <w:spacing w:after="0" w:line="240"/>
            </w:pPr>
            <w:r>
              <w:rPr>
                <w:sz w:val="18"/>
                <w:szCs w:val="18"/>
              </w:rPr>
              <w:t xml:space="preserve">Unable in </w:t>
            </w:r>
            <w:r>
              <w:rPr>
                <w:b/>
                <w:bCs/>
                <w:sz w:val="18"/>
                <w:szCs w:val="18"/>
              </w:rPr>
              <w:t xml:space="preserve">fact</w:t>
            </w:r>
            <w:r>
              <w:rPr>
                <w:sz w:val="18"/>
                <w:szCs w:val="18"/>
              </w:rPr>
              <w:t xml:space="preserve"> to do the job, though still qualified in law.</w:t>
            </w:r>
          </w:p>
        </w:tc>
      </w:tr>
      <w:tr>
        <w:tc>
          <w:tcPr>
            <w:tcW w:type="dxa" w:w="2350"/>
            <w:tcMar>
              <w:top w:type="dxa" w:w="70"/>
              <w:left w:type="dxa" w:w="100"/>
              <w:bottom w:type="dxa" w:w="70"/>
              <w:right w:type="dxa" w:w="100"/>
            </w:tcMar>
          </w:tcPr>
          <w:p>
            <w:pPr>
              <w:spacing w:after="0" w:line="240"/>
            </w:pPr>
            <w:r>
              <w:rPr>
                <w:b/>
                <w:bCs/>
                <w:i/>
                <w:iCs/>
                <w:sz w:val="18"/>
                <w:szCs w:val="18"/>
              </w:rPr>
              <w:t xml:space="preserve">Functus officio</w:t>
            </w:r>
          </w:p>
        </w:tc>
        <w:tc>
          <w:tcPr>
            <w:tcW w:type="dxa" w:w="6500"/>
            <w:tcMar>
              <w:top w:type="dxa" w:w="70"/>
              <w:left w:type="dxa" w:w="100"/>
              <w:bottom w:type="dxa" w:w="70"/>
              <w:right w:type="dxa" w:w="100"/>
            </w:tcMar>
          </w:tcPr>
          <w:p>
            <w:pPr>
              <w:spacing w:after="0" w:line="240"/>
            </w:pPr>
            <w:r>
              <w:rPr>
                <w:sz w:val="18"/>
                <w:szCs w:val="18"/>
              </w:rPr>
              <w:t xml:space="preserve">The job is finished. Once the tribunal makes its award, its powers are over.</w:t>
            </w:r>
          </w:p>
        </w:tc>
      </w:tr>
      <w:tr>
        <w:tc>
          <w:tcPr>
            <w:tcW w:type="dxa" w:w="2350"/>
            <w:tcMar>
              <w:top w:type="dxa" w:w="70"/>
              <w:left w:type="dxa" w:w="100"/>
              <w:bottom w:type="dxa" w:w="70"/>
              <w:right w:type="dxa" w:w="100"/>
            </w:tcMar>
          </w:tcPr>
          <w:p>
            <w:pPr>
              <w:spacing w:after="0" w:line="240"/>
            </w:pPr>
            <w:r>
              <w:rPr>
                <w:b/>
                <w:bCs/>
                <w:i/>
                <w:iCs/>
                <w:sz w:val="18"/>
                <w:szCs w:val="18"/>
              </w:rPr>
              <w:t xml:space="preserve">Ipso jure</w:t>
            </w:r>
          </w:p>
        </w:tc>
        <w:tc>
          <w:tcPr>
            <w:tcW w:type="dxa" w:w="6500"/>
            <w:tcMar>
              <w:top w:type="dxa" w:w="70"/>
              <w:left w:type="dxa" w:w="100"/>
              <w:bottom w:type="dxa" w:w="70"/>
              <w:right w:type="dxa" w:w="100"/>
            </w:tcMar>
          </w:tcPr>
          <w:p>
            <w:pPr>
              <w:spacing w:after="0" w:line="240"/>
            </w:pPr>
            <w:r>
              <w:rPr>
                <w:sz w:val="18"/>
                <w:szCs w:val="18"/>
              </w:rPr>
              <w:t xml:space="preserve">Automatically, by the operation of law itself, without anything more being needed.</w:t>
            </w:r>
          </w:p>
        </w:tc>
      </w:tr>
      <w:tr>
        <w:tc>
          <w:tcPr>
            <w:tcW w:type="dxa" w:w="2350"/>
            <w:tcMar>
              <w:top w:type="dxa" w:w="70"/>
              <w:left w:type="dxa" w:w="100"/>
              <w:bottom w:type="dxa" w:w="70"/>
              <w:right w:type="dxa" w:w="100"/>
            </w:tcMar>
          </w:tcPr>
          <w:p>
            <w:pPr>
              <w:spacing w:after="0" w:line="240"/>
            </w:pPr>
            <w:r>
              <w:rPr>
                <w:b/>
                <w:bCs/>
                <w:sz w:val="18"/>
                <w:szCs w:val="18"/>
              </w:rPr>
              <w:t xml:space="preserve">Non obstante clause</w:t>
            </w:r>
          </w:p>
        </w:tc>
        <w:tc>
          <w:tcPr>
            <w:tcW w:type="dxa" w:w="6500"/>
            <w:tcMar>
              <w:top w:type="dxa" w:w="70"/>
              <w:left w:type="dxa" w:w="100"/>
              <w:bottom w:type="dxa" w:w="70"/>
              <w:right w:type="dxa" w:w="100"/>
            </w:tcMar>
          </w:tcPr>
          <w:p>
            <w:pPr>
              <w:spacing w:after="0" w:line="240"/>
            </w:pPr>
            <w:r>
              <w:rPr>
                <w:sz w:val="18"/>
                <w:szCs w:val="18"/>
              </w:rPr>
              <w:t xml:space="preserve">An overriding clause. It begins “notwithstanding anything…”, and means this provision wins over any conflicting law.</w:t>
            </w:r>
          </w:p>
        </w:tc>
      </w:tr>
      <w:tr>
        <w:tc>
          <w:tcPr>
            <w:tcW w:type="dxa" w:w="2350"/>
            <w:tcMar>
              <w:top w:type="dxa" w:w="70"/>
              <w:left w:type="dxa" w:w="100"/>
              <w:bottom w:type="dxa" w:w="70"/>
              <w:right w:type="dxa" w:w="100"/>
            </w:tcMar>
          </w:tcPr>
          <w:p>
            <w:pPr>
              <w:spacing w:after="0" w:line="240"/>
            </w:pPr>
            <w:r>
              <w:rPr>
                <w:i/>
                <w:iCs/>
                <w:sz w:val="18"/>
                <w:szCs w:val="18"/>
              </w:rPr>
              <w:t xml:space="preserve">In rem</w:t>
            </w:r>
            <w:r>
              <w:rPr>
                <w:sz w:val="18"/>
                <w:szCs w:val="18"/>
              </w:rPr>
              <w:t xml:space="preserve"> and </w:t>
            </w:r>
            <w:r>
              <w:rPr>
                <w:i/>
                <w:iCs/>
                <w:sz w:val="18"/>
                <w:szCs w:val="18"/>
              </w:rPr>
              <w:t xml:space="preserve">in personam</w:t>
            </w:r>
            <w:r>
              <w:rPr>
                <w:sz w:val="18"/>
                <w:szCs w:val="18"/>
              </w:rPr>
              <w:t xml:space="preserve"> rights</w:t>
            </w:r>
          </w:p>
        </w:tc>
        <w:tc>
          <w:tcPr>
            <w:tcW w:type="dxa" w:w="6500"/>
            <w:tcMar>
              <w:top w:type="dxa" w:w="70"/>
              <w:left w:type="dxa" w:w="100"/>
              <w:bottom w:type="dxa" w:w="70"/>
              <w:right w:type="dxa" w:w="100"/>
            </w:tcMar>
          </w:tcPr>
          <w:p>
            <w:pPr>
              <w:spacing w:after="0" w:line="240"/>
            </w:pPr>
            <w:r>
              <w:rPr>
                <w:sz w:val="18"/>
                <w:szCs w:val="18"/>
              </w:rPr>
              <w:t xml:space="preserve">A right </w:t>
            </w:r>
            <w:r>
              <w:rPr>
                <w:i/>
                <w:iCs/>
                <w:sz w:val="18"/>
                <w:szCs w:val="18"/>
              </w:rPr>
              <w:t xml:space="preserve">in rem</w:t>
            </w:r>
            <w:r>
              <w:rPr>
                <w:sz w:val="18"/>
                <w:szCs w:val="18"/>
              </w:rPr>
              <w:t xml:space="preserve"> is good against the whole world, such as ownership of land. A right </w:t>
            </w:r>
            <w:r>
              <w:rPr>
                <w:i/>
                <w:iCs/>
                <w:sz w:val="18"/>
                <w:szCs w:val="18"/>
              </w:rPr>
              <w:t xml:space="preserve">in personam</w:t>
            </w:r>
            <w:r>
              <w:rPr>
                <w:sz w:val="18"/>
                <w:szCs w:val="18"/>
              </w:rPr>
              <w:t xml:space="preserve"> is good only against one particular person, such as a right under a contract.</w:t>
            </w:r>
          </w:p>
        </w:tc>
      </w:tr>
      <w:tr>
        <w:tc>
          <w:tcPr>
            <w:tcW w:type="dxa" w:w="2350"/>
            <w:tcMar>
              <w:top w:type="dxa" w:w="70"/>
              <w:left w:type="dxa" w:w="100"/>
              <w:bottom w:type="dxa" w:w="70"/>
              <w:right w:type="dxa" w:w="100"/>
            </w:tcMar>
          </w:tcPr>
          <w:p>
            <w:pPr>
              <w:spacing w:after="0" w:line="240"/>
            </w:pPr>
            <w:r>
              <w:rPr>
                <w:b/>
                <w:bCs/>
                <w:i/>
                <w:iCs/>
                <w:sz w:val="18"/>
                <w:szCs w:val="18"/>
              </w:rPr>
              <w:t xml:space="preserve">Erga omnes</w:t>
            </w:r>
          </w:p>
        </w:tc>
        <w:tc>
          <w:tcPr>
            <w:tcW w:type="dxa" w:w="6500"/>
            <w:tcMar>
              <w:top w:type="dxa" w:w="70"/>
              <w:left w:type="dxa" w:w="100"/>
              <w:bottom w:type="dxa" w:w="70"/>
              <w:right w:type="dxa" w:w="100"/>
            </w:tcMar>
          </w:tcPr>
          <w:p>
            <w:pPr>
              <w:spacing w:after="0" w:line="240"/>
            </w:pPr>
            <w:r>
              <w:rPr>
                <w:sz w:val="18"/>
                <w:szCs w:val="18"/>
              </w:rPr>
              <w:t xml:space="preserve">Affecting everybody, not just the two parties before the tribunal.</w:t>
            </w:r>
          </w:p>
        </w:tc>
      </w:tr>
      <w:tr>
        <w:tc>
          <w:tcPr>
            <w:tcW w:type="dxa" w:w="2350"/>
            <w:tcMar>
              <w:top w:type="dxa" w:w="70"/>
              <w:left w:type="dxa" w:w="100"/>
              <w:bottom w:type="dxa" w:w="70"/>
              <w:right w:type="dxa" w:w="100"/>
            </w:tcMar>
          </w:tcPr>
          <w:p>
            <w:pPr>
              <w:spacing w:after="0" w:line="240"/>
            </w:pPr>
            <w:r>
              <w:rPr>
                <w:b/>
                <w:bCs/>
                <w:i/>
                <w:iCs/>
                <w:sz w:val="18"/>
                <w:szCs w:val="18"/>
              </w:rPr>
              <w:t xml:space="preserve">Audi alteram partem</w:t>
            </w:r>
          </w:p>
        </w:tc>
        <w:tc>
          <w:tcPr>
            <w:tcW w:type="dxa" w:w="6500"/>
            <w:tcMar>
              <w:top w:type="dxa" w:w="70"/>
              <w:left w:type="dxa" w:w="100"/>
              <w:bottom w:type="dxa" w:w="70"/>
              <w:right w:type="dxa" w:w="100"/>
            </w:tcMar>
          </w:tcPr>
          <w:p>
            <w:pPr>
              <w:spacing w:after="0" w:line="240"/>
            </w:pPr>
            <w:r>
              <w:rPr>
                <w:sz w:val="18"/>
                <w:szCs w:val="18"/>
              </w:rPr>
              <w:t xml:space="preserve">Hear the other side. Nobody should be condemned unheard.</w:t>
            </w:r>
          </w:p>
        </w:tc>
      </w:tr>
      <w:tr>
        <w:tc>
          <w:tcPr>
            <w:tcW w:type="dxa" w:w="2350"/>
            <w:tcMar>
              <w:top w:type="dxa" w:w="70"/>
              <w:left w:type="dxa" w:w="100"/>
              <w:bottom w:type="dxa" w:w="70"/>
              <w:right w:type="dxa" w:w="100"/>
            </w:tcMar>
          </w:tcPr>
          <w:p>
            <w:pPr>
              <w:spacing w:after="0" w:line="240"/>
            </w:pPr>
            <w:r>
              <w:rPr>
                <w:b/>
                <w:bCs/>
                <w:i/>
                <w:iCs/>
                <w:sz w:val="18"/>
                <w:szCs w:val="18"/>
              </w:rPr>
              <w:t xml:space="preserve">Nemo judex in causa sua</w:t>
            </w:r>
          </w:p>
        </w:tc>
        <w:tc>
          <w:tcPr>
            <w:tcW w:type="dxa" w:w="6500"/>
            <w:tcMar>
              <w:top w:type="dxa" w:w="70"/>
              <w:left w:type="dxa" w:w="100"/>
              <w:bottom w:type="dxa" w:w="70"/>
              <w:right w:type="dxa" w:w="100"/>
            </w:tcMar>
          </w:tcPr>
          <w:p>
            <w:pPr>
              <w:spacing w:after="0" w:line="240"/>
            </w:pPr>
            <w:r>
              <w:rPr>
                <w:sz w:val="18"/>
                <w:szCs w:val="18"/>
              </w:rPr>
              <w:t xml:space="preserve">No one should be a judge in his own case.</w:t>
            </w:r>
          </w:p>
        </w:tc>
      </w:tr>
    </w:tbl>
    <w:p>
      <w:pPr>
        <w:spacing w:after="120"/>
      </w:pPr>
      <w:r>
        <w:rPr>
          <w:sz w:val="10"/>
          <w:szCs w:val="10"/>
        </w:rPr>
        <w:t xml:space="preserve"/>
      </w:r>
    </w:p>
    <w:p>
      <w:pPr>
        <w:pStyle w:val="Heading2"/>
        <w:keepNext/>
        <w:spacing w:after="100" w:before="250"/>
      </w:pPr>
      <w:r>
        <w:t xml:space="preserve">Reading the citations</w:t>
      </w:r>
    </w:p>
    <w:p>
      <w:pPr>
        <w:spacing w:after="120" w:line="264"/>
        <w:jc w:val="both"/>
      </w:pPr>
      <w:r>
        <w:t xml:space="preserve">Case names are given in </w:t>
      </w:r>
      <w:r>
        <w:rPr>
          <w:b/>
          <w:bCs/>
        </w:rPr>
        <w:t xml:space="preserve">bold italics</w:t>
      </w:r>
      <w:r>
        <w:t xml:space="preserve">, followed by the report in which the judgment is printed. A few conventions are worth knowing.</w:t>
      </w:r>
    </w:p>
    <w:p>
      <w:pPr>
        <w:pStyle w:val="ListParagraph"/>
        <w:numPr>
          <w:ilvl w:val="0"/>
          <w:numId w:val="3"/>
        </w:numPr>
        <w:spacing w:after="70" w:line="264"/>
        <w:jc w:val="both"/>
      </w:pPr>
      <w:r>
        <w:rPr>
          <w:b/>
          <w:bCs/>
        </w:rPr>
        <w:t xml:space="preserve">SCC</w:t>
      </w:r>
      <w:r>
        <w:t xml:space="preserve"> means Supreme Court Cases, and </w:t>
      </w:r>
      <w:r>
        <w:rPr>
          <w:b/>
          <w:bCs/>
        </w:rPr>
        <w:t xml:space="preserve">AIR</w:t>
      </w:r>
      <w:r>
        <w:t xml:space="preserve"> means All India Reporter. So “(2002) 3 SCC 572” means volume 3 of SCC for 2002, page 572.</w:t>
      </w:r>
    </w:p>
    <w:p>
      <w:pPr>
        <w:pStyle w:val="ListParagraph"/>
        <w:numPr>
          <w:ilvl w:val="0"/>
          <w:numId w:val="3"/>
        </w:numPr>
        <w:spacing w:after="70" w:line="264"/>
        <w:jc w:val="both"/>
      </w:pPr>
      <w:r>
        <w:rPr>
          <w:b/>
          <w:bCs/>
        </w:rPr>
        <w:t xml:space="preserve">SCC OnLine</w:t>
      </w:r>
      <w:r>
        <w:t xml:space="preserve"> and </w:t>
      </w:r>
      <w:r>
        <w:rPr>
          <w:b/>
          <w:bCs/>
        </w:rPr>
        <w:t xml:space="preserve">INSC</w:t>
      </w:r>
      <w:r>
        <w:t xml:space="preserve"> are used where the judgment is very recent and no printed volume reference is available.</w:t>
      </w:r>
    </w:p>
    <w:p>
      <w:pPr>
        <w:pStyle w:val="ListParagraph"/>
        <w:numPr>
          <w:ilvl w:val="0"/>
          <w:numId w:val="3"/>
        </w:numPr>
        <w:spacing w:after="70" w:line="264"/>
        <w:jc w:val="both"/>
      </w:pPr>
      <w:r>
        <w:rPr>
          <w:b/>
          <w:bCs/>
        </w:rPr>
        <w:t xml:space="preserve">“3 Judges”, “Constitution Bench of 5”, “7 Judges”</w:t>
      </w:r>
      <w:r>
        <w:t xml:space="preserve"> describe how many judges decided the case. </w:t>
      </w:r>
      <w:r>
        <w:rPr>
          <w:b/>
          <w:bCs/>
          <w:shd w:fill="FFF2CC" w:color="auto" w:val="clear"/>
        </w:rPr>
        <w:t xml:space="preserve">A larger Bench binds a smaller one,</w:t>
      </w:r>
      <w:r>
        <w:t xml:space="preserve"> so a seven-judge decision settles a point that a three-judge decision could not.</w:t>
      </w:r>
    </w:p>
    <w:p>
      <w:pPr>
        <w:pStyle w:val="ListParagraph"/>
        <w:numPr>
          <w:ilvl w:val="0"/>
          <w:numId w:val="3"/>
        </w:numPr>
        <w:spacing w:after="70" w:line="264"/>
        <w:jc w:val="both"/>
      </w:pPr>
      <w:r>
        <w:rPr>
          <w:b/>
          <w:bCs/>
        </w:rPr>
        <w:t xml:space="preserve">“Overruled”</w:t>
      </w:r>
      <w:r>
        <w:t xml:space="preserve"> means a later, larger Bench has held the earlier decision wrong. </w:t>
      </w:r>
      <w:r>
        <w:rPr>
          <w:b/>
          <w:bCs/>
        </w:rPr>
        <w:t xml:space="preserve">“Prospective effect”</w:t>
      </w:r>
      <w:r>
        <w:t xml:space="preserve"> means the new ruling applies only going forward, and old cases stay governed by the old rule.</w:t>
      </w:r>
    </w:p>
    <w:p>
      <w:pPr>
        <w:pStyle w:val="Heading1"/>
        <w:keepNext/>
        <w:pBdr>
          <w:bottom w:val="single" w:color="1F3864" w:sz="6" w:space="4"/>
        </w:pBdr>
        <w:spacing w:after="160" w:before="420"/>
      </w:pPr>
      <w:r>
        <w:t xml:space="preserve">1.  International Commercial Arbitration: Section 2(1)(f)</w:t>
      </w:r>
    </w:p>
    <w:p>
      <w:pPr>
        <w:pStyle w:val="Heading2"/>
        <w:keepNext/>
        <w:spacing w:after="100" w:before="250"/>
      </w:pPr>
      <w:r>
        <w:t xml:space="preserve">Why this definition matters</w:t>
      </w:r>
    </w:p>
    <w:p>
      <w:pPr>
        <w:spacing w:after="120" w:line="264"/>
        <w:jc w:val="both"/>
      </w:pPr>
      <w:r>
        <w:t xml:space="preserve">Most arbitration in India is purely domestic: two Indian parties, an Indian contract, an Indian arbitrator. But some arbitrations have a foreign party on one side. The Act treats those differently in several places, so it needs a definition to tell the two apart.</w:t>
      </w:r>
    </w:p>
    <w:p>
      <w:pPr>
        <w:spacing w:after="120" w:line="264"/>
        <w:jc w:val="both"/>
      </w:pPr>
      <w:r>
        <w:t xml:space="preserve">That definition is </w:t>
      </w:r>
      <w:r>
        <w:rPr>
          <w:b/>
          <w:bCs/>
        </w:rPr>
        <w:t xml:space="preserve">section 2(1)(f)</w:t>
      </w:r>
      <w:r>
        <w:t xml:space="preserve">, and the category it creates is </w:t>
      </w:r>
      <w:r>
        <w:rPr>
          <w:b/>
          <w:bCs/>
        </w:rPr>
        <w:t xml:space="preserve">international commercial arbitration (ICA)</w:t>
      </w:r>
      <w:r>
        <w:t xml:space="preserve">. ICA is not a separate kind of arbitration with its own procedure. It is simply a label. Once a dispute carries that label, certain sections work differently — for example, who appoints the arbitrator, and whether the twelve-month time limit for the award applies.</w:t>
      </w:r>
    </w:p>
    <w:p>
      <w:pPr>
        <w:pStyle w:val="Heading2"/>
        <w:keepNext/>
        <w:spacing w:after="100" w:before="250"/>
      </w:pPr>
      <w:r>
        <w:t xml:space="preserve">The three requirements</w:t>
      </w:r>
    </w:p>
    <w:p>
      <w:pPr>
        <w:spacing w:after="120" w:line="264"/>
        <w:jc w:val="both"/>
      </w:pPr>
      <w:r>
        <w:t xml:space="preserve">All three must be satisfied.</w:t>
      </w:r>
    </w:p>
    <w:p>
      <w:pPr>
        <w:pStyle w:val="ListParagraph"/>
        <w:numPr>
          <w:ilvl w:val="0"/>
          <w:numId w:val="4"/>
        </w:numPr>
        <w:spacing w:after="70" w:line="264"/>
        <w:jc w:val="both"/>
      </w:pPr>
      <w:r>
        <w:rPr>
          <w:b/>
          <w:bCs/>
        </w:rPr>
        <w:t xml:space="preserve">There must be a legal relationship, whether it is contractual or not.</w:t>
      </w:r>
      <w:r>
        <w:t xml:space="preserve"> A signed contract is not essential. A memorandum of understanding is enough, and so is a relationship like partnership, bailment or agency.</w:t>
      </w:r>
    </w:p>
    <w:p>
      <w:pPr>
        <w:pStyle w:val="ListParagraph"/>
        <w:numPr>
          <w:ilvl w:val="0"/>
          <w:numId w:val="4"/>
        </w:numPr>
        <w:spacing w:after="70" w:line="264"/>
        <w:jc w:val="both"/>
      </w:pPr>
      <w:r>
        <w:rPr>
          <w:b/>
          <w:bCs/>
        </w:rPr>
        <w:t xml:space="preserve">The relationship must be commercial, judged by Indian law.</w:t>
      </w:r>
      <w:r>
        <w:t xml:space="preserve"> Indian law decides whether something is commercial, and it decides generously.</w:t>
      </w:r>
    </w:p>
    <w:p>
      <w:pPr>
        <w:pStyle w:val="ListParagraph"/>
        <w:numPr>
          <w:ilvl w:val="0"/>
          <w:numId w:val="4"/>
        </w:numPr>
        <w:spacing w:after="70" w:line="264"/>
        <w:jc w:val="both"/>
      </w:pPr>
      <w:r>
        <w:rPr>
          <w:b/>
          <w:bCs/>
        </w:rPr>
        <w:t xml:space="preserve">At least one party must be foreign.</w:t>
      </w:r>
      <w:r>
        <w:t xml:space="preserve"> The section gives four ways this can happen: (a) an individual who is a national of, or normally lives in, another country; (b) a company incorporated outside India; (c) an association or body of individuals managed and controlled from outside India; or (d) the government of a foreign country.</w:t>
      </w:r>
    </w:p>
    <w:p>
      <w:pPr>
        <w:spacing w:after="120" w:line="264"/>
        <w:jc w:val="both"/>
      </w:pPr>
      <w:r>
        <w:t xml:space="preserve">Only one party needs to be foreign. It does not matter that the other is Indian.</w:t>
      </w:r>
    </w:p>
    <w:p>
      <w:pPr>
        <w:spacing w:after="120" w:line="264"/>
        <w:jc w:val="both"/>
      </w:pPr>
      <w:r>
        <w:rPr>
          <w:b/>
          <w:bCs/>
        </w:rPr>
        <w:t xml:space="preserve">Amendment note.</w:t>
      </w:r>
      <w:r>
        <w:t xml:space="preserve"> Clause (c) once began “a company or an association or a body of individuals”. The words </w:t>
      </w:r>
      <w:r>
        <w:rPr>
          <w:b/>
          <w:bCs/>
        </w:rPr>
        <w:t xml:space="preserve">“a company or” were removed</w:t>
      </w:r>
      <w:r>
        <w:t xml:space="preserve"> by the 2015 Amendment. So the “management and control” test never applies to a company. </w:t>
      </w:r>
      <w:r>
        <w:rPr>
          <w:b/>
          <w:bCs/>
          <w:shd w:fill="FFF2CC" w:color="auto" w:val="clear"/>
        </w:rPr>
        <w:t xml:space="preserve">A company's nationality depends only on where it was incorporated.</w:t>
      </w:r>
    </w:p>
    <w:p>
      <w:pPr>
        <w:pStyle w:val="Heading2"/>
        <w:keepNext/>
        <w:spacing w:after="100" w:before="250"/>
      </w:pPr>
      <w:r>
        <w:t xml:space="preserve">What “commercial” means</w:t>
      </w:r>
    </w:p>
    <w:p>
      <w:pPr>
        <w:spacing w:after="120" w:line="264"/>
        <w:jc w:val="both"/>
      </w:pPr>
      <w:r>
        <w:t xml:space="preserve">If the relationship is not commercial, the arbitration cannot be an ICA. So how widely is the word read?</w:t>
      </w:r>
    </w:p>
    <w:p>
      <w:pPr>
        <w:keepNext/>
        <w:spacing w:after="60" w:before="150"/>
      </w:pPr>
      <w:r>
        <w:rPr>
          <w:b/>
          <w:bCs/>
          <w:i/>
          <w:iCs/>
          <w:sz w:val="21"/>
          <w:szCs w:val="21"/>
        </w:rPr>
        <w:t xml:space="preserve">R.M. Investments &amp; Trading Co. Pvt. Ltd. v. Boeing Co.</w:t>
      </w:r>
      <w:r>
        <w:rPr>
          <w:sz w:val="19"/>
          <w:szCs w:val="19"/>
        </w:rPr>
        <w:t xml:space="preserve">, (1994) 4 SCC 541; AIR 1994 SC 1136 (SC, 10 February 1994)</w:t>
      </w:r>
    </w:p>
    <w:p>
      <w:pPr>
        <w:spacing w:after="60" w:line="258"/>
        <w:ind w:left="230"/>
        <w:jc w:val="both"/>
      </w:pPr>
      <w:r>
        <w:rPr>
          <w:b/>
          <w:bCs/>
          <w:sz w:val="20"/>
          <w:szCs w:val="20"/>
        </w:rPr>
        <w:t xml:space="preserve">Facts. </w:t>
      </w:r>
      <w:r>
        <w:rPr>
          <w:sz w:val="20"/>
          <w:szCs w:val="20"/>
        </w:rPr>
        <w:t xml:space="preserve">An Indian company agreed to give Boeing consultancy services to help sell Boeing aircraft in India. Boeing later sold two aircraft to Air India. The Indian company asked for its commission, Boeing refused, and the company sued in the Calcutta High Court. Boeing asked the court to stop the suit and send the dispute to arbitration.</w:t>
      </w:r>
    </w:p>
    <w:p>
      <w:pPr>
        <w:spacing w:after="60" w:line="258"/>
        <w:ind w:left="230"/>
        <w:jc w:val="both"/>
      </w:pPr>
      <w:r>
        <w:rPr>
          <w:b/>
          <w:bCs/>
          <w:sz w:val="20"/>
          <w:szCs w:val="20"/>
        </w:rPr>
        <w:t xml:space="preserve">Decision. </w:t>
      </w:r>
      <w:r>
        <w:rPr>
          <w:sz w:val="20"/>
          <w:szCs w:val="20"/>
        </w:rPr>
        <w:t xml:space="preserve">The relationship was commercial, so the dispute went to arbitration.</w:t>
      </w:r>
    </w:p>
    <w:p>
      <w:pPr>
        <w:spacing w:after="60" w:line="258"/>
        <w:ind w:left="230"/>
        <w:jc w:val="both"/>
      </w:pPr>
      <w:r>
        <w:rPr>
          <w:b/>
          <w:bCs/>
          <w:sz w:val="20"/>
          <w:szCs w:val="20"/>
        </w:rPr>
        <w:t xml:space="preserve">Principle. </w:t>
      </w:r>
      <w:r>
        <w:rPr>
          <w:b/>
          <w:bCs/>
          <w:sz w:val="20"/>
          <w:szCs w:val="20"/>
          <w:shd w:fill="FFF2CC" w:color="auto" w:val="clear"/>
        </w:rPr>
        <w:t xml:space="preserve">The word “commercial” must be read broadly.</w:t>
      </w:r>
      <w:r>
        <w:rPr>
          <w:sz w:val="20"/>
          <w:szCs w:val="20"/>
        </w:rPr>
        <w:t xml:space="preserve"> International trade involves many kinds of activity, and all of them count. A consultancy agreement made to help a commercial sale is itself commercial. It does not stop being commercial just because the consultant supplies services instead of goods, or works as an independent contractor.</w:t>
      </w:r>
    </w:p>
    <w:p>
      <w:pPr>
        <w:pStyle w:val="Heading2"/>
        <w:keepNext/>
        <w:spacing w:after="100" w:before="250"/>
      </w:pPr>
      <w:r>
        <w:t xml:space="preserve">How a company's nationality is decided</w:t>
      </w:r>
    </w:p>
    <w:p>
      <w:pPr>
        <w:spacing w:after="120" w:line="264"/>
        <w:jc w:val="both"/>
      </w:pPr>
      <w:r>
        <w:t xml:space="preserve">Clause (b) looks only at the place of incorporation. So </w:t>
      </w:r>
      <w:r>
        <w:rPr>
          <w:b/>
          <w:bCs/>
        </w:rPr>
        <w:t xml:space="preserve">two companies incorporated in India are both Indian parties</w:t>
      </w:r>
      <w:r>
        <w:t xml:space="preserve">, even if one of them is wholly owned or controlled from abroad. An arbitration between them is purely domestic.</w:t>
      </w:r>
    </w:p>
    <w:p>
      <w:pPr>
        <w:keepNext/>
        <w:spacing w:after="60" w:before="150"/>
      </w:pPr>
      <w:r>
        <w:rPr>
          <w:b/>
          <w:bCs/>
          <w:i/>
          <w:iCs/>
          <w:sz w:val="21"/>
          <w:szCs w:val="21"/>
        </w:rPr>
        <w:t xml:space="preserve">TDM Infrastructure P. Ltd. v. UE Development India P. Ltd.</w:t>
      </w:r>
      <w:r>
        <w:rPr>
          <w:sz w:val="19"/>
          <w:szCs w:val="19"/>
        </w:rPr>
        <w:t xml:space="preserve">, (2008) 14 SCC 271 (SC, 14 May 2008)</w:t>
      </w:r>
    </w:p>
    <w:p>
      <w:pPr>
        <w:spacing w:after="60" w:line="258"/>
        <w:ind w:left="230"/>
        <w:jc w:val="both"/>
      </w:pPr>
      <w:r>
        <w:rPr>
          <w:b/>
          <w:bCs/>
          <w:sz w:val="20"/>
          <w:szCs w:val="20"/>
        </w:rPr>
        <w:t xml:space="preserve">Facts. </w:t>
      </w:r>
      <w:r>
        <w:rPr>
          <w:sz w:val="20"/>
          <w:szCs w:val="20"/>
        </w:rPr>
        <w:t xml:space="preserve">Both companies were incorporated in India, but one was controlled from abroad. The question was whether their arbitration was an ICA.</w:t>
      </w:r>
    </w:p>
    <w:p>
      <w:pPr>
        <w:spacing w:after="60" w:line="258"/>
        <w:ind w:left="230"/>
        <w:jc w:val="both"/>
      </w:pPr>
      <w:r>
        <w:rPr>
          <w:b/>
          <w:bCs/>
          <w:sz w:val="20"/>
          <w:szCs w:val="20"/>
        </w:rPr>
        <w:t xml:space="preserve">Decision. </w:t>
      </w:r>
      <w:r>
        <w:rPr>
          <w:sz w:val="20"/>
          <w:szCs w:val="20"/>
        </w:rPr>
        <w:t xml:space="preserve">It was not an ICA.</w:t>
      </w:r>
    </w:p>
    <w:p>
      <w:pPr>
        <w:spacing w:after="60" w:line="258"/>
        <w:ind w:left="230"/>
        <w:jc w:val="both"/>
      </w:pPr>
      <w:r>
        <w:rPr>
          <w:b/>
          <w:bCs/>
          <w:sz w:val="20"/>
          <w:szCs w:val="20"/>
        </w:rPr>
        <w:t xml:space="preserve">Principle. </w:t>
      </w:r>
      <w:r>
        <w:rPr>
          <w:sz w:val="20"/>
          <w:szCs w:val="20"/>
        </w:rPr>
        <w:t xml:space="preserve">Once both companies are incorporated in India, both are treated as Indian, so their arbitration agreement is not an international one. The Law Commission of India relied on this reasoning in its 246th Report (2014) when it suggested deleting the words “a company or”.</w:t>
      </w:r>
    </w:p>
    <w:p>
      <w:pPr>
        <w:pStyle w:val="Heading2"/>
        <w:keepNext/>
        <w:spacing w:after="100" w:before="250"/>
      </w:pPr>
      <w:r>
        <w:t xml:space="preserve">Salient features of international arbitration</w:t>
      </w:r>
    </w:p>
    <w:p>
      <w:pPr>
        <w:spacing w:after="120" w:line="264"/>
        <w:jc w:val="both"/>
      </w:pPr>
      <w:r>
        <w:t xml:space="preserve">This is a standard examination question. Each feature below comes either from the </w:t>
      </w:r>
      <w:r>
        <w:rPr>
          <w:b/>
          <w:bCs/>
        </w:rPr>
        <w:t xml:space="preserve">UNCITRAL Model Law</w:t>
      </w:r>
      <w:r>
        <w:t xml:space="preserve"> — a model arbitration statute published by a United Nations body, which most countries have copied — or from a provision of the Indian Act.</w:t>
      </w:r>
    </w:p>
    <w:p>
      <w:pPr>
        <w:pStyle w:val="ListParagraph"/>
        <w:numPr>
          <w:ilvl w:val="0"/>
          <w:numId w:val="5"/>
        </w:numPr>
        <w:spacing w:after="70" w:line="264"/>
        <w:jc w:val="both"/>
      </w:pPr>
      <w:r>
        <w:rPr>
          <w:b/>
          <w:bCs/>
        </w:rPr>
        <w:t xml:space="preserve">It is private.</w:t>
      </w:r>
      <w:r>
        <w:t xml:space="preserve"> The process sits outside the national court system and is built for the needs of international business.</w:t>
      </w:r>
    </w:p>
    <w:p>
      <w:pPr>
        <w:pStyle w:val="ListParagraph"/>
        <w:numPr>
          <w:ilvl w:val="0"/>
          <w:numId w:val="5"/>
        </w:numPr>
        <w:spacing w:after="70" w:line="264"/>
        <w:jc w:val="both"/>
      </w:pPr>
      <w:r>
        <w:rPr>
          <w:b/>
          <w:bCs/>
        </w:rPr>
        <w:t xml:space="preserve">It rests on consent, and party autonomy is the foundation.</w:t>
      </w:r>
      <w:r>
        <w:t xml:space="preserve"> The parties choose the arbitrator, the procedure, the seat, the language and the governing law. Their consent is proved by the arbitration agreement. But autonomy has a limit: the parties cannot contract out of the non-derogable provisions, and the clearest example is the right to challenge the award under section 34.</w:t>
      </w:r>
    </w:p>
    <w:p>
      <w:pPr>
        <w:pStyle w:val="ListParagraph"/>
        <w:numPr>
          <w:ilvl w:val="0"/>
          <w:numId w:val="5"/>
        </w:numPr>
        <w:spacing w:after="70" w:line="264"/>
        <w:jc w:val="both"/>
      </w:pPr>
      <w:r>
        <w:rPr>
          <w:b/>
          <w:bCs/>
        </w:rPr>
        <w:t xml:space="preserve">The State supports the process.</w:t>
      </w:r>
      <w:r>
        <w:t xml:space="preserve"> It passes an enabling statute, keeps the civil courts out of matters covered by an arbitration agreement, and lets courts send pending cases to arbitration under section 89 of the Code of Civil Procedure, 1908.</w:t>
      </w:r>
    </w:p>
    <w:p>
      <w:pPr>
        <w:pStyle w:val="ListParagraph"/>
        <w:numPr>
          <w:ilvl w:val="0"/>
          <w:numId w:val="5"/>
        </w:numPr>
        <w:spacing w:after="70" w:line="264"/>
        <w:jc w:val="both"/>
      </w:pPr>
      <w:r>
        <w:rPr>
          <w:b/>
          <w:bCs/>
        </w:rPr>
        <w:t xml:space="preserve">The law is uniform across countries.</w:t>
      </w:r>
      <w:r>
        <w:t xml:space="preserve"> Most national statutes follow the Model Law, because businesses trade and invest more readily where the dispute resolution rules are predictable.</w:t>
      </w:r>
    </w:p>
    <w:p>
      <w:pPr>
        <w:pStyle w:val="ListParagraph"/>
        <w:numPr>
          <w:ilvl w:val="0"/>
          <w:numId w:val="5"/>
        </w:numPr>
        <w:spacing w:after="70" w:line="264"/>
        <w:jc w:val="both"/>
      </w:pPr>
      <w:r>
        <w:rPr>
          <w:b/>
          <w:bCs/>
        </w:rPr>
        <w:t xml:space="preserve">Courts are kept out.</w:t>
      </w:r>
      <w:r>
        <w:t xml:space="preserve"> Article 5 of the Model Law says courts must not interfere except where the law allows. India enacted this as </w:t>
      </w:r>
      <w:r>
        <w:rPr>
          <w:b/>
          <w:bCs/>
        </w:rPr>
        <w:t xml:space="preserve">section 5</w:t>
      </w:r>
      <w:r>
        <w:t xml:space="preserve">.</w:t>
      </w:r>
    </w:p>
    <w:p>
      <w:pPr>
        <w:pStyle w:val="ListParagraph"/>
        <w:numPr>
          <w:ilvl w:val="0"/>
          <w:numId w:val="5"/>
        </w:numPr>
        <w:spacing w:after="70" w:line="264"/>
        <w:jc w:val="both"/>
      </w:pPr>
      <w:r>
        <w:rPr>
          <w:b/>
          <w:bCs/>
        </w:rPr>
        <w:t xml:space="preserve">But courts also help.</w:t>
      </w:r>
      <w:r>
        <w:t xml:space="preserve"> They grant temporary protective orders (section 9), help collect evidence (section 27), and enforce the award.</w:t>
      </w:r>
    </w:p>
    <w:p>
      <w:pPr>
        <w:pStyle w:val="ListParagraph"/>
        <w:numPr>
          <w:ilvl w:val="0"/>
          <w:numId w:val="5"/>
        </w:numPr>
        <w:spacing w:after="70" w:line="264"/>
        <w:jc w:val="both"/>
      </w:pPr>
      <w:r>
        <w:rPr>
          <w:b/>
          <w:bCs/>
        </w:rPr>
        <w:t xml:space="preserve">The tribunal decides its own jurisdiction, and the arbitration clause stands on its own</w:t>
      </w:r>
      <w:r>
        <w:t xml:space="preserve"> (section 16).</w:t>
      </w:r>
    </w:p>
    <w:p>
      <w:pPr>
        <w:pStyle w:val="ListParagraph"/>
        <w:numPr>
          <w:ilvl w:val="0"/>
          <w:numId w:val="5"/>
        </w:numPr>
        <w:spacing w:after="70" w:line="264"/>
        <w:jc w:val="both"/>
      </w:pPr>
      <w:r>
        <w:rPr>
          <w:b/>
          <w:bCs/>
        </w:rPr>
        <w:t xml:space="preserve">The award gives reasons, and can hardly be challenged.</w:t>
      </w:r>
      <w:r>
        <w:t xml:space="preserve"> It must be in writing and signed, and must give reasons unless the parties agree otherwise or it records a settlement. </w:t>
      </w:r>
      <w:r>
        <w:rPr>
          <w:b/>
          <w:bCs/>
          <w:shd w:fill="FFF2CC" w:color="auto" w:val="clear"/>
        </w:rPr>
        <w:t xml:space="preserve">A losing party cannot appeal on the merits, so even a wrong award is enforceable.</w:t>
      </w:r>
    </w:p>
    <w:p>
      <w:pPr>
        <w:pStyle w:val="ListParagraph"/>
        <w:numPr>
          <w:ilvl w:val="0"/>
          <w:numId w:val="5"/>
        </w:numPr>
        <w:spacing w:after="70" w:line="264"/>
        <w:jc w:val="both"/>
      </w:pPr>
      <w:r>
        <w:rPr>
          <w:b/>
          <w:bCs/>
        </w:rPr>
        <w:t xml:space="preserve">Two presumptions run through the whole system</w:t>
      </w:r>
      <w:r>
        <w:t xml:space="preserve"> — that an arbitration agreement will be given effect, and that an award will be recognised and enforced. Going against either is treated as a breach of the international system.</w:t>
      </w:r>
    </w:p>
    <w:p>
      <w:pPr>
        <w:spacing w:after="120" w:line="264"/>
        <w:jc w:val="both"/>
      </w:pPr>
      <w:r>
        <w:t xml:space="preserve">Two features often listed as advantages need a word of caution.</w:t>
      </w:r>
    </w:p>
    <w:p>
      <w:pPr>
        <w:spacing w:after="120" w:line="264"/>
        <w:jc w:val="both"/>
      </w:pPr>
      <w:r>
        <w:rPr>
          <w:b/>
          <w:bCs/>
        </w:rPr>
        <w:t xml:space="preserve">Confidentiality.</w:t>
      </w:r>
      <w:r>
        <w:t xml:space="preserve"> Hearings are private and awards are usually not published. This is what companies value most. But it is not universal. Awards in investment treaty arbitration are normally published, and environmental disputes may carry transparency duties.</w:t>
      </w:r>
    </w:p>
    <w:p>
      <w:pPr>
        <w:spacing w:after="120" w:line="264"/>
        <w:jc w:val="both"/>
      </w:pPr>
      <w:r>
        <w:rPr>
          <w:b/>
          <w:bCs/>
        </w:rPr>
        <w:t xml:space="preserve">Limited appeals.</w:t>
      </w:r>
      <w:r>
        <w:t xml:space="preserve"> True within the Act. But the High Courts and the Supreme Court have powers given directly by the Constitution, under Articles 226, 227 and 32, and an ordinary statute cannot take those away. So an award is less final in practice than the Act suggests.</w:t>
      </w:r>
    </w:p>
    <w:p>
      <w:pPr>
        <w:pStyle w:val="Heading2"/>
        <w:keepNext/>
        <w:spacing w:after="100" w:before="250"/>
      </w:pPr>
      <w:r>
        <w:t xml:space="preserve">Which law governs what</w:t>
      </w:r>
    </w:p>
    <w:p>
      <w:pPr>
        <w:spacing w:after="120" w:line="264"/>
        <w:jc w:val="both"/>
      </w:pPr>
      <w:r>
        <w:t xml:space="preserve">One arbitration can be governed by three different laws at the same time. Confusing them is a common mistake.</w:t>
      </w:r>
    </w:p>
    <w:p>
      <w:pPr>
        <w:pStyle w:val="ListParagraph"/>
        <w:numPr>
          <w:ilvl w:val="0"/>
          <w:numId w:val="6"/>
        </w:numPr>
        <w:spacing w:after="70" w:line="264"/>
        <w:jc w:val="both"/>
      </w:pPr>
      <w:r>
        <w:rPr>
          <w:b/>
          <w:bCs/>
        </w:rPr>
        <w:t xml:space="preserve">The substantive law</w:t>
      </w:r>
      <w:r>
        <w:t xml:space="preserve"> decides who is right and who is wrong on the merits. The tribunal applies whatever law the parties chose for the substance of their dispute.</w:t>
      </w:r>
    </w:p>
    <w:p>
      <w:pPr>
        <w:pStyle w:val="ListParagraph"/>
        <w:numPr>
          <w:ilvl w:val="0"/>
          <w:numId w:val="6"/>
        </w:numPr>
        <w:spacing w:after="70" w:line="264"/>
        <w:jc w:val="both"/>
      </w:pPr>
      <w:r>
        <w:rPr>
          <w:b/>
          <w:bCs/>
        </w:rPr>
        <w:t xml:space="preserve">The law of the arbitration agreement</w:t>
      </w:r>
      <w:r>
        <w:t xml:space="preserve"> governs the arbitration clause itself. It can be different from the law of the main contract, because the clause is treated as a separate agreement.</w:t>
      </w:r>
    </w:p>
    <w:p>
      <w:pPr>
        <w:pStyle w:val="ListParagraph"/>
        <w:numPr>
          <w:ilvl w:val="0"/>
          <w:numId w:val="6"/>
        </w:numPr>
        <w:spacing w:after="70" w:line="264"/>
        <w:jc w:val="both"/>
      </w:pPr>
      <w:r>
        <w:rPr>
          <w:b/>
          <w:bCs/>
        </w:rPr>
        <w:t xml:space="preserve">The procedural law</w:t>
      </w:r>
      <w:r>
        <w:t xml:space="preserve"> (</w:t>
      </w:r>
      <w:r>
        <w:rPr>
          <w:i/>
          <w:iCs/>
        </w:rPr>
        <w:t xml:space="preserve">lex arbitri</w:t>
      </w:r>
      <w:r>
        <w:t xml:space="preserve">) governs how the arbitration is actually run, and its relationship with the courts. It follows the seat.</w:t>
      </w:r>
    </w:p>
    <w:p>
      <w:pPr>
        <w:spacing w:after="120" w:line="264"/>
        <w:jc w:val="both"/>
      </w:pPr>
      <w:r>
        <w:t xml:space="preserve">The parties may also allow the tribunal to decide </w:t>
      </w:r>
      <w:r>
        <w:rPr>
          <w:b/>
          <w:bCs/>
        </w:rPr>
        <w:t xml:space="preserve">according to what is fair rather than by strict law</w:t>
      </w:r>
      <w:r>
        <w:t xml:space="preserve">. This is called deciding </w:t>
      </w:r>
      <w:r>
        <w:rPr>
          <w:i/>
          <w:iCs/>
        </w:rPr>
        <w:t xml:space="preserve">ex aequo et bono</w:t>
      </w:r>
      <w:r>
        <w:t xml:space="preserve">, or acting as </w:t>
      </w:r>
      <w:r>
        <w:rPr>
          <w:i/>
          <w:iCs/>
        </w:rPr>
        <w:t xml:space="preserve">amiable compositeur</w:t>
      </w:r>
      <w:r>
        <w:t xml:space="preserve">. The tribunal cannot assume this power. The parties must give it.</w:t>
      </w:r>
    </w:p>
    <w:p>
      <w:pPr>
        <w:pStyle w:val="Heading3"/>
        <w:keepNext/>
        <w:spacing w:after="80" w:before="180"/>
      </w:pPr>
      <w:r>
        <w:t xml:space="preserve">Seat and venue</w:t>
      </w:r>
    </w:p>
    <w:p>
      <w:pPr>
        <w:spacing w:after="120" w:line="264"/>
        <w:jc w:val="both"/>
      </w:pPr>
      <w:r>
        <w:t xml:space="preserve">Section 20 uses the word “place”, but Indian practice reads it as the </w:t>
      </w:r>
      <w:r>
        <w:rPr>
          <w:b/>
          <w:bCs/>
        </w:rPr>
        <w:t xml:space="preserve">seat</w:t>
      </w:r>
      <w:r>
        <w:t xml:space="preserve">. This is the single most important idea in international arbitration, and it is worth being clear about.</w:t>
      </w:r>
    </w:p>
    <w:p>
      <w:pPr>
        <w:spacing w:after="120" w:line="264"/>
        <w:jc w:val="both"/>
      </w:pPr>
      <w:r>
        <w:rPr>
          <w:b/>
          <w:bCs/>
          <w:shd w:fill="FFF2CC" w:color="auto" w:val="clear"/>
        </w:rPr>
        <w:t xml:space="preserve">The seat decides which law governs the conduct of the arbitration, and which country's courts supervise it — including the court that can set the award aside.</w:t>
      </w:r>
      <w:r>
        <w:t xml:space="preserve"> The </w:t>
      </w:r>
      <w:r>
        <w:rPr>
          <w:b/>
          <w:bCs/>
        </w:rPr>
        <w:t xml:space="preserve">venue</w:t>
      </w:r>
      <w:r>
        <w:t xml:space="preserve"> is only the physical place where hearings are held. Section 20(3) lets the tribunal sit anywhere convenient without changing the seat.</w:t>
      </w:r>
    </w:p>
    <w:p>
      <w:pPr>
        <w:spacing w:after="120" w:line="264"/>
        <w:jc w:val="both"/>
      </w:pPr>
      <w:r>
        <w:rPr>
          <w:b/>
          <w:bCs/>
        </w:rPr>
        <w:t xml:space="preserve">Example.</w:t>
      </w:r>
      <w:r>
        <w:t xml:space="preserve"> A tribunal seated in India may hold hearings in Singapore because the witnesses live there. The arbitration is still governed by Indian law and supervised by Indian courts, because the seat has not moved.</w:t>
      </w:r>
    </w:p>
    <w:p>
      <w:pPr>
        <w:pStyle w:val="Heading2"/>
        <w:keepNext/>
        <w:spacing w:after="100" w:before="250"/>
      </w:pPr>
      <w:r>
        <w:t xml:space="preserve">Does Part I apply to arbitrations held abroad?</w:t>
      </w:r>
    </w:p>
    <w:p>
      <w:pPr>
        <w:spacing w:after="120" w:line="264"/>
        <w:jc w:val="both"/>
      </w:pPr>
      <w:r>
        <w:t xml:space="preserve">This was the biggest controversy in Indian arbitration law. To follow it, you need to see the problem in the drafting.</w:t>
      </w:r>
    </w:p>
    <w:p>
      <w:pPr>
        <w:spacing w:after="120" w:line="264"/>
        <w:jc w:val="both"/>
      </w:pPr>
      <w:r>
        <w:t xml:space="preserve">Part I contains the useful machinery: section 9 for temporary orders, section 34 for setting an award aside. Part II deals with foreign awards, and it has </w:t>
      </w:r>
      <w:r>
        <w:rPr>
          <w:b/>
          <w:bCs/>
        </w:rPr>
        <w:t xml:space="preserve">no</w:t>
      </w:r>
      <w:r>
        <w:t xml:space="preserve"> provision for setting an award aside. Instead it has </w:t>
      </w:r>
      <w:r>
        <w:rPr>
          <w:b/>
          <w:bCs/>
        </w:rPr>
        <w:t xml:space="preserve">section 48</w:t>
      </w:r>
      <w:r>
        <w:t xml:space="preserve">, which lists the narrow grounds on which an Indian court may refuse to enforce a foreign award.</w:t>
      </w:r>
    </w:p>
    <w:p>
      <w:pPr>
        <w:spacing w:after="120" w:line="264"/>
        <w:jc w:val="both"/>
      </w:pPr>
      <w:r>
        <w:rPr>
          <w:b/>
          <w:bCs/>
        </w:rPr>
        <w:t xml:space="preserve">Section 2(2)</w:t>
      </w:r>
      <w:r>
        <w:t xml:space="preserve"> says Part I “shall apply where the place of arbitration is India”. </w:t>
      </w:r>
      <w:r>
        <w:rPr>
          <w:b/>
          <w:bCs/>
        </w:rPr>
        <w:t xml:space="preserve">Section 2(7)</w:t>
      </w:r>
      <w:r>
        <w:t xml:space="preserve"> says an award made under Part I is a domestic award. The argument was purely about wording: section 2(2) does not say Part I applies </w:t>
      </w:r>
      <w:r>
        <w:rPr>
          <w:b/>
          <w:bCs/>
        </w:rPr>
        <w:t xml:space="preserve">only</w:t>
      </w:r>
      <w:r>
        <w:t xml:space="preserve"> where the seat is India. From that missing word, a large body of law grew.</w:t>
      </w:r>
    </w:p>
    <w:p>
      <w:pPr>
        <w:keepNext/>
        <w:spacing w:after="60" w:before="150"/>
      </w:pPr>
      <w:r>
        <w:rPr>
          <w:b/>
          <w:bCs/>
          <w:i/>
          <w:iCs/>
          <w:sz w:val="21"/>
          <w:szCs w:val="21"/>
        </w:rPr>
        <w:t xml:space="preserve">Bhatia International v. Bulk Trading S.A.</w:t>
      </w:r>
      <w:r>
        <w:rPr>
          <w:sz w:val="19"/>
          <w:szCs w:val="19"/>
        </w:rPr>
        <w:t xml:space="preserve">, (2002) 4 SCC 105 (SC, 3 Judges)</w:t>
      </w:r>
    </w:p>
    <w:p>
      <w:pPr>
        <w:spacing w:after="60" w:line="258"/>
        <w:ind w:left="230"/>
        <w:jc w:val="both"/>
      </w:pPr>
      <w:r>
        <w:rPr>
          <w:b/>
          <w:bCs/>
          <w:sz w:val="20"/>
          <w:szCs w:val="20"/>
        </w:rPr>
        <w:t xml:space="preserve">Facts. </w:t>
      </w:r>
      <w:r>
        <w:rPr>
          <w:sz w:val="20"/>
          <w:szCs w:val="20"/>
        </w:rPr>
        <w:t xml:space="preserve">The parties had agreed to arbitration before the International Chamber of Commerce in Paris. One party nevertheless went to the District Court at Indore under section 9, asking for an order stopping the other from selling its property.</w:t>
      </w:r>
    </w:p>
    <w:p>
      <w:pPr>
        <w:spacing w:after="60" w:line="258"/>
        <w:ind w:left="230"/>
        <w:jc w:val="both"/>
      </w:pPr>
      <w:r>
        <w:rPr>
          <w:b/>
          <w:bCs/>
          <w:sz w:val="20"/>
          <w:szCs w:val="20"/>
        </w:rPr>
        <w:t xml:space="preserve">Decision. </w:t>
      </w:r>
      <w:r>
        <w:rPr>
          <w:sz w:val="20"/>
          <w:szCs w:val="20"/>
        </w:rPr>
        <w:t xml:space="preserve">Section 9 was available even though the arbitration was seated in Paris.</w:t>
      </w:r>
    </w:p>
    <w:p>
      <w:pPr>
        <w:spacing w:after="60" w:line="258"/>
        <w:ind w:left="230"/>
        <w:jc w:val="both"/>
      </w:pPr>
      <w:r>
        <w:rPr>
          <w:b/>
          <w:bCs/>
          <w:sz w:val="20"/>
          <w:szCs w:val="20"/>
        </w:rPr>
        <w:t xml:space="preserve">Principle. </w:t>
      </w:r>
      <w:r>
        <w:rPr>
          <w:sz w:val="20"/>
          <w:szCs w:val="20"/>
        </w:rPr>
        <w:t xml:space="preserve">Part I applies to all arbitrations. Where the seat is India it applies compulsorily. Where the seat is abroad it still applies, unless the parties have excluded it, expressly or by implication.</w:t>
      </w:r>
    </w:p>
    <w:p>
      <w:pPr>
        <w:spacing w:after="60" w:line="258"/>
        <w:ind w:left="230"/>
        <w:jc w:val="both"/>
      </w:pPr>
      <w:r>
        <w:rPr>
          <w:b/>
          <w:bCs/>
          <w:sz w:val="20"/>
          <w:szCs w:val="20"/>
        </w:rPr>
        <w:t xml:space="preserve">Status. </w:t>
      </w:r>
      <w:r>
        <w:rPr>
          <w:b/>
          <w:bCs/>
          <w:sz w:val="20"/>
          <w:szCs w:val="20"/>
        </w:rPr>
        <w:t xml:space="preserve">Overruled by BALCO</w:t>
      </w:r>
      <w:r>
        <w:rPr>
          <w:sz w:val="20"/>
          <w:szCs w:val="20"/>
        </w:rPr>
        <w:t xml:space="preserve">, but only for the future.</w:t>
      </w:r>
    </w:p>
    <w:p>
      <w:pPr>
        <w:keepNext/>
        <w:spacing w:after="60" w:before="150"/>
      </w:pPr>
      <w:r>
        <w:rPr>
          <w:b/>
          <w:bCs/>
          <w:i/>
          <w:iCs/>
          <w:sz w:val="21"/>
          <w:szCs w:val="21"/>
        </w:rPr>
        <w:t xml:space="preserve">Venture Global Engineering v. Satyam Computer Services Ltd.</w:t>
      </w:r>
      <w:r>
        <w:rPr>
          <w:sz w:val="19"/>
          <w:szCs w:val="19"/>
        </w:rPr>
        <w:t xml:space="preserve">, (2008) 4 SCC 190 (SC)</w:t>
      </w:r>
    </w:p>
    <w:p>
      <w:pPr>
        <w:spacing w:after="60" w:line="258"/>
        <w:ind w:left="230"/>
        <w:jc w:val="both"/>
      </w:pPr>
      <w:r>
        <w:rPr>
          <w:b/>
          <w:bCs/>
          <w:sz w:val="20"/>
          <w:szCs w:val="20"/>
        </w:rPr>
        <w:t xml:space="preserve">Facts. </w:t>
      </w:r>
      <w:r>
        <w:rPr>
          <w:sz w:val="20"/>
          <w:szCs w:val="20"/>
        </w:rPr>
        <w:t xml:space="preserve">The losing party in a foreign-seated arbitration asked an Indian court to set the award aside under section 34, relying on </w:t>
      </w:r>
      <w:r>
        <w:rPr>
          <w:b/>
          <w:bCs/>
          <w:i/>
          <w:iCs/>
          <w:sz w:val="20"/>
          <w:szCs w:val="20"/>
        </w:rPr>
        <w:t xml:space="preserve">Bhatia International</w:t>
      </w:r>
      <w:r>
        <w:rPr>
          <w:sz w:val="20"/>
          <w:szCs w:val="20"/>
        </w:rPr>
        <w:t xml:space="preserve">.</w:t>
      </w:r>
    </w:p>
    <w:p>
      <w:pPr>
        <w:spacing w:after="60" w:line="258"/>
        <w:ind w:left="230"/>
        <w:jc w:val="both"/>
      </w:pPr>
      <w:r>
        <w:rPr>
          <w:b/>
          <w:bCs/>
          <w:sz w:val="20"/>
          <w:szCs w:val="20"/>
        </w:rPr>
        <w:t xml:space="preserve">Decision. </w:t>
      </w:r>
      <w:r>
        <w:rPr>
          <w:sz w:val="20"/>
          <w:szCs w:val="20"/>
        </w:rPr>
        <w:t xml:space="preserve">Section 34 was held available even against a foreign award.</w:t>
      </w:r>
    </w:p>
    <w:p>
      <w:pPr>
        <w:spacing w:after="60" w:line="258"/>
        <w:ind w:left="230"/>
        <w:jc w:val="both"/>
      </w:pPr>
      <w:r>
        <w:rPr>
          <w:b/>
          <w:bCs/>
          <w:sz w:val="20"/>
          <w:szCs w:val="20"/>
        </w:rPr>
        <w:t xml:space="preserve">Principle. </w:t>
      </w:r>
      <w:r>
        <w:rPr>
          <w:sz w:val="20"/>
          <w:szCs w:val="20"/>
        </w:rPr>
        <w:t xml:space="preserve">This was the logical end of </w:t>
      </w:r>
      <w:r>
        <w:rPr>
          <w:b/>
          <w:bCs/>
          <w:i/>
          <w:iCs/>
          <w:sz w:val="20"/>
          <w:szCs w:val="20"/>
        </w:rPr>
        <w:t xml:space="preserve">Bhatia International</w:t>
      </w:r>
      <w:r>
        <w:rPr>
          <w:sz w:val="20"/>
          <w:szCs w:val="20"/>
        </w:rPr>
        <w:t xml:space="preserve">: if Part I applies, section 34 comes with it. </w:t>
      </w:r>
      <w:r>
        <w:rPr>
          <w:b/>
          <w:bCs/>
          <w:sz w:val="20"/>
          <w:szCs w:val="20"/>
        </w:rPr>
        <w:t xml:space="preserve">But it clashed with the New York Convention</w:t>
      </w:r>
      <w:r>
        <w:rPr>
          <w:sz w:val="20"/>
          <w:szCs w:val="20"/>
        </w:rPr>
        <w:t xml:space="preserve">, the 1958 treaty under which countries agree to enforce each other's arbitral awards. Under that treaty a country may </w:t>
      </w:r>
      <w:r>
        <w:rPr>
          <w:b/>
          <w:bCs/>
          <w:sz w:val="20"/>
          <w:szCs w:val="20"/>
        </w:rPr>
        <w:t xml:space="preserve">refuse to enforce</w:t>
      </w:r>
      <w:r>
        <w:rPr>
          <w:sz w:val="20"/>
          <w:szCs w:val="20"/>
        </w:rPr>
        <w:t xml:space="preserve"> a foreign award, but only the courts of the seat may </w:t>
      </w:r>
      <w:r>
        <w:rPr>
          <w:b/>
          <w:bCs/>
          <w:sz w:val="20"/>
          <w:szCs w:val="20"/>
        </w:rPr>
        <w:t xml:space="preserve">set it aside</w:t>
      </w:r>
      <w:r>
        <w:rPr>
          <w:sz w:val="20"/>
          <w:szCs w:val="20"/>
        </w:rPr>
        <w:t xml:space="preserve">. The difference is large. Refusing to enforce affects that one country. </w:t>
      </w:r>
      <w:r>
        <w:rPr>
          <w:b/>
          <w:bCs/>
          <w:sz w:val="20"/>
          <w:szCs w:val="20"/>
          <w:shd w:fill="FFF2CC" w:color="auto" w:val="clear"/>
        </w:rPr>
        <w:t xml:space="preserve">Setting an award aside destroys it everywhere.</w:t>
      </w:r>
    </w:p>
    <w:p>
      <w:pPr>
        <w:spacing w:after="60" w:line="258"/>
        <w:ind w:left="230"/>
        <w:jc w:val="both"/>
      </w:pPr>
      <w:r>
        <w:rPr>
          <w:b/>
          <w:bCs/>
          <w:sz w:val="20"/>
          <w:szCs w:val="20"/>
        </w:rPr>
        <w:t xml:space="preserve">Status. </w:t>
      </w:r>
      <w:r>
        <w:rPr>
          <w:b/>
          <w:bCs/>
          <w:sz w:val="20"/>
          <w:szCs w:val="20"/>
        </w:rPr>
        <w:t xml:space="preserve">Overruled by BALCO</w:t>
      </w:r>
      <w:r>
        <w:rPr>
          <w:sz w:val="20"/>
          <w:szCs w:val="20"/>
        </w:rPr>
        <w:t xml:space="preserve">, but only for the future.</w:t>
      </w:r>
    </w:p>
    <w:p>
      <w:pPr>
        <w:keepNext/>
        <w:spacing w:after="60" w:before="150"/>
      </w:pPr>
      <w:r>
        <w:rPr>
          <w:b/>
          <w:bCs/>
          <w:i/>
          <w:iCs/>
          <w:sz w:val="21"/>
          <w:szCs w:val="21"/>
        </w:rPr>
        <w:t xml:space="preserve">Bharat Aluminium Co. v. Kaiser Aluminium Technical Services Inc. (BALCO)</w:t>
      </w:r>
      <w:r>
        <w:rPr>
          <w:sz w:val="19"/>
          <w:szCs w:val="19"/>
        </w:rPr>
        <w:t xml:space="preserve">, (2012) 9 SCC 552 (SC, Constitution Bench of 5, judgment dated 6 September 2012)</w:t>
      </w:r>
    </w:p>
    <w:p>
      <w:pPr>
        <w:spacing w:after="60" w:line="258"/>
        <w:ind w:left="230"/>
        <w:jc w:val="both"/>
      </w:pPr>
      <w:r>
        <w:rPr>
          <w:b/>
          <w:bCs/>
          <w:sz w:val="20"/>
          <w:szCs w:val="20"/>
        </w:rPr>
        <w:t xml:space="preserve">Facts. </w:t>
      </w:r>
      <w:r>
        <w:rPr>
          <w:sz w:val="20"/>
          <w:szCs w:val="20"/>
        </w:rPr>
        <w:t xml:space="preserve">A five-judge Bench was set up to clear up the confusion the two earlier decisions had created.</w:t>
      </w:r>
    </w:p>
    <w:p>
      <w:pPr>
        <w:spacing w:after="60" w:line="258"/>
        <w:ind w:left="230"/>
        <w:jc w:val="both"/>
      </w:pPr>
      <w:r>
        <w:rPr>
          <w:b/>
          <w:bCs/>
          <w:sz w:val="20"/>
          <w:szCs w:val="20"/>
        </w:rPr>
        <w:t xml:space="preserve">Decision. </w:t>
      </w:r>
      <w:r>
        <w:rPr>
          <w:b/>
          <w:bCs/>
          <w:sz w:val="20"/>
          <w:szCs w:val="20"/>
          <w:shd w:fill="FFF2CC" w:color="auto" w:val="clear"/>
        </w:rPr>
        <w:t xml:space="preserve">Part I applies only to arbitrations seated in India.</w:t>
      </w:r>
      <w:r>
        <w:rPr>
          <w:sz w:val="20"/>
          <w:szCs w:val="20"/>
        </w:rPr>
        <w:t xml:space="preserve"> Both earlier decisions were held wrong.</w:t>
      </w:r>
    </w:p>
    <w:p>
      <w:pPr>
        <w:spacing w:after="60" w:line="258"/>
        <w:ind w:left="230"/>
        <w:jc w:val="both"/>
      </w:pPr>
      <w:r>
        <w:rPr>
          <w:b/>
          <w:bCs/>
          <w:sz w:val="20"/>
          <w:szCs w:val="20"/>
        </w:rPr>
        <w:t xml:space="preserve">Principle. </w:t>
      </w:r>
      <w:r>
        <w:rPr>
          <w:sz w:val="20"/>
          <w:szCs w:val="20"/>
        </w:rPr>
        <w:t xml:space="preserve">The Court chose a </w:t>
      </w:r>
      <w:r>
        <w:rPr>
          <w:b/>
          <w:bCs/>
          <w:sz w:val="20"/>
          <w:szCs w:val="20"/>
        </w:rPr>
        <w:t xml:space="preserve">seat-centred</w:t>
      </w:r>
      <w:r>
        <w:rPr>
          <w:sz w:val="20"/>
          <w:szCs w:val="20"/>
        </w:rPr>
        <w:t xml:space="preserve"> approach. The seat, and not the subject matter, decides which law governs the arbitration and which courts supervise it. Two results followed for arbitrations seated abroad: an Indian court could not set the award aside under section 34, and (as the law then stood) could not give temporary orders either.</w:t>
      </w:r>
    </w:p>
    <w:p>
      <w:pPr>
        <w:spacing w:after="60" w:line="258"/>
        <w:ind w:left="230"/>
        <w:jc w:val="both"/>
      </w:pPr>
      <w:r>
        <w:rPr>
          <w:b/>
          <w:bCs/>
          <w:sz w:val="20"/>
          <w:szCs w:val="20"/>
        </w:rPr>
        <w:t xml:space="preserve">Status. </w:t>
      </w:r>
      <w:r>
        <w:rPr>
          <w:sz w:val="20"/>
          <w:szCs w:val="20"/>
        </w:rPr>
        <w:t xml:space="preserve">Good law, but remember two things. </w:t>
      </w:r>
      <w:r>
        <w:rPr>
          <w:b/>
          <w:bCs/>
          <w:sz w:val="20"/>
          <w:szCs w:val="20"/>
          <w:shd w:fill="FFF2CC" w:color="auto" w:val="clear"/>
        </w:rPr>
        <w:t xml:space="preserve">The ruling applies only to arbitration agreements signed on or after 6 September 2012.</w:t>
      </w:r>
      <w:r>
        <w:rPr>
          <w:sz w:val="20"/>
          <w:szCs w:val="20"/>
        </w:rPr>
        <w:t xml:space="preserve"> Agreements signed before that date are still governed by </w:t>
      </w:r>
      <w:r>
        <w:rPr>
          <w:b/>
          <w:bCs/>
          <w:i/>
          <w:iCs/>
          <w:sz w:val="20"/>
          <w:szCs w:val="20"/>
        </w:rPr>
        <w:t xml:space="preserve">Bhatia International</w:t>
      </w:r>
      <w:r>
        <w:rPr>
          <w:sz w:val="20"/>
          <w:szCs w:val="20"/>
        </w:rPr>
        <w:t xml:space="preserve">. And the second result has since been reversed by Parliament.</w:t>
      </w:r>
    </w:p>
    <w:p>
      <w:pPr>
        <w:pStyle w:val="Heading3"/>
        <w:keepNext/>
        <w:spacing w:after="80" w:before="180"/>
      </w:pPr>
      <w:r>
        <w:t xml:space="preserve">The position today</w:t>
      </w:r>
    </w:p>
    <w:p>
      <w:pPr>
        <w:spacing w:after="120" w:line="264"/>
        <w:jc w:val="both"/>
      </w:pPr>
      <w:r>
        <w:t xml:space="preserve">Part I applies to arbitrations seated in India. For an ICA seated abroad, Part I does not apply as a whole. But a </w:t>
      </w:r>
      <w:r>
        <w:rPr>
          <w:b/>
          <w:bCs/>
        </w:rPr>
        <w:t xml:space="preserve">proviso was added to section 2(2)</w:t>
      </w:r>
      <w:r>
        <w:t xml:space="preserve"> in 2015, which applies </w:t>
      </w:r>
      <w:r>
        <w:rPr>
          <w:b/>
          <w:bCs/>
          <w:shd w:fill="FFF2CC" w:color="auto" w:val="clear"/>
        </w:rPr>
        <w:t xml:space="preserve">sections 9, 27 and 37(1)(a) and (3)</w:t>
      </w:r>
      <w:r>
        <w:t xml:space="preserve"> to such arbitrations unless the parties agree otherwise.</w:t>
      </w:r>
    </w:p>
    <w:p>
      <w:pPr>
        <w:spacing w:after="120" w:line="264"/>
        <w:jc w:val="both"/>
      </w:pPr>
      <w:r>
        <w:t xml:space="preserve">In plain terms: </w:t>
      </w:r>
      <w:r>
        <w:rPr>
          <w:b/>
          <w:bCs/>
        </w:rPr>
        <w:t xml:space="preserve">an Indian court can still give temporary orders and help collect evidence in support of an arbitration held abroad, but it cannot set the award aside.</w:t>
      </w:r>
      <w:r>
        <w:t xml:space="preserve"> That stays with the courts of the seat.</w:t>
      </w:r>
    </w:p>
    <w:p>
      <w:pPr>
        <w:spacing w:after="120" w:line="264"/>
        <w:jc w:val="both"/>
      </w:pPr>
      <w:r>
        <w:rPr>
          <w:b/>
          <w:bCs/>
        </w:rPr>
        <w:t xml:space="preserve">Examination point.</w:t>
      </w:r>
      <w:r>
        <w:t xml:space="preserve"> ICA therefore splits into two groups — seated in India, and seated abroad.</w:t>
      </w:r>
    </w:p>
    <w:p>
      <w:pPr>
        <w:pStyle w:val="Heading2"/>
        <w:keepNext/>
        <w:spacing w:after="100" w:before="250"/>
      </w:pPr>
      <w:r>
        <w:t xml:space="preserve">When courts interfere too much, or too slowly</w:t>
      </w:r>
    </w:p>
    <w:p>
      <w:pPr>
        <w:spacing w:after="120" w:line="264"/>
        <w:jc w:val="both"/>
      </w:pPr>
      <w:r>
        <w:t xml:space="preserve">So far we have looked at this from inside Indian law. The two awards below show the same problem from outside. A country can be held responsible under international law if its courts obstruct an arbitration, or simply take too long.</w:t>
      </w:r>
    </w:p>
    <w:p>
      <w:pPr>
        <w:spacing w:after="120" w:line="264"/>
        <w:jc w:val="both"/>
      </w:pPr>
      <w:r>
        <w:t xml:space="preserve">Both cases arose under a </w:t>
      </w:r>
      <w:r>
        <w:rPr>
          <w:b/>
          <w:bCs/>
        </w:rPr>
        <w:t xml:space="preserve">bilateral investment treaty (BIT)</w:t>
      </w:r>
      <w:r>
        <w:t xml:space="preserve"> — a treaty between two countries promising fair treatment to each other's investors. An investor who is badly treated can sue the country directly before an arbitral tribunal.</w:t>
      </w:r>
    </w:p>
    <w:p>
      <w:pPr>
        <w:keepNext/>
        <w:spacing w:after="60" w:before="150"/>
      </w:pPr>
      <w:r>
        <w:rPr>
          <w:b/>
          <w:bCs/>
          <w:i/>
          <w:iCs/>
          <w:sz w:val="21"/>
          <w:szCs w:val="21"/>
        </w:rPr>
        <w:t xml:space="preserve">Saipem S.p.A. v. People's Republic of Bangladesh</w:t>
      </w:r>
      <w:r>
        <w:rPr>
          <w:sz w:val="19"/>
          <w:szCs w:val="19"/>
        </w:rPr>
        <w:t xml:space="preserve">, ICSID Case No. ARB/05/7; Award 30 June 2009</w:t>
      </w:r>
    </w:p>
    <w:p>
      <w:pPr>
        <w:spacing w:after="60" w:line="258"/>
        <w:ind w:left="230"/>
        <w:jc w:val="both"/>
      </w:pPr>
      <w:r>
        <w:rPr>
          <w:b/>
          <w:bCs/>
          <w:sz w:val="20"/>
          <w:szCs w:val="20"/>
        </w:rPr>
        <w:t xml:space="preserve">Facts. </w:t>
      </w:r>
      <w:r>
        <w:rPr>
          <w:sz w:val="20"/>
          <w:szCs w:val="20"/>
        </w:rPr>
        <w:t xml:space="preserve">An Italian contractor had an arbitration clause with a Bangladeshi State company. When the arbitration began, the Bangladeshi courts cancelled the tribunal's authority and ordered it to stop. The tribunal ignored those orders and made an award in Saipem's favour. The Bangladeshi courts then treated the award as a nullity, so it could not be enforced anywhere.</w:t>
      </w:r>
    </w:p>
    <w:p>
      <w:pPr>
        <w:spacing w:after="60" w:line="258"/>
        <w:ind w:left="230"/>
        <w:jc w:val="both"/>
      </w:pPr>
      <w:r>
        <w:rPr>
          <w:b/>
          <w:bCs/>
          <w:sz w:val="20"/>
          <w:szCs w:val="20"/>
        </w:rPr>
        <w:t xml:space="preserve">Decision. </w:t>
      </w:r>
      <w:r>
        <w:rPr>
          <w:sz w:val="20"/>
          <w:szCs w:val="20"/>
        </w:rPr>
        <w:t xml:space="preserve">Bangladesh had </w:t>
      </w:r>
      <w:r>
        <w:rPr>
          <w:b/>
          <w:bCs/>
          <w:sz w:val="20"/>
          <w:szCs w:val="20"/>
        </w:rPr>
        <w:t xml:space="preserve">expropriated</w:t>
      </w:r>
      <w:r>
        <w:rPr>
          <w:sz w:val="20"/>
          <w:szCs w:val="20"/>
        </w:rPr>
        <w:t xml:space="preserve"> Saipem's rights, that is, taken away something of value belonging to it. Bangladesh had to pay the amount of the award with interest.</w:t>
      </w:r>
    </w:p>
    <w:p>
      <w:pPr>
        <w:spacing w:after="60" w:line="258"/>
        <w:ind w:left="230"/>
        <w:jc w:val="both"/>
      </w:pPr>
      <w:r>
        <w:rPr>
          <w:b/>
          <w:bCs/>
          <w:sz w:val="20"/>
          <w:szCs w:val="20"/>
        </w:rPr>
        <w:t xml:space="preserve">Principle. </w:t>
      </w:r>
      <w:r>
        <w:rPr>
          <w:sz w:val="20"/>
          <w:szCs w:val="20"/>
        </w:rPr>
        <w:t xml:space="preserve">The rights contained in an arbitral award are a kind of property, even though you cannot touch them, and property can be taken away. Where a country's courts strip an award-holder of the benefit of the award without good reason, the country breaks its treaty promises. </w:t>
      </w:r>
      <w:r>
        <w:rPr>
          <w:b/>
          <w:bCs/>
          <w:sz w:val="20"/>
          <w:szCs w:val="20"/>
          <w:shd w:fill="FFF2CC" w:color="auto" w:val="clear"/>
        </w:rPr>
        <w:t xml:space="preserve">Excessive court interference is not just irregular. It can be a wrong under international law.</w:t>
      </w:r>
    </w:p>
    <w:p>
      <w:pPr>
        <w:spacing w:after="60" w:line="258"/>
        <w:ind w:left="230"/>
        <w:jc w:val="both"/>
      </w:pPr>
      <w:r>
        <w:rPr>
          <w:b/>
          <w:bCs/>
          <w:sz w:val="20"/>
          <w:szCs w:val="20"/>
        </w:rPr>
        <w:t xml:space="preserve">Status. </w:t>
      </w:r>
      <w:r>
        <w:rPr>
          <w:sz w:val="20"/>
          <w:szCs w:val="20"/>
        </w:rPr>
        <w:t xml:space="preserve">An arbitral award, so it persuades but does not bind Indian courts.</w:t>
      </w:r>
    </w:p>
    <w:p>
      <w:pPr>
        <w:keepNext/>
        <w:spacing w:after="60" w:before="150"/>
      </w:pPr>
      <w:r>
        <w:rPr>
          <w:b/>
          <w:bCs/>
          <w:i/>
          <w:iCs/>
          <w:sz w:val="21"/>
          <w:szCs w:val="21"/>
        </w:rPr>
        <w:t xml:space="preserve">White Industries Australia Ltd. v. Republic of India</w:t>
      </w:r>
      <w:r>
        <w:rPr>
          <w:sz w:val="19"/>
          <w:szCs w:val="19"/>
        </w:rPr>
        <w:t xml:space="preserve">, UNCITRAL arbitration under the Australia–India BIT; Final Award 30 November 2011</w:t>
      </w:r>
    </w:p>
    <w:p>
      <w:pPr>
        <w:spacing w:after="60" w:line="258"/>
        <w:ind w:left="230"/>
        <w:jc w:val="both"/>
      </w:pPr>
      <w:r>
        <w:rPr>
          <w:b/>
          <w:bCs/>
          <w:sz w:val="20"/>
          <w:szCs w:val="20"/>
        </w:rPr>
        <w:t xml:space="preserve">Facts. </w:t>
      </w:r>
      <w:r>
        <w:rPr>
          <w:sz w:val="20"/>
          <w:szCs w:val="20"/>
        </w:rPr>
        <w:t xml:space="preserve">White Industries won an arbitration award against Coal India in 2002, made in Paris. Coal India asked the Indian courts to set it aside, and White Industries asked them to enforce it. Those proceedings then dragged on in the Indian courts for about nine years without any decision. White Industries finally sued India under the treaty.</w:t>
      </w:r>
    </w:p>
    <w:p>
      <w:pPr>
        <w:spacing w:after="60" w:line="258"/>
        <w:ind w:left="230"/>
        <w:jc w:val="both"/>
      </w:pPr>
      <w:r>
        <w:rPr>
          <w:b/>
          <w:bCs/>
          <w:sz w:val="20"/>
          <w:szCs w:val="20"/>
        </w:rPr>
        <w:t xml:space="preserve">Decision. </w:t>
      </w:r>
      <w:r>
        <w:rPr>
          <w:sz w:val="20"/>
          <w:szCs w:val="20"/>
        </w:rPr>
        <w:t xml:space="preserve">India had broken its promise to give investors </w:t>
      </w:r>
      <w:r>
        <w:rPr>
          <w:b/>
          <w:bCs/>
          <w:sz w:val="20"/>
          <w:szCs w:val="20"/>
        </w:rPr>
        <w:t xml:space="preserve">effective means of pursuing claims and enforcing rights</w:t>
      </w:r>
      <w:r>
        <w:rPr>
          <w:sz w:val="20"/>
          <w:szCs w:val="20"/>
        </w:rPr>
        <w:t xml:space="preserve">. The claims of expropriation and unfair treatment failed.</w:t>
      </w:r>
    </w:p>
    <w:p>
      <w:pPr>
        <w:spacing w:after="60" w:line="258"/>
        <w:ind w:left="230"/>
        <w:jc w:val="both"/>
      </w:pPr>
      <w:r>
        <w:rPr>
          <w:b/>
          <w:bCs/>
          <w:sz w:val="20"/>
          <w:szCs w:val="20"/>
        </w:rPr>
        <w:t xml:space="preserve">Principle. </w:t>
      </w:r>
      <w:r>
        <w:rPr>
          <w:sz w:val="20"/>
          <w:szCs w:val="20"/>
        </w:rPr>
        <w:t xml:space="preserve">The “effective means” promise was not in the Australia–India treaty at all. It was borrowed from the India–Kuwait treaty through a </w:t>
      </w:r>
      <w:r>
        <w:rPr>
          <w:b/>
          <w:bCs/>
          <w:sz w:val="20"/>
          <w:szCs w:val="20"/>
        </w:rPr>
        <w:t xml:space="preserve">most-favoured-nation clause</w:t>
      </w:r>
      <w:r>
        <w:rPr>
          <w:sz w:val="20"/>
          <w:szCs w:val="20"/>
        </w:rPr>
        <w:t xml:space="preserve"> — a treaty term promising to treat one country's investors at least as well as any other country's. </w:t>
      </w:r>
      <w:r>
        <w:rPr>
          <w:b/>
          <w:bCs/>
          <w:sz w:val="20"/>
          <w:szCs w:val="20"/>
          <w:shd w:fill="FFF2CC" w:color="auto" w:val="clear"/>
        </w:rPr>
        <w:t xml:space="preserve">Nine years of delay in enforcement proceedings denies an investor effective means, and the country answers for it.</w:t>
      </w:r>
    </w:p>
    <w:p>
      <w:pPr>
        <w:spacing w:after="60" w:line="258"/>
        <w:ind w:left="230"/>
        <w:jc w:val="both"/>
      </w:pPr>
      <w:r>
        <w:rPr>
          <w:b/>
          <w:bCs/>
          <w:sz w:val="20"/>
          <w:szCs w:val="20"/>
        </w:rPr>
        <w:t xml:space="preserve">Status. </w:t>
      </w:r>
      <w:r>
        <w:rPr>
          <w:sz w:val="20"/>
          <w:szCs w:val="20"/>
        </w:rPr>
        <w:t xml:space="preserve">The first known treaty award against India. It is one reason Parliament has repeatedly amended the Act to cut down delay.</w:t>
      </w:r>
    </w:p>
    <w:p>
      <w:pPr>
        <w:pStyle w:val="Heading1"/>
        <w:keepNext/>
        <w:pBdr>
          <w:bottom w:val="single" w:color="1F3864" w:sz="6" w:space="4"/>
        </w:pBdr>
        <w:spacing w:after="160" w:before="420"/>
      </w:pPr>
      <w:r>
        <w:t xml:space="preserve">2.  Waiver of the Right to Object: Section 4</w:t>
      </w:r>
    </w:p>
    <w:p>
      <w:pPr>
        <w:pStyle w:val="Heading2"/>
        <w:keepNext/>
        <w:spacing w:after="100" w:before="250"/>
      </w:pPr>
      <w:r>
        <w:t xml:space="preserve">The problem this section solves</w:t>
      </w:r>
    </w:p>
    <w:p>
      <w:pPr>
        <w:spacing w:after="120" w:line="264"/>
        <w:jc w:val="both"/>
      </w:pPr>
      <w:r>
        <w:t xml:space="preserve">Suppose something in the arbitration is not done properly. A party notices it, says nothing, and carries on. Months later the award comes out against that party. It then raises the old defect and asks the court to set the award aside.</w:t>
      </w:r>
    </w:p>
    <w:p>
      <w:pPr>
        <w:spacing w:after="120" w:line="264"/>
        <w:jc w:val="both"/>
      </w:pPr>
      <w:r>
        <w:rPr>
          <w:b/>
          <w:bCs/>
        </w:rPr>
        <w:t xml:space="preserve">Section 4 stops that.</w:t>
      </w:r>
      <w:r>
        <w:t xml:space="preserve"> A party who knows of a defect and continues without objecting </w:t>
      </w:r>
      <w:r>
        <w:rPr>
          <w:b/>
          <w:bCs/>
        </w:rPr>
        <w:t xml:space="preserve">loses the right to complain later</w:t>
      </w:r>
      <w:r>
        <w:t xml:space="preserve">.</w:t>
      </w:r>
    </w:p>
    <w:p>
      <w:pPr>
        <w:spacing w:after="120" w:line="264"/>
        <w:jc w:val="both"/>
      </w:pPr>
      <w:r>
        <w:t xml:space="preserve">The reason is obvious. Arbitration exists to be quick and final. </w:t>
      </w:r>
      <w:r>
        <w:rPr>
          <w:b/>
          <w:bCs/>
          <w:shd w:fill="FFF2CC" w:color="auto" w:val="clear"/>
        </w:rPr>
        <w:t xml:space="preserve">An objection must be taken when it arises, or not at all.</w:t>
      </w:r>
    </w:p>
    <w:p>
      <w:pPr>
        <w:spacing w:after="110" w:before="70" w:line="250"/>
        <w:ind w:left="460" w:right="259"/>
        <w:jc w:val="both"/>
      </w:pPr>
      <w:r>
        <w:rPr>
          <w:b/>
          <w:bCs/>
          <w:sz w:val="19"/>
          <w:szCs w:val="19"/>
        </w:rPr>
        <w:t xml:space="preserve">4.</w:t>
      </w:r>
      <w:r>
        <w:rPr>
          <w:sz w:val="19"/>
          <w:szCs w:val="19"/>
        </w:rPr>
        <w:t xml:space="preserve"> A party who knows that — (a) any provision of this Part </w:t>
      </w:r>
      <w:r>
        <w:rPr>
          <w:b/>
          <w:bCs/>
          <w:sz w:val="19"/>
          <w:szCs w:val="19"/>
        </w:rPr>
        <w:t xml:space="preserve">from which the parties may derogate</w:t>
      </w:r>
      <w:r>
        <w:rPr>
          <w:sz w:val="19"/>
          <w:szCs w:val="19"/>
        </w:rPr>
        <w:t xml:space="preserve">, or (b) any requirement under the arbitration agreement, has not been complied with and yet proceeds with the arbitration without stating his objection to such non-compliance without undue delay or, if a time limit is provided for stating that objection, within that period of time, </w:t>
      </w:r>
      <w:r>
        <w:rPr>
          <w:b/>
          <w:bCs/>
          <w:sz w:val="19"/>
          <w:szCs w:val="19"/>
        </w:rPr>
        <w:t xml:space="preserve">shall be deemed to have waived his right to so object</w:t>
      </w:r>
      <w:r>
        <w:rPr>
          <w:sz w:val="19"/>
          <w:szCs w:val="19"/>
        </w:rPr>
        <w:t xml:space="preserve">.</w:t>
      </w:r>
    </w:p>
    <w:p>
      <w:pPr>
        <w:pStyle w:val="Heading2"/>
        <w:keepNext/>
        <w:spacing w:after="100" w:before="250"/>
      </w:pPr>
      <w:r>
        <w:t xml:space="preserve">When does waiver happen?</w:t>
      </w:r>
    </w:p>
    <w:p>
      <w:pPr>
        <w:spacing w:after="120" w:line="264"/>
        <w:jc w:val="both"/>
      </w:pPr>
      <w:r>
        <w:t xml:space="preserve">Four things must come together.</w:t>
      </w:r>
    </w:p>
    <w:p>
      <w:pPr>
        <w:pStyle w:val="ListParagraph"/>
        <w:numPr>
          <w:ilvl w:val="0"/>
          <w:numId w:val="7"/>
        </w:numPr>
        <w:spacing w:after="70" w:line="264"/>
        <w:jc w:val="both"/>
      </w:pPr>
      <w:r>
        <w:rPr>
          <w:b/>
          <w:bCs/>
        </w:rPr>
        <w:t xml:space="preserve">The party must know of the defect.</w:t>
      </w:r>
      <w:r>
        <w:t xml:space="preserve"> A party who does not know cannot be treated as having given up anything.</w:t>
      </w:r>
    </w:p>
    <w:p>
      <w:pPr>
        <w:pStyle w:val="ListParagraph"/>
        <w:numPr>
          <w:ilvl w:val="0"/>
          <w:numId w:val="7"/>
        </w:numPr>
        <w:spacing w:after="70" w:line="264"/>
        <w:jc w:val="both"/>
      </w:pPr>
      <w:r>
        <w:rPr>
          <w:b/>
          <w:bCs/>
        </w:rPr>
        <w:t xml:space="preserve">The defect must be in a derogable provision, or in a requirement of the arbitration agreement.</w:t>
      </w:r>
      <w:r>
        <w:t xml:space="preserve"> This is the critical limit, explained below.</w:t>
      </w:r>
    </w:p>
    <w:p>
      <w:pPr>
        <w:pStyle w:val="ListParagraph"/>
        <w:numPr>
          <w:ilvl w:val="0"/>
          <w:numId w:val="7"/>
        </w:numPr>
        <w:spacing w:after="70" w:line="264"/>
        <w:jc w:val="both"/>
      </w:pPr>
      <w:r>
        <w:rPr>
          <w:b/>
          <w:bCs/>
        </w:rPr>
        <w:t xml:space="preserve">The party must carry on with the arbitration</w:t>
      </w:r>
      <w:r>
        <w:t xml:space="preserve"> instead of objecting.</w:t>
      </w:r>
    </w:p>
    <w:p>
      <w:pPr>
        <w:pStyle w:val="ListParagraph"/>
        <w:numPr>
          <w:ilvl w:val="0"/>
          <w:numId w:val="7"/>
        </w:numPr>
        <w:spacing w:after="70" w:line="264"/>
        <w:jc w:val="both"/>
      </w:pPr>
      <w:r>
        <w:rPr>
          <w:b/>
          <w:bCs/>
        </w:rPr>
        <w:t xml:space="preserve">No objection must be made in time</w:t>
      </w:r>
      <w:r>
        <w:t xml:space="preserve"> — that is, none made without undue delay, or none made within any period the Act or the agreement fixes.</w:t>
      </w:r>
    </w:p>
    <w:p>
      <w:pPr>
        <w:spacing w:after="120" w:line="264"/>
        <w:jc w:val="both"/>
      </w:pPr>
      <w:r>
        <w:t xml:space="preserve">If all four are present, the right to object is </w:t>
      </w:r>
      <w:r>
        <w:rPr>
          <w:b/>
          <w:bCs/>
        </w:rPr>
        <w:t xml:space="preserve">deemed</w:t>
      </w:r>
      <w:r>
        <w:t xml:space="preserve"> to be given up. It happens automatically. The court does not have to find that the party actually intended to give up the right.</w:t>
      </w:r>
    </w:p>
    <w:p>
      <w:pPr>
        <w:pStyle w:val="Heading2"/>
        <w:keepNext/>
        <w:spacing w:after="100" w:before="250"/>
      </w:pPr>
      <w:r>
        <w:t xml:space="preserve">Requirements the parties create themselves: Scott v. Avery clauses</w:t>
      </w:r>
    </w:p>
    <w:p>
      <w:pPr>
        <w:spacing w:after="120" w:line="264"/>
        <w:jc w:val="both"/>
      </w:pPr>
      <w:r>
        <w:t xml:space="preserve">Limb (b) covers conditions the parties put in their own contract.</w:t>
      </w:r>
    </w:p>
    <w:p>
      <w:pPr>
        <w:keepNext/>
        <w:spacing w:after="60" w:before="150"/>
      </w:pPr>
      <w:r>
        <w:rPr>
          <w:b/>
          <w:bCs/>
          <w:i/>
          <w:iCs/>
          <w:sz w:val="21"/>
          <w:szCs w:val="21"/>
        </w:rPr>
        <w:t xml:space="preserve">Scott v. Avery</w:t>
      </w:r>
      <w:r>
        <w:rPr>
          <w:sz w:val="19"/>
          <w:szCs w:val="19"/>
        </w:rPr>
        <w:t xml:space="preserve">, (1856) 5 HL Cas 811; 10 ER 1121 (House of Lords, England)</w:t>
      </w:r>
    </w:p>
    <w:p>
      <w:pPr>
        <w:spacing w:after="60" w:line="258"/>
        <w:ind w:left="230"/>
        <w:jc w:val="both"/>
      </w:pPr>
      <w:r>
        <w:rPr>
          <w:b/>
          <w:bCs/>
          <w:sz w:val="20"/>
          <w:szCs w:val="20"/>
        </w:rPr>
        <w:t xml:space="preserve">Facts. </w:t>
      </w:r>
      <w:r>
        <w:rPr>
          <w:sz w:val="20"/>
          <w:szCs w:val="20"/>
        </w:rPr>
        <w:t xml:space="preserve">The contract said that no party could sue until an arbitral award had first been obtained.</w:t>
      </w:r>
    </w:p>
    <w:p>
      <w:pPr>
        <w:spacing w:after="60" w:line="258"/>
        <w:ind w:left="230"/>
        <w:jc w:val="both"/>
      </w:pPr>
      <w:r>
        <w:rPr>
          <w:b/>
          <w:bCs/>
          <w:sz w:val="20"/>
          <w:szCs w:val="20"/>
        </w:rPr>
        <w:t xml:space="preserve">Decision. </w:t>
      </w:r>
      <w:r>
        <w:rPr>
          <w:sz w:val="20"/>
          <w:szCs w:val="20"/>
        </w:rPr>
        <w:t xml:space="preserve">The clause was valid.</w:t>
      </w:r>
    </w:p>
    <w:p>
      <w:pPr>
        <w:spacing w:after="60" w:line="258"/>
        <w:ind w:left="230"/>
        <w:jc w:val="both"/>
      </w:pPr>
      <w:r>
        <w:rPr>
          <w:b/>
          <w:bCs/>
          <w:sz w:val="20"/>
          <w:szCs w:val="20"/>
        </w:rPr>
        <w:t xml:space="preserve">Principle. </w:t>
      </w:r>
      <w:r>
        <w:rPr>
          <w:sz w:val="20"/>
          <w:szCs w:val="20"/>
        </w:rPr>
        <w:t xml:space="preserve">A clause making an award, or some other step, a </w:t>
      </w:r>
      <w:r>
        <w:rPr>
          <w:b/>
          <w:bCs/>
          <w:sz w:val="20"/>
          <w:szCs w:val="20"/>
        </w:rPr>
        <w:t xml:space="preserve">condition that must be satisfied before suing</w:t>
      </w:r>
      <w:r>
        <w:rPr>
          <w:sz w:val="20"/>
          <w:szCs w:val="20"/>
        </w:rPr>
        <w:t xml:space="preserve"> does not take away the court's jurisdiction. It only delays going to court until the condition is met.</w:t>
      </w:r>
    </w:p>
    <w:p>
      <w:pPr>
        <w:spacing w:after="120" w:line="264"/>
        <w:jc w:val="both"/>
      </w:pPr>
      <w:r>
        <w:rPr>
          <w:b/>
          <w:bCs/>
        </w:rPr>
        <w:t xml:space="preserve">Example.</w:t>
      </w:r>
      <w:r>
        <w:t xml:space="preserve"> In building contracts, payment is made in stages, and each stage payment becomes due only when the architect or engineer issues a certificate. The certificate is the condition. If a party knows no certificate was issued but goes ahead with the arbitration without objecting, section 4 takes the point away.</w:t>
      </w:r>
    </w:p>
    <w:p>
      <w:pPr>
        <w:spacing w:after="120" w:line="264"/>
        <w:jc w:val="both"/>
      </w:pPr>
      <w:r>
        <w:rPr>
          <w:b/>
          <w:bCs/>
        </w:rPr>
        <w:t xml:space="preserve">Caution.</w:t>
      </w:r>
      <w:r>
        <w:t xml:space="preserve"> </w:t>
      </w:r>
      <w:r>
        <w:rPr>
          <w:i/>
          <w:iCs/>
        </w:rPr>
        <w:t xml:space="preserve">Scott v. Avery</w:t>
      </w:r>
      <w:r>
        <w:t xml:space="preserve"> is an English case. The phrase describes a </w:t>
      </w:r>
      <w:r>
        <w:rPr>
          <w:b/>
          <w:bCs/>
        </w:rPr>
        <w:t xml:space="preserve">type of clause</w:t>
      </w:r>
      <w:r>
        <w:t xml:space="preserve">, not an Indian statutory rule. In an Indian problem, cite an Indian decision on the actual clause.</w:t>
      </w:r>
    </w:p>
    <w:p>
      <w:pPr>
        <w:pStyle w:val="Heading2"/>
        <w:keepNext/>
        <w:spacing w:after="100" w:before="250"/>
      </w:pPr>
      <w:r>
        <w:t xml:space="preserve">What cannot be waived</w:t>
      </w:r>
    </w:p>
    <w:p>
      <w:pPr>
        <w:spacing w:after="120" w:line="264"/>
        <w:jc w:val="both"/>
      </w:pPr>
      <w:r>
        <w:t xml:space="preserve">Section 4 works </w:t>
      </w:r>
      <w:r>
        <w:rPr>
          <w:b/>
          <w:bCs/>
        </w:rPr>
        <w:t xml:space="preserve">only on derogable provisions</w:t>
      </w:r>
      <w:r>
        <w:t xml:space="preserve"> — the rules the parties are free to change. If a provision is non-derogable, silence and participation cure nothing.</w:t>
      </w:r>
    </w:p>
    <w:p>
      <w:pPr>
        <w:spacing w:after="120" w:line="264"/>
        <w:jc w:val="both"/>
      </w:pPr>
      <w:r>
        <w:rPr>
          <w:b/>
          <w:bCs/>
          <w:shd w:fill="FFF2CC" w:color="auto" w:val="clear"/>
        </w:rPr>
        <w:t xml:space="preserve">The two standard examples of non-derogable provisions are section 34, the right to challenge an award, and section 18, the right to equal treatment and a full hearing.</w:t>
      </w:r>
    </w:p>
    <w:p>
      <w:pPr>
        <w:spacing w:after="120" w:line="264"/>
        <w:jc w:val="both"/>
      </w:pPr>
      <w:r>
        <w:t xml:space="preserve">Three other provisions do the same job as section 4 in their own areas, and are worth remembering together.</w:t>
      </w:r>
    </w:p>
    <w:p>
      <w:pPr>
        <w:pStyle w:val="ListParagraph"/>
        <w:numPr>
          <w:ilvl w:val="0"/>
          <w:numId w:val="8"/>
        </w:numPr>
        <w:spacing w:after="70" w:line="264"/>
        <w:jc w:val="both"/>
      </w:pPr>
      <w:r>
        <w:rPr>
          <w:b/>
          <w:bCs/>
        </w:rPr>
        <w:t xml:space="preserve">Section 16(2)</w:t>
      </w:r>
      <w:r>
        <w:t xml:space="preserve"> — an objection that the tribunal has no jurisdiction must be raised by the time the statement of defence is filed.</w:t>
      </w:r>
    </w:p>
    <w:p>
      <w:pPr>
        <w:pStyle w:val="ListParagraph"/>
        <w:numPr>
          <w:ilvl w:val="0"/>
          <w:numId w:val="8"/>
        </w:numPr>
        <w:spacing w:after="70" w:line="264"/>
        <w:jc w:val="both"/>
      </w:pPr>
      <w:r>
        <w:rPr>
          <w:b/>
          <w:bCs/>
        </w:rPr>
        <w:t xml:space="preserve">Section 13(2)</w:t>
      </w:r>
      <w:r>
        <w:t xml:space="preserve"> — a challenge to an arbitrator must be made within fifteen days.</w:t>
      </w:r>
    </w:p>
    <w:p>
      <w:pPr>
        <w:pStyle w:val="ListParagraph"/>
        <w:numPr>
          <w:ilvl w:val="0"/>
          <w:numId w:val="8"/>
        </w:numPr>
        <w:spacing w:after="70" w:line="264"/>
        <w:jc w:val="both"/>
      </w:pPr>
      <w:r>
        <w:rPr>
          <w:b/>
          <w:bCs/>
        </w:rPr>
        <w:t xml:space="preserve">Proviso to section 12(5)</w:t>
      </w:r>
      <w:r>
        <w:t xml:space="preserve"> — where a person is disqualified from being an arbitrator, the parties can waive that only by an </w:t>
      </w:r>
      <w:r>
        <w:rPr>
          <w:b/>
          <w:bCs/>
        </w:rPr>
        <w:t xml:space="preserve">express written agreement made after the dispute has arisen</w:t>
      </w:r>
      <w:r>
        <w:t xml:space="preserve">. Conduct and silence are not enough.</w:t>
      </w:r>
    </w:p>
    <w:p>
      <w:pPr>
        <w:spacing w:after="120" w:line="264"/>
        <w:jc w:val="both"/>
      </w:pPr>
      <w:r>
        <w:t xml:space="preserve">For section 4 in action, see </w:t>
      </w:r>
      <w:r>
        <w:rPr>
          <w:b/>
          <w:bCs/>
          <w:i/>
          <w:iCs/>
        </w:rPr>
        <w:t xml:space="preserve">Narayan Prasad Lohia v. Nikunj Kumar Lohia</w:t>
      </w:r>
      <w:r>
        <w:t xml:space="preserve">, (2002) 3 SCC 572, in Chapter 6. An award made by two arbitrators was upheld, because section 10 is derogable and no objection had been taken in time.</w:t>
      </w:r>
    </w:p>
    <w:p>
      <w:pPr>
        <w:pStyle w:val="Heading1"/>
        <w:keepNext/>
        <w:pBdr>
          <w:bottom w:val="single" w:color="1F3864" w:sz="6" w:space="4"/>
        </w:pBdr>
        <w:spacing w:after="160" w:before="420"/>
      </w:pPr>
      <w:r>
        <w:t xml:space="preserve">3.  Sending Parties to Arbitration, and Keeping Courts Out: Sections 8 and 5</w:t>
      </w:r>
    </w:p>
    <w:p>
      <w:pPr>
        <w:pStyle w:val="Heading2"/>
        <w:keepNext/>
        <w:spacing w:after="100" w:before="250"/>
      </w:pPr>
      <w:r>
        <w:t xml:space="preserve">How the two sections fit together</w:t>
      </w:r>
    </w:p>
    <w:p>
      <w:pPr>
        <w:spacing w:after="120" w:line="264"/>
        <w:jc w:val="both"/>
      </w:pPr>
      <w:r>
        <w:t xml:space="preserve">These two sections say the same thing from opposite directions.</w:t>
      </w:r>
    </w:p>
    <w:p>
      <w:pPr>
        <w:spacing w:after="120" w:line="264"/>
        <w:jc w:val="both"/>
      </w:pPr>
      <w:r>
        <w:rPr>
          <w:b/>
          <w:bCs/>
        </w:rPr>
        <w:t xml:space="preserve">Section 5</w:t>
      </w:r>
      <w:r>
        <w:t xml:space="preserve"> tells courts when they must stay out. </w:t>
      </w:r>
      <w:r>
        <w:rPr>
          <w:b/>
          <w:bCs/>
        </w:rPr>
        <w:t xml:space="preserve">Section 8</w:t>
      </w:r>
      <w:r>
        <w:t xml:space="preserve"> tells a court what to do when a party brings it a dispute that the parties had agreed to arbitrate: it must send them to arbitration.</w:t>
      </w:r>
    </w:p>
    <w:p>
      <w:pPr>
        <w:spacing w:after="120" w:line="264"/>
        <w:jc w:val="both"/>
      </w:pPr>
      <w:r>
        <w:t xml:space="preserve">So section 8 is the section you use when the other side, breaking the arbitration agreement, has gone to court instead.</w:t>
      </w:r>
    </w:p>
    <w:p>
      <w:pPr>
        <w:pStyle w:val="Heading2"/>
        <w:keepNext/>
        <w:spacing w:after="100" w:before="250"/>
      </w:pPr>
      <w:r>
        <w:t xml:space="preserve">Section 5: how far courts may interfere</w:t>
      </w:r>
    </w:p>
    <w:p>
      <w:pPr>
        <w:spacing w:after="110" w:before="70" w:line="250"/>
        <w:ind w:left="460" w:right="259"/>
        <w:jc w:val="both"/>
      </w:pPr>
      <w:r>
        <w:rPr>
          <w:b/>
          <w:bCs/>
          <w:sz w:val="19"/>
          <w:szCs w:val="19"/>
        </w:rPr>
        <w:t xml:space="preserve">5.</w:t>
      </w:r>
      <w:r>
        <w:rPr>
          <w:sz w:val="19"/>
          <w:szCs w:val="19"/>
        </w:rPr>
        <w:t xml:space="preserve"> Notwithstanding anything contained in any other law for the time being in force, in matters governed by this Part, no judicial authority shall intervene except where so provided in this Part.</w:t>
      </w:r>
    </w:p>
    <w:p>
      <w:pPr>
        <w:spacing w:after="120" w:line="264"/>
        <w:jc w:val="both"/>
      </w:pPr>
      <w:r>
        <w:t xml:space="preserve">The section begins with “notwithstanding anything contained in any other law”. This is an </w:t>
      </w:r>
      <w:r>
        <w:rPr>
          <w:b/>
          <w:bCs/>
        </w:rPr>
        <w:t xml:space="preserve">overriding clause</w:t>
      </w:r>
      <w:r>
        <w:t xml:space="preserve">, so section 5 wins over any other law that says something different. It is India's version of Article 5 of the Model Law.</w:t>
      </w:r>
    </w:p>
    <w:p>
      <w:pPr>
        <w:spacing w:after="120" w:line="264"/>
        <w:jc w:val="both"/>
      </w:pPr>
      <w:r>
        <w:t xml:space="preserve">Its job is negative. </w:t>
      </w:r>
      <w:r>
        <w:rPr>
          <w:b/>
          <w:bCs/>
          <w:shd w:fill="FFF2CC" w:color="auto" w:val="clear"/>
        </w:rPr>
        <w:t xml:space="preserve">Courts may not interfere unless Part I itself allows it.</w:t>
      </w:r>
      <w:r>
        <w:t xml:space="preserve"> The places where Part I does allow it form a closed list: sections 8, 9, 11, 14(2), 27, 34, 36 and 37.</w:t>
      </w:r>
    </w:p>
    <w:p>
      <w:pPr>
        <w:pStyle w:val="Heading3"/>
        <w:keepNext/>
        <w:spacing w:after="80" w:before="180"/>
      </w:pPr>
      <w:r>
        <w:t xml:space="preserve">Two things section 5 does not do</w:t>
      </w:r>
    </w:p>
    <w:p>
      <w:pPr>
        <w:spacing w:after="120" w:line="264"/>
        <w:jc w:val="both"/>
      </w:pPr>
      <w:r>
        <w:rPr>
          <w:b/>
          <w:bCs/>
        </w:rPr>
        <w:t xml:space="preserve">First</w:t>
      </w:r>
      <w:r>
        <w:t xml:space="preserve">, it speaks only of “matters governed by this Part”, meaning Part I. Whether it also covers Part II is unclear, and the drafting has been criticised.</w:t>
      </w:r>
    </w:p>
    <w:p>
      <w:pPr>
        <w:spacing w:after="120" w:line="264"/>
        <w:jc w:val="both"/>
      </w:pPr>
      <w:r>
        <w:rPr>
          <w:b/>
          <w:bCs/>
        </w:rPr>
        <w:t xml:space="preserve">Second, and more importantly, an ordinary Act of Parliament cannot reduce powers given by the Constitution.</w:t>
      </w:r>
      <w:r>
        <w:t xml:space="preserve"> The High Courts have writ powers under Articles 226 and 227, and the Supreme Court under Article 32. Section 5 cannot touch them.</w:t>
      </w:r>
    </w:p>
    <w:p>
      <w:pPr>
        <w:keepNext/>
        <w:spacing w:after="60" w:before="150"/>
      </w:pPr>
      <w:r>
        <w:rPr>
          <w:b/>
          <w:bCs/>
          <w:i/>
          <w:iCs/>
          <w:sz w:val="21"/>
          <w:szCs w:val="21"/>
        </w:rPr>
        <w:t xml:space="preserve">Union of India v. Tantia Construction Pvt. Ltd.</w:t>
      </w:r>
      <w:r>
        <w:rPr>
          <w:sz w:val="19"/>
          <w:szCs w:val="19"/>
        </w:rPr>
        <w:t xml:space="preserve">, (2011) 5 SCC 697 (SC, 2011)</w:t>
      </w:r>
    </w:p>
    <w:p>
      <w:pPr>
        <w:spacing w:after="60" w:line="258"/>
        <w:ind w:left="230"/>
        <w:jc w:val="both"/>
      </w:pPr>
      <w:r>
        <w:rPr>
          <w:b/>
          <w:bCs/>
          <w:sz w:val="20"/>
          <w:szCs w:val="20"/>
        </w:rPr>
        <w:t xml:space="preserve">Facts. </w:t>
      </w:r>
      <w:r>
        <w:rPr>
          <w:sz w:val="20"/>
          <w:szCs w:val="20"/>
        </w:rPr>
        <w:t xml:space="preserve">A railway contract had a wide arbitration clause. The Railways told the contractor to carry out extra work. The contractor filed a writ petition to quash that order, saying the whole design of the rail over-bridge had been changed into a new project. The Railways objected that the arbitration clause, read with section 5, barred a writ petition.</w:t>
      </w:r>
    </w:p>
    <w:p>
      <w:pPr>
        <w:spacing w:after="60" w:line="258"/>
        <w:ind w:left="230"/>
        <w:jc w:val="both"/>
      </w:pPr>
      <w:r>
        <w:rPr>
          <w:b/>
          <w:bCs/>
          <w:sz w:val="20"/>
          <w:szCs w:val="20"/>
        </w:rPr>
        <w:t xml:space="preserve">Decision. </w:t>
      </w:r>
      <w:r>
        <w:rPr>
          <w:sz w:val="20"/>
          <w:szCs w:val="20"/>
        </w:rPr>
        <w:t xml:space="preserve">The writ petition could be heard. On the merits, what had happened went beyond a simple increase in the quantity of work.</w:t>
      </w:r>
    </w:p>
    <w:p>
      <w:pPr>
        <w:spacing w:after="60" w:line="258"/>
        <w:ind w:left="230"/>
        <w:jc w:val="both"/>
      </w:pPr>
      <w:r>
        <w:rPr>
          <w:b/>
          <w:bCs/>
          <w:sz w:val="20"/>
          <w:szCs w:val="20"/>
        </w:rPr>
        <w:t xml:space="preserve">Principle. </w:t>
      </w:r>
      <w:r>
        <w:rPr>
          <w:b/>
          <w:bCs/>
          <w:sz w:val="20"/>
          <w:szCs w:val="20"/>
          <w:shd w:fill="FFF2CC" w:color="auto" w:val="clear"/>
        </w:rPr>
        <w:t xml:space="preserve">Having another remedy, including an arbitration clause, is not an absolute bar to a writ petition under Article 226.</w:t>
      </w:r>
      <w:r>
        <w:rPr>
          <w:sz w:val="20"/>
          <w:szCs w:val="20"/>
        </w:rPr>
        <w:t xml:space="preserve"> The party need not use that other remedy first. Powers given by the Constitution cannot be cut down by the existence of an alternative remedy. </w:t>
      </w:r>
      <w:r>
        <w:rPr>
          <w:b/>
          <w:bCs/>
          <w:sz w:val="20"/>
          <w:szCs w:val="20"/>
        </w:rPr>
        <w:t xml:space="preserve">The case marks the constitutional limit of section 5</w:t>
      </w:r>
      <w:r>
        <w:rPr>
          <w:sz w:val="20"/>
          <w:szCs w:val="20"/>
        </w:rPr>
        <w:t xml:space="preserve">, which binds only authorities exercising ordinary statutory powers.</w:t>
      </w:r>
    </w:p>
    <w:p>
      <w:pPr>
        <w:spacing w:after="60" w:line="258"/>
        <w:ind w:left="230"/>
        <w:jc w:val="both"/>
      </w:pPr>
      <w:r>
        <w:rPr>
          <w:b/>
          <w:bCs/>
          <w:sz w:val="20"/>
          <w:szCs w:val="20"/>
        </w:rPr>
        <w:t xml:space="preserve">Status. </w:t>
      </w:r>
      <w:r>
        <w:rPr>
          <w:b/>
          <w:bCs/>
          <w:sz w:val="20"/>
          <w:szCs w:val="20"/>
        </w:rPr>
        <w:t xml:space="preserve">Do not confuse this with a later case of almost the same name</w:t>
      </w:r>
      <w:r>
        <w:rPr>
          <w:sz w:val="20"/>
          <w:szCs w:val="20"/>
        </w:rPr>
        <w:t xml:space="preserve"> — </w:t>
      </w:r>
      <w:r>
        <w:rPr>
          <w:b/>
          <w:bCs/>
          <w:i/>
          <w:iCs/>
          <w:sz w:val="20"/>
          <w:szCs w:val="20"/>
        </w:rPr>
        <w:t xml:space="preserve">Union of India v. Tantia Constructions Ltd.</w:t>
      </w:r>
      <w:r>
        <w:rPr>
          <w:sz w:val="20"/>
          <w:szCs w:val="20"/>
        </w:rPr>
        <w:t xml:space="preserve">, 2021 SCC OnLine SC 271. That was a three-judge decision on a completely different question, the validity of clauses letting one party appoint the arbitrator, and it sent that question to a larger Bench.</w:t>
      </w:r>
    </w:p>
    <w:p>
      <w:pPr>
        <w:pStyle w:val="Heading2"/>
        <w:keepNext/>
        <w:spacing w:after="100" w:before="250"/>
      </w:pPr>
      <w:r>
        <w:t xml:space="preserve">Section 8: the duty to refer</w:t>
      </w:r>
    </w:p>
    <w:p>
      <w:pPr>
        <w:spacing w:after="120" w:line="264"/>
        <w:jc w:val="both"/>
      </w:pPr>
      <w:r>
        <w:t xml:space="preserve">Section 8(1) was rewritten in 2015. Three features of the present wording matter.</w:t>
      </w:r>
    </w:p>
    <w:p>
      <w:pPr>
        <w:pStyle w:val="ListParagraph"/>
        <w:numPr>
          <w:ilvl w:val="0"/>
          <w:numId w:val="9"/>
        </w:numPr>
        <w:spacing w:after="70" w:line="264"/>
        <w:jc w:val="both"/>
      </w:pPr>
      <w:r>
        <w:t xml:space="preserve">It applies </w:t>
      </w:r>
      <w:r>
        <w:rPr>
          <w:b/>
          <w:bCs/>
        </w:rPr>
        <w:t xml:space="preserve">“notwithstanding any judgment, decree or order of the Supreme Court or any Court”</w:t>
      </w:r>
      <w:r>
        <w:t xml:space="preserve">. These words were put in deliberately, to cancel earlier decisions that had allowed courts to enquire too deeply at this stage.</w:t>
      </w:r>
    </w:p>
    <w:p>
      <w:pPr>
        <w:pStyle w:val="ListParagraph"/>
        <w:numPr>
          <w:ilvl w:val="0"/>
          <w:numId w:val="9"/>
        </w:numPr>
        <w:spacing w:after="70" w:line="264"/>
        <w:jc w:val="both"/>
      </w:pPr>
      <w:r>
        <w:t xml:space="preserve">The court </w:t>
      </w:r>
      <w:r>
        <w:rPr>
          <w:b/>
          <w:bCs/>
        </w:rPr>
        <w:t xml:space="preserve">must</w:t>
      </w:r>
      <w:r>
        <w:t xml:space="preserve"> send the parties to arbitration, </w:t>
      </w:r>
      <w:r>
        <w:rPr>
          <w:b/>
          <w:bCs/>
          <w:shd w:fill="FFF2CC" w:color="auto" w:val="clear"/>
        </w:rPr>
        <w:t xml:space="preserve">unless it finds that, on the face of it, no valid arbitration agreement exists.</w:t>
      </w:r>
      <w:r>
        <w:t xml:space="preserve"> The standard is expressly a first look only. The court does not decide the question finally.</w:t>
      </w:r>
    </w:p>
    <w:p>
      <w:pPr>
        <w:pStyle w:val="ListParagraph"/>
        <w:numPr>
          <w:ilvl w:val="0"/>
          <w:numId w:val="9"/>
        </w:numPr>
        <w:spacing w:after="70" w:line="264"/>
        <w:jc w:val="both"/>
      </w:pPr>
      <w:r>
        <w:t xml:space="preserve">The application must be made </w:t>
      </w:r>
      <w:r>
        <w:rPr>
          <w:b/>
          <w:bCs/>
        </w:rPr>
        <w:t xml:space="preserve">before the party files its first statement on the substance of the dispute</w:t>
      </w:r>
      <w:r>
        <w:t xml:space="preserve">. A party that argues the merits first has lost the chance.</w:t>
      </w:r>
    </w:p>
    <w:p>
      <w:pPr>
        <w:spacing w:after="120" w:line="264"/>
        <w:jc w:val="both"/>
      </w:pPr>
      <w:r>
        <w:rPr>
          <w:b/>
          <w:bCs/>
        </w:rPr>
        <w:t xml:space="preserve">Section 8(2)</w:t>
      </w:r>
      <w:r>
        <w:t xml:space="preserve"> says the application must come with the original arbitration agreement or a certified copy. If the other side is holding the original, the applicant may file a plain copy together with a request that the court order the other side to produce it.</w:t>
      </w:r>
    </w:p>
    <w:p>
      <w:pPr>
        <w:spacing w:after="120" w:line="264"/>
        <w:jc w:val="both"/>
      </w:pPr>
      <w:r>
        <w:rPr>
          <w:b/>
          <w:bCs/>
        </w:rPr>
        <w:t xml:space="preserve">Section 8(3)</w:t>
      </w:r>
      <w:r>
        <w:t xml:space="preserve"> says the arbitration may start or continue, and an award may be made, even while the application is pending in court. The idea behind it is basic: </w:t>
      </w:r>
      <w:r>
        <w:rPr>
          <w:b/>
          <w:bCs/>
          <w:shd w:fill="FFF2CC" w:color="auto" w:val="clear"/>
        </w:rPr>
        <w:t xml:space="preserve">an arbitration does not stop merely because a court is looking at a related question.</w:t>
      </w:r>
    </w:p>
    <w:p>
      <w:pPr>
        <w:spacing w:after="120" w:line="264"/>
        <w:jc w:val="both"/>
      </w:pPr>
      <w:r>
        <w:rPr>
          <w:b/>
          <w:bCs/>
        </w:rPr>
        <w:t xml:space="preserve">Who can apply.</w:t>
      </w:r>
      <w:r>
        <w:t xml:space="preserve"> A party to the arbitration agreement, or </w:t>
      </w:r>
      <w:r>
        <w:rPr>
          <w:b/>
          <w:bCs/>
        </w:rPr>
        <w:t xml:space="preserve">any person claiming through or under him</w:t>
      </w:r>
      <w:r>
        <w:t xml:space="preserve">. Those words go beyond the people who signed. An agent acting for a principal, or someone who has stepped into a party's shoes, can also apply.</w:t>
      </w:r>
    </w:p>
    <w:p>
      <w:pPr>
        <w:spacing w:after="120" w:line="264"/>
        <w:jc w:val="both"/>
      </w:pPr>
      <w:r>
        <w:rPr>
          <w:b/>
          <w:bCs/>
        </w:rPr>
        <w:t xml:space="preserve">“Judicial authority” is wider than “court”.</w:t>
      </w:r>
      <w:r>
        <w:t xml:space="preserve"> It includes specialised bodies such as a telecom or insurance regulator, or a consumer commission. The width is deliberate. The duty to respect an arbitration agreement should not depend on what the forum is called.</w:t>
      </w:r>
    </w:p>
    <w:p>
      <w:pPr>
        <w:pStyle w:val="Heading3"/>
        <w:keepNext/>
        <w:spacing w:after="80" w:before="180"/>
      </w:pPr>
      <w:r>
        <w:t xml:space="preserve">Who decides first: the rule of first priority</w:t>
      </w:r>
    </w:p>
    <w:p>
      <w:pPr>
        <w:spacing w:after="120" w:line="264"/>
        <w:jc w:val="both"/>
      </w:pPr>
      <w:r>
        <w:t xml:space="preserve">Read section 8 together with section 16. Suppose a party says there is no valid arbitration agreement. Two bodies could decide that: the court under section 8, or the tribunal under section 16.</w:t>
      </w:r>
    </w:p>
    <w:p>
      <w:pPr>
        <w:spacing w:after="120" w:line="264"/>
        <w:jc w:val="both"/>
      </w:pPr>
      <w:r>
        <w:rPr>
          <w:b/>
          <w:bCs/>
          <w:shd w:fill="FFF2CC" w:color="auto" w:val="clear"/>
        </w:rPr>
        <w:t xml:space="preserve">The Act gives the tribunal the first say.</w:t>
      </w:r>
      <w:r>
        <w:t xml:space="preserve"> This is called the </w:t>
      </w:r>
      <w:r>
        <w:rPr>
          <w:b/>
          <w:bCs/>
        </w:rPr>
        <w:t xml:space="preserve">rule of first priority</w:t>
      </w:r>
      <w:r>
        <w:t xml:space="preserve">, and it follows from the tribunal's power to rule on its own jurisdiction. The court takes only a first look. The final decision is the tribunal's, subject to review later under section 34.</w:t>
      </w:r>
    </w:p>
    <w:p>
      <w:pPr>
        <w:spacing w:after="120" w:line="264"/>
        <w:jc w:val="both"/>
      </w:pPr>
      <w:r>
        <w:rPr>
          <w:b/>
          <w:bCs/>
        </w:rPr>
        <w:t xml:space="preserve">That is why a mini-trial at this stage is not allowed.</w:t>
      </w:r>
      <w:r>
        <w:t xml:space="preserve"> The court is not meant to hear evidence and decide the question properly.</w:t>
      </w:r>
    </w:p>
    <w:p>
      <w:pPr>
        <w:spacing w:after="120" w:line="264"/>
        <w:jc w:val="both"/>
      </w:pPr>
      <w:r>
        <w:rPr>
          <w:b/>
          <w:bCs/>
        </w:rPr>
        <w:t xml:space="preserve">Fraud follows the same logic.</w:t>
      </w:r>
      <w:r>
        <w:t xml:space="preserve"> If the allegation is that the </w:t>
      </w:r>
      <w:r>
        <w:rPr>
          <w:b/>
          <w:bCs/>
        </w:rPr>
        <w:t xml:space="preserve">main contract</w:t>
      </w:r>
      <w:r>
        <w:t xml:space="preserve"> was obtained by fraud, the case still goes to arbitration, because the arbitration clause stands separately and the tribunal can decide the fraud issue. It is different if the attack is on the </w:t>
      </w:r>
      <w:r>
        <w:rPr>
          <w:b/>
          <w:bCs/>
        </w:rPr>
        <w:t xml:space="preserve">arbitration clause itself</w:t>
      </w:r>
      <w:r>
        <w:t xml:space="preserve"> and the court finds it void on the face of it. Reference may then be refused, and the remedy is an appeal.</w:t>
      </w:r>
    </w:p>
    <w:p>
      <w:pPr>
        <w:pStyle w:val="Heading2"/>
        <w:keepNext/>
        <w:spacing w:after="100" w:before="250"/>
      </w:pPr>
      <w:r>
        <w:t xml:space="preserve">Disputes that cannot be arbitrated at all</w:t>
      </w:r>
    </w:p>
    <w:p>
      <w:pPr>
        <w:spacing w:after="120" w:line="264"/>
        <w:jc w:val="both"/>
      </w:pPr>
      <w:r>
        <w:t xml:space="preserve">Section 8 cannot force arbitration of a dispute that the law does not permit to be arbitrated. This is called </w:t>
      </w:r>
      <w:r>
        <w:rPr>
          <w:b/>
          <w:bCs/>
        </w:rPr>
        <w:t xml:space="preserve">non-arbitrability</w:t>
      </w:r>
      <w:r>
        <w:t xml:space="preserve">. </w:t>
      </w:r>
      <w:r>
        <w:rPr>
          <w:b/>
          <w:bCs/>
        </w:rPr>
        <w:t xml:space="preserve">It depends on the nature of the subject matter, not on how much money is at stake.</w:t>
      </w:r>
    </w:p>
    <w:p>
      <w:pPr>
        <w:keepNext/>
        <w:spacing w:after="60" w:before="150"/>
      </w:pPr>
      <w:r>
        <w:rPr>
          <w:b/>
          <w:bCs/>
          <w:i/>
          <w:iCs/>
          <w:sz w:val="21"/>
          <w:szCs w:val="21"/>
        </w:rPr>
        <w:t xml:space="preserve">Emaar MGF Land Ltd. v. Aftab Singh</w:t>
      </w:r>
      <w:r>
        <w:rPr>
          <w:sz w:val="19"/>
          <w:szCs w:val="19"/>
        </w:rPr>
        <w:t xml:space="preserve">, (2019) 12 SCC 751 (SC, 10 December 2018)</w:t>
      </w:r>
    </w:p>
    <w:p>
      <w:pPr>
        <w:spacing w:after="60" w:line="258"/>
        <w:ind w:left="230"/>
        <w:jc w:val="both"/>
      </w:pPr>
      <w:r>
        <w:rPr>
          <w:b/>
          <w:bCs/>
          <w:sz w:val="20"/>
          <w:szCs w:val="20"/>
        </w:rPr>
        <w:t xml:space="preserve">Facts. </w:t>
      </w:r>
      <w:r>
        <w:rPr>
          <w:sz w:val="20"/>
          <w:szCs w:val="20"/>
        </w:rPr>
        <w:t xml:space="preserve">Flat buyers signed agreements containing arbitration clauses. When possession was delayed, they complained to the National Consumer Disputes Redressal Commission. Emaar applied under section 8 to send them to arbitration instead.</w:t>
      </w:r>
    </w:p>
    <w:p>
      <w:pPr>
        <w:spacing w:after="60" w:line="258"/>
        <w:ind w:left="230"/>
        <w:jc w:val="both"/>
      </w:pPr>
      <w:r>
        <w:rPr>
          <w:b/>
          <w:bCs/>
          <w:sz w:val="20"/>
          <w:szCs w:val="20"/>
        </w:rPr>
        <w:t xml:space="preserve">Decision. </w:t>
      </w:r>
      <w:r>
        <w:rPr>
          <w:b/>
          <w:bCs/>
          <w:sz w:val="20"/>
          <w:szCs w:val="20"/>
          <w:shd w:fill="FFF2CC" w:color="auto" w:val="clear"/>
        </w:rPr>
        <w:t xml:space="preserve">The consumer forum did not have to send them to arbitration. Consumer disputes cannot be arbitrated.</w:t>
      </w:r>
    </w:p>
    <w:p>
      <w:pPr>
        <w:spacing w:after="60" w:line="258"/>
        <w:ind w:left="230"/>
        <w:jc w:val="both"/>
      </w:pPr>
      <w:r>
        <w:rPr>
          <w:b/>
          <w:bCs/>
          <w:sz w:val="20"/>
          <w:szCs w:val="20"/>
        </w:rPr>
        <w:t xml:space="preserve">Principle. </w:t>
      </w:r>
      <w:r>
        <w:rPr>
          <w:sz w:val="20"/>
          <w:szCs w:val="20"/>
        </w:rPr>
        <w:t xml:space="preserve">The Consumer Protection Act gives consumers a </w:t>
      </w:r>
      <w:r>
        <w:rPr>
          <w:b/>
          <w:bCs/>
          <w:sz w:val="20"/>
          <w:szCs w:val="20"/>
        </w:rPr>
        <w:t xml:space="preserve">special, extra remedy</w:t>
      </w:r>
      <w:r>
        <w:rPr>
          <w:sz w:val="20"/>
          <w:szCs w:val="20"/>
        </w:rPr>
        <w:t xml:space="preserve"> because Parliament wanted to protect them as a class. Section 3 of the 1986 Act said its provisions are “in addition to and not in derogation of” any other law. A remedy of that kind cannot be taken away by a private arbitration clause, and the amended section 8 was never meant to override special forums.</w:t>
      </w:r>
    </w:p>
    <w:p>
      <w:pPr>
        <w:spacing w:after="60" w:line="258"/>
        <w:ind w:left="230"/>
        <w:jc w:val="both"/>
      </w:pPr>
      <w:r>
        <w:rPr>
          <w:b/>
          <w:bCs/>
          <w:sz w:val="20"/>
          <w:szCs w:val="20"/>
        </w:rPr>
        <w:t xml:space="preserve">Status. </w:t>
      </w:r>
      <w:r>
        <w:rPr>
          <w:sz w:val="20"/>
          <w:szCs w:val="20"/>
        </w:rPr>
        <w:t xml:space="preserve">Good law. It shows a wider principle: </w:t>
      </w:r>
      <w:r>
        <w:rPr>
          <w:b/>
          <w:bCs/>
          <w:sz w:val="20"/>
          <w:szCs w:val="20"/>
        </w:rPr>
        <w:t xml:space="preserve">laws passed to protect a weaker class, such as consumer and rent control laws, cannot be got around by an arbitration clause.</w:t>
      </w:r>
    </w:p>
    <w:p>
      <w:pPr>
        <w:spacing w:after="120" w:line="264"/>
        <w:jc w:val="both"/>
      </w:pPr>
      <w:r>
        <w:t xml:space="preserve">Two other cases complete the picture. </w:t>
      </w:r>
      <w:r>
        <w:rPr>
          <w:b/>
          <w:bCs/>
          <w:i/>
          <w:iCs/>
        </w:rPr>
        <w:t xml:space="preserve">Booz Allen &amp; Hamilton Inc. v. SBI Home Finance Ltd.</w:t>
      </w:r>
      <w:r>
        <w:t xml:space="preserve">, (2011) 5 SCC 532, listed the categories of non-arbitrable disputes. </w:t>
      </w:r>
      <w:r>
        <w:rPr>
          <w:b/>
          <w:bCs/>
          <w:i/>
          <w:iCs/>
        </w:rPr>
        <w:t xml:space="preserve">Vidya Drolia v. Durga Trading Corporation</w:t>
      </w:r>
      <w:r>
        <w:t xml:space="preserve">, (2021) 2 SCC 1, restated them as a </w:t>
      </w:r>
      <w:r>
        <w:rPr>
          <w:b/>
          <w:bCs/>
        </w:rPr>
        <w:t xml:space="preserve">fourfold test</w:t>
      </w:r>
      <w:r>
        <w:t xml:space="preserve">. A dispute cannot be arbitrated where its subject matter —</w:t>
      </w:r>
    </w:p>
    <w:p>
      <w:pPr>
        <w:pStyle w:val="ListParagraph"/>
        <w:numPr>
          <w:ilvl w:val="0"/>
          <w:numId w:val="10"/>
        </w:numPr>
        <w:spacing w:after="70" w:line="264"/>
        <w:jc w:val="both"/>
      </w:pPr>
      <w:r>
        <w:t xml:space="preserve">concerns a right good against the whole world (a right </w:t>
      </w:r>
      <w:r>
        <w:rPr>
          <w:i/>
          <w:iCs/>
        </w:rPr>
        <w:t xml:space="preserve">in rem</w:t>
      </w:r>
      <w:r>
        <w:t xml:space="preserve">), rather than a right against one person arising out of it;</w:t>
      </w:r>
    </w:p>
    <w:p>
      <w:pPr>
        <w:pStyle w:val="ListParagraph"/>
        <w:numPr>
          <w:ilvl w:val="0"/>
          <w:numId w:val="10"/>
        </w:numPr>
        <w:spacing w:after="70" w:line="264"/>
        <w:jc w:val="both"/>
      </w:pPr>
      <w:r>
        <w:t xml:space="preserve">affects the rights of people who are not parties, has effects on everybody, or needs to be decided once for all in a single forum;</w:t>
      </w:r>
    </w:p>
    <w:p>
      <w:pPr>
        <w:pStyle w:val="ListParagraph"/>
        <w:numPr>
          <w:ilvl w:val="0"/>
          <w:numId w:val="10"/>
        </w:numPr>
        <w:spacing w:after="70" w:line="264"/>
        <w:jc w:val="both"/>
      </w:pPr>
      <w:r>
        <w:t xml:space="preserve">concerns a function of the State that cannot be handed over to anyone else; or</w:t>
      </w:r>
    </w:p>
    <w:p>
      <w:pPr>
        <w:pStyle w:val="ListParagraph"/>
        <w:numPr>
          <w:ilvl w:val="0"/>
          <w:numId w:val="10"/>
        </w:numPr>
        <w:spacing w:after="70" w:line="264"/>
        <w:jc w:val="both"/>
      </w:pPr>
      <w:r>
        <w:t xml:space="preserve">is made non-arbitrable by a statute, either expressly or by necessary implication.</w:t>
      </w:r>
    </w:p>
    <w:p>
      <w:pPr>
        <w:spacing w:after="120" w:line="264"/>
        <w:jc w:val="both"/>
      </w:pPr>
      <w:r>
        <w:rPr>
          <w:b/>
          <w:bCs/>
        </w:rPr>
        <w:t xml:space="preserve">Consumer disputes fall in the fourth category.</w:t>
      </w:r>
    </w:p>
    <w:p>
      <w:pPr>
        <w:pStyle w:val="Heading1"/>
        <w:keepNext/>
        <w:pBdr>
          <w:bottom w:val="single" w:color="1F3864" w:sz="6" w:space="4"/>
        </w:pBdr>
        <w:spacing w:after="160" w:before="420"/>
      </w:pPr>
      <w:r>
        <w:t xml:space="preserve">4.  The Arbitration Agreement: Section 7</w:t>
      </w:r>
    </w:p>
    <w:p>
      <w:pPr>
        <w:pStyle w:val="Heading2"/>
        <w:keepNext/>
        <w:spacing w:after="100" w:before="250"/>
      </w:pPr>
      <w:r>
        <w:t xml:space="preserve">Why it is the foundation</w:t>
      </w:r>
    </w:p>
    <w:p>
      <w:pPr>
        <w:spacing w:after="120" w:line="264"/>
        <w:jc w:val="both"/>
      </w:pPr>
      <w:r>
        <w:t xml:space="preserve">An arbitrator has no natural authority over anybody. His authority comes entirely from the fact that both parties agreed to let him decide. </w:t>
      </w:r>
      <w:r>
        <w:rPr>
          <w:b/>
          <w:bCs/>
        </w:rPr>
        <w:t xml:space="preserve">The arbitration agreement is the record of that consent.</w:t>
      </w:r>
    </w:p>
    <w:p>
      <w:pPr>
        <w:spacing w:after="120" w:line="264"/>
        <w:jc w:val="both"/>
      </w:pPr>
      <w:r>
        <w:t xml:space="preserve">Everything else depends on it. Without an arbitration agreement there is nothing for section 8 or section 11 to work on, and an award made without one is made without jurisdiction.</w:t>
      </w:r>
    </w:p>
    <w:p>
      <w:pPr>
        <w:pStyle w:val="Heading2"/>
        <w:keepNext/>
        <w:spacing w:after="100" w:before="250"/>
      </w:pPr>
      <w:r>
        <w:t xml:space="preserve">What the section says</w:t>
      </w:r>
    </w:p>
    <w:p>
      <w:pPr>
        <w:spacing w:after="120" w:line="264"/>
        <w:jc w:val="both"/>
      </w:pPr>
      <w:r>
        <w:rPr>
          <w:b/>
          <w:bCs/>
        </w:rPr>
        <w:t xml:space="preserve">Section 7(1)</w:t>
      </w:r>
      <w:r>
        <w:t xml:space="preserve"> defines an arbitration agreement as an agreement to send to arbitration all or some disputes, present or future, arising out of a </w:t>
      </w:r>
      <w:r>
        <w:rPr>
          <w:b/>
          <w:bCs/>
        </w:rPr>
        <w:t xml:space="preserve">defined legal relationship, whether contractual or not</w:t>
      </w:r>
      <w:r>
        <w:t xml:space="preserve">.</w:t>
      </w:r>
    </w:p>
    <w:p>
      <w:pPr>
        <w:spacing w:after="120" w:line="264"/>
        <w:jc w:val="both"/>
      </w:pPr>
      <w:r>
        <w:rPr>
          <w:b/>
          <w:bCs/>
        </w:rPr>
        <w:t xml:space="preserve">Section 7(2)</w:t>
      </w:r>
      <w:r>
        <w:t xml:space="preserve"> says it may either be a clause inside a contract or a separate agreement on its own.</w:t>
      </w:r>
    </w:p>
    <w:p>
      <w:pPr>
        <w:spacing w:after="120" w:line="264"/>
        <w:jc w:val="both"/>
      </w:pPr>
      <w:r>
        <w:rPr>
          <w:b/>
          <w:bCs/>
        </w:rPr>
        <w:t xml:space="preserve">Section 7(3)</w:t>
      </w:r>
      <w:r>
        <w:t xml:space="preserve"> says it must be in writing, and </w:t>
      </w:r>
      <w:r>
        <w:rPr>
          <w:b/>
          <w:bCs/>
        </w:rPr>
        <w:t xml:space="preserve">section 7(4)</w:t>
      </w:r>
      <w:r>
        <w:t xml:space="preserve"> explains when it is in writing. It is in writing if contained in —</w:t>
      </w:r>
    </w:p>
    <w:p>
      <w:pPr>
        <w:pStyle w:val="ListParagraph"/>
        <w:numPr>
          <w:ilvl w:val="0"/>
          <w:numId w:val="11"/>
        </w:numPr>
        <w:spacing w:after="70" w:line="264"/>
        <w:jc w:val="both"/>
      </w:pPr>
      <w:r>
        <w:t xml:space="preserve">a document signed by the parties;</w:t>
      </w:r>
    </w:p>
    <w:p>
      <w:pPr>
        <w:pStyle w:val="ListParagraph"/>
        <w:numPr>
          <w:ilvl w:val="0"/>
          <w:numId w:val="11"/>
        </w:numPr>
        <w:spacing w:after="70" w:line="264"/>
        <w:jc w:val="both"/>
      </w:pPr>
      <w:r>
        <w:t xml:space="preserve">an exchange of letters, telex, telegrams or other communication, </w:t>
      </w:r>
      <w:r>
        <w:rPr>
          <w:b/>
          <w:bCs/>
        </w:rPr>
        <w:t xml:space="preserve">including electronic communication</w:t>
      </w:r>
      <w:r>
        <w:t xml:space="preserve">, that keeps a record of the agreement; or</w:t>
      </w:r>
    </w:p>
    <w:p>
      <w:pPr>
        <w:pStyle w:val="ListParagraph"/>
        <w:numPr>
          <w:ilvl w:val="0"/>
          <w:numId w:val="11"/>
        </w:numPr>
        <w:spacing w:after="70" w:line="264"/>
        <w:jc w:val="both"/>
      </w:pPr>
      <w:r>
        <w:t xml:space="preserve">an exchange of statements of claim and defence in which one party says an arbitration agreement exists and the other does not deny it.</w:t>
      </w:r>
    </w:p>
    <w:p>
      <w:pPr>
        <w:spacing w:after="120" w:line="264"/>
        <w:jc w:val="both"/>
      </w:pPr>
      <w:r>
        <w:rPr>
          <w:b/>
          <w:bCs/>
        </w:rPr>
        <w:t xml:space="preserve">Section 7(5)</w:t>
      </w:r>
      <w:r>
        <w:t xml:space="preserve"> deals with </w:t>
      </w:r>
      <w:r>
        <w:rPr>
          <w:b/>
          <w:bCs/>
        </w:rPr>
        <w:t xml:space="preserve">incorporation by reference</w:t>
      </w:r>
      <w:r>
        <w:t xml:space="preserve">. If a written contract refers to another document that contains an arbitration clause, and the reference is such as to make that clause part of the contract, the parties have an arbitration agreement.</w:t>
      </w:r>
    </w:p>
    <w:p>
      <w:pPr>
        <w:pStyle w:val="Heading3"/>
        <w:keepNext/>
        <w:spacing w:after="80" w:before="180"/>
      </w:pPr>
      <w:r>
        <w:t xml:space="preserve">What “in writing” really requires</w:t>
      </w:r>
    </w:p>
    <w:p>
      <w:pPr>
        <w:spacing w:after="120" w:line="264"/>
        <w:jc w:val="both"/>
      </w:pPr>
      <w:r>
        <w:t xml:space="preserve">The requirement is about having a </w:t>
      </w:r>
      <w:r>
        <w:rPr>
          <w:b/>
          <w:bCs/>
        </w:rPr>
        <w:t xml:space="preserve">record</w:t>
      </w:r>
      <w:r>
        <w:t xml:space="preserve">, not about formality. When the Model Law was revised in 2006, it absorbed the rules on electronic commerce. So an email or other electronic message is enough, so long as the information can be accessed and used later. </w:t>
      </w:r>
      <w:r>
        <w:rPr>
          <w:b/>
          <w:bCs/>
        </w:rPr>
        <w:t xml:space="preserve">Contracts made online, including in online dispute resolution, therefore qualify.</w:t>
      </w:r>
    </w:p>
    <w:p>
      <w:pPr>
        <w:spacing w:after="120" w:line="264"/>
        <w:jc w:val="both"/>
      </w:pPr>
      <w:r>
        <w:t xml:space="preserve">The New York Convention was drafted in 1958, before electronic communication, and its writing requirement looks narrower on the face of it.</w:t>
      </w:r>
    </w:p>
    <w:p>
      <w:pPr>
        <w:spacing w:after="120" w:line="264"/>
        <w:jc w:val="both"/>
      </w:pPr>
      <w:r>
        <w:rPr>
          <w:b/>
          <w:bCs/>
        </w:rPr>
        <w:t xml:space="preserve">Clause (c) deserves separate notice</w:t>
      </w:r>
      <w:r>
        <w:t xml:space="preserve">, because it surprises people. </w:t>
      </w:r>
      <w:r>
        <w:rPr>
          <w:b/>
          <w:bCs/>
          <w:shd w:fill="FFF2CC" w:color="auto" w:val="clear"/>
        </w:rPr>
        <w:t xml:space="preserve">The pleadings themselves can create the agreement.</w:t>
      </w:r>
      <w:r>
        <w:t xml:space="preserve"> If the claimant says in its statement of claim that an arbitration agreement exists, and the respondent does not deny it in the defence, that exchange is itself the agreement in writing. Statement of claim and statement of defence are the arbitral equivalents of the plaint and the written statement in a civil suit.</w:t>
      </w:r>
    </w:p>
    <w:p>
      <w:pPr>
        <w:pStyle w:val="Heading3"/>
        <w:keepNext/>
        <w:spacing w:after="80" w:before="180"/>
      </w:pPr>
      <w:r>
        <w:t xml:space="preserve">Two forms of arbitration agreement</w:t>
      </w:r>
    </w:p>
    <w:p>
      <w:pPr>
        <w:spacing w:after="120" w:line="264"/>
        <w:jc w:val="both"/>
      </w:pPr>
      <w:r>
        <w:t xml:space="preserve">An </w:t>
      </w:r>
      <w:r>
        <w:rPr>
          <w:b/>
          <w:bCs/>
        </w:rPr>
        <w:t xml:space="preserve">arbitral clause</w:t>
      </w:r>
      <w:r>
        <w:t xml:space="preserve"> sits inside a larger contract. A </w:t>
      </w:r>
      <w:r>
        <w:rPr>
          <w:b/>
          <w:bCs/>
        </w:rPr>
        <w:t xml:space="preserve">separate arbitration agreement</w:t>
      </w:r>
      <w:r>
        <w:t xml:space="preserve"> is a document on its own, used where a dispute has already arisen, or where the relationship is not contained in one contract.</w:t>
      </w:r>
    </w:p>
    <w:p>
      <w:pPr>
        <w:spacing w:after="120" w:line="264"/>
        <w:jc w:val="both"/>
      </w:pPr>
      <w:r>
        <w:t xml:space="preserve">Validity is the same either way. The difference matters only for separability, discussed under section 16.</w:t>
      </w:r>
    </w:p>
    <w:p>
      <w:pPr>
        <w:pStyle w:val="Heading2"/>
        <w:keepNext/>
        <w:spacing w:after="100" w:before="250"/>
      </w:pPr>
      <w:r>
        <w:t xml:space="preserve">Is it a real agreement to arbitrate, or only a possibility?</w:t>
      </w:r>
    </w:p>
    <w:p>
      <w:pPr>
        <w:spacing w:after="120" w:line="264"/>
        <w:jc w:val="both"/>
      </w:pPr>
      <w:r>
        <w:t xml:space="preserve">This is the question that arises most often in practice. Many clauses are badly drafted. The test is whether the parties </w:t>
      </w:r>
      <w:r>
        <w:rPr>
          <w:b/>
          <w:bCs/>
        </w:rPr>
        <w:t xml:space="preserve">bound themselves</w:t>
      </w:r>
      <w:r>
        <w:t xml:space="preserve"> to arbitrate, or only left open the option of agreeing to arbitrate later.</w:t>
      </w:r>
    </w:p>
    <w:p>
      <w:pPr>
        <w:keepNext/>
        <w:spacing w:after="60" w:before="150"/>
      </w:pPr>
      <w:r>
        <w:rPr>
          <w:b/>
          <w:bCs/>
          <w:i/>
          <w:iCs/>
          <w:sz w:val="21"/>
          <w:szCs w:val="21"/>
        </w:rPr>
        <w:t xml:space="preserve">Jagdish Chander v. Ramesh Chander</w:t>
      </w:r>
      <w:r>
        <w:rPr>
          <w:sz w:val="19"/>
          <w:szCs w:val="19"/>
        </w:rPr>
        <w:t xml:space="preserve">, (2007) 5 SCC 719 (SC)</w:t>
      </w:r>
    </w:p>
    <w:p>
      <w:pPr>
        <w:spacing w:after="60" w:line="258"/>
        <w:ind w:left="230"/>
        <w:jc w:val="both"/>
      </w:pPr>
      <w:r>
        <w:rPr>
          <w:b/>
          <w:bCs/>
          <w:sz w:val="20"/>
          <w:szCs w:val="20"/>
        </w:rPr>
        <w:t xml:space="preserve">Facts. </w:t>
      </w:r>
      <w:r>
        <w:rPr>
          <w:sz w:val="20"/>
          <w:szCs w:val="20"/>
        </w:rPr>
        <w:t xml:space="preserve">Clause 16 of a partnership deed said that disputes “shall be mutually decided by the partners </w:t>
      </w:r>
      <w:r>
        <w:rPr>
          <w:b/>
          <w:bCs/>
          <w:sz w:val="20"/>
          <w:szCs w:val="20"/>
        </w:rPr>
        <w:t xml:space="preserve">or shall be referred for arbitration if the parties so determine</w:t>
      </w:r>
      <w:r>
        <w:rPr>
          <w:sz w:val="20"/>
          <w:szCs w:val="20"/>
        </w:rPr>
        <w:t xml:space="preserve">”. On a dispute about dissolution, one partner applied under section 11 and the High Court appointed a retired judge as sole arbitrator. Its reasoning was that the clause would be pointless if arbitration was not intended, and that such clauses should be read generously to encourage arbitration.</w:t>
      </w:r>
    </w:p>
    <w:p>
      <w:pPr>
        <w:spacing w:after="60" w:line="258"/>
        <w:ind w:left="230"/>
        <w:jc w:val="both"/>
      </w:pPr>
      <w:r>
        <w:rPr>
          <w:b/>
          <w:bCs/>
          <w:sz w:val="20"/>
          <w:szCs w:val="20"/>
        </w:rPr>
        <w:t xml:space="preserve">Decision. </w:t>
      </w:r>
      <w:r>
        <w:rPr>
          <w:sz w:val="20"/>
          <w:szCs w:val="20"/>
        </w:rPr>
        <w:t xml:space="preserve">Clause 16 was </w:t>
      </w:r>
      <w:r>
        <w:rPr>
          <w:b/>
          <w:bCs/>
          <w:sz w:val="20"/>
          <w:szCs w:val="20"/>
        </w:rPr>
        <w:t xml:space="preserve">not</w:t>
      </w:r>
      <w:r>
        <w:rPr>
          <w:sz w:val="20"/>
          <w:szCs w:val="20"/>
        </w:rPr>
        <w:t xml:space="preserve"> an arbitration agreement, and the appointment was set aside.</w:t>
      </w:r>
    </w:p>
    <w:p>
      <w:pPr>
        <w:spacing w:after="60" w:line="258"/>
        <w:ind w:left="230"/>
        <w:jc w:val="both"/>
      </w:pPr>
      <w:r>
        <w:rPr>
          <w:b/>
          <w:bCs/>
          <w:sz w:val="20"/>
          <w:szCs w:val="20"/>
        </w:rPr>
        <w:t xml:space="preserve">Principle. </w:t>
      </w:r>
      <w:r>
        <w:rPr>
          <w:b/>
          <w:bCs/>
          <w:sz w:val="20"/>
          <w:szCs w:val="20"/>
          <w:shd w:fill="FFF2CC" w:color="auto" w:val="clear"/>
        </w:rPr>
        <w:t xml:space="preserve">The words must show that the parties decided and bound themselves to arbitrate, not merely that they might arbitrate.</w:t>
      </w:r>
      <w:r>
        <w:rPr>
          <w:sz w:val="20"/>
          <w:szCs w:val="20"/>
        </w:rPr>
        <w:t xml:space="preserve"> “If the parties so determine” creates no present obligation at all. It looks forward to a further agreement that may never be made. Had the clause simply said disputes “shall be referred to arbitration”, it would have been an arbitration agreement. The Court followed </w:t>
      </w:r>
      <w:r>
        <w:rPr>
          <w:b/>
          <w:bCs/>
          <w:i/>
          <w:iCs/>
          <w:sz w:val="20"/>
          <w:szCs w:val="20"/>
        </w:rPr>
        <w:t xml:space="preserve">Wellington Associates Ltd. v. Kirit Mehta</w:t>
      </w:r>
      <w:r>
        <w:rPr>
          <w:sz w:val="20"/>
          <w:szCs w:val="20"/>
        </w:rPr>
        <w:t xml:space="preserve">, (2000) 4 SCC 272, where “may be referred to arbitration” was held to be merely permissive.</w:t>
      </w:r>
    </w:p>
    <w:p>
      <w:pPr>
        <w:pStyle w:val="Heading3"/>
        <w:keepNext/>
        <w:spacing w:after="80" w:before="180"/>
      </w:pPr>
      <w:r>
        <w:t xml:space="preserve">The four essential attributes</w:t>
      </w:r>
    </w:p>
    <w:p>
      <w:pPr>
        <w:spacing w:after="120" w:line="264"/>
        <w:jc w:val="both"/>
      </w:pPr>
      <w:r>
        <w:t xml:space="preserve">The Court also gave guidance that is frequently asked in examinations. An arbitration agreement must show that —</w:t>
      </w:r>
    </w:p>
    <w:p>
      <w:pPr>
        <w:pStyle w:val="ListParagraph"/>
        <w:numPr>
          <w:ilvl w:val="0"/>
          <w:numId w:val="12"/>
        </w:numPr>
        <w:spacing w:after="70" w:line="264"/>
        <w:jc w:val="both"/>
      </w:pPr>
      <w:r>
        <w:t xml:space="preserve">the agreement is </w:t>
      </w:r>
      <w:r>
        <w:rPr>
          <w:b/>
          <w:bCs/>
        </w:rPr>
        <w:t xml:space="preserve">in writing</w:t>
      </w:r>
      <w:r>
        <w:t xml:space="preserve">;</w:t>
      </w:r>
    </w:p>
    <w:p>
      <w:pPr>
        <w:pStyle w:val="ListParagraph"/>
        <w:numPr>
          <w:ilvl w:val="0"/>
          <w:numId w:val="12"/>
        </w:numPr>
        <w:spacing w:after="70" w:line="264"/>
        <w:jc w:val="both"/>
      </w:pPr>
      <w:r>
        <w:t xml:space="preserve">the parties agreed to send disputes, present or future, to a </w:t>
      </w:r>
      <w:r>
        <w:rPr>
          <w:b/>
          <w:bCs/>
        </w:rPr>
        <w:t xml:space="preserve">private tribunal</w:t>
      </w:r>
      <w:r>
        <w:t xml:space="preserve">;</w:t>
      </w:r>
    </w:p>
    <w:p>
      <w:pPr>
        <w:pStyle w:val="ListParagraph"/>
        <w:numPr>
          <w:ilvl w:val="0"/>
          <w:numId w:val="12"/>
        </w:numPr>
        <w:spacing w:after="70" w:line="264"/>
        <w:jc w:val="both"/>
      </w:pPr>
      <w:r>
        <w:t xml:space="preserve">that tribunal is to decide </w:t>
      </w:r>
      <w:r>
        <w:rPr>
          <w:b/>
          <w:bCs/>
        </w:rPr>
        <w:t xml:space="preserve">impartially</w:t>
      </w:r>
      <w:r>
        <w:t xml:space="preserve">, after giving both sides a proper chance to present their case; and</w:t>
      </w:r>
    </w:p>
    <w:p>
      <w:pPr>
        <w:pStyle w:val="ListParagraph"/>
        <w:numPr>
          <w:ilvl w:val="0"/>
          <w:numId w:val="12"/>
        </w:numPr>
        <w:spacing w:after="70" w:line="264"/>
        <w:jc w:val="both"/>
      </w:pPr>
      <w:r>
        <w:t xml:space="preserve">the parties agreed that the decision would be </w:t>
      </w:r>
      <w:r>
        <w:rPr>
          <w:b/>
          <w:bCs/>
        </w:rPr>
        <w:t xml:space="preserve">binding</w:t>
      </w:r>
      <w:r>
        <w:t xml:space="preserve"> on them.</w:t>
      </w:r>
    </w:p>
    <w:p>
      <w:pPr>
        <w:spacing w:after="120" w:line="264"/>
        <w:jc w:val="both"/>
      </w:pPr>
      <w:r>
        <w:t xml:space="preserve">Four further points follow. There is </w:t>
      </w:r>
      <w:r>
        <w:rPr>
          <w:b/>
          <w:bCs/>
        </w:rPr>
        <w:t xml:space="preserve">no prescribed form</w:t>
      </w:r>
      <w:r>
        <w:t xml:space="preserve">, so a clause can be an arbitration agreement even if the words “arbitration” and “arbitrator” never appear. Where the intention to arbitrate is clear and direct, the four attributes need not be spelt out. And where the clause takes away any one of the attributes, it is not an arbitration agreement at all.</w:t>
      </w:r>
    </w:p>
    <w:p>
      <w:pPr>
        <w:spacing w:after="120" w:line="264"/>
        <w:jc w:val="both"/>
      </w:pPr>
      <w:r>
        <w:rPr>
          <w:b/>
          <w:bCs/>
        </w:rPr>
        <w:t xml:space="preserve">Clauses that are not arbitration agreements, by way of example:</w:t>
      </w:r>
      <w:r>
        <w:t xml:space="preserve"> one that lets the decision be made </w:t>
      </w:r>
      <w:r>
        <w:rPr>
          <w:b/>
          <w:bCs/>
        </w:rPr>
        <w:t xml:space="preserve">without a hearing</w:t>
      </w:r>
      <w:r>
        <w:t xml:space="preserve">; one that requires the decision-maker to act in the interest of </w:t>
      </w:r>
      <w:r>
        <w:rPr>
          <w:b/>
          <w:bCs/>
        </w:rPr>
        <w:t xml:space="preserve">one party only</w:t>
      </w:r>
      <w:r>
        <w:t xml:space="preserve">; one that says the decision will </w:t>
      </w:r>
      <w:r>
        <w:rPr>
          <w:b/>
          <w:bCs/>
        </w:rPr>
        <w:t xml:space="preserve">not be final and binding</w:t>
      </w:r>
      <w:r>
        <w:t xml:space="preserve">; and one that lets a dissatisfied party </w:t>
      </w:r>
      <w:r>
        <w:rPr>
          <w:b/>
          <w:bCs/>
        </w:rPr>
        <w:t xml:space="preserve">file a civil suit</w:t>
      </w:r>
      <w:r>
        <w:t xml:space="preserve"> anyway.</w:t>
      </w:r>
    </w:p>
    <w:p>
      <w:pPr>
        <w:spacing w:after="120" w:line="264"/>
        <w:jc w:val="both"/>
      </w:pPr>
      <w:r>
        <w:rPr>
          <w:b/>
          <w:bCs/>
        </w:rPr>
        <w:t xml:space="preserve">Examination point.</w:t>
      </w:r>
      <w:r>
        <w:t xml:space="preserve"> </w:t>
      </w:r>
      <w:r>
        <w:rPr>
          <w:b/>
          <w:bCs/>
          <w:shd w:fill="FFF2CC" w:color="auto" w:val="clear"/>
        </w:rPr>
        <w:t xml:space="preserve">What matters is the substance of what the parties agreed, not the label they used.</w:t>
      </w:r>
    </w:p>
    <w:p>
      <w:pPr>
        <w:pStyle w:val="Heading2"/>
        <w:keepNext/>
        <w:spacing w:after="100" w:before="250"/>
      </w:pPr>
      <w:r>
        <w:t xml:space="preserve">Two recent developments</w:t>
      </w:r>
    </w:p>
    <w:p>
      <w:pPr>
        <w:spacing w:after="120" w:line="264"/>
        <w:jc w:val="both"/>
      </w:pPr>
      <w:r>
        <w:t xml:space="preserve">These two decisions affect how an arbitration agreement is treated when a party first goes to court.</w:t>
      </w:r>
    </w:p>
    <w:p>
      <w:pPr>
        <w:keepNext/>
        <w:spacing w:after="60" w:before="150"/>
      </w:pPr>
      <w:r>
        <w:rPr>
          <w:b/>
          <w:bCs/>
          <w:i/>
          <w:iCs/>
          <w:sz w:val="21"/>
          <w:szCs w:val="21"/>
        </w:rPr>
        <w:t xml:space="preserve">In Re: Interplay between Arbitration Agreements under the Arbitration and Conciliation Act 1996 and the Indian Stamp Act 1899</w:t>
      </w:r>
      <w:r>
        <w:rPr>
          <w:sz w:val="19"/>
          <w:szCs w:val="19"/>
        </w:rPr>
        <w:t xml:space="preserve">, 2023 INSC 1066 (SC, 7 Judges, 13 December 2023)</w:t>
      </w:r>
    </w:p>
    <w:p>
      <w:pPr>
        <w:spacing w:after="60" w:line="258"/>
        <w:ind w:left="230"/>
        <w:jc w:val="both"/>
      </w:pPr>
      <w:r>
        <w:rPr>
          <w:b/>
          <w:bCs/>
          <w:sz w:val="20"/>
          <w:szCs w:val="20"/>
        </w:rPr>
        <w:t xml:space="preserve">Facts. </w:t>
      </w:r>
      <w:r>
        <w:rPr>
          <w:sz w:val="20"/>
          <w:szCs w:val="20"/>
        </w:rPr>
        <w:t xml:space="preserve">Indian law requires many documents to carry stamp duty. The question was whether an arbitration clause inside a contract that was unstamped, or insufficiently stamped, could be acted upon at all.</w:t>
      </w:r>
    </w:p>
    <w:p>
      <w:pPr>
        <w:spacing w:after="60" w:line="258"/>
        <w:ind w:left="230"/>
        <w:jc w:val="both"/>
      </w:pPr>
      <w:r>
        <w:rPr>
          <w:b/>
          <w:bCs/>
          <w:sz w:val="20"/>
          <w:szCs w:val="20"/>
        </w:rPr>
        <w:t xml:space="preserve">Decision. </w:t>
      </w:r>
      <w:r>
        <w:rPr>
          <w:b/>
          <w:bCs/>
          <w:sz w:val="20"/>
          <w:szCs w:val="20"/>
          <w:shd w:fill="FFF2CC" w:color="auto" w:val="clear"/>
        </w:rPr>
        <w:t xml:space="preserve">Not paying enough stamp duty makes the document inadmissible as evidence, but it does not make it void or unenforceable. The defect can be cured by paying the duty.</w:t>
      </w:r>
    </w:p>
    <w:p>
      <w:pPr>
        <w:spacing w:after="60" w:line="258"/>
        <w:ind w:left="230"/>
        <w:jc w:val="both"/>
      </w:pPr>
      <w:r>
        <w:rPr>
          <w:b/>
          <w:bCs/>
          <w:sz w:val="20"/>
          <w:szCs w:val="20"/>
        </w:rPr>
        <w:t xml:space="preserve">Principle. </w:t>
      </w:r>
      <w:r>
        <w:rPr>
          <w:sz w:val="20"/>
          <w:szCs w:val="20"/>
        </w:rPr>
        <w:t xml:space="preserve">Stamping is a matter for the </w:t>
      </w:r>
      <w:r>
        <w:rPr>
          <w:b/>
          <w:bCs/>
          <w:sz w:val="20"/>
          <w:szCs w:val="20"/>
        </w:rPr>
        <w:t xml:space="preserve">arbitral tribunal</w:t>
      </w:r>
      <w:r>
        <w:rPr>
          <w:sz w:val="20"/>
          <w:szCs w:val="20"/>
        </w:rPr>
        <w:t xml:space="preserve"> to look at, not for the court at the stage of section 8 or section 11.</w:t>
      </w:r>
    </w:p>
    <w:p>
      <w:pPr>
        <w:spacing w:after="60" w:line="258"/>
        <w:ind w:left="230"/>
        <w:jc w:val="both"/>
      </w:pPr>
      <w:r>
        <w:rPr>
          <w:b/>
          <w:bCs/>
          <w:sz w:val="20"/>
          <w:szCs w:val="20"/>
        </w:rPr>
        <w:t xml:space="preserve">Status. </w:t>
      </w:r>
      <w:r>
        <w:rPr>
          <w:sz w:val="20"/>
          <w:szCs w:val="20"/>
        </w:rPr>
        <w:t xml:space="preserve">This seven-judge decision </w:t>
      </w:r>
      <w:r>
        <w:rPr>
          <w:b/>
          <w:bCs/>
          <w:sz w:val="20"/>
          <w:szCs w:val="20"/>
        </w:rPr>
        <w:t xml:space="preserve">overruled</w:t>
      </w:r>
      <w:r>
        <w:rPr>
          <w:sz w:val="20"/>
          <w:szCs w:val="20"/>
        </w:rPr>
        <w:t xml:space="preserve"> </w:t>
      </w:r>
      <w:r>
        <w:rPr>
          <w:b/>
          <w:bCs/>
          <w:i/>
          <w:iCs/>
          <w:sz w:val="20"/>
          <w:szCs w:val="20"/>
        </w:rPr>
        <w:t xml:space="preserve">N.N. Global Mercantile Pvt. Ltd. v. Indo Unique Flame Ltd.</w:t>
      </w:r>
      <w:r>
        <w:rPr>
          <w:sz w:val="20"/>
          <w:szCs w:val="20"/>
        </w:rPr>
        <w:t xml:space="preserve">, (2023) 7 SCC 1, and </w:t>
      </w:r>
      <w:r>
        <w:rPr>
          <w:b/>
          <w:bCs/>
          <w:i/>
          <w:iCs/>
          <w:sz w:val="20"/>
          <w:szCs w:val="20"/>
        </w:rPr>
        <w:t xml:space="preserve">SMS Tea Estates Pvt. Ltd. v. Chandmari Tea Co. Pvt. Ltd.</w:t>
      </w:r>
      <w:r>
        <w:rPr>
          <w:sz w:val="20"/>
          <w:szCs w:val="20"/>
        </w:rPr>
        <w:t xml:space="preserve">, (2011) 14 SCC 66, and overruled paragraphs 22 and 29 of </w:t>
      </w:r>
      <w:r>
        <w:rPr>
          <w:b/>
          <w:bCs/>
          <w:i/>
          <w:iCs/>
          <w:sz w:val="20"/>
          <w:szCs w:val="20"/>
        </w:rPr>
        <w:t xml:space="preserve">Garware Wall Ropes Ltd. v. Coastal Marine Constructions &amp; Engineering Ltd.</w:t>
      </w:r>
      <w:r>
        <w:rPr>
          <w:sz w:val="20"/>
          <w:szCs w:val="20"/>
        </w:rPr>
        <w:t xml:space="preserve">, (2019) 9 SCC 209.</w:t>
      </w:r>
    </w:p>
    <w:p>
      <w:pPr>
        <w:keepNext/>
        <w:spacing w:after="60" w:before="150"/>
      </w:pPr>
      <w:r>
        <w:rPr>
          <w:b/>
          <w:bCs/>
          <w:i/>
          <w:iCs/>
          <w:sz w:val="21"/>
          <w:szCs w:val="21"/>
        </w:rPr>
        <w:t xml:space="preserve">Cox and Kings Ltd. v. SAP India Pvt. Ltd.</w:t>
      </w:r>
      <w:r>
        <w:rPr>
          <w:sz w:val="19"/>
          <w:szCs w:val="19"/>
        </w:rPr>
        <w:t xml:space="preserve">, 2023 INSC 1051; 2023 SCC OnLine SC 1634 (SC, Constitution Bench of 5, 6 December 2023)</w:t>
      </w:r>
    </w:p>
    <w:p>
      <w:pPr>
        <w:spacing w:after="60" w:line="258"/>
        <w:ind w:left="230"/>
        <w:jc w:val="both"/>
      </w:pPr>
      <w:r>
        <w:rPr>
          <w:b/>
          <w:bCs/>
          <w:sz w:val="20"/>
          <w:szCs w:val="20"/>
        </w:rPr>
        <w:t xml:space="preserve">Facts. </w:t>
      </w:r>
      <w:r>
        <w:rPr>
          <w:sz w:val="20"/>
          <w:szCs w:val="20"/>
        </w:rPr>
        <w:t xml:space="preserve">Only one company in a corporate group had signed the arbitration agreement. The question was whether a related company that had not signed could still be made a party.</w:t>
      </w:r>
    </w:p>
    <w:p>
      <w:pPr>
        <w:spacing w:after="60" w:line="258"/>
        <w:ind w:left="230"/>
        <w:jc w:val="both"/>
      </w:pPr>
      <w:r>
        <w:rPr>
          <w:b/>
          <w:bCs/>
          <w:sz w:val="20"/>
          <w:szCs w:val="20"/>
        </w:rPr>
        <w:t xml:space="preserve">Decision. </w:t>
      </w:r>
      <w:r>
        <w:rPr>
          <w:sz w:val="20"/>
          <w:szCs w:val="20"/>
        </w:rPr>
        <w:t xml:space="preserve">It can, under what is called the </w:t>
      </w:r>
      <w:r>
        <w:rPr>
          <w:b/>
          <w:bCs/>
          <w:sz w:val="20"/>
          <w:szCs w:val="20"/>
        </w:rPr>
        <w:t xml:space="preserve">group of companies doctrine</w:t>
      </w:r>
      <w:r>
        <w:rPr>
          <w:sz w:val="20"/>
          <w:szCs w:val="20"/>
        </w:rPr>
        <w:t xml:space="preserve">, which is part of Indian law.</w:t>
      </w:r>
    </w:p>
    <w:p>
      <w:pPr>
        <w:spacing w:after="60" w:line="258"/>
        <w:ind w:left="230"/>
        <w:jc w:val="both"/>
      </w:pPr>
      <w:r>
        <w:rPr>
          <w:b/>
          <w:bCs/>
          <w:sz w:val="20"/>
          <w:szCs w:val="20"/>
        </w:rPr>
        <w:t xml:space="preserve">Principle. </w:t>
      </w:r>
      <w:r>
        <w:rPr>
          <w:sz w:val="20"/>
          <w:szCs w:val="20"/>
        </w:rPr>
        <w:t xml:space="preserve">The doctrine rests on the definition of “parties” in </w:t>
      </w:r>
      <w:r>
        <w:rPr>
          <w:b/>
          <w:bCs/>
          <w:sz w:val="20"/>
          <w:szCs w:val="20"/>
        </w:rPr>
        <w:t xml:space="preserve">section 2(1)(h) read with section 7</w:t>
      </w:r>
      <w:r>
        <w:rPr>
          <w:sz w:val="20"/>
          <w:szCs w:val="20"/>
        </w:rPr>
        <w:t xml:space="preserve">, and on whether the parties in fact intended to bind the non-signatory. Earlier cases had based it on the words “claiming through or under”, and the Court moved away from that. Whether a particular non-signatory is actually bound is left to the tribunal to decide.</w:t>
      </w:r>
    </w:p>
    <w:p>
      <w:pPr>
        <w:pStyle w:val="Heading1"/>
        <w:keepNext/>
        <w:pBdr>
          <w:bottom w:val="single" w:color="1F3864" w:sz="6" w:space="4"/>
        </w:pBdr>
        <w:spacing w:after="160" w:before="420"/>
      </w:pPr>
      <w:r>
        <w:t xml:space="preserve">5.  Temporary Protective Orders: Sections 9 and 17</w:t>
      </w:r>
    </w:p>
    <w:p>
      <w:pPr>
        <w:pStyle w:val="Heading2"/>
        <w:keepNext/>
        <w:spacing w:after="100" w:before="250"/>
      </w:pPr>
      <w:r>
        <w:t xml:space="preserve">Why these sections exist</w:t>
      </w:r>
    </w:p>
    <w:p>
      <w:pPr>
        <w:spacing w:after="120" w:line="264"/>
        <w:jc w:val="both"/>
      </w:pPr>
      <w:r>
        <w:t xml:space="preserve">An arbitration takes months, sometimes years. In the meantime the thing being fought over may be sold, damaged, hidden or taken abroad. If that happens, the award, when it finally comes, is worth nothing.</w:t>
      </w:r>
    </w:p>
    <w:p>
      <w:pPr>
        <w:spacing w:after="120" w:line="264"/>
        <w:jc w:val="both"/>
      </w:pPr>
      <w:r>
        <w:rPr>
          <w:b/>
          <w:bCs/>
        </w:rPr>
        <w:t xml:space="preserve">Interim measures</w:t>
      </w:r>
      <w:r>
        <w:t xml:space="preserve"> are orders made before the final award to keep the position as it is. They protect goods, freeze money, stop a party doing something, or put property into the hands of a receiver.</w:t>
      </w:r>
    </w:p>
    <w:p>
      <w:pPr>
        <w:spacing w:after="120" w:line="264"/>
        <w:jc w:val="both"/>
      </w:pPr>
      <w:r>
        <w:t xml:space="preserve">The Act gives two routes. A party can go to the </w:t>
      </w:r>
      <w:r>
        <w:rPr>
          <w:b/>
          <w:bCs/>
        </w:rPr>
        <w:t xml:space="preserve">court</w:t>
      </w:r>
      <w:r>
        <w:t xml:space="preserve"> under section 9, or to the </w:t>
      </w:r>
      <w:r>
        <w:rPr>
          <w:b/>
          <w:bCs/>
        </w:rPr>
        <w:t xml:space="preserve">tribunal</w:t>
      </w:r>
      <w:r>
        <w:t xml:space="preserve"> under section 17. The 2015 Amendment changed the relationship between them, so that </w:t>
      </w:r>
      <w:r>
        <w:rPr>
          <w:b/>
          <w:bCs/>
          <w:shd w:fill="FFF2CC" w:color="auto" w:val="clear"/>
        </w:rPr>
        <w:t xml:space="preserve">once a tribunal exists, the tribunal is now the normal forum.</w:t>
      </w:r>
    </w:p>
    <w:p>
      <w:pPr>
        <w:pStyle w:val="Heading2"/>
        <w:keepNext/>
        <w:spacing w:after="100" w:before="250"/>
      </w:pPr>
      <w:r>
        <w:t xml:space="preserve">Section 9: orders from the court</w:t>
      </w:r>
    </w:p>
    <w:p>
      <w:pPr>
        <w:spacing w:after="120" w:line="264"/>
        <w:jc w:val="both"/>
      </w:pPr>
      <w:r>
        <w:t xml:space="preserve">A party may apply to the court at three different times: </w:t>
      </w:r>
      <w:r>
        <w:rPr>
          <w:b/>
          <w:bCs/>
        </w:rPr>
        <w:t xml:space="preserve">before the arbitration starts, while it is going on, or after the award is made but before it is enforced</w:t>
      </w:r>
      <w:r>
        <w:t xml:space="preserve"> under section 36.</w:t>
      </w:r>
    </w:p>
    <w:p>
      <w:pPr>
        <w:spacing w:after="120" w:line="264"/>
        <w:jc w:val="both"/>
      </w:pPr>
      <w:r>
        <w:t xml:space="preserve">Two kinds of relief are available. The first is the appointment of a guardian for a minor or a person of unsound mind, so that the arbitration can proceed. The second is an interim measure of protection, in respect of the following matters.</w:t>
      </w:r>
    </w:p>
    <w:p>
      <w:pPr>
        <w:pStyle w:val="ListParagraph"/>
        <w:numPr>
          <w:ilvl w:val="0"/>
          <w:numId w:val="13"/>
        </w:numPr>
        <w:spacing w:after="70" w:line="264"/>
        <w:jc w:val="both"/>
      </w:pPr>
      <w:r>
        <w:t xml:space="preserve">keeping safe, taking custody of, or selling goods that are the subject matter of the arbitration agreement;</w:t>
      </w:r>
    </w:p>
    <w:p>
      <w:pPr>
        <w:pStyle w:val="ListParagraph"/>
        <w:numPr>
          <w:ilvl w:val="0"/>
          <w:numId w:val="13"/>
        </w:numPr>
        <w:spacing w:after="70" w:line="264"/>
        <w:jc w:val="both"/>
      </w:pPr>
      <w:r>
        <w:t xml:space="preserve">securing the amount in dispute, so that money is available at the end;</w:t>
      </w:r>
    </w:p>
    <w:p>
      <w:pPr>
        <w:pStyle w:val="ListParagraph"/>
        <w:numPr>
          <w:ilvl w:val="0"/>
          <w:numId w:val="13"/>
        </w:numPr>
        <w:spacing w:after="70" w:line="264"/>
        <w:jc w:val="both"/>
      </w:pPr>
      <w:r>
        <w:t xml:space="preserve">detaining, preserving or inspecting any property or thing connected with the dispute, with power to allow entry onto land or buildings, and to take samples or conduct experiments;</w:t>
      </w:r>
    </w:p>
    <w:p>
      <w:pPr>
        <w:pStyle w:val="ListParagraph"/>
        <w:numPr>
          <w:ilvl w:val="0"/>
          <w:numId w:val="13"/>
        </w:numPr>
        <w:spacing w:after="70" w:line="264"/>
        <w:jc w:val="both"/>
      </w:pPr>
      <w:r>
        <w:t xml:space="preserve">an interim injunction, or the appointment of a receiver to manage property;</w:t>
      </w:r>
    </w:p>
    <w:p>
      <w:pPr>
        <w:pStyle w:val="ListParagraph"/>
        <w:numPr>
          <w:ilvl w:val="0"/>
          <w:numId w:val="13"/>
        </w:numPr>
        <w:spacing w:after="70" w:line="264"/>
        <w:jc w:val="both"/>
      </w:pPr>
      <w:r>
        <w:t xml:space="preserve">any other interim measure that appears to the court </w:t>
      </w:r>
      <w:r>
        <w:rPr>
          <w:b/>
          <w:bCs/>
        </w:rPr>
        <w:t xml:space="preserve">just and convenient</w:t>
      </w:r>
      <w:r>
        <w:t xml:space="preserve">.</w:t>
      </w:r>
    </w:p>
    <w:p>
      <w:pPr>
        <w:spacing w:after="120" w:line="264"/>
        <w:jc w:val="both"/>
      </w:pPr>
      <w:r>
        <w:t xml:space="preserve">The last one is a catch-all, and it is the widest of the five. For the purpose of making these orders the court has the same powers it has in an ordinary suit.</w:t>
      </w:r>
    </w:p>
    <w:p>
      <w:pPr>
        <w:pStyle w:val="Heading3"/>
        <w:keepNext/>
        <w:spacing w:after="80" w:before="180"/>
      </w:pPr>
      <w:r>
        <w:t xml:space="preserve">Two restrictions added in 2015</w:t>
      </w:r>
    </w:p>
    <w:p>
      <w:pPr>
        <w:spacing w:after="120" w:line="264"/>
        <w:jc w:val="both"/>
      </w:pPr>
      <w:r>
        <w:t xml:space="preserve">Before 2015, a party could get an order from the court and then simply sit on it. Two new sub-sections stop that.</w:t>
      </w:r>
    </w:p>
    <w:p>
      <w:pPr>
        <w:pStyle w:val="ListParagraph"/>
        <w:numPr>
          <w:ilvl w:val="0"/>
          <w:numId w:val="14"/>
        </w:numPr>
        <w:spacing w:after="70" w:line="264"/>
        <w:jc w:val="both"/>
      </w:pPr>
      <w:r>
        <w:rPr>
          <w:b/>
          <w:bCs/>
        </w:rPr>
        <w:t xml:space="preserve">Section 9(2) — the ninety-day rule.</w:t>
      </w:r>
      <w:r>
        <w:t xml:space="preserve"> If the court gives an order </w:t>
      </w:r>
      <w:r>
        <w:rPr>
          <w:b/>
          <w:bCs/>
        </w:rPr>
        <w:t xml:space="preserve">before</w:t>
      </w:r>
      <w:r>
        <w:t xml:space="preserve"> the arbitration begins, the arbitration must be started within </w:t>
      </w:r>
      <w:r>
        <w:rPr>
          <w:b/>
          <w:bCs/>
        </w:rPr>
        <w:t xml:space="preserve">ninety days</w:t>
      </w:r>
      <w:r>
        <w:t xml:space="preserve"> of that order, or within any longer time the court allows. So a party cannot take the protection and then never arbitrate.</w:t>
      </w:r>
    </w:p>
    <w:p>
      <w:pPr>
        <w:pStyle w:val="ListParagraph"/>
        <w:numPr>
          <w:ilvl w:val="0"/>
          <w:numId w:val="14"/>
        </w:numPr>
        <w:spacing w:after="70" w:line="264"/>
        <w:jc w:val="both"/>
      </w:pPr>
      <w:r>
        <w:rPr>
          <w:b/>
          <w:bCs/>
        </w:rPr>
        <w:t xml:space="preserve">Section 9(3) — the efficacious remedy rule.</w:t>
      </w:r>
      <w:r>
        <w:t xml:space="preserve"> </w:t>
      </w:r>
      <w:r>
        <w:rPr>
          <w:b/>
          <w:bCs/>
          <w:shd w:fill="FFF2CC" w:color="auto" w:val="clear"/>
        </w:rPr>
        <w:t xml:space="preserve">Once the tribunal has been formed, the court will not hear a section 9 application at all, unless it finds that going to the tribunal under section 17 would not work properly.</w:t>
      </w:r>
      <w:r>
        <w:t xml:space="preserve"> The burden is on the applicant to show why the tribunal cannot help.</w:t>
      </w:r>
    </w:p>
    <w:p>
      <w:pPr>
        <w:keepNext/>
        <w:spacing w:after="60" w:before="150"/>
      </w:pPr>
      <w:r>
        <w:rPr>
          <w:b/>
          <w:bCs/>
          <w:i/>
          <w:iCs/>
          <w:sz w:val="21"/>
          <w:szCs w:val="21"/>
        </w:rPr>
        <w:t xml:space="preserve">Sundaram Finance Ltd. v. NEPC India Ltd.</w:t>
      </w:r>
      <w:r>
        <w:rPr>
          <w:sz w:val="19"/>
          <w:szCs w:val="19"/>
        </w:rPr>
        <w:t xml:space="preserve">, (1999) 2 SCC 479; AIR 1999 SC 565 (SC, 13 January 1999)</w:t>
      </w:r>
    </w:p>
    <w:p>
      <w:pPr>
        <w:spacing w:after="60" w:line="258"/>
        <w:ind w:left="230"/>
        <w:jc w:val="both"/>
      </w:pPr>
      <w:r>
        <w:rPr>
          <w:b/>
          <w:bCs/>
          <w:sz w:val="20"/>
          <w:szCs w:val="20"/>
        </w:rPr>
        <w:t xml:space="preserve">Facts. </w:t>
      </w:r>
      <w:r>
        <w:rPr>
          <w:sz w:val="20"/>
          <w:szCs w:val="20"/>
        </w:rPr>
        <w:t xml:space="preserve">NEPC took two wind turbine generators on hire-purchase, to be paid for in thirty-six instalments. It paid fifteen and then stopped. Sundaram Finance applied under section 9 and got an order appointing an Advocate-Commissioner to take custody of the machinery. NEPC objected that no arbitration was pending and no arbitrator had even been appointed, so a standalone section 9 application was not allowed.</w:t>
      </w:r>
    </w:p>
    <w:p>
      <w:pPr>
        <w:spacing w:after="60" w:line="258"/>
        <w:ind w:left="230"/>
        <w:jc w:val="both"/>
      </w:pPr>
      <w:r>
        <w:rPr>
          <w:b/>
          <w:bCs/>
          <w:sz w:val="20"/>
          <w:szCs w:val="20"/>
        </w:rPr>
        <w:t xml:space="preserve">Decision. </w:t>
      </w:r>
      <w:r>
        <w:rPr>
          <w:b/>
          <w:bCs/>
          <w:sz w:val="20"/>
          <w:szCs w:val="20"/>
          <w:shd w:fill="FFF2CC" w:color="auto" w:val="clear"/>
        </w:rPr>
        <w:t xml:space="preserve">The application was allowed. Section 9 relief can be obtained before the arbitration begins.</w:t>
      </w:r>
    </w:p>
    <w:p>
      <w:pPr>
        <w:spacing w:after="60" w:line="258"/>
        <w:ind w:left="230"/>
        <w:jc w:val="both"/>
      </w:pPr>
      <w:r>
        <w:rPr>
          <w:b/>
          <w:bCs/>
          <w:sz w:val="20"/>
          <w:szCs w:val="20"/>
        </w:rPr>
        <w:t xml:space="preserve">Principle. </w:t>
      </w:r>
      <w:r>
        <w:rPr>
          <w:sz w:val="20"/>
          <w:szCs w:val="20"/>
        </w:rPr>
        <w:t xml:space="preserve">The section says “before or during arbitral proceedings”, and those words must be given effect. A party need not first send a notice under section 21. What it must show is a </w:t>
      </w:r>
      <w:r>
        <w:rPr>
          <w:b/>
          <w:bCs/>
          <w:sz w:val="20"/>
          <w:szCs w:val="20"/>
        </w:rPr>
        <w:t xml:space="preserve">manifest intention</w:t>
      </w:r>
      <w:r>
        <w:rPr>
          <w:sz w:val="20"/>
          <w:szCs w:val="20"/>
        </w:rPr>
        <w:t xml:space="preserve"> to go to arbitration — a clear, visible intention. A section 21 notice can prove that intention, but so can other material, including an affidavit. Before giving relief the court must satisfy itself that a valid arbitration agreement exists and that the applicant really intends to arbitrate. To make sure the party follows through, the court may </w:t>
      </w:r>
      <w:r>
        <w:rPr>
          <w:b/>
          <w:bCs/>
          <w:sz w:val="20"/>
          <w:szCs w:val="20"/>
        </w:rPr>
        <w:t xml:space="preserve">attach conditions</w:t>
      </w:r>
      <w:r>
        <w:rPr>
          <w:sz w:val="20"/>
          <w:szCs w:val="20"/>
        </w:rPr>
        <w:t xml:space="preserve"> to its order.</w:t>
      </w:r>
    </w:p>
    <w:p>
      <w:pPr>
        <w:spacing w:after="60" w:line="258"/>
        <w:ind w:left="230"/>
        <w:jc w:val="both"/>
      </w:pPr>
      <w:r>
        <w:rPr>
          <w:b/>
          <w:bCs/>
          <w:sz w:val="20"/>
          <w:szCs w:val="20"/>
        </w:rPr>
        <w:t xml:space="preserve">Status. </w:t>
      </w:r>
      <w:r>
        <w:rPr>
          <w:sz w:val="20"/>
          <w:szCs w:val="20"/>
        </w:rPr>
        <w:t xml:space="preserve">Good law. The 2015 Amendment left this relief untouched, and simply added the ninety-day rule, which now does by statute what the court used to do by attaching conditions. </w:t>
      </w:r>
      <w:r>
        <w:rPr>
          <w:b/>
          <w:bCs/>
          <w:i/>
          <w:iCs/>
          <w:sz w:val="20"/>
          <w:szCs w:val="20"/>
        </w:rPr>
        <w:t xml:space="preserve">Firm Ashok Traders v. Gurumukh Das Saluja</w:t>
      </w:r>
      <w:r>
        <w:rPr>
          <w:sz w:val="20"/>
          <w:szCs w:val="20"/>
        </w:rPr>
        <w:t xml:space="preserve">, (2004) 3 SCC 155, adds one point: the section 9 right comes from the statute, not from the contract, and only a </w:t>
      </w:r>
      <w:r>
        <w:rPr>
          <w:b/>
          <w:bCs/>
          <w:sz w:val="20"/>
          <w:szCs w:val="20"/>
        </w:rPr>
        <w:t xml:space="preserve">party</w:t>
      </w:r>
      <w:r>
        <w:rPr>
          <w:sz w:val="20"/>
          <w:szCs w:val="20"/>
        </w:rPr>
        <w:t xml:space="preserve"> to the arbitration agreement can use it.</w:t>
      </w:r>
    </w:p>
    <w:p>
      <w:pPr>
        <w:pStyle w:val="Heading2"/>
        <w:keepNext/>
        <w:spacing w:after="100" w:before="250"/>
      </w:pPr>
      <w:r>
        <w:t xml:space="preserve">Section 17: orders from the tribunal</w:t>
      </w:r>
    </w:p>
    <w:p>
      <w:pPr>
        <w:pStyle w:val="Heading3"/>
        <w:keepNext/>
        <w:spacing w:after="80" w:before="180"/>
      </w:pPr>
      <w:r>
        <w:t xml:space="preserve">The position before 2015</w:t>
      </w:r>
    </w:p>
    <w:p>
      <w:pPr>
        <w:spacing w:after="120" w:line="264"/>
        <w:jc w:val="both"/>
      </w:pPr>
      <w:r>
        <w:t xml:space="preserve">The tribunal could order a party to take any interim measure it thought necessary, and could ask for security. Its powers overlapped with the court's, but section 9 was much wider because it also covered the time before and after the arbitration.</w:t>
      </w:r>
    </w:p>
    <w:p>
      <w:pPr>
        <w:spacing w:after="120" w:line="264"/>
        <w:jc w:val="both"/>
      </w:pPr>
      <w:r>
        <w:t xml:space="preserve">The real problem was different, and it was fatal. </w:t>
      </w:r>
      <w:r>
        <w:rPr>
          <w:b/>
          <w:bCs/>
          <w:shd w:fill="FFF2CC" w:color="auto" w:val="clear"/>
        </w:rPr>
        <w:t xml:space="preserve">The tribunal had no way of enforcing its own orders.</w:t>
      </w:r>
      <w:r>
        <w:t xml:space="preserve"> A party could simply ignore them, and the only answer was to go to court anyway. So tribunal orders were always liable to be replaced by court orders.</w:t>
      </w:r>
    </w:p>
    <w:p>
      <w:pPr>
        <w:pStyle w:val="Heading3"/>
        <w:keepNext/>
        <w:spacing w:after="80" w:before="180"/>
      </w:pPr>
      <w:r>
        <w:t xml:space="preserve">The position after 2015</w:t>
      </w:r>
    </w:p>
    <w:p>
      <w:pPr>
        <w:spacing w:after="120" w:line="264"/>
        <w:jc w:val="both"/>
      </w:pPr>
      <w:r>
        <w:t xml:space="preserve">Section 17 was rewritten, and the balance reversed.</w:t>
      </w:r>
    </w:p>
    <w:p>
      <w:pPr>
        <w:spacing w:after="120" w:line="264"/>
        <w:jc w:val="both"/>
      </w:pPr>
      <w:r>
        <w:t xml:space="preserve">First, the tribunal's powers were made </w:t>
      </w:r>
      <w:r>
        <w:rPr>
          <w:b/>
          <w:bCs/>
        </w:rPr>
        <w:t xml:space="preserve">the same as the court's</w:t>
      </w:r>
      <w:r>
        <w:t xml:space="preserve"> — the same guardian provision, the same five heads of protection, and the same power of making orders that a court has in a suit.</w:t>
      </w:r>
    </w:p>
    <w:p>
      <w:pPr>
        <w:spacing w:after="120" w:line="264"/>
        <w:jc w:val="both"/>
      </w:pPr>
      <w:r>
        <w:t xml:space="preserve">Second, and this is the key change, </w:t>
      </w:r>
      <w:r>
        <w:rPr>
          <w:b/>
          <w:bCs/>
        </w:rPr>
        <w:t xml:space="preserve">section 17(2)</w:t>
      </w:r>
      <w:r>
        <w:t xml:space="preserve"> says that an order of the tribunal </w:t>
      </w:r>
      <w:r>
        <w:rPr>
          <w:b/>
          <w:bCs/>
          <w:shd w:fill="FFF2CC" w:color="auto" w:val="clear"/>
        </w:rPr>
        <w:t xml:space="preserve">is treated as an order of the court for all purposes, and can be enforced in the same way,</w:t>
      </w:r>
      <w:r>
        <w:t xml:space="preserve"> under the Code of Civil Procedure, 1908. This cured the defect completely.</w:t>
      </w:r>
    </w:p>
    <w:p>
      <w:pPr>
        <w:spacing w:after="120" w:line="264"/>
        <w:jc w:val="both"/>
      </w:pPr>
      <w:r>
        <w:rPr>
          <w:b/>
          <w:bCs/>
        </w:rPr>
        <w:t xml:space="preserve">One limit remains.</w:t>
      </w:r>
      <w:r>
        <w:t xml:space="preserve"> Section 17 works only </w:t>
      </w:r>
      <w:r>
        <w:rPr>
          <w:b/>
          <w:bCs/>
        </w:rPr>
        <w:t xml:space="preserve">during the arbitral proceedings</w:t>
      </w:r>
      <w:r>
        <w:t xml:space="preserve">. Once the award is made, the tribunal's job is over — it is </w:t>
      </w:r>
      <w:r>
        <w:rPr>
          <w:i/>
          <w:iCs/>
        </w:rPr>
        <w:t xml:space="preserve">functus officio</w:t>
      </w:r>
      <w:r>
        <w:t xml:space="preserve"> — and it has no more power. So if a party needs protection between the award and its enforcement, it must go to the court under section 9. </w:t>
      </w:r>
      <w:r>
        <w:rPr>
          <w:b/>
          <w:bCs/>
        </w:rPr>
        <w:t xml:space="preserve">This is the useful role section 9 still keeps.</w:t>
      </w:r>
    </w:p>
    <w:p>
      <w:pPr>
        <w:pStyle w:val="Heading2"/>
        <w:keepNext/>
        <w:spacing w:after="100" w:before="250"/>
      </w:pPr>
      <w:r>
        <w:t xml:space="preserve">Sections 9 and 17 compared</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750"/>
        <w:gridCol w:w="3550"/>
        <w:gridCol w:w="3550"/>
      </w:tblGrid>
      <w:tr>
        <w:trPr>
          <w:tblHeader/>
        </w:trPr>
        <w:tc>
          <w:tcPr>
            <w:tcW w:type="dxa" w:w="1750"/>
            <w:tcMar>
              <w:top w:type="dxa" w:w="70"/>
              <w:left w:type="dxa" w:w="100"/>
              <w:bottom w:type="dxa" w:w="70"/>
              <w:right w:type="dxa" w:w="100"/>
            </w:tcMar>
          </w:tcPr>
          <w:p>
            <w:pPr>
              <w:spacing w:after="0" w:line="240"/>
            </w:pPr>
            <w:r>
              <w:rPr>
                <w:b/>
                <w:bCs/>
                <w:color w:val="1F3864"/>
                <w:sz w:val="18"/>
                <w:szCs w:val="18"/>
              </w:rPr>
              <w:t xml:space="preserve">Point</w:t>
            </w:r>
          </w:p>
        </w:tc>
        <w:tc>
          <w:tcPr>
            <w:tcW w:type="dxa" w:w="3550"/>
            <w:tcMar>
              <w:top w:type="dxa" w:w="70"/>
              <w:left w:type="dxa" w:w="100"/>
              <w:bottom w:type="dxa" w:w="70"/>
              <w:right w:type="dxa" w:w="100"/>
            </w:tcMar>
          </w:tcPr>
          <w:p>
            <w:pPr>
              <w:spacing w:after="0" w:line="240"/>
            </w:pPr>
            <w:r>
              <w:rPr>
                <w:b/>
                <w:bCs/>
                <w:color w:val="1F3864"/>
                <w:sz w:val="18"/>
                <w:szCs w:val="18"/>
              </w:rPr>
              <w:t xml:space="preserve">Section 9 — court</w:t>
            </w:r>
          </w:p>
        </w:tc>
        <w:tc>
          <w:tcPr>
            <w:tcW w:type="dxa" w:w="3550"/>
            <w:tcMar>
              <w:top w:type="dxa" w:w="70"/>
              <w:left w:type="dxa" w:w="100"/>
              <w:bottom w:type="dxa" w:w="70"/>
              <w:right w:type="dxa" w:w="100"/>
            </w:tcMar>
          </w:tcPr>
          <w:p>
            <w:pPr>
              <w:spacing w:after="0" w:line="240"/>
            </w:pPr>
            <w:r>
              <w:rPr>
                <w:b/>
                <w:bCs/>
                <w:color w:val="1F3864"/>
                <w:sz w:val="18"/>
                <w:szCs w:val="18"/>
              </w:rPr>
              <w:t xml:space="preserve">Section 17 — tribunal</w:t>
            </w:r>
          </w:p>
        </w:tc>
      </w:tr>
      <w:tr>
        <w:tc>
          <w:tcPr>
            <w:tcW w:type="dxa" w:w="1750"/>
            <w:tcMar>
              <w:top w:type="dxa" w:w="70"/>
              <w:left w:type="dxa" w:w="100"/>
              <w:bottom w:type="dxa" w:w="70"/>
              <w:right w:type="dxa" w:w="100"/>
            </w:tcMar>
          </w:tcPr>
          <w:p>
            <w:pPr>
              <w:spacing w:after="0" w:line="240"/>
            </w:pPr>
            <w:r>
              <w:rPr>
                <w:sz w:val="18"/>
                <w:szCs w:val="18"/>
              </w:rPr>
              <w:t xml:space="preserve">When available</w:t>
            </w:r>
          </w:p>
        </w:tc>
        <w:tc>
          <w:tcPr>
            <w:tcW w:type="dxa" w:w="3550"/>
            <w:tcMar>
              <w:top w:type="dxa" w:w="70"/>
              <w:left w:type="dxa" w:w="100"/>
              <w:bottom w:type="dxa" w:w="70"/>
              <w:right w:type="dxa" w:w="100"/>
            </w:tcMar>
          </w:tcPr>
          <w:p>
            <w:pPr>
              <w:spacing w:after="0" w:line="240"/>
            </w:pPr>
            <w:r>
              <w:rPr>
                <w:sz w:val="18"/>
                <w:szCs w:val="18"/>
              </w:rPr>
              <w:t xml:space="preserve">Before, during, and after the award but before enforcement.</w:t>
            </w:r>
          </w:p>
        </w:tc>
        <w:tc>
          <w:tcPr>
            <w:tcW w:type="dxa" w:w="3550"/>
            <w:tcMar>
              <w:top w:type="dxa" w:w="70"/>
              <w:left w:type="dxa" w:w="100"/>
              <w:bottom w:type="dxa" w:w="70"/>
              <w:right w:type="dxa" w:w="100"/>
            </w:tcMar>
          </w:tcPr>
          <w:p>
            <w:pPr>
              <w:spacing w:after="0" w:line="240"/>
            </w:pPr>
            <w:r>
              <w:rPr>
                <w:sz w:val="18"/>
                <w:szCs w:val="18"/>
              </w:rPr>
              <w:t xml:space="preserve">Only while the arbitration is going on.</w:t>
            </w:r>
          </w:p>
        </w:tc>
      </w:tr>
      <w:tr>
        <w:tc>
          <w:tcPr>
            <w:tcW w:type="dxa" w:w="1750"/>
            <w:tcMar>
              <w:top w:type="dxa" w:w="70"/>
              <w:left w:type="dxa" w:w="100"/>
              <w:bottom w:type="dxa" w:w="70"/>
              <w:right w:type="dxa" w:w="100"/>
            </w:tcMar>
          </w:tcPr>
          <w:p>
            <w:pPr>
              <w:spacing w:after="0" w:line="240"/>
            </w:pPr>
            <w:r>
              <w:rPr>
                <w:sz w:val="18"/>
                <w:szCs w:val="18"/>
              </w:rPr>
              <w:t xml:space="preserve">What can be ordered</w:t>
            </w:r>
          </w:p>
        </w:tc>
        <w:tc>
          <w:tcPr>
            <w:tcW w:type="dxa" w:w="3550"/>
            <w:tcMar>
              <w:top w:type="dxa" w:w="70"/>
              <w:left w:type="dxa" w:w="100"/>
              <w:bottom w:type="dxa" w:w="70"/>
              <w:right w:type="dxa" w:w="100"/>
            </w:tcMar>
          </w:tcPr>
          <w:p>
            <w:pPr>
              <w:spacing w:after="0" w:line="240"/>
            </w:pPr>
            <w:r>
              <w:rPr>
                <w:sz w:val="18"/>
                <w:szCs w:val="18"/>
              </w:rPr>
              <w:t xml:space="preserve">Guardian, plus the five heads including the catch-all “just and convenient”.</w:t>
            </w:r>
          </w:p>
        </w:tc>
        <w:tc>
          <w:tcPr>
            <w:tcW w:type="dxa" w:w="3550"/>
            <w:tcMar>
              <w:top w:type="dxa" w:w="70"/>
              <w:left w:type="dxa" w:w="100"/>
              <w:bottom w:type="dxa" w:w="70"/>
              <w:right w:type="dxa" w:w="100"/>
            </w:tcMar>
          </w:tcPr>
          <w:p>
            <w:pPr>
              <w:spacing w:after="0" w:line="240"/>
            </w:pPr>
            <w:r>
              <w:rPr>
                <w:sz w:val="18"/>
                <w:szCs w:val="18"/>
              </w:rPr>
              <w:t xml:space="preserve">The same, with the same powers the court has in a suit.</w:t>
            </w:r>
          </w:p>
        </w:tc>
      </w:tr>
      <w:tr>
        <w:tc>
          <w:tcPr>
            <w:tcW w:type="dxa" w:w="1750"/>
            <w:tcMar>
              <w:top w:type="dxa" w:w="70"/>
              <w:left w:type="dxa" w:w="100"/>
              <w:bottom w:type="dxa" w:w="70"/>
              <w:right w:type="dxa" w:w="100"/>
            </w:tcMar>
          </w:tcPr>
          <w:p>
            <w:pPr>
              <w:spacing w:after="0" w:line="240"/>
            </w:pPr>
            <w:r>
              <w:rPr>
                <w:sz w:val="18"/>
                <w:szCs w:val="18"/>
              </w:rPr>
              <w:t xml:space="preserve">Enforcement</w:t>
            </w:r>
          </w:p>
        </w:tc>
        <w:tc>
          <w:tcPr>
            <w:tcW w:type="dxa" w:w="3550"/>
            <w:tcMar>
              <w:top w:type="dxa" w:w="70"/>
              <w:left w:type="dxa" w:w="100"/>
              <w:bottom w:type="dxa" w:w="70"/>
              <w:right w:type="dxa" w:w="100"/>
            </w:tcMar>
          </w:tcPr>
          <w:p>
            <w:pPr>
              <w:spacing w:after="0" w:line="240"/>
            </w:pPr>
            <w:r>
              <w:rPr>
                <w:sz w:val="18"/>
                <w:szCs w:val="18"/>
              </w:rPr>
              <w:t xml:space="preserve">It is a court order, so enforceable directly.</w:t>
            </w:r>
          </w:p>
        </w:tc>
        <w:tc>
          <w:tcPr>
            <w:tcW w:type="dxa" w:w="3550"/>
            <w:tcMar>
              <w:top w:type="dxa" w:w="70"/>
              <w:left w:type="dxa" w:w="100"/>
              <w:bottom w:type="dxa" w:w="70"/>
              <w:right w:type="dxa" w:w="100"/>
            </w:tcMar>
          </w:tcPr>
          <w:p>
            <w:pPr>
              <w:spacing w:after="0" w:line="240"/>
            </w:pPr>
            <w:r>
              <w:rPr>
                <w:sz w:val="18"/>
                <w:szCs w:val="18"/>
              </w:rPr>
              <w:t xml:space="preserve">Treated as a court order and enforceable the same way (section 17(2)).</w:t>
            </w:r>
          </w:p>
        </w:tc>
      </w:tr>
      <w:tr>
        <w:tc>
          <w:tcPr>
            <w:tcW w:type="dxa" w:w="1750"/>
            <w:tcMar>
              <w:top w:type="dxa" w:w="70"/>
              <w:left w:type="dxa" w:w="100"/>
              <w:bottom w:type="dxa" w:w="70"/>
              <w:right w:type="dxa" w:w="100"/>
            </w:tcMar>
          </w:tcPr>
          <w:p>
            <w:pPr>
              <w:spacing w:after="0" w:line="240"/>
            </w:pPr>
            <w:r>
              <w:rPr>
                <w:sz w:val="18"/>
                <w:szCs w:val="18"/>
              </w:rPr>
              <w:t xml:space="preserve">Once a tribunal exists</w:t>
            </w:r>
          </w:p>
        </w:tc>
        <w:tc>
          <w:tcPr>
            <w:tcW w:type="dxa" w:w="3550"/>
            <w:tcMar>
              <w:top w:type="dxa" w:w="70"/>
              <w:left w:type="dxa" w:w="100"/>
              <w:bottom w:type="dxa" w:w="70"/>
              <w:right w:type="dxa" w:w="100"/>
            </w:tcMar>
          </w:tcPr>
          <w:p>
            <w:pPr>
              <w:spacing w:after="0" w:line="240"/>
            </w:pPr>
            <w:r>
              <w:rPr>
                <w:sz w:val="18"/>
                <w:szCs w:val="18"/>
              </w:rPr>
              <w:t xml:space="preserve">Court will not hear it unless the tribunal's remedy would not work (section 9(3)).</w:t>
            </w:r>
          </w:p>
        </w:tc>
        <w:tc>
          <w:tcPr>
            <w:tcW w:type="dxa" w:w="3550"/>
            <w:tcMar>
              <w:top w:type="dxa" w:w="70"/>
              <w:left w:type="dxa" w:w="100"/>
              <w:bottom w:type="dxa" w:w="70"/>
              <w:right w:type="dxa" w:w="100"/>
            </w:tcMar>
          </w:tcPr>
          <w:p>
            <w:pPr>
              <w:spacing w:after="0" w:line="240"/>
            </w:pPr>
            <w:r>
              <w:rPr>
                <w:sz w:val="18"/>
                <w:szCs w:val="18"/>
              </w:rPr>
              <w:t xml:space="preserve">This is the normal forum.</w:t>
            </w:r>
          </w:p>
        </w:tc>
      </w:tr>
      <w:tr>
        <w:tc>
          <w:tcPr>
            <w:tcW w:type="dxa" w:w="1750"/>
            <w:tcMar>
              <w:top w:type="dxa" w:w="70"/>
              <w:left w:type="dxa" w:w="100"/>
              <w:bottom w:type="dxa" w:w="70"/>
              <w:right w:type="dxa" w:w="100"/>
            </w:tcMar>
          </w:tcPr>
          <w:p>
            <w:pPr>
              <w:spacing w:after="0" w:line="240"/>
            </w:pPr>
            <w:r>
              <w:rPr>
                <w:sz w:val="18"/>
                <w:szCs w:val="18"/>
              </w:rPr>
              <w:t xml:space="preserve">Duty on the applicant</w:t>
            </w:r>
          </w:p>
        </w:tc>
        <w:tc>
          <w:tcPr>
            <w:tcW w:type="dxa" w:w="3550"/>
            <w:tcMar>
              <w:top w:type="dxa" w:w="70"/>
              <w:left w:type="dxa" w:w="100"/>
              <w:bottom w:type="dxa" w:w="70"/>
              <w:right w:type="dxa" w:w="100"/>
            </w:tcMar>
          </w:tcPr>
          <w:p>
            <w:pPr>
              <w:spacing w:after="0" w:line="240"/>
            </w:pPr>
            <w:r>
              <w:rPr>
                <w:sz w:val="18"/>
                <w:szCs w:val="18"/>
              </w:rPr>
              <w:t xml:space="preserve">Must start the arbitration within ninety days of a pre-arbitration order (section 9(2)).</w:t>
            </w:r>
          </w:p>
        </w:tc>
        <w:tc>
          <w:tcPr>
            <w:tcW w:type="dxa" w:w="3550"/>
            <w:tcMar>
              <w:top w:type="dxa" w:w="70"/>
              <w:left w:type="dxa" w:w="100"/>
              <w:bottom w:type="dxa" w:w="70"/>
              <w:right w:type="dxa" w:w="100"/>
            </w:tcMar>
          </w:tcPr>
          <w:p>
            <w:pPr>
              <w:spacing w:after="0" w:line="240"/>
            </w:pPr>
            <w:r>
              <w:rPr>
                <w:sz w:val="18"/>
                <w:szCs w:val="18"/>
              </w:rPr>
              <w:t xml:space="preserve">None. The arbitration is already running.</w:t>
            </w:r>
          </w:p>
        </w:tc>
      </w:tr>
      <w:tr>
        <w:tc>
          <w:tcPr>
            <w:tcW w:type="dxa" w:w="1750"/>
            <w:tcMar>
              <w:top w:type="dxa" w:w="70"/>
              <w:left w:type="dxa" w:w="100"/>
              <w:bottom w:type="dxa" w:w="70"/>
              <w:right w:type="dxa" w:w="100"/>
            </w:tcMar>
          </w:tcPr>
          <w:p>
            <w:pPr>
              <w:spacing w:after="0" w:line="240"/>
            </w:pPr>
            <w:r>
              <w:rPr>
                <w:sz w:val="18"/>
                <w:szCs w:val="18"/>
              </w:rPr>
              <w:t xml:space="preserve">Appeal lies under</w:t>
            </w:r>
          </w:p>
        </w:tc>
        <w:tc>
          <w:tcPr>
            <w:tcW w:type="dxa" w:w="3550"/>
            <w:tcMar>
              <w:top w:type="dxa" w:w="70"/>
              <w:left w:type="dxa" w:w="100"/>
              <w:bottom w:type="dxa" w:w="70"/>
              <w:right w:type="dxa" w:w="100"/>
            </w:tcMar>
          </w:tcPr>
          <w:p>
            <w:pPr>
              <w:spacing w:after="0" w:line="240"/>
            </w:pPr>
            <w:r>
              <w:rPr>
                <w:sz w:val="18"/>
                <w:szCs w:val="18"/>
              </w:rPr>
              <w:t xml:space="preserve">Section 37(1)(b).</w:t>
            </w:r>
          </w:p>
        </w:tc>
        <w:tc>
          <w:tcPr>
            <w:tcW w:type="dxa" w:w="3550"/>
            <w:tcMar>
              <w:top w:type="dxa" w:w="70"/>
              <w:left w:type="dxa" w:w="100"/>
              <w:bottom w:type="dxa" w:w="70"/>
              <w:right w:type="dxa" w:w="100"/>
            </w:tcMar>
          </w:tcPr>
          <w:p>
            <w:pPr>
              <w:spacing w:after="0" w:line="240"/>
            </w:pPr>
            <w:r>
              <w:rPr>
                <w:sz w:val="18"/>
                <w:szCs w:val="18"/>
              </w:rPr>
              <w:t xml:space="preserve">Section 37(2)(b).</w:t>
            </w:r>
          </w:p>
        </w:tc>
      </w:tr>
      <w:tr>
        <w:tc>
          <w:tcPr>
            <w:tcW w:type="dxa" w:w="1750"/>
            <w:tcMar>
              <w:top w:type="dxa" w:w="70"/>
              <w:left w:type="dxa" w:w="100"/>
              <w:bottom w:type="dxa" w:w="70"/>
              <w:right w:type="dxa" w:w="100"/>
            </w:tcMar>
          </w:tcPr>
          <w:p>
            <w:pPr>
              <w:spacing w:after="0" w:line="240"/>
            </w:pPr>
            <w:r>
              <w:rPr>
                <w:sz w:val="18"/>
                <w:szCs w:val="18"/>
              </w:rPr>
              <w:t xml:space="preserve">Arbitration seated abroad</w:t>
            </w:r>
          </w:p>
        </w:tc>
        <w:tc>
          <w:tcPr>
            <w:tcW w:type="dxa" w:w="3550"/>
            <w:tcMar>
              <w:top w:type="dxa" w:w="70"/>
              <w:left w:type="dxa" w:w="100"/>
              <w:bottom w:type="dxa" w:w="70"/>
              <w:right w:type="dxa" w:w="100"/>
            </w:tcMar>
          </w:tcPr>
          <w:p>
            <w:pPr>
              <w:spacing w:after="0" w:line="240"/>
            </w:pPr>
            <w:r>
              <w:rPr>
                <w:sz w:val="18"/>
                <w:szCs w:val="18"/>
              </w:rPr>
              <w:t xml:space="preserve">Available through the proviso to section 2(2), unless the parties exclude it.</w:t>
            </w:r>
          </w:p>
        </w:tc>
        <w:tc>
          <w:tcPr>
            <w:tcW w:type="dxa" w:w="3550"/>
            <w:tcMar>
              <w:top w:type="dxa" w:w="70"/>
              <w:left w:type="dxa" w:w="100"/>
              <w:bottom w:type="dxa" w:w="70"/>
              <w:right w:type="dxa" w:w="100"/>
            </w:tcMar>
          </w:tcPr>
          <w:p>
            <w:pPr>
              <w:spacing w:after="0" w:line="240"/>
            </w:pPr>
            <w:r>
              <w:rPr>
                <w:sz w:val="18"/>
                <w:szCs w:val="18"/>
              </w:rPr>
              <w:t xml:space="preserve">Not relevant. The tribunal's powers come from the law of the seat.</w:t>
            </w:r>
          </w:p>
        </w:tc>
      </w:tr>
    </w:tbl>
    <w:p>
      <w:pPr>
        <w:spacing w:after="120"/>
      </w:pPr>
      <w:r>
        <w:rPr>
          <w:sz w:val="10"/>
          <w:szCs w:val="10"/>
        </w:rPr>
        <w:t xml:space="preserve"/>
      </w:r>
    </w:p>
    <w:p>
      <w:pPr>
        <w:pStyle w:val="Heading1"/>
        <w:keepNext/>
        <w:pBdr>
          <w:bottom w:val="single" w:color="1F3864" w:sz="6" w:space="4"/>
        </w:pBdr>
        <w:spacing w:after="160" w:before="420"/>
      </w:pPr>
      <w:r>
        <w:t xml:space="preserve">6.  How Many Arbitrators: Section 10</w:t>
      </w:r>
    </w:p>
    <w:p>
      <w:pPr>
        <w:pStyle w:val="Heading2"/>
        <w:keepNext/>
        <w:spacing w:after="100" w:before="250"/>
      </w:pPr>
      <w:r>
        <w:t xml:space="preserve">The rule</w:t>
      </w:r>
    </w:p>
    <w:p>
      <w:pPr>
        <w:spacing w:after="120" w:line="264"/>
        <w:jc w:val="both"/>
      </w:pPr>
      <w:r>
        <w:rPr>
          <w:b/>
          <w:bCs/>
        </w:rPr>
        <w:t xml:space="preserve">Section 10(1)</w:t>
      </w:r>
      <w:r>
        <w:t xml:space="preserve"> lets the parties decide how many arbitrators they want, </w:t>
      </w:r>
      <w:r>
        <w:rPr>
          <w:b/>
          <w:bCs/>
          <w:shd w:fill="FFF2CC" w:color="auto" w:val="clear"/>
        </w:rPr>
        <w:t xml:space="preserve">with one condition: the number must not be an even number.</w:t>
      </w:r>
      <w:r>
        <w:t xml:space="preserve"> </w:t>
      </w:r>
      <w:r>
        <w:rPr>
          <w:b/>
          <w:bCs/>
        </w:rPr>
        <w:t xml:space="preserve">Section 10(2)</w:t>
      </w:r>
      <w:r>
        <w:t xml:space="preserve"> says that if the parties decide nothing, there will be a </w:t>
      </w:r>
      <w:r>
        <w:rPr>
          <w:b/>
          <w:bCs/>
        </w:rPr>
        <w:t xml:space="preserve">single arbitrator</w:t>
      </w:r>
      <w:r>
        <w:t xml:space="preserve">.</w:t>
      </w:r>
    </w:p>
    <w:p>
      <w:pPr>
        <w:spacing w:after="120" w:line="264"/>
        <w:jc w:val="both"/>
      </w:pPr>
      <w:r>
        <w:t xml:space="preserve">The reason for the odd-number rule is practical. If there are two arbitrators, or four, they may split evenly and be unable to agree. A deadlocked tribunal cannot make an award at all.</w:t>
      </w:r>
    </w:p>
    <w:p>
      <w:pPr>
        <w:spacing w:after="120" w:line="264"/>
        <w:jc w:val="both"/>
      </w:pPr>
      <w:r>
        <w:t xml:space="preserve">Two points are worth noting. </w:t>
      </w:r>
      <w:r>
        <w:rPr>
          <w:b/>
          <w:bCs/>
          <w:shd w:fill="FFF2CC" w:color="auto" w:val="clear"/>
        </w:rPr>
        <w:t xml:space="preserve">India's default is one arbitrator. The Model Law's default is three.</w:t>
      </w:r>
      <w:r>
        <w:t xml:space="preserve"> And where the parties choose three, each side picks one, and those two pick the third. The third is called the </w:t>
      </w:r>
      <w:r>
        <w:rPr>
          <w:b/>
          <w:bCs/>
        </w:rPr>
        <w:t xml:space="preserve">presiding arbitrator</w:t>
      </w:r>
      <w:r>
        <w:t xml:space="preserve">.</w:t>
      </w:r>
    </w:p>
    <w:p>
      <w:pPr>
        <w:spacing w:after="120" w:line="264"/>
        <w:jc w:val="both"/>
      </w:pPr>
      <w:r>
        <w:rPr>
          <w:b/>
          <w:bCs/>
        </w:rPr>
        <w:t xml:space="preserve">A presiding arbitrator is not an umpire.</w:t>
      </w:r>
      <w:r>
        <w:t xml:space="preserve"> Under the old law, an umpire stepped in and decided when the arbitrators disagreed. There is no umpire under this Act. The presiding arbitrator sits and decides along with the other two, and if there is no majority his view prevails.</w:t>
      </w:r>
    </w:p>
    <w:p>
      <w:pPr>
        <w:pStyle w:val="Heading2"/>
        <w:keepNext/>
        <w:spacing w:after="100" w:before="250"/>
      </w:pPr>
      <w:r>
        <w:t xml:space="preserve">Must the number really be odd?</w:t>
      </w:r>
    </w:p>
    <w:p>
      <w:pPr>
        <w:spacing w:after="120" w:line="264"/>
        <w:jc w:val="both"/>
      </w:pPr>
      <w:r>
        <w:t xml:space="preserve">Section 10(1) sounds like a command. If it is a strict rule, an award by two arbitrators comes from a tribunal that was never properly formed, and must fall. If the parties can contract out of it, an award by two arbitrators is perfectly good. The Supreme Court decided this squarely.</w:t>
      </w:r>
    </w:p>
    <w:p>
      <w:pPr>
        <w:keepNext/>
        <w:spacing w:after="60" w:before="150"/>
      </w:pPr>
      <w:r>
        <w:rPr>
          <w:b/>
          <w:bCs/>
          <w:i/>
          <w:iCs/>
          <w:sz w:val="21"/>
          <w:szCs w:val="21"/>
        </w:rPr>
        <w:t xml:space="preserve">Narayan Prasad Lohia v. Nikunj Kumar Lohia</w:t>
      </w:r>
      <w:r>
        <w:rPr>
          <w:sz w:val="19"/>
          <w:szCs w:val="19"/>
        </w:rPr>
        <w:t xml:space="preserve">, (2002) 3 SCC 572; AIR 2002 SC 1139 (SC, 3 Judges — S.N. Variava, S.N. Phukan and G.B. Pattanaik JJ. — 20 February 2002)</w:t>
      </w:r>
    </w:p>
    <w:p>
      <w:pPr>
        <w:spacing w:after="60" w:line="258"/>
        <w:ind w:left="230"/>
        <w:jc w:val="both"/>
      </w:pPr>
      <w:r>
        <w:rPr>
          <w:b/>
          <w:bCs/>
          <w:sz w:val="20"/>
          <w:szCs w:val="20"/>
        </w:rPr>
        <w:t xml:space="preserve">Facts. </w:t>
      </w:r>
      <w:r>
        <w:rPr>
          <w:sz w:val="20"/>
          <w:szCs w:val="20"/>
        </w:rPr>
        <w:t xml:space="preserve">A family was in dispute over its businesses and properties. By an agreement of 29 September 1996 the members referred everything to </w:t>
      </w:r>
      <w:r>
        <w:rPr>
          <w:b/>
          <w:bCs/>
          <w:sz w:val="20"/>
          <w:szCs w:val="20"/>
        </w:rPr>
        <w:t xml:space="preserve">two</w:t>
      </w:r>
      <w:r>
        <w:rPr>
          <w:sz w:val="20"/>
          <w:szCs w:val="20"/>
        </w:rPr>
        <w:t xml:space="preserve"> named arbitrators, who heard the matter and made an award. The losing side then argued that two arbitrators breached section 10, so the tribunal was void and the award could not be enforced.</w:t>
      </w:r>
    </w:p>
    <w:p>
      <w:pPr>
        <w:spacing w:after="60" w:line="258"/>
        <w:ind w:left="230"/>
        <w:jc w:val="both"/>
      </w:pPr>
      <w:r>
        <w:rPr>
          <w:b/>
          <w:bCs/>
          <w:sz w:val="20"/>
          <w:szCs w:val="20"/>
        </w:rPr>
        <w:t xml:space="preserve">Decision. </w:t>
      </w:r>
      <w:r>
        <w:rPr>
          <w:b/>
          <w:bCs/>
          <w:sz w:val="20"/>
          <w:szCs w:val="20"/>
          <w:shd w:fill="FFF2CC" w:color="auto" w:val="clear"/>
        </w:rPr>
        <w:t xml:space="preserve">The award was upheld. Section 10 is a provision the parties can contract out of.</w:t>
      </w:r>
    </w:p>
    <w:p>
      <w:pPr>
        <w:spacing w:after="60" w:line="258"/>
        <w:ind w:left="230"/>
        <w:jc w:val="both"/>
      </w:pPr>
      <w:r>
        <w:rPr>
          <w:b/>
          <w:bCs/>
          <w:sz w:val="20"/>
          <w:szCs w:val="20"/>
        </w:rPr>
        <w:t xml:space="preserve">Principle. </w:t>
      </w:r>
      <w:r>
        <w:rPr>
          <w:sz w:val="20"/>
          <w:szCs w:val="20"/>
        </w:rPr>
        <w:t xml:space="preserve">The attack was built on </w:t>
      </w:r>
      <w:r>
        <w:rPr>
          <w:b/>
          <w:bCs/>
          <w:sz w:val="20"/>
          <w:szCs w:val="20"/>
        </w:rPr>
        <w:t xml:space="preserve">section 34(2)(a)(v)</w:t>
      </w:r>
      <w:r>
        <w:rPr>
          <w:sz w:val="20"/>
          <w:szCs w:val="20"/>
        </w:rPr>
        <w:t xml:space="preserve">. That provision lets an award be set aside where the composition of the tribunal, or the procedure, did not follow the parties' agreement — unless the agreement itself conflicted with a non-derogable provision — or, </w:t>
      </w:r>
      <w:r>
        <w:rPr>
          <w:b/>
          <w:bCs/>
          <w:sz w:val="20"/>
          <w:szCs w:val="20"/>
        </w:rPr>
        <w:t xml:space="preserve">“failing such agreement”</w:t>
      </w:r>
      <w:r>
        <w:rPr>
          <w:sz w:val="20"/>
          <w:szCs w:val="20"/>
        </w:rPr>
        <w:t xml:space="preserve">, did not follow Part I. The Court held that the words “failing such agreement” only come into play where the parties have agreed nothing about composition or procedure. Here they had agreed on two arbitrators, and that agreement was followed. </w:t>
      </w:r>
      <w:r>
        <w:rPr>
          <w:b/>
          <w:bCs/>
          <w:sz w:val="20"/>
          <w:szCs w:val="20"/>
        </w:rPr>
        <w:t xml:space="preserve">So long as the tribunal was formed the way the parties agreed, section 34 does not allow a challenge just because that clashed with Part I.</w:t>
      </w:r>
      <w:r>
        <w:rPr>
          <w:sz w:val="20"/>
          <w:szCs w:val="20"/>
        </w:rPr>
        <w:t xml:space="preserve"> The Court added a second point: an objection to the tribunal's competence has to be taken under </w:t>
      </w:r>
      <w:r>
        <w:rPr>
          <w:b/>
          <w:bCs/>
          <w:sz w:val="20"/>
          <w:szCs w:val="20"/>
        </w:rPr>
        <w:t xml:space="preserve">section 16(2)</w:t>
      </w:r>
      <w:r>
        <w:rPr>
          <w:sz w:val="20"/>
          <w:szCs w:val="20"/>
        </w:rPr>
        <w:t xml:space="preserve">, by the time the statement of defence is filed. A party that does not take it then is treated, under section 4, as having given it up.</w:t>
      </w:r>
    </w:p>
    <w:p>
      <w:pPr>
        <w:spacing w:after="60" w:line="258"/>
        <w:ind w:left="230"/>
        <w:jc w:val="both"/>
      </w:pPr>
      <w:r>
        <w:rPr>
          <w:b/>
          <w:bCs/>
          <w:sz w:val="20"/>
          <w:szCs w:val="20"/>
        </w:rPr>
        <w:t xml:space="preserve">Status. </w:t>
      </w:r>
      <w:r>
        <w:rPr>
          <w:sz w:val="20"/>
          <w:szCs w:val="20"/>
        </w:rPr>
        <w:t xml:space="preserve">Good law. It was followed in </w:t>
      </w:r>
      <w:r>
        <w:rPr>
          <w:b/>
          <w:bCs/>
          <w:i/>
          <w:iCs/>
          <w:sz w:val="20"/>
          <w:szCs w:val="20"/>
        </w:rPr>
        <w:t xml:space="preserve">Quippo Construction Equipment Ltd. v. Janardan Nirman Pvt. Ltd.</w:t>
      </w:r>
      <w:r>
        <w:rPr>
          <w:sz w:val="20"/>
          <w:szCs w:val="20"/>
        </w:rPr>
        <w:t xml:space="preserve">, (2020) 18 SCC 277, which reads sections 10 and 16 together with section 4.</w:t>
      </w:r>
    </w:p>
    <w:p>
      <w:pPr>
        <w:spacing w:after="120" w:line="264"/>
        <w:jc w:val="both"/>
      </w:pPr>
      <w:r>
        <w:rPr>
          <w:b/>
          <w:bCs/>
        </w:rPr>
        <w:t xml:space="preserve">Examination point.</w:t>
      </w:r>
      <w:r>
        <w:t xml:space="preserve"> </w:t>
      </w:r>
      <w:r>
        <w:rPr>
          <w:b/>
          <w:bCs/>
          <w:shd w:fill="FFF2CC" w:color="auto" w:val="clear"/>
        </w:rPr>
        <w:t xml:space="preserve">To find out whether a provision is non-derogable, do not look at how strong the language sounds. Ask whether the Act allows the parties to agree otherwise.</w:t>
      </w:r>
    </w:p>
    <w:p>
      <w:pPr>
        <w:pStyle w:val="Heading1"/>
        <w:keepNext/>
        <w:pBdr>
          <w:bottom w:val="single" w:color="1F3864" w:sz="6" w:space="4"/>
        </w:pBdr>
        <w:spacing w:after="160" w:before="420"/>
      </w:pPr>
      <w:r>
        <w:t xml:space="preserve">7.  Appointing the Arbitrator: Section 11</w:t>
      </w:r>
    </w:p>
    <w:p>
      <w:pPr>
        <w:pStyle w:val="Heading2"/>
        <w:keepNext/>
        <w:spacing w:after="100" w:before="250"/>
      </w:pPr>
      <w:r>
        <w:t xml:space="preserve">When this section is needed</w:t>
      </w:r>
    </w:p>
    <w:p>
      <w:pPr>
        <w:spacing w:after="120" w:line="264"/>
        <w:jc w:val="both"/>
      </w:pPr>
      <w:r>
        <w:t xml:space="preserve">Normally the parties appoint the arbitrator themselves, in the way their contract provides. Section 11 is the </w:t>
      </w:r>
      <w:r>
        <w:rPr>
          <w:b/>
          <w:bCs/>
        </w:rPr>
        <w:t xml:space="preserve">fall-back machinery</w:t>
      </w:r>
      <w:r>
        <w:t xml:space="preserve"> for when that does not happen. It is used in three situations:</w:t>
      </w:r>
    </w:p>
    <w:p>
      <w:pPr>
        <w:pStyle w:val="ListParagraph"/>
        <w:numPr>
          <w:ilvl w:val="0"/>
          <w:numId w:val="15"/>
        </w:numPr>
        <w:spacing w:after="70" w:line="264"/>
        <w:jc w:val="both"/>
      </w:pPr>
      <w:r>
        <w:t xml:space="preserve">the parties made no provision at all about appointment;</w:t>
      </w:r>
    </w:p>
    <w:p>
      <w:pPr>
        <w:pStyle w:val="ListParagraph"/>
        <w:numPr>
          <w:ilvl w:val="0"/>
          <w:numId w:val="15"/>
        </w:numPr>
        <w:spacing w:after="70" w:line="264"/>
        <w:jc w:val="both"/>
      </w:pPr>
      <w:r>
        <w:t xml:space="preserve">they did make a provision, but it has broken down — one side refuses to nominate, or the two nominees cannot agree on the third, or the person named to appoint does not act; and</w:t>
      </w:r>
    </w:p>
    <w:p>
      <w:pPr>
        <w:pStyle w:val="ListParagraph"/>
        <w:numPr>
          <w:ilvl w:val="0"/>
          <w:numId w:val="15"/>
        </w:numPr>
        <w:spacing w:after="70" w:line="264"/>
        <w:jc w:val="both"/>
      </w:pPr>
      <w:r>
        <w:t xml:space="preserve">an arbitrator already appointed drops out and a replacement is needed, because section 15(2) says the replacement must be appointed the same way as the original.</w:t>
      </w:r>
    </w:p>
    <w:p>
      <w:pPr>
        <w:pStyle w:val="Heading2"/>
        <w:keepNext/>
        <w:spacing w:after="100" w:before="250"/>
      </w:pPr>
      <w:r>
        <w:t xml:space="preserve">The scheme, sub-section by sub-section</w:t>
      </w:r>
    </w:p>
    <w:p>
      <w:pPr>
        <w:pStyle w:val="ListParagraph"/>
        <w:numPr>
          <w:ilvl w:val="0"/>
          <w:numId w:val="16"/>
        </w:numPr>
        <w:spacing w:after="70" w:line="264"/>
        <w:jc w:val="both"/>
      </w:pPr>
      <w:r>
        <w:rPr>
          <w:b/>
          <w:bCs/>
        </w:rPr>
        <w:t xml:space="preserve">(1)</w:t>
      </w:r>
      <w:r>
        <w:t xml:space="preserve"> An arbitrator may be of </w:t>
      </w:r>
      <w:r>
        <w:rPr>
          <w:b/>
          <w:bCs/>
        </w:rPr>
        <w:t xml:space="preserve">any nationality</w:t>
      </w:r>
      <w:r>
        <w:t xml:space="preserve">, unless the parties agree otherwise.</w:t>
      </w:r>
    </w:p>
    <w:p>
      <w:pPr>
        <w:pStyle w:val="ListParagraph"/>
        <w:numPr>
          <w:ilvl w:val="0"/>
          <w:numId w:val="16"/>
        </w:numPr>
        <w:spacing w:after="70" w:line="264"/>
        <w:jc w:val="both"/>
      </w:pPr>
      <w:r>
        <w:rPr>
          <w:b/>
          <w:bCs/>
        </w:rPr>
        <w:t xml:space="preserve">(2)</w:t>
      </w:r>
      <w:r>
        <w:t xml:space="preserve"> Subject to (6), the parties are free to agree their own appointment procedure.</w:t>
      </w:r>
    </w:p>
    <w:p>
      <w:pPr>
        <w:pStyle w:val="ListParagraph"/>
        <w:numPr>
          <w:ilvl w:val="0"/>
          <w:numId w:val="16"/>
        </w:numPr>
        <w:spacing w:after="70" w:line="264"/>
        <w:jc w:val="both"/>
      </w:pPr>
      <w:r>
        <w:rPr>
          <w:b/>
          <w:bCs/>
        </w:rPr>
        <w:t xml:space="preserve">(3)</w:t>
      </w:r>
      <w:r>
        <w:t xml:space="preserve"> If they agree nothing and want three arbitrators, each side appoints one, and those two appoint the third as </w:t>
      </w:r>
      <w:r>
        <w:rPr>
          <w:b/>
          <w:bCs/>
        </w:rPr>
        <w:t xml:space="preserve">presiding arbitrator</w:t>
      </w:r>
      <w:r>
        <w:t xml:space="preserve">.</w:t>
      </w:r>
    </w:p>
    <w:p>
      <w:pPr>
        <w:pStyle w:val="ListParagraph"/>
        <w:numPr>
          <w:ilvl w:val="0"/>
          <w:numId w:val="16"/>
        </w:numPr>
        <w:spacing w:after="70" w:line="264"/>
        <w:jc w:val="both"/>
      </w:pPr>
      <w:r>
        <w:rPr>
          <w:b/>
          <w:bCs/>
        </w:rPr>
        <w:t xml:space="preserve">(3A)</w:t>
      </w:r>
      <w:r>
        <w:t xml:space="preserve"> The Supreme Court and the High Courts may name arbitral institutions, graded by the Arbitration Council of India, to make appointments (added in 2019).</w:t>
      </w:r>
    </w:p>
    <w:p>
      <w:pPr>
        <w:pStyle w:val="ListParagraph"/>
        <w:numPr>
          <w:ilvl w:val="0"/>
          <w:numId w:val="16"/>
        </w:numPr>
        <w:spacing w:after="70" w:line="264"/>
        <w:jc w:val="both"/>
      </w:pPr>
      <w:r>
        <w:rPr>
          <w:b/>
          <w:bCs/>
        </w:rPr>
        <w:t xml:space="preserve">(4)</w:t>
      </w:r>
      <w:r>
        <w:t xml:space="preserve"> Where the default in (3) applies and either a party does not appoint within </w:t>
      </w:r>
      <w:r>
        <w:rPr>
          <w:b/>
          <w:bCs/>
        </w:rPr>
        <w:t xml:space="preserve">thirty days</w:t>
      </w:r>
      <w:r>
        <w:t xml:space="preserve"> of being asked, or the two appointees cannot agree on the third within thirty days, a party may apply for an appointment — to the authority named by the </w:t>
      </w:r>
      <w:r>
        <w:rPr>
          <w:b/>
          <w:bCs/>
        </w:rPr>
        <w:t xml:space="preserve">Supreme Court</w:t>
      </w:r>
      <w:r>
        <w:t xml:space="preserve"> in an international case, and by the </w:t>
      </w:r>
      <w:r>
        <w:rPr>
          <w:b/>
          <w:bCs/>
        </w:rPr>
        <w:t xml:space="preserve">High Court</w:t>
      </w:r>
      <w:r>
        <w:t xml:space="preserve"> in any other case.</w:t>
      </w:r>
    </w:p>
    <w:p>
      <w:pPr>
        <w:pStyle w:val="ListParagraph"/>
        <w:numPr>
          <w:ilvl w:val="0"/>
          <w:numId w:val="16"/>
        </w:numPr>
        <w:spacing w:after="70" w:line="264"/>
        <w:jc w:val="both"/>
      </w:pPr>
      <w:r>
        <w:rPr>
          <w:b/>
          <w:bCs/>
        </w:rPr>
        <w:t xml:space="preserve">(5)</w:t>
      </w:r>
      <w:r>
        <w:t xml:space="preserve"> Where a single arbitrator is wanted and the parties cannot agree within thirty days of a request, the appointment is made in the same way as under (4).</w:t>
      </w:r>
    </w:p>
    <w:p>
      <w:pPr>
        <w:pStyle w:val="ListParagraph"/>
        <w:numPr>
          <w:ilvl w:val="0"/>
          <w:numId w:val="16"/>
        </w:numPr>
        <w:spacing w:after="70" w:line="264"/>
        <w:jc w:val="both"/>
      </w:pPr>
      <w:r>
        <w:rPr>
          <w:b/>
          <w:bCs/>
        </w:rPr>
        <w:t xml:space="preserve">(6)</w:t>
      </w:r>
      <w:r>
        <w:t xml:space="preserve"> Where the parties did agree a procedure, an application lies if (a) a party fails to act under it, (b) the parties or the two appointees fail to agree as expected, or (c) a person or institution named in it fails to do its job. Clause (c) is the catch-all.</w:t>
      </w:r>
    </w:p>
    <w:p>
      <w:pPr>
        <w:pStyle w:val="ListParagraph"/>
        <w:numPr>
          <w:ilvl w:val="0"/>
          <w:numId w:val="16"/>
        </w:numPr>
        <w:spacing w:after="70" w:line="264"/>
        <w:jc w:val="both"/>
      </w:pPr>
      <w:r>
        <w:rPr>
          <w:b/>
          <w:bCs/>
        </w:rPr>
        <w:t xml:space="preserve">(6A)</w:t>
      </w:r>
      <w:r>
        <w:t xml:space="preserve"> </w:t>
      </w:r>
      <w:r>
        <w:rPr>
          <w:b/>
          <w:bCs/>
          <w:shd w:fill="FFF2CC" w:color="auto" w:val="clear"/>
        </w:rPr>
        <w:t xml:space="preserve">When hearing such an application, the court must look only at whether an arbitration agreement exists,</w:t>
      </w:r>
      <w:r>
        <w:t xml:space="preserve"> whatever any earlier judgment may have said (added in 2015).</w:t>
      </w:r>
    </w:p>
    <w:p>
      <w:pPr>
        <w:pStyle w:val="ListParagraph"/>
        <w:numPr>
          <w:ilvl w:val="0"/>
          <w:numId w:val="16"/>
        </w:numPr>
        <w:spacing w:after="70" w:line="264"/>
        <w:jc w:val="both"/>
      </w:pPr>
      <w:r>
        <w:rPr>
          <w:b/>
          <w:bCs/>
        </w:rPr>
        <w:t xml:space="preserve">(6B)</w:t>
      </w:r>
      <w:r>
        <w:t xml:space="preserve"> Naming a person or institution to appoint is </w:t>
      </w:r>
      <w:r>
        <w:rPr>
          <w:b/>
          <w:bCs/>
        </w:rPr>
        <w:t xml:space="preserve">not treated as handing over judicial power</w:t>
      </w:r>
      <w:r>
        <w:t xml:space="preserve">. This applies only to the act of naming.</w:t>
      </w:r>
    </w:p>
    <w:p>
      <w:pPr>
        <w:pStyle w:val="ListParagraph"/>
        <w:numPr>
          <w:ilvl w:val="0"/>
          <w:numId w:val="16"/>
        </w:numPr>
        <w:spacing w:after="70" w:line="264"/>
        <w:jc w:val="both"/>
      </w:pPr>
      <w:r>
        <w:rPr>
          <w:b/>
          <w:bCs/>
        </w:rPr>
        <w:t xml:space="preserve">(7)</w:t>
      </w:r>
      <w:r>
        <w:t xml:space="preserve"> The decision is </w:t>
      </w:r>
      <w:r>
        <w:rPr>
          <w:b/>
          <w:bCs/>
        </w:rPr>
        <w:t xml:space="preserve">final</w:t>
      </w:r>
      <w:r>
        <w:t xml:space="preserve">, and no appeal lies against it, including a Letters Patent Appeal. “Final” closes off the appeals given by statute; it does not touch the Constitution.</w:t>
      </w:r>
    </w:p>
    <w:p>
      <w:pPr>
        <w:pStyle w:val="ListParagraph"/>
        <w:numPr>
          <w:ilvl w:val="0"/>
          <w:numId w:val="16"/>
        </w:numPr>
        <w:spacing w:after="70" w:line="264"/>
        <w:jc w:val="both"/>
      </w:pPr>
      <w:r>
        <w:rPr>
          <w:b/>
          <w:bCs/>
        </w:rPr>
        <w:t xml:space="preserve">(8)</w:t>
      </w:r>
      <w:r>
        <w:t xml:space="preserve"> Before appointing, the authority must ask the proposed arbitrator for a </w:t>
      </w:r>
      <w:r>
        <w:rPr>
          <w:b/>
          <w:bCs/>
        </w:rPr>
        <w:t xml:space="preserve">written disclosure</w:t>
      </w:r>
      <w:r>
        <w:t xml:space="preserve"> under section 12(1), and must consider the qualifications the parties required and what the disclosure reveals.</w:t>
      </w:r>
    </w:p>
    <w:p>
      <w:pPr>
        <w:pStyle w:val="ListParagraph"/>
        <w:numPr>
          <w:ilvl w:val="0"/>
          <w:numId w:val="16"/>
        </w:numPr>
        <w:spacing w:after="70" w:line="264"/>
        <w:jc w:val="both"/>
      </w:pPr>
      <w:r>
        <w:rPr>
          <w:b/>
          <w:bCs/>
        </w:rPr>
        <w:t xml:space="preserve">(9)</w:t>
      </w:r>
      <w:r>
        <w:t xml:space="preserve"> In an international case, where the parties are of different nationalities, the sole or third arbitrator may be from a </w:t>
      </w:r>
      <w:r>
        <w:rPr>
          <w:b/>
          <w:bCs/>
        </w:rPr>
        <w:t xml:space="preserve">third country</w:t>
      </w:r>
      <w:r>
        <w:t xml:space="preserve"> altogether.</w:t>
      </w:r>
    </w:p>
    <w:p>
      <w:pPr>
        <w:pStyle w:val="ListParagraph"/>
        <w:numPr>
          <w:ilvl w:val="0"/>
          <w:numId w:val="16"/>
        </w:numPr>
        <w:spacing w:after="70" w:line="264"/>
        <w:jc w:val="both"/>
      </w:pPr>
      <w:r>
        <w:rPr>
          <w:b/>
          <w:bCs/>
        </w:rPr>
        <w:t xml:space="preserve">(11)</w:t>
      </w:r>
      <w:r>
        <w:t xml:space="preserve"> If applications are made to more than one authority, the one </w:t>
      </w:r>
      <w:r>
        <w:rPr>
          <w:b/>
          <w:bCs/>
        </w:rPr>
        <w:t xml:space="preserve">approached first</w:t>
      </w:r>
      <w:r>
        <w:t xml:space="preserve"> alone can appoint. This stops parties shopping between High Courts.</w:t>
      </w:r>
    </w:p>
    <w:p>
      <w:pPr>
        <w:pStyle w:val="ListParagraph"/>
        <w:numPr>
          <w:ilvl w:val="0"/>
          <w:numId w:val="16"/>
        </w:numPr>
        <w:spacing w:after="70" w:line="264"/>
        <w:jc w:val="both"/>
      </w:pPr>
      <w:r>
        <w:rPr>
          <w:b/>
          <w:bCs/>
        </w:rPr>
        <w:t xml:space="preserve">(12)</w:t>
      </w:r>
      <w:r>
        <w:t xml:space="preserve"> International cases go to the authority named by the Supreme Court; all others to the High Court.</w:t>
      </w:r>
    </w:p>
    <w:p>
      <w:pPr>
        <w:pStyle w:val="ListParagraph"/>
        <w:numPr>
          <w:ilvl w:val="0"/>
          <w:numId w:val="16"/>
        </w:numPr>
        <w:spacing w:after="70" w:line="264"/>
        <w:jc w:val="both"/>
      </w:pPr>
      <w:r>
        <w:rPr>
          <w:b/>
          <w:bCs/>
        </w:rPr>
        <w:t xml:space="preserve">(13)</w:t>
      </w:r>
      <w:r>
        <w:t xml:space="preserve"> The application must be decided within </w:t>
      </w:r>
      <w:r>
        <w:rPr>
          <w:b/>
          <w:bCs/>
        </w:rPr>
        <w:t xml:space="preserve">thirty days</w:t>
      </w:r>
      <w:r>
        <w:t xml:space="preserve"> of notice being served on the other side.</w:t>
      </w:r>
    </w:p>
    <w:p>
      <w:pPr>
        <w:pStyle w:val="ListParagraph"/>
        <w:numPr>
          <w:ilvl w:val="0"/>
          <w:numId w:val="16"/>
        </w:numPr>
        <w:spacing w:after="70" w:line="264"/>
        <w:jc w:val="both"/>
      </w:pPr>
      <w:r>
        <w:rPr>
          <w:b/>
          <w:bCs/>
        </w:rPr>
        <w:t xml:space="preserve">(14)</w:t>
      </w:r>
      <w:r>
        <w:t xml:space="preserve"> Fees are fixed according to the rates in the </w:t>
      </w:r>
      <w:r>
        <w:rPr>
          <w:b/>
          <w:bCs/>
        </w:rPr>
        <w:t xml:space="preserve">Fourth Schedule</w:t>
      </w:r>
      <w:r>
        <w:t xml:space="preserve"> — a table at the end of the Act — except in international cases and where the parties have adopted an institution's own fee rules.</w:t>
      </w:r>
    </w:p>
    <w:p>
      <w:pPr>
        <w:spacing w:after="120" w:line="264"/>
        <w:jc w:val="both"/>
      </w:pPr>
      <w:r>
        <w:t xml:space="preserve">Read this with </w:t>
      </w:r>
      <w:r>
        <w:rPr>
          <w:b/>
          <w:bCs/>
        </w:rPr>
        <w:t xml:space="preserve">section 2(1)(e)</w:t>
      </w:r>
      <w:r>
        <w:t xml:space="preserve">, which defines “Court” for Part I. It means the principal civil court of original jurisdiction in a district, or a High Court exercising ordinary original civil jurisdiction, and in an international case the High Court. In effect the Act creates a special forum for arbitration matters.</w:t>
      </w:r>
    </w:p>
    <w:p>
      <w:pPr>
        <w:pStyle w:val="Heading2"/>
        <w:keepNext/>
        <w:spacing w:after="100" w:before="250"/>
      </w:pPr>
      <w:r>
        <w:t xml:space="preserve">A long argument: was this power judicial or administrative?</w:t>
      </w:r>
    </w:p>
    <w:p>
      <w:pPr>
        <w:spacing w:after="120" w:line="264"/>
        <w:jc w:val="both"/>
      </w:pPr>
      <w:r>
        <w:t xml:space="preserve">As originally passed, the Act said the appointment was to be made by “the Chief Justice or any person or institution designated by him”. That wording caused ten years of litigation, for two reasons.</w:t>
      </w:r>
    </w:p>
    <w:p>
      <w:pPr>
        <w:spacing w:after="120" w:line="264"/>
        <w:jc w:val="both"/>
      </w:pPr>
      <w:r>
        <w:t xml:space="preserve">First, the Model Law gives this power to a </w:t>
      </w:r>
      <w:r>
        <w:rPr>
          <w:b/>
          <w:bCs/>
        </w:rPr>
        <w:t xml:space="preserve">court</w:t>
      </w:r>
      <w:r>
        <w:t xml:space="preserve">. India deliberately gave it to the </w:t>
      </w:r>
      <w:r>
        <w:rPr>
          <w:b/>
          <w:bCs/>
        </w:rPr>
        <w:t xml:space="preserve">Chief Justice</w:t>
      </w:r>
      <w:r>
        <w:t xml:space="preserve"> instead, which suggested Parliament did not mean it to be a judicial act at all.</w:t>
      </w:r>
    </w:p>
    <w:p>
      <w:pPr>
        <w:spacing w:after="120" w:line="264"/>
        <w:jc w:val="both"/>
      </w:pPr>
      <w:r>
        <w:t xml:space="preserve">Second, the power could be handed over to “any person or institution”. But </w:t>
      </w:r>
      <w:r>
        <w:rPr>
          <w:b/>
          <w:bCs/>
        </w:rPr>
        <w:t xml:space="preserve">judicial power normally cannot be handed over to somebody else.</w:t>
      </w:r>
      <w:r>
        <w:t xml:space="preserve"> If the power was judicial, this delegation was hard to explain.</w:t>
      </w:r>
    </w:p>
    <w:p>
      <w:pPr>
        <w:spacing w:after="120" w:line="264"/>
        <w:jc w:val="both"/>
      </w:pPr>
      <w:r>
        <w:t xml:space="preserve">The answer mattered for three practical things:</w:t>
      </w:r>
    </w:p>
    <w:p>
      <w:pPr>
        <w:pStyle w:val="ListParagraph"/>
        <w:numPr>
          <w:ilvl w:val="0"/>
          <w:numId w:val="17"/>
        </w:numPr>
        <w:spacing w:after="70" w:line="264"/>
        <w:jc w:val="both"/>
      </w:pPr>
      <w:r>
        <w:t xml:space="preserve">whether the Chief Justice could decide disputed preliminary questions, or had to leave them to the tribunal — put more colourfully, whether he was to hold a </w:t>
      </w:r>
      <w:r>
        <w:rPr>
          <w:b/>
          <w:bCs/>
        </w:rPr>
        <w:t xml:space="preserve">mini-trial</w:t>
      </w:r>
      <w:r>
        <w:t xml:space="preserve">;</w:t>
      </w:r>
    </w:p>
    <w:p>
      <w:pPr>
        <w:pStyle w:val="ListParagraph"/>
        <w:numPr>
          <w:ilvl w:val="0"/>
          <w:numId w:val="17"/>
        </w:numPr>
        <w:spacing w:after="70" w:line="264"/>
        <w:jc w:val="both"/>
      </w:pPr>
      <w:r>
        <w:t xml:space="preserve">whether the order could be taken to the Supreme Court by special leave under Article 136, or only attacked by a writ of mandamus; and</w:t>
      </w:r>
    </w:p>
    <w:p>
      <w:pPr>
        <w:pStyle w:val="ListParagraph"/>
        <w:numPr>
          <w:ilvl w:val="0"/>
          <w:numId w:val="17"/>
        </w:numPr>
        <w:spacing w:after="70" w:line="264"/>
        <w:jc w:val="both"/>
      </w:pPr>
      <w:r>
        <w:t xml:space="preserve">how far the power could be delegated.</w:t>
      </w:r>
    </w:p>
    <w:p>
      <w:pPr>
        <w:spacing w:after="120" w:line="264"/>
        <w:jc w:val="both"/>
      </w:pPr>
      <w:r>
        <w:t xml:space="preserve">There was also a smaller argument about the </w:t>
      </w:r>
      <w:r>
        <w:rPr>
          <w:b/>
          <w:bCs/>
        </w:rPr>
        <w:t xml:space="preserve">Appointment of Arbitrators by the Chief Justice of India Scheme, 1996</w:t>
      </w:r>
      <w:r>
        <w:t xml:space="preserve">. This was a set of rules made under the Act, and it used words like “notice” and “decision”, which sound judicial. Against that it was said that </w:t>
      </w:r>
      <w:r>
        <w:rPr>
          <w:b/>
          <w:bCs/>
        </w:rPr>
        <w:t xml:space="preserve">you cannot interpret an Act by looking at rules made under it.</w:t>
      </w:r>
    </w:p>
    <w:p>
      <w:pPr>
        <w:pStyle w:val="Heading3"/>
        <w:keepNext/>
        <w:spacing w:after="80" w:before="180"/>
      </w:pPr>
      <w:r>
        <w:t xml:space="preserve">The natural justice objection</w:t>
      </w:r>
    </w:p>
    <w:p>
      <w:pPr>
        <w:spacing w:after="120" w:line="264"/>
        <w:jc w:val="both"/>
      </w:pPr>
      <w:r>
        <w:t xml:space="preserve">There was a further objection, drawn from administrative law. If one person hears the parties and a different person decides, the person affected has not really been heard. The leading Indian case is set out below, and it is placed here because that is the argument it was used for.</w:t>
      </w:r>
    </w:p>
    <w:p>
      <w:pPr>
        <w:keepNext/>
        <w:spacing w:after="60" w:before="150"/>
      </w:pPr>
      <w:r>
        <w:rPr>
          <w:b/>
          <w:bCs/>
          <w:i/>
          <w:iCs/>
          <w:sz w:val="21"/>
          <w:szCs w:val="21"/>
        </w:rPr>
        <w:t xml:space="preserve">Gullapalli Nageswara Rao v. Andhra Pradesh State Road Transport Corporation (Gullapalli-I)</w:t>
      </w:r>
      <w:r>
        <w:rPr>
          <w:sz w:val="19"/>
          <w:szCs w:val="19"/>
        </w:rPr>
        <w:t xml:space="preserve">, AIR 1959 SC 308 (SC, Constitution Bench of 5, 5 November 1958, Subba Rao J.)</w:t>
      </w:r>
    </w:p>
    <w:p>
      <w:pPr>
        <w:spacing w:after="60" w:line="258"/>
        <w:ind w:left="230"/>
        <w:jc w:val="both"/>
      </w:pPr>
      <w:r>
        <w:rPr>
          <w:b/>
          <w:bCs/>
          <w:sz w:val="20"/>
          <w:szCs w:val="20"/>
        </w:rPr>
        <w:t xml:space="preserve">Facts. </w:t>
      </w:r>
      <w:r>
        <w:rPr>
          <w:sz w:val="20"/>
          <w:szCs w:val="20"/>
        </w:rPr>
        <w:t xml:space="preserve">The government proposed to nationalise road transport services. Objections to the scheme were heard by the Secretary of the Transport Department. But the scheme was then considered and approved by the Minister, who had not heard anyone. The Department itself stood to gain from the scheme.</w:t>
      </w:r>
    </w:p>
    <w:p>
      <w:pPr>
        <w:spacing w:after="60" w:line="258"/>
        <w:ind w:left="230"/>
        <w:jc w:val="both"/>
      </w:pPr>
      <w:r>
        <w:rPr>
          <w:b/>
          <w:bCs/>
          <w:sz w:val="20"/>
          <w:szCs w:val="20"/>
        </w:rPr>
        <w:t xml:space="preserve">Decision. </w:t>
      </w:r>
      <w:r>
        <w:rPr>
          <w:sz w:val="20"/>
          <w:szCs w:val="20"/>
        </w:rPr>
        <w:t xml:space="preserve">The scheme was quashed for breach of natural justice.</w:t>
      </w:r>
    </w:p>
    <w:p>
      <w:pPr>
        <w:spacing w:after="60" w:line="258"/>
        <w:ind w:left="230"/>
        <w:jc w:val="both"/>
      </w:pPr>
      <w:r>
        <w:rPr>
          <w:b/>
          <w:bCs/>
          <w:sz w:val="20"/>
          <w:szCs w:val="20"/>
        </w:rPr>
        <w:t xml:space="preserve">Principle. </w:t>
      </w:r>
      <w:r>
        <w:rPr>
          <w:sz w:val="20"/>
          <w:szCs w:val="20"/>
        </w:rPr>
        <w:t xml:space="preserve">Natural justice has two rules — that no one should judge his own case, and that a party must be heard. The second carries something further with it: </w:t>
      </w:r>
      <w:r>
        <w:rPr>
          <w:b/>
          <w:bCs/>
          <w:sz w:val="20"/>
          <w:szCs w:val="20"/>
          <w:shd w:fill="FFF2CC" w:color="auto" w:val="clear"/>
        </w:rPr>
        <w:t xml:space="preserve">the person who decides must be the person who heard.</w:t>
      </w:r>
      <w:r>
        <w:rPr>
          <w:sz w:val="20"/>
          <w:szCs w:val="20"/>
        </w:rPr>
        <w:t xml:space="preserve"> If one officer hears and another decides, the right to be heard has been denied. The position was worse here because the Department was, in substance, a party.</w:t>
      </w:r>
    </w:p>
    <w:p>
      <w:pPr>
        <w:spacing w:after="60" w:line="258"/>
        <w:ind w:left="230"/>
        <w:jc w:val="both"/>
      </w:pPr>
      <w:r>
        <w:rPr>
          <w:b/>
          <w:bCs/>
          <w:sz w:val="20"/>
          <w:szCs w:val="20"/>
        </w:rPr>
        <w:t xml:space="preserve">Status. </w:t>
      </w:r>
      <w:r>
        <w:rPr>
          <w:sz w:val="20"/>
          <w:szCs w:val="20"/>
        </w:rPr>
        <w:t xml:space="preserve">Good law. </w:t>
      </w:r>
      <w:r>
        <w:rPr>
          <w:b/>
          <w:bCs/>
          <w:sz w:val="20"/>
          <w:szCs w:val="20"/>
        </w:rPr>
        <w:t xml:space="preserve">Distinguish Gullapalli-II</w:t>
      </w:r>
      <w:r>
        <w:rPr>
          <w:sz w:val="20"/>
          <w:szCs w:val="20"/>
        </w:rPr>
        <w:t xml:space="preserve">, AIR 1959 SC 1376 (21 August 1959). There the procedure was corrected so that the Minister both heard the objections and decided, and the Court upheld it.</w:t>
      </w:r>
    </w:p>
    <w:p>
      <w:pPr>
        <w:pStyle w:val="Heading2"/>
        <w:keepNext/>
        <w:spacing w:after="100" w:before="250"/>
      </w:pPr>
      <w:r>
        <w:t xml:space="preserve">How the law developed</w:t>
      </w:r>
    </w:p>
    <w:p>
      <w:pPr>
        <w:keepNext/>
        <w:spacing w:after="60" w:before="150"/>
      </w:pPr>
      <w:r>
        <w:rPr>
          <w:b/>
          <w:bCs/>
          <w:i/>
          <w:iCs/>
          <w:sz w:val="21"/>
          <w:szCs w:val="21"/>
        </w:rPr>
        <w:t xml:space="preserve">Konkan Railway Corporation Ltd. v. Mehul Construction Co.</w:t>
      </w:r>
      <w:r>
        <w:rPr>
          <w:sz w:val="19"/>
          <w:szCs w:val="19"/>
        </w:rPr>
        <w:t xml:space="preserve">, (2000) 7 SCC 201 (SC, 3 Judges)</w:t>
      </w:r>
    </w:p>
    <w:p>
      <w:pPr>
        <w:spacing w:after="60" w:line="258"/>
        <w:ind w:left="230"/>
        <w:jc w:val="both"/>
      </w:pPr>
      <w:r>
        <w:rPr>
          <w:b/>
          <w:bCs/>
          <w:sz w:val="20"/>
          <w:szCs w:val="20"/>
        </w:rPr>
        <w:t xml:space="preserve">Facts. </w:t>
      </w:r>
      <w:r>
        <w:rPr>
          <w:sz w:val="20"/>
          <w:szCs w:val="20"/>
        </w:rPr>
        <w:t xml:space="preserve">The question was what kind of power section 11 gives, and whether a refusal to appoint could be taken to the Supreme Court under Article 136.</w:t>
      </w:r>
    </w:p>
    <w:p>
      <w:pPr>
        <w:spacing w:after="60" w:line="258"/>
        <w:ind w:left="230"/>
        <w:jc w:val="both"/>
      </w:pPr>
      <w:r>
        <w:rPr>
          <w:b/>
          <w:bCs/>
          <w:sz w:val="20"/>
          <w:szCs w:val="20"/>
        </w:rPr>
        <w:t xml:space="preserve">Decision. </w:t>
      </w:r>
      <w:r>
        <w:rPr>
          <w:sz w:val="20"/>
          <w:szCs w:val="20"/>
        </w:rPr>
        <w:t xml:space="preserve">The power is </w:t>
      </w:r>
      <w:r>
        <w:rPr>
          <w:b/>
          <w:bCs/>
          <w:sz w:val="20"/>
          <w:szCs w:val="20"/>
        </w:rPr>
        <w:t xml:space="preserve">administrative</w:t>
      </w:r>
      <w:r>
        <w:rPr>
          <w:sz w:val="20"/>
          <w:szCs w:val="20"/>
        </w:rPr>
        <w:t xml:space="preserve">, not judicial. No appeal lies under Article 136; the remedy is a writ of mandamus.</w:t>
      </w:r>
    </w:p>
    <w:p>
      <w:pPr>
        <w:spacing w:after="60" w:line="258"/>
        <w:ind w:left="230"/>
        <w:jc w:val="both"/>
      </w:pPr>
      <w:r>
        <w:rPr>
          <w:b/>
          <w:bCs/>
          <w:sz w:val="20"/>
          <w:szCs w:val="20"/>
        </w:rPr>
        <w:t xml:space="preserve">Principle. </w:t>
      </w:r>
      <w:r>
        <w:rPr>
          <w:sz w:val="20"/>
          <w:szCs w:val="20"/>
        </w:rPr>
        <w:t xml:space="preserve">The Model Law gives the power to a court, but the Act names the Chief Justice. Had Parliament meant a judicial function, it would have said “court” or “judicial authority”. The job here is only to </w:t>
      </w:r>
      <w:r>
        <w:rPr>
          <w:b/>
          <w:bCs/>
          <w:sz w:val="20"/>
          <w:szCs w:val="20"/>
        </w:rPr>
        <w:t xml:space="preserve">help get the tribunal formed</w:t>
      </w:r>
      <w:r>
        <w:rPr>
          <w:sz w:val="20"/>
          <w:szCs w:val="20"/>
        </w:rPr>
        <w:t xml:space="preserve">. </w:t>
      </w:r>
      <w:r>
        <w:rPr>
          <w:b/>
          <w:bCs/>
          <w:sz w:val="20"/>
          <w:szCs w:val="20"/>
          <w:shd w:fill="FFF2CC" w:color="auto" w:val="clear"/>
        </w:rPr>
        <w:t xml:space="preserve">Parliament wanted the arbitration to start quickly, with all contested questions left to the tribunal.</w:t>
      </w:r>
      <w:r>
        <w:rPr>
          <w:sz w:val="20"/>
          <w:szCs w:val="20"/>
        </w:rPr>
        <w:t xml:space="preserve"> Sections 13 and 16 confirm this, because they allow objections about an arbitrator's qualifications, independence and jurisdiction to be raised before the arbitrator himself.</w:t>
      </w:r>
    </w:p>
    <w:p>
      <w:pPr>
        <w:spacing w:after="60" w:line="258"/>
        <w:ind w:left="230"/>
        <w:jc w:val="both"/>
      </w:pPr>
      <w:r>
        <w:rPr>
          <w:b/>
          <w:bCs/>
          <w:sz w:val="20"/>
          <w:szCs w:val="20"/>
        </w:rPr>
        <w:t xml:space="preserve">Status. </w:t>
      </w:r>
      <w:r>
        <w:rPr>
          <w:sz w:val="20"/>
          <w:szCs w:val="20"/>
        </w:rPr>
        <w:t xml:space="preserve">Approved in </w:t>
      </w:r>
      <w:r>
        <w:rPr>
          <w:b/>
          <w:bCs/>
          <w:i/>
          <w:iCs/>
          <w:sz w:val="20"/>
          <w:szCs w:val="20"/>
        </w:rPr>
        <w:t xml:space="preserve">Konkan Railway Corporation Ltd. v. Rani Construction Pvt. Ltd.</w:t>
      </w:r>
      <w:r>
        <w:rPr>
          <w:sz w:val="20"/>
          <w:szCs w:val="20"/>
        </w:rPr>
        <w:t xml:space="preserve">, (2002) 2 SCC 388, a Constitution Bench, which added two useful points: </w:t>
      </w:r>
      <w:r>
        <w:rPr>
          <w:b/>
          <w:bCs/>
          <w:sz w:val="20"/>
          <w:szCs w:val="20"/>
        </w:rPr>
        <w:t xml:space="preserve">rules made under section 11 cannot be used to interpret section 11</w:t>
      </w:r>
      <w:r>
        <w:rPr>
          <w:sz w:val="20"/>
          <w:szCs w:val="20"/>
        </w:rPr>
        <w:t xml:space="preserve">, and an order naming an arbitrator is not a judicial decision, so no special leave petition lies — the word “tribunal” in Article 136 means a </w:t>
      </w:r>
      <w:r>
        <w:rPr>
          <w:b/>
          <w:bCs/>
          <w:sz w:val="20"/>
          <w:szCs w:val="20"/>
        </w:rPr>
        <w:t xml:space="preserve">public</w:t>
      </w:r>
      <w:r>
        <w:rPr>
          <w:sz w:val="20"/>
          <w:szCs w:val="20"/>
        </w:rPr>
        <w:t xml:space="preserve"> tribunal, not a private arbitral one. Both decisions were later </w:t>
      </w:r>
      <w:r>
        <w:rPr>
          <w:b/>
          <w:bCs/>
          <w:sz w:val="20"/>
          <w:szCs w:val="20"/>
        </w:rPr>
        <w:t xml:space="preserve">overruled on the nature of the power</w:t>
      </w:r>
      <w:r>
        <w:rPr>
          <w:sz w:val="20"/>
          <w:szCs w:val="20"/>
        </w:rPr>
        <w:t xml:space="preserve"> by </w:t>
      </w:r>
      <w:r>
        <w:rPr>
          <w:b/>
          <w:bCs/>
          <w:i/>
          <w:iCs/>
          <w:sz w:val="20"/>
          <w:szCs w:val="20"/>
        </w:rPr>
        <w:t xml:space="preserve">Patel Engineering</w:t>
      </w:r>
      <w:r>
        <w:rPr>
          <w:sz w:val="20"/>
          <w:szCs w:val="20"/>
        </w:rPr>
        <w:t xml:space="preserve">.</w:t>
      </w:r>
    </w:p>
    <w:p>
      <w:pPr>
        <w:keepNext/>
        <w:spacing w:after="60" w:before="150"/>
      </w:pPr>
      <w:r>
        <w:rPr>
          <w:b/>
          <w:bCs/>
          <w:i/>
          <w:iCs/>
          <w:sz w:val="21"/>
          <w:szCs w:val="21"/>
        </w:rPr>
        <w:t xml:space="preserve">SBP &amp; Co. v. Patel Engineering Ltd.</w:t>
      </w:r>
      <w:r>
        <w:rPr>
          <w:sz w:val="19"/>
          <w:szCs w:val="19"/>
        </w:rPr>
        <w:t xml:space="preserve">, (2005) 8 SCC 618; AIR 2006 SC 450 (SC, 7 Judges, 26 October 2005)</w:t>
      </w:r>
    </w:p>
    <w:p>
      <w:pPr>
        <w:spacing w:after="60" w:line="258"/>
        <w:ind w:left="230"/>
        <w:jc w:val="both"/>
      </w:pPr>
      <w:r>
        <w:rPr>
          <w:b/>
          <w:bCs/>
          <w:sz w:val="20"/>
          <w:szCs w:val="20"/>
        </w:rPr>
        <w:t xml:space="preserve">Facts. </w:t>
      </w:r>
      <w:r>
        <w:rPr>
          <w:sz w:val="20"/>
          <w:szCs w:val="20"/>
        </w:rPr>
        <w:t xml:space="preserve">A seven-judge Bench was set up to look at the question again.</w:t>
      </w:r>
    </w:p>
    <w:p>
      <w:pPr>
        <w:spacing w:after="60" w:line="258"/>
        <w:ind w:left="230"/>
        <w:jc w:val="both"/>
      </w:pPr>
      <w:r>
        <w:rPr>
          <w:b/>
          <w:bCs/>
          <w:sz w:val="20"/>
          <w:szCs w:val="20"/>
        </w:rPr>
        <w:t xml:space="preserve">Decision. </w:t>
      </w:r>
      <w:r>
        <w:rPr>
          <w:sz w:val="20"/>
          <w:szCs w:val="20"/>
        </w:rPr>
        <w:t xml:space="preserve">By majority, </w:t>
      </w:r>
      <w:r>
        <w:rPr>
          <w:b/>
          <w:bCs/>
          <w:sz w:val="20"/>
          <w:szCs w:val="20"/>
          <w:shd w:fill="FFF2CC" w:color="auto" w:val="clear"/>
        </w:rPr>
        <w:t xml:space="preserve">the power under section 11(6) is judicial, not administrative.</w:t>
      </w:r>
      <w:r>
        <w:rPr>
          <w:sz w:val="20"/>
          <w:szCs w:val="20"/>
        </w:rPr>
        <w:t xml:space="preserve"> </w:t>
      </w:r>
      <w:r>
        <w:rPr>
          <w:b/>
          <w:bCs/>
          <w:i/>
          <w:iCs/>
          <w:sz w:val="20"/>
          <w:szCs w:val="20"/>
        </w:rPr>
        <w:t xml:space="preserve">Rani Construction</w:t>
      </w:r>
      <w:r>
        <w:rPr>
          <w:sz w:val="20"/>
          <w:szCs w:val="20"/>
        </w:rPr>
        <w:t xml:space="preserve"> was overruled.</w:t>
      </w:r>
    </w:p>
    <w:p>
      <w:pPr>
        <w:spacing w:after="60" w:line="258"/>
        <w:ind w:left="230"/>
        <w:jc w:val="both"/>
      </w:pPr>
      <w:r>
        <w:rPr>
          <w:b/>
          <w:bCs/>
          <w:sz w:val="20"/>
          <w:szCs w:val="20"/>
        </w:rPr>
        <w:t xml:space="preserve">Principle. </w:t>
      </w:r>
      <w:r>
        <w:rPr>
          <w:sz w:val="20"/>
          <w:szCs w:val="20"/>
        </w:rPr>
        <w:t xml:space="preserve">Because the power is judicial, it can be handed over only to another judge — by the Chief Justice of a High Court to another judge of that Court, and by the Chief Justice of India to another judge of the Supreme Court. A judge so named exercises the Chief Justice's full statutory power. And the Chief Justice or that judge may decide the </w:t>
      </w:r>
      <w:r>
        <w:rPr>
          <w:b/>
          <w:bCs/>
          <w:sz w:val="20"/>
          <w:szCs w:val="20"/>
        </w:rPr>
        <w:t xml:space="preserve">preliminary questions</w:t>
      </w:r>
      <w:r>
        <w:rPr>
          <w:sz w:val="20"/>
          <w:szCs w:val="20"/>
        </w:rPr>
        <w:t xml:space="preserve"> — whether he has jurisdiction to entertain the request, whether a valid arbitration agreement exists, whether there is a live claim, whether the conditions for using the power are met, and whether the proposed arbitrator is qualified. A District Judge cannot be named for this purpose. An order under the section goes to the Supreme Court under Article 136, not to a High Court under Article 226.</w:t>
      </w:r>
    </w:p>
    <w:p>
      <w:pPr>
        <w:spacing w:after="60" w:line="258"/>
        <w:ind w:left="230"/>
        <w:jc w:val="both"/>
      </w:pPr>
      <w:r>
        <w:rPr>
          <w:b/>
          <w:bCs/>
          <w:sz w:val="20"/>
          <w:szCs w:val="20"/>
        </w:rPr>
        <w:t xml:space="preserve">Status. </w:t>
      </w:r>
      <w:r>
        <w:rPr>
          <w:b/>
          <w:bCs/>
          <w:sz w:val="20"/>
          <w:szCs w:val="20"/>
        </w:rPr>
        <w:t xml:space="preserve">Only partly good law now.</w:t>
      </w:r>
      <w:r>
        <w:rPr>
          <w:sz w:val="20"/>
          <w:szCs w:val="20"/>
        </w:rPr>
        <w:t xml:space="preserve"> The holding that the power is judicial still stands. The permission to hold a wide preliminary enquiry does </w:t>
      </w:r>
      <w:r>
        <w:rPr>
          <w:b/>
          <w:bCs/>
          <w:sz w:val="20"/>
          <w:szCs w:val="20"/>
        </w:rPr>
        <w:t xml:space="preserve">not</w:t>
      </w:r>
      <w:r>
        <w:rPr>
          <w:sz w:val="20"/>
          <w:szCs w:val="20"/>
        </w:rPr>
        <w:t xml:space="preserve"> — </w:t>
      </w:r>
      <w:r>
        <w:rPr>
          <w:b/>
          <w:bCs/>
          <w:i/>
          <w:iCs/>
          <w:sz w:val="20"/>
          <w:szCs w:val="20"/>
        </w:rPr>
        <w:t xml:space="preserve">Mayavati Trading Pvt. Ltd. v. Pradyuat Deb Burman</w:t>
      </w:r>
      <w:r>
        <w:rPr>
          <w:sz w:val="20"/>
          <w:szCs w:val="20"/>
        </w:rPr>
        <w:t xml:space="preserve">, (2019) 8 SCC 714, held that after section 11(6A) was inserted, that part of </w:t>
      </w:r>
      <w:r>
        <w:rPr>
          <w:b/>
          <w:bCs/>
          <w:i/>
          <w:iCs/>
          <w:sz w:val="20"/>
          <w:szCs w:val="20"/>
        </w:rPr>
        <w:t xml:space="preserve">Patel Engineering</w:t>
      </w:r>
      <w:r>
        <w:rPr>
          <w:sz w:val="20"/>
          <w:szCs w:val="20"/>
        </w:rPr>
        <w:t xml:space="preserve"> is no longer good law.</w:t>
      </w:r>
    </w:p>
    <w:p>
      <w:pPr>
        <w:pStyle w:val="Heading2"/>
        <w:keepNext/>
        <w:spacing w:after="100" w:before="250"/>
      </w:pPr>
      <w:r>
        <w:t xml:space="preserve">What the court may examine today</w:t>
      </w:r>
    </w:p>
    <w:p>
      <w:pPr>
        <w:spacing w:after="120" w:line="264"/>
        <w:jc w:val="both"/>
      </w:pPr>
      <w:r>
        <w:t xml:space="preserve">The law moved in these steps. Learn them in order, because examiners ask for the development.</w:t>
      </w:r>
    </w:p>
    <w:p>
      <w:pPr>
        <w:pStyle w:val="ListParagraph"/>
        <w:numPr>
          <w:ilvl w:val="0"/>
          <w:numId w:val="18"/>
        </w:numPr>
        <w:spacing w:after="70" w:line="264"/>
        <w:jc w:val="both"/>
      </w:pPr>
      <w:r>
        <w:rPr>
          <w:b/>
          <w:bCs/>
          <w:i/>
          <w:iCs/>
        </w:rPr>
        <w:t xml:space="preserve">Mehul Construction</w:t>
      </w:r>
      <w:r>
        <w:t xml:space="preserve"> (2000) and </w:t>
      </w:r>
      <w:r>
        <w:rPr>
          <w:b/>
          <w:bCs/>
          <w:i/>
          <w:iCs/>
        </w:rPr>
        <w:t xml:space="preserve">Rani Construction</w:t>
      </w:r>
      <w:r>
        <w:t xml:space="preserve"> (2002) — power is administrative; the enquiry is minimal.</w:t>
      </w:r>
    </w:p>
    <w:p>
      <w:pPr>
        <w:pStyle w:val="ListParagraph"/>
        <w:numPr>
          <w:ilvl w:val="0"/>
          <w:numId w:val="18"/>
        </w:numPr>
        <w:spacing w:after="70" w:line="264"/>
        <w:jc w:val="both"/>
      </w:pPr>
      <w:r>
        <w:rPr>
          <w:b/>
          <w:bCs/>
          <w:i/>
          <w:iCs/>
        </w:rPr>
        <w:t xml:space="preserve">Patel Engineering</w:t>
      </w:r>
      <w:r>
        <w:t xml:space="preserve"> (2005, seven judges) — power is judicial; a wide enquiry is allowed.</w:t>
      </w:r>
    </w:p>
    <w:p>
      <w:pPr>
        <w:pStyle w:val="ListParagraph"/>
        <w:numPr>
          <w:ilvl w:val="0"/>
          <w:numId w:val="18"/>
        </w:numPr>
        <w:spacing w:after="70" w:line="264"/>
        <w:jc w:val="both"/>
      </w:pPr>
      <w:r>
        <w:rPr>
          <w:b/>
          <w:bCs/>
          <w:i/>
          <w:iCs/>
        </w:rPr>
        <w:t xml:space="preserve">National Insurance Co. Ltd. v. Boghara Polyfab Pvt. Ltd.</w:t>
      </w:r>
      <w:r>
        <w:t xml:space="preserve">, (2009) 1 SCC 267 — sets out which questions could be decided on that approach.</w:t>
      </w:r>
    </w:p>
    <w:p>
      <w:pPr>
        <w:pStyle w:val="ListParagraph"/>
        <w:numPr>
          <w:ilvl w:val="0"/>
          <w:numId w:val="18"/>
        </w:numPr>
        <w:spacing w:after="70" w:line="264"/>
        <w:jc w:val="both"/>
      </w:pPr>
      <w:r>
        <w:rPr>
          <w:b/>
          <w:bCs/>
        </w:rPr>
        <w:t xml:space="preserve">2015 Amendment</w:t>
      </w:r>
      <w:r>
        <w:t xml:space="preserve"> — section 11(6A) cuts the enquiry down to the existence of an arbitration agreement.</w:t>
      </w:r>
    </w:p>
    <w:p>
      <w:pPr>
        <w:pStyle w:val="ListParagraph"/>
        <w:numPr>
          <w:ilvl w:val="0"/>
          <w:numId w:val="18"/>
        </w:numPr>
        <w:spacing w:after="70" w:line="264"/>
        <w:jc w:val="both"/>
      </w:pPr>
      <w:r>
        <w:rPr>
          <w:b/>
          <w:bCs/>
          <w:i/>
          <w:iCs/>
        </w:rPr>
        <w:t xml:space="preserve">Duro Felguera S.A. v. Gangavaram Port Ltd.</w:t>
      </w:r>
      <w:r>
        <w:t xml:space="preserve">, (2017) 9 SCC 729 — applies that restriction.</w:t>
      </w:r>
    </w:p>
    <w:p>
      <w:pPr>
        <w:pStyle w:val="ListParagraph"/>
        <w:numPr>
          <w:ilvl w:val="0"/>
          <w:numId w:val="18"/>
        </w:numPr>
        <w:spacing w:after="70" w:line="264"/>
        <w:jc w:val="both"/>
      </w:pPr>
      <w:r>
        <w:rPr>
          <w:b/>
          <w:bCs/>
          <w:i/>
          <w:iCs/>
        </w:rPr>
        <w:t xml:space="preserve">Mayavati Trading</w:t>
      </w:r>
      <w:r>
        <w:t xml:space="preserve"> (2019) — the wide enquiry allowed by </w:t>
      </w:r>
      <w:r>
        <w:rPr>
          <w:b/>
          <w:bCs/>
          <w:i/>
          <w:iCs/>
        </w:rPr>
        <w:t xml:space="preserve">Patel Engineering</w:t>
      </w:r>
      <w:r>
        <w:t xml:space="preserve"> is no longer good law.</w:t>
      </w:r>
    </w:p>
    <w:p>
      <w:pPr>
        <w:pStyle w:val="ListParagraph"/>
        <w:numPr>
          <w:ilvl w:val="0"/>
          <w:numId w:val="18"/>
        </w:numPr>
        <w:spacing w:after="70" w:line="264"/>
        <w:jc w:val="both"/>
      </w:pPr>
      <w:r>
        <w:rPr>
          <w:b/>
          <w:bCs/>
          <w:i/>
          <w:iCs/>
        </w:rPr>
        <w:t xml:space="preserve">In Re: Interplay</w:t>
      </w:r>
      <w:r>
        <w:t xml:space="preserve">, 2023 INSC 1066 (seven judges) — confirms the narrow enquiry, and holds that stamp duty questions belong to the tribunal.</w:t>
      </w:r>
    </w:p>
    <w:p>
      <w:pPr>
        <w:spacing w:after="120" w:line="264"/>
        <w:jc w:val="both"/>
      </w:pPr>
      <w:r>
        <w:rPr>
          <w:b/>
          <w:bCs/>
        </w:rPr>
        <w:t xml:space="preserve">The present position, put simply.</w:t>
      </w:r>
      <w:r>
        <w:t xml:space="preserve"> </w:t>
      </w:r>
      <w:r>
        <w:rPr>
          <w:b/>
          <w:bCs/>
          <w:shd w:fill="FFF2CC" w:color="auto" w:val="clear"/>
        </w:rPr>
        <w:t xml:space="preserve">At the appointment stage the court takes only a quick first look, to see whether an arbitration agreement exists and appears valid.</w:t>
      </w:r>
      <w:r>
        <w:t xml:space="preserve"> Questions of validity, and whether the dispute can be arbitrated at all, are for the tribunal under section 16. The court may refuse to appoint only where, on the face of it, the claim clearly cannot be arbitrated or there clearly is no agreement.</w:t>
      </w:r>
    </w:p>
    <w:p>
      <w:pPr>
        <w:spacing w:after="120" w:line="264"/>
        <w:jc w:val="both"/>
      </w:pPr>
      <w:r>
        <w:rPr>
          <w:b/>
          <w:bCs/>
        </w:rPr>
        <w:t xml:space="preserve">One point to get right. ==Section 11(6A) has not been deleted.==</w:t>
      </w:r>
      <w:r>
        <w:t xml:space="preserve"> Section 3 of the 2019 Amendment said it was to be removed. But a provision only takes effect when the government notifies it, and </w:t>
      </w:r>
      <w:r>
        <w:rPr>
          <w:b/>
          <w:bCs/>
        </w:rPr>
        <w:t xml:space="preserve">this one was never notified</w:t>
      </w:r>
      <w:r>
        <w:t xml:space="preserve">. So section 11(6A) is still in force. The seven-judge Bench in </w:t>
      </w:r>
      <w:r>
        <w:rPr>
          <w:b/>
          <w:bCs/>
          <w:i/>
          <w:iCs/>
        </w:rPr>
        <w:t xml:space="preserve">In Re: Interplay</w:t>
      </w:r>
      <w:r>
        <w:t xml:space="preserve"> confirmed this, and pointed out that </w:t>
      </w:r>
      <w:r>
        <w:rPr>
          <w:b/>
          <w:bCs/>
          <w:i/>
          <w:iCs/>
        </w:rPr>
        <w:t xml:space="preserve">Vidya Drolia</w:t>
      </w:r>
      <w:r>
        <w:t xml:space="preserve">, (2021) 2 SCC 1, had wrongly assumed the deletion had already happened.</w:t>
      </w:r>
    </w:p>
    <w:p>
      <w:pPr>
        <w:pStyle w:val="Heading2"/>
        <w:keepNext/>
        <w:spacing w:after="100" w:before="250"/>
      </w:pPr>
      <w:r>
        <w:t xml:space="preserve">The 2019 institutional scheme, and why it has not started</w:t>
      </w:r>
    </w:p>
    <w:p>
      <w:pPr>
        <w:spacing w:after="120" w:line="264"/>
        <w:jc w:val="both"/>
      </w:pPr>
      <w:r>
        <w:t xml:space="preserve">The 2019 Amendment tried to move appointments away from the courts. Appointments were to be made by </w:t>
      </w:r>
      <w:r>
        <w:rPr>
          <w:b/>
          <w:bCs/>
        </w:rPr>
        <w:t xml:space="preserve">arbitral institutions</w:t>
      </w:r>
      <w:r>
        <w:t xml:space="preserve">, graded and named for that purpose, and a new </w:t>
      </w:r>
      <w:r>
        <w:rPr>
          <w:b/>
          <w:bCs/>
        </w:rPr>
        <w:t xml:space="preserve">Part IA</w:t>
      </w:r>
      <w:r>
        <w:t xml:space="preserve"> created an Arbitration Council of India to grade them.</w:t>
      </w:r>
    </w:p>
    <w:p>
      <w:pPr>
        <w:spacing w:after="120" w:line="264"/>
        <w:jc w:val="both"/>
      </w:pPr>
      <w:r>
        <w:t xml:space="preserve">The aims were sensible: use professional institutions rather than courts, encourage institutional arbitration over one-off </w:t>
      </w:r>
      <w:r>
        <w:rPr>
          <w:i/>
          <w:iCs/>
        </w:rPr>
        <w:t xml:space="preserve">ad hoc</w:t>
      </w:r>
      <w:r>
        <w:t xml:space="preserve"> arbitration, and take work off the courts.</w:t>
      </w:r>
    </w:p>
    <w:p>
      <w:pPr>
        <w:spacing w:after="120" w:line="264"/>
        <w:jc w:val="both"/>
      </w:pPr>
      <w:r>
        <w:rPr>
          <w:b/>
          <w:bCs/>
        </w:rPr>
        <w:t xml:space="preserve">But none of it is working yet.</w:t>
      </w:r>
      <w:r>
        <w:t xml:space="preserve"> The Arbitration Council has not been set up, and no institutions have been graded or named. So in practice </w:t>
      </w:r>
      <w:r>
        <w:rPr>
          <w:b/>
          <w:bCs/>
          <w:shd w:fill="FFF2CC" w:color="auto" w:val="clear"/>
        </w:rPr>
        <w:t xml:space="preserve">appointments are still being made by the Supreme Court and the High Courts.</w:t>
      </w:r>
    </w:p>
    <w:p>
      <w:pPr>
        <w:pStyle w:val="Heading1"/>
        <w:keepNext/>
        <w:pBdr>
          <w:bottom w:val="single" w:color="1F3864" w:sz="6" w:space="4"/>
        </w:pBdr>
        <w:spacing w:after="160" w:before="420"/>
      </w:pPr>
      <w:r>
        <w:t xml:space="preserve">8.  Objecting to an Arbitrator: Sections 12 and 13</w:t>
      </w:r>
    </w:p>
    <w:p>
      <w:pPr>
        <w:pStyle w:val="Heading2"/>
        <w:keepNext/>
        <w:spacing w:after="100" w:before="250"/>
      </w:pPr>
      <w:r>
        <w:t xml:space="preserve">The concern behind these sections</w:t>
      </w:r>
    </w:p>
    <w:p>
      <w:pPr>
        <w:spacing w:after="120" w:line="264"/>
        <w:jc w:val="both"/>
      </w:pPr>
      <w:r>
        <w:t xml:space="preserve">An arbitrator does the work of a judge. So he must be </w:t>
      </w:r>
      <w:r>
        <w:rPr>
          <w:b/>
          <w:bCs/>
        </w:rPr>
        <w:t xml:space="preserve">independent of the parties</w:t>
      </w:r>
      <w:r>
        <w:t xml:space="preserve"> and </w:t>
      </w:r>
      <w:r>
        <w:rPr>
          <w:b/>
          <w:bCs/>
        </w:rPr>
        <w:t xml:space="preserve">impartial between them</w:t>
      </w:r>
      <w:r>
        <w:t xml:space="preserve">. If he is not, the arbitration is worthless.</w:t>
      </w:r>
    </w:p>
    <w:p>
      <w:pPr>
        <w:spacing w:after="120" w:line="264"/>
        <w:jc w:val="both"/>
      </w:pPr>
      <w:r>
        <w:t xml:space="preserve">Sections 12 and 13 protect this in three ways: a duty on the arbitrator to disclose anything that might cast doubt on him; grounds on which a party may object; and, since 2015, a list of relationships that </w:t>
      </w:r>
      <w:r>
        <w:rPr>
          <w:b/>
          <w:bCs/>
        </w:rPr>
        <w:t xml:space="preserve">disqualify</w:t>
      </w:r>
      <w:r>
        <w:t xml:space="preserve"> a person outright.</w:t>
      </w:r>
    </w:p>
    <w:p>
      <w:pPr>
        <w:spacing w:after="120" w:line="264"/>
        <w:jc w:val="both"/>
      </w:pPr>
      <w:r>
        <w:t xml:space="preserve">Two ideas run through the whole scheme, and you should state them at the start of any answer.</w:t>
      </w:r>
    </w:p>
    <w:p>
      <w:pPr>
        <w:pStyle w:val="ListParagraph"/>
        <w:numPr>
          <w:ilvl w:val="0"/>
          <w:numId w:val="19"/>
        </w:numPr>
        <w:spacing w:after="70" w:line="264"/>
        <w:jc w:val="both"/>
      </w:pPr>
      <w:r>
        <w:rPr>
          <w:b/>
          <w:bCs/>
          <w:shd w:fill="FFF2CC" w:color="auto" w:val="clear"/>
        </w:rPr>
        <w:t xml:space="preserve">The test is not whether the arbitrator is actually biased. It is whether the circumstances raise a justifiable doubt about him.</w:t>
      </w:r>
      <w:r>
        <w:t xml:space="preserve"> Proof of actual bias is not needed, and is almost impossible anyway.</w:t>
      </w:r>
    </w:p>
    <w:p>
      <w:pPr>
        <w:pStyle w:val="ListParagraph"/>
        <w:numPr>
          <w:ilvl w:val="0"/>
          <w:numId w:val="19"/>
        </w:numPr>
        <w:spacing w:after="70" w:line="264"/>
        <w:jc w:val="both"/>
      </w:pPr>
      <w:r>
        <w:rPr>
          <w:b/>
          <w:bCs/>
        </w:rPr>
        <w:t xml:space="preserve">Disclosure is a continuing duty.</w:t>
      </w:r>
      <w:r>
        <w:t xml:space="preserve"> The arbitrator does not disclose once at the start and forget about it. He must disclose anything that arises later, as it arises.</w:t>
      </w:r>
    </w:p>
    <w:p>
      <w:pPr>
        <w:pStyle w:val="Heading2"/>
        <w:keepNext/>
        <w:spacing w:after="100" w:before="250"/>
      </w:pPr>
      <w:r>
        <w:t xml:space="preserve">Section 12: disclosure, grounds and disqualification</w:t>
      </w:r>
    </w:p>
    <w:p>
      <w:pPr>
        <w:pStyle w:val="Heading3"/>
        <w:keepNext/>
        <w:spacing w:after="80" w:before="180"/>
      </w:pPr>
      <w:r>
        <w:t xml:space="preserve">Sub-sections (1) and (2) — the duty to disclose</w:t>
      </w:r>
    </w:p>
    <w:p>
      <w:pPr>
        <w:spacing w:after="120" w:line="264"/>
        <w:jc w:val="both"/>
      </w:pPr>
      <w:r>
        <w:t xml:space="preserve">A person approached about becoming an arbitrator must disclose in writing two kinds of thing:</w:t>
      </w:r>
    </w:p>
    <w:p>
      <w:pPr>
        <w:pStyle w:val="ListParagraph"/>
        <w:numPr>
          <w:ilvl w:val="0"/>
          <w:numId w:val="20"/>
        </w:numPr>
        <w:spacing w:after="70" w:line="264"/>
        <w:jc w:val="both"/>
      </w:pPr>
      <w:r>
        <w:t xml:space="preserve">any past or present relationship with a party, or interest in a party or in the subject matter — financial, business, professional or of any other kind — that is likely to raise a </w:t>
      </w:r>
      <w:r>
        <w:rPr>
          <w:b/>
          <w:bCs/>
        </w:rPr>
        <w:t xml:space="preserve">justifiable doubt</w:t>
      </w:r>
      <w:r>
        <w:t xml:space="preserve"> about his independence or impartiality; and</w:t>
      </w:r>
    </w:p>
    <w:p>
      <w:pPr>
        <w:pStyle w:val="ListParagraph"/>
        <w:numPr>
          <w:ilvl w:val="0"/>
          <w:numId w:val="20"/>
        </w:numPr>
        <w:spacing w:after="70" w:line="264"/>
        <w:jc w:val="both"/>
      </w:pPr>
      <w:r>
        <w:t xml:space="preserve">anything likely to affect his ability to give the case enough time, in particular to finish it within twelve months.</w:t>
      </w:r>
    </w:p>
    <w:p>
      <w:pPr>
        <w:spacing w:after="120" w:line="264"/>
        <w:jc w:val="both"/>
      </w:pPr>
      <w:r>
        <w:t xml:space="preserve">Two Explanations attached to the sub-section tell you where to look. The </w:t>
      </w:r>
      <w:r>
        <w:rPr>
          <w:b/>
          <w:bCs/>
        </w:rPr>
        <w:t xml:space="preserve">Fifth Schedule</w:t>
      </w:r>
      <w:r>
        <w:t xml:space="preserve"> is a list of situations that guide whether a justifiable doubt exists. The </w:t>
      </w:r>
      <w:r>
        <w:rPr>
          <w:b/>
          <w:bCs/>
        </w:rPr>
        <w:t xml:space="preserve">Sixth Schedule</w:t>
      </w:r>
      <w:r>
        <w:t xml:space="preserve"> gives the form in which the disclosure must be made. Both Schedules are lists printed at the end of the Act.</w:t>
      </w:r>
    </w:p>
    <w:p>
      <w:pPr>
        <w:spacing w:after="120" w:line="264"/>
        <w:jc w:val="both"/>
      </w:pPr>
      <w:r>
        <w:t xml:space="preserve">Sub-section (2) extends the duty. It runs from appointment and continues throughout the arbitration, and disclosure must be made without delay.</w:t>
      </w:r>
    </w:p>
    <w:p>
      <w:pPr>
        <w:pStyle w:val="Heading3"/>
        <w:keepNext/>
        <w:spacing w:after="80" w:before="180"/>
      </w:pPr>
      <w:r>
        <w:t xml:space="preserve">Sub-sections (3) and (4) — grounds for objecting</w:t>
      </w:r>
    </w:p>
    <w:p>
      <w:pPr>
        <w:spacing w:after="120" w:line="264"/>
        <w:jc w:val="both"/>
      </w:pPr>
      <w:r>
        <w:t xml:space="preserve">Under section 12(3), an arbitrator may be challenged </w:t>
      </w:r>
      <w:r>
        <w:rPr>
          <w:b/>
          <w:bCs/>
        </w:rPr>
        <w:t xml:space="preserve">only</w:t>
      </w:r>
      <w:r>
        <w:t xml:space="preserve"> on two grounds:</w:t>
      </w:r>
    </w:p>
    <w:p>
      <w:pPr>
        <w:pStyle w:val="ListParagraph"/>
        <w:numPr>
          <w:ilvl w:val="0"/>
          <w:numId w:val="21"/>
        </w:numPr>
        <w:spacing w:after="70" w:line="264"/>
        <w:jc w:val="both"/>
      </w:pPr>
      <w:r>
        <w:t xml:space="preserve">circumstances exist that raise a </w:t>
      </w:r>
      <w:r>
        <w:rPr>
          <w:b/>
          <w:bCs/>
        </w:rPr>
        <w:t xml:space="preserve">justifiable doubt</w:t>
      </w:r>
      <w:r>
        <w:t xml:space="preserve"> about his independence or impartiality; or</w:t>
      </w:r>
    </w:p>
    <w:p>
      <w:pPr>
        <w:pStyle w:val="ListParagraph"/>
        <w:numPr>
          <w:ilvl w:val="0"/>
          <w:numId w:val="21"/>
        </w:numPr>
        <w:spacing w:after="70" w:line="264"/>
        <w:jc w:val="both"/>
      </w:pPr>
      <w:r>
        <w:t xml:space="preserve">he does </w:t>
      </w:r>
      <w:r>
        <w:rPr>
          <w:b/>
          <w:bCs/>
        </w:rPr>
        <w:t xml:space="preserve">not have the qualifications</w:t>
      </w:r>
      <w:r>
        <w:t xml:space="preserve"> the parties agreed on.</w:t>
      </w:r>
    </w:p>
    <w:p>
      <w:pPr>
        <w:spacing w:after="120" w:line="264"/>
        <w:jc w:val="both"/>
      </w:pPr>
      <w:r>
        <w:t xml:space="preserve">The word “only” is important. It keeps out weak and tactical objections, so sub-section (3) works as a </w:t>
      </w:r>
      <w:r>
        <w:rPr>
          <w:b/>
          <w:bCs/>
        </w:rPr>
        <w:t xml:space="preserve">filter</w:t>
      </w:r>
      <w:r>
        <w:t xml:space="preserve">. The “justifiable doubts” wording is taken from the Model Law and is the standard used internationally.</w:t>
      </w:r>
    </w:p>
    <w:p>
      <w:pPr>
        <w:spacing w:after="120" w:line="264"/>
        <w:jc w:val="both"/>
      </w:pPr>
      <w:r>
        <w:t xml:space="preserve">Section 12(4) puts a limit on a party who did the appointing. </w:t>
      </w:r>
      <w:r>
        <w:rPr>
          <w:b/>
          <w:bCs/>
        </w:rPr>
        <w:t xml:space="preserve">It can challenge its own appointee only for reasons it learnt about after the appointment.</w:t>
      </w:r>
      <w:r>
        <w:t xml:space="preserve"> A party cannot appoint someone while knowing of a problem, and then use that problem later when the case starts going badly.</w:t>
      </w:r>
    </w:p>
    <w:p>
      <w:pPr>
        <w:pStyle w:val="Heading3"/>
        <w:keepNext/>
        <w:spacing w:after="80" w:before="180"/>
      </w:pPr>
      <w:r>
        <w:t xml:space="preserve">Sub-section (5) — outright disqualification</w:t>
      </w:r>
    </w:p>
    <w:p>
      <w:pPr>
        <w:spacing w:after="110" w:before="70" w:line="250"/>
        <w:ind w:left="460" w:right="259"/>
        <w:jc w:val="both"/>
      </w:pPr>
      <w:r>
        <w:rPr>
          <w:sz w:val="19"/>
          <w:szCs w:val="19"/>
        </w:rPr>
        <w:t xml:space="preserve">Notwithstanding any prior agreement to the contrary, any person whose relationship, with the parties or counsel or the subject-matter of the dispute, falls under any of the categories specified in the </w:t>
      </w:r>
      <w:r>
        <w:rPr>
          <w:b/>
          <w:bCs/>
          <w:sz w:val="19"/>
          <w:szCs w:val="19"/>
        </w:rPr>
        <w:t xml:space="preserve">Seventh Schedule</w:t>
      </w:r>
      <w:r>
        <w:rPr>
          <w:sz w:val="19"/>
          <w:szCs w:val="19"/>
        </w:rPr>
        <w:t xml:space="preserve"> shall be </w:t>
      </w:r>
      <w:r>
        <w:rPr>
          <w:b/>
          <w:bCs/>
          <w:sz w:val="19"/>
          <w:szCs w:val="19"/>
        </w:rPr>
        <w:t xml:space="preserve">ineligible</w:t>
      </w:r>
      <w:r>
        <w:rPr>
          <w:sz w:val="19"/>
          <w:szCs w:val="19"/>
        </w:rPr>
        <w:t xml:space="preserve"> to be appointed as an arbitrator: Provided that parties may, subsequent to disputes having arisen between them, waive the applicability of this sub-section by an </w:t>
      </w:r>
      <w:r>
        <w:rPr>
          <w:b/>
          <w:bCs/>
          <w:sz w:val="19"/>
          <w:szCs w:val="19"/>
        </w:rPr>
        <w:t xml:space="preserve">express agreement in writing</w:t>
      </w:r>
      <w:r>
        <w:rPr>
          <w:sz w:val="19"/>
          <w:szCs w:val="19"/>
        </w:rPr>
        <w:t xml:space="preserve">.</w:t>
      </w:r>
    </w:p>
    <w:p>
      <w:pPr>
        <w:spacing w:after="120" w:line="264"/>
        <w:jc w:val="both"/>
      </w:pPr>
      <w:r>
        <w:t xml:space="preserve">The </w:t>
      </w:r>
      <w:r>
        <w:rPr>
          <w:b/>
          <w:bCs/>
        </w:rPr>
        <w:t xml:space="preserve">Seventh Schedule</w:t>
      </w:r>
      <w:r>
        <w:t xml:space="preserve"> is another list at the end of the Act. It sets out relationships that are treated as too close — for example, being an employee, consultant or adviser of a party, or having a business relationship with one.</w:t>
      </w:r>
    </w:p>
    <w:p>
      <w:pPr>
        <w:pStyle w:val="Heading3"/>
        <w:keepNext/>
        <w:spacing w:after="80" w:before="180"/>
      </w:pPr>
      <w:r>
        <w:t xml:space="preserve">The difference between (3) and (5) — learn this</w:t>
      </w:r>
    </w:p>
    <w:p>
      <w:pPr>
        <w:spacing w:after="120" w:line="264"/>
        <w:jc w:val="both"/>
      </w:pPr>
      <w:r>
        <w:rPr>
          <w:b/>
          <w:bCs/>
        </w:rPr>
        <w:t xml:space="preserve">Sub-section (3) gives a ground of challenge.</w:t>
      </w:r>
      <w:r>
        <w:t xml:space="preserve"> The other side objects, and somebody decides the objection under section 13.</w:t>
      </w:r>
    </w:p>
    <w:p>
      <w:pPr>
        <w:spacing w:after="120" w:line="264"/>
        <w:jc w:val="both"/>
      </w:pPr>
      <w:r>
        <w:rPr>
          <w:b/>
          <w:bCs/>
        </w:rPr>
        <w:t xml:space="preserve">Sub-section (5) creates a disqualification.</w:t>
      </w:r>
      <w:r>
        <w:t xml:space="preserve"> The person simply cannot hold the office. The opening words “notwithstanding any prior agreement” mean it overrides the contract itself, including the very clause that named him.</w:t>
      </w:r>
    </w:p>
    <w:p>
      <w:pPr>
        <w:spacing w:after="120" w:line="264"/>
        <w:jc w:val="both"/>
      </w:pPr>
      <w:r>
        <w:rPr>
          <w:b/>
          <w:bCs/>
          <w:shd w:fill="FFF2CC" w:color="auto" w:val="clear"/>
        </w:rPr>
        <w:t xml:space="preserve">A disqualification under sub-section (5) can be waived, but only by an express agreement in writing, made after the dispute has arisen. Carrying on with the arbitration, or saying nothing, is not enough.</w:t>
      </w:r>
    </w:p>
    <w:p>
      <w:pPr>
        <w:pStyle w:val="Heading3"/>
        <w:keepNext/>
        <w:spacing w:after="80" w:before="180"/>
      </w:pPr>
      <w:r>
        <w:t xml:space="preserve">The IBA traffic-light system</w:t>
      </w:r>
    </w:p>
    <w:p>
      <w:pPr>
        <w:spacing w:after="120" w:line="264"/>
        <w:jc w:val="both"/>
      </w:pPr>
      <w:r>
        <w:t xml:space="preserve">The Fifth and Seventh Schedules were drawn from guidelines published by the </w:t>
      </w:r>
      <w:r>
        <w:rPr>
          <w:b/>
          <w:bCs/>
        </w:rPr>
        <w:t xml:space="preserve">International Bar Association</w:t>
      </w:r>
      <w:r>
        <w:t xml:space="preserve">, a global association of lawyers. Those guidelines sort situations into three lists, using a traffic-light idea.</w:t>
      </w:r>
    </w:p>
    <w:p>
      <w:pPr>
        <w:pStyle w:val="ListParagraph"/>
        <w:numPr>
          <w:ilvl w:val="0"/>
          <w:numId w:val="22"/>
        </w:numPr>
        <w:spacing w:after="70" w:line="264"/>
        <w:jc w:val="both"/>
      </w:pPr>
      <w:r>
        <w:rPr>
          <w:b/>
          <w:bCs/>
        </w:rPr>
        <w:t xml:space="preserve">Green list</w:t>
      </w:r>
      <w:r>
        <w:t xml:space="preserve"> — no conflict, and nothing needs to be disclosed. Example: the arbitrator and one side's counsel know each other socially.</w:t>
      </w:r>
    </w:p>
    <w:p>
      <w:pPr>
        <w:pStyle w:val="ListParagraph"/>
        <w:numPr>
          <w:ilvl w:val="0"/>
          <w:numId w:val="22"/>
        </w:numPr>
        <w:spacing w:after="70" w:line="264"/>
        <w:jc w:val="both"/>
      </w:pPr>
      <w:r>
        <w:rPr>
          <w:b/>
          <w:bCs/>
        </w:rPr>
        <w:t xml:space="preserve">Orange list</w:t>
      </w:r>
      <w:r>
        <w:t xml:space="preserve"> — might raise a doubt, but does not by itself show partiality. It </w:t>
      </w:r>
      <w:r>
        <w:rPr>
          <w:b/>
          <w:bCs/>
        </w:rPr>
        <w:t xml:space="preserve">must</w:t>
      </w:r>
      <w:r>
        <w:t xml:space="preserve"> be disclosed, and the arbitrator can continue unless a party objects. Example: he has sat as arbitrator in a related case.</w:t>
      </w:r>
    </w:p>
    <w:p>
      <w:pPr>
        <w:pStyle w:val="ListParagraph"/>
        <w:numPr>
          <w:ilvl w:val="0"/>
          <w:numId w:val="22"/>
        </w:numPr>
        <w:spacing w:after="70" w:line="264"/>
        <w:jc w:val="both"/>
      </w:pPr>
      <w:r>
        <w:rPr>
          <w:b/>
          <w:bCs/>
        </w:rPr>
        <w:t xml:space="preserve">Red list</w:t>
      </w:r>
      <w:r>
        <w:t xml:space="preserve"> — raises a serious doubt. It is split into </w:t>
      </w:r>
      <w:r>
        <w:rPr>
          <w:b/>
          <w:bCs/>
        </w:rPr>
        <w:t xml:space="preserve">waivable</w:t>
      </w:r>
      <w:r>
        <w:t xml:space="preserve"> and </w:t>
      </w:r>
      <w:r>
        <w:rPr>
          <w:b/>
          <w:bCs/>
        </w:rPr>
        <w:t xml:space="preserve">non-waivable</w:t>
      </w:r>
      <w:r>
        <w:t xml:space="preserve">. Example of a waivable one: a close family relationship with a party, which can be overlooked if both sides agree.</w:t>
      </w:r>
    </w:p>
    <w:p>
      <w:pPr>
        <w:spacing w:after="120" w:line="264"/>
        <w:jc w:val="both"/>
      </w:pPr>
      <w:r>
        <w:rPr>
          <w:b/>
          <w:bCs/>
        </w:rPr>
        <w:t xml:space="preserve">A word of caution for answers.</w:t>
      </w:r>
      <w:r>
        <w:t xml:space="preserve"> The guidelines are only guidance and are not part of Indian law. </w:t>
      </w:r>
      <w:r>
        <w:rPr>
          <w:b/>
          <w:bCs/>
        </w:rPr>
        <w:t xml:space="preserve">The Act's Seventh Schedule is a single list</w:t>
      </w:r>
      <w:r>
        <w:t xml:space="preserve">, not one split into waivable and non-waivable parts, and the only waiver the Act permits is the express written waiver under the proviso to section 12(5). The guidelines were last updated in 2024.</w:t>
      </w:r>
    </w:p>
    <w:p>
      <w:pPr>
        <w:pStyle w:val="Heading2"/>
        <w:keepNext/>
        <w:spacing w:after="100" w:before="250"/>
      </w:pPr>
      <w:r>
        <w:t xml:space="preserve">Section 13: how a challenge is made and decided</w:t>
      </w:r>
    </w:p>
    <w:p>
      <w:pPr>
        <w:pStyle w:val="ListParagraph"/>
        <w:numPr>
          <w:ilvl w:val="0"/>
          <w:numId w:val="23"/>
        </w:numPr>
        <w:spacing w:after="70" w:line="264"/>
        <w:jc w:val="both"/>
      </w:pPr>
      <w:r>
        <w:rPr>
          <w:b/>
          <w:bCs/>
        </w:rPr>
        <w:t xml:space="preserve">(1)</w:t>
      </w:r>
      <w:r>
        <w:t xml:space="preserve"> Subject to (4), the parties may agree their own challenge procedure.</w:t>
      </w:r>
    </w:p>
    <w:p>
      <w:pPr>
        <w:pStyle w:val="ListParagraph"/>
        <w:numPr>
          <w:ilvl w:val="0"/>
          <w:numId w:val="23"/>
        </w:numPr>
        <w:spacing w:after="70" w:line="264"/>
        <w:jc w:val="both"/>
      </w:pPr>
      <w:r>
        <w:rPr>
          <w:b/>
          <w:bCs/>
        </w:rPr>
        <w:t xml:space="preserve">(2)</w:t>
      </w:r>
      <w:r>
        <w:t xml:space="preserve"> If they have not, the challenging party must, within </w:t>
      </w:r>
      <w:r>
        <w:rPr>
          <w:b/>
          <w:bCs/>
          <w:shd w:fill="FFF2CC" w:color="auto" w:val="clear"/>
        </w:rPr>
        <w:t xml:space="preserve">fifteen days</w:t>
      </w:r>
      <w:r>
        <w:t xml:space="preserve"> of learning of the constitution of the tribunal or of the disqualifying circumstance, send the tribunal a </w:t>
      </w:r>
      <w:r>
        <w:rPr>
          <w:b/>
          <w:bCs/>
        </w:rPr>
        <w:t xml:space="preserve">written statement of its reasons</w:t>
      </w:r>
      <w:r>
        <w:t xml:space="preserve">.</w:t>
      </w:r>
    </w:p>
    <w:p>
      <w:pPr>
        <w:pStyle w:val="ListParagraph"/>
        <w:numPr>
          <w:ilvl w:val="0"/>
          <w:numId w:val="23"/>
        </w:numPr>
        <w:spacing w:after="70" w:line="264"/>
        <w:jc w:val="both"/>
      </w:pPr>
      <w:r>
        <w:rPr>
          <w:b/>
          <w:bCs/>
        </w:rPr>
        <w:t xml:space="preserve">(3)</w:t>
      </w:r>
      <w:r>
        <w:t xml:space="preserve"> Unless the arbitrator steps down, or the other party accepts the challenge, </w:t>
      </w:r>
      <w:r>
        <w:rPr>
          <w:b/>
          <w:bCs/>
          <w:shd w:fill="FFF2CC" w:color="auto" w:val="clear"/>
        </w:rPr>
        <w:t xml:space="preserve">the tribunal itself decides the challenge.</w:t>
      </w:r>
    </w:p>
    <w:p>
      <w:pPr>
        <w:pStyle w:val="ListParagraph"/>
        <w:numPr>
          <w:ilvl w:val="0"/>
          <w:numId w:val="23"/>
        </w:numPr>
        <w:spacing w:after="70" w:line="264"/>
        <w:jc w:val="both"/>
      </w:pPr>
      <w:r>
        <w:rPr>
          <w:b/>
          <w:bCs/>
        </w:rPr>
        <w:t xml:space="preserve">(4)</w:t>
      </w:r>
      <w:r>
        <w:t xml:space="preserve"> If the challenge fails, the tribunal </w:t>
      </w:r>
      <w:r>
        <w:rPr>
          <w:b/>
          <w:bCs/>
        </w:rPr>
        <w:t xml:space="preserve">carries on</w:t>
      </w:r>
      <w:r>
        <w:t xml:space="preserve"> and makes its award.</w:t>
      </w:r>
    </w:p>
    <w:p>
      <w:pPr>
        <w:pStyle w:val="ListParagraph"/>
        <w:numPr>
          <w:ilvl w:val="0"/>
          <w:numId w:val="23"/>
        </w:numPr>
        <w:spacing w:after="70" w:line="264"/>
        <w:jc w:val="both"/>
      </w:pPr>
      <w:r>
        <w:rPr>
          <w:b/>
          <w:bCs/>
        </w:rPr>
        <w:t xml:space="preserve">(5)</w:t>
      </w:r>
      <w:r>
        <w:t xml:space="preserve"> The challenging party may then apply under </w:t>
      </w:r>
      <w:r>
        <w:rPr>
          <w:b/>
          <w:bCs/>
        </w:rPr>
        <w:t xml:space="preserve">section 34</w:t>
      </w:r>
      <w:r>
        <w:t xml:space="preserve"> to set that award aside.</w:t>
      </w:r>
    </w:p>
    <w:p>
      <w:pPr>
        <w:pStyle w:val="ListParagraph"/>
        <w:numPr>
          <w:ilvl w:val="0"/>
          <w:numId w:val="23"/>
        </w:numPr>
        <w:spacing w:after="70" w:line="264"/>
        <w:jc w:val="both"/>
      </w:pPr>
      <w:r>
        <w:rPr>
          <w:b/>
          <w:bCs/>
        </w:rPr>
        <w:t xml:space="preserve">(6)</w:t>
      </w:r>
      <w:r>
        <w:t xml:space="preserve"> If the award is set aside, the court may decide whether the challenged arbitrator gets any fees.</w:t>
      </w:r>
    </w:p>
    <w:p>
      <w:pPr>
        <w:spacing w:after="120" w:line="264"/>
        <w:jc w:val="both"/>
      </w:pPr>
      <w:r>
        <w:rPr>
          <w:b/>
          <w:bCs/>
        </w:rPr>
        <w:t xml:space="preserve">Notice the design.</w:t>
      </w:r>
      <w:r>
        <w:t xml:space="preserve"> A failed challenge does not stop the arbitration. This is deliberate. Otherwise a party that expected to lose could file a challenge simply to bring everything to a halt. The complaint is kept alive and taken up later, under section 34.</w:t>
      </w:r>
    </w:p>
    <w:p>
      <w:pPr>
        <w:spacing w:after="120" w:line="264"/>
        <w:jc w:val="both"/>
      </w:pPr>
      <w:r>
        <w:t xml:space="preserve">One oddity is worth mentioning in an answer. </w:t>
      </w:r>
      <w:r>
        <w:rPr>
          <w:b/>
          <w:bCs/>
        </w:rPr>
        <w:t xml:space="preserve">The tribunal decides a challenge to its own member</w:t>
      </w:r>
      <w:r>
        <w:t xml:space="preserve">, which would be unthinkable in a court. It is tolerated because section 34 provides the real safeguard at the end. Natural justice still applies, so the challenged arbitrator must be given a chance to comment on the challenge against him.</w:t>
      </w:r>
    </w:p>
    <w:p>
      <w:pPr>
        <w:pStyle w:val="Heading2"/>
        <w:keepNext/>
        <w:spacing w:after="100" w:before="250"/>
      </w:pPr>
      <w:r>
        <w:t xml:space="preserve">The standard in practice: the Chagos challenge</w:t>
      </w:r>
    </w:p>
    <w:p>
      <w:pPr>
        <w:spacing w:after="120" w:line="264"/>
        <w:jc w:val="both"/>
      </w:pPr>
      <w:r>
        <w:t xml:space="preserve">This decision is the best illustration of the “justifiable doubts” test, and the standard it applies is the same one used in section 12(3).</w:t>
      </w:r>
    </w:p>
    <w:p>
      <w:pPr>
        <w:keepNext/>
        <w:spacing w:after="60" w:before="150"/>
      </w:pPr>
      <w:r>
        <w:rPr>
          <w:b/>
          <w:bCs/>
          <w:i/>
          <w:iCs/>
          <w:sz w:val="21"/>
          <w:szCs w:val="21"/>
        </w:rPr>
        <w:t xml:space="preserve">Chagos Marine Protected Area Arbitration (Mauritius v. United Kingdom) — Reasoned Decision on Challenge</w:t>
      </w:r>
      <w:r>
        <w:rPr>
          <w:sz w:val="19"/>
          <w:szCs w:val="19"/>
        </w:rPr>
        <w:t xml:space="preserve">, Permanent Court of Arbitration Case No. 2011-03; decision on the challenge to Judge Sir Christopher Greenwood, 30 November 2011</w:t>
      </w:r>
    </w:p>
    <w:p>
      <w:pPr>
        <w:spacing w:after="60" w:line="258"/>
        <w:ind w:left="230"/>
        <w:jc w:val="both"/>
      </w:pPr>
      <w:r>
        <w:rPr>
          <w:b/>
          <w:bCs/>
          <w:sz w:val="20"/>
          <w:szCs w:val="20"/>
        </w:rPr>
        <w:t xml:space="preserve">Facts. </w:t>
      </w:r>
      <w:r>
        <w:rPr>
          <w:sz w:val="20"/>
          <w:szCs w:val="20"/>
        </w:rPr>
        <w:t xml:space="preserve">Mauritius began an arbitration against the United Kingdom about a Marine Protected Area declared around the Chagos Archipelago. The United Kingdom appointed Judge Sir Christopher Greenwood as its arbitrator. Mauritius objected. It pointed to his long and close working relationship with the United Kingdom Government, to his having advised it on sensitive questions of international law, and to the fact that, even after his appointment to this tribunal, he took part in choosing the new legal adviser to the British Foreign Office.</w:t>
      </w:r>
    </w:p>
    <w:p>
      <w:pPr>
        <w:spacing w:after="60" w:line="258"/>
        <w:ind w:left="230"/>
        <w:jc w:val="both"/>
      </w:pPr>
      <w:r>
        <w:rPr>
          <w:b/>
          <w:bCs/>
          <w:sz w:val="20"/>
          <w:szCs w:val="20"/>
        </w:rPr>
        <w:t xml:space="preserve">Decision. </w:t>
      </w:r>
      <w:r>
        <w:rPr>
          <w:sz w:val="20"/>
          <w:szCs w:val="20"/>
        </w:rPr>
        <w:t xml:space="preserve">The challenge was </w:t>
      </w:r>
      <w:r>
        <w:rPr>
          <w:b/>
          <w:bCs/>
          <w:sz w:val="20"/>
          <w:szCs w:val="20"/>
        </w:rPr>
        <w:t xml:space="preserve">rejected</w:t>
      </w:r>
      <w:r>
        <w:rPr>
          <w:sz w:val="20"/>
          <w:szCs w:val="20"/>
        </w:rPr>
        <w:t xml:space="preserve">.</w:t>
      </w:r>
    </w:p>
    <w:p>
      <w:pPr>
        <w:spacing w:after="60" w:line="258"/>
        <w:ind w:left="230"/>
        <w:jc w:val="both"/>
      </w:pPr>
      <w:r>
        <w:rPr>
          <w:b/>
          <w:bCs/>
          <w:sz w:val="20"/>
          <w:szCs w:val="20"/>
        </w:rPr>
        <w:t xml:space="preserve">Principle. </w:t>
      </w:r>
      <w:r>
        <w:rPr>
          <w:sz w:val="20"/>
          <w:szCs w:val="20"/>
        </w:rPr>
        <w:t xml:space="preserve">Mauritius never said he was actually biased. Its case was that such a long relationship could not survive an </w:t>
      </w:r>
      <w:r>
        <w:rPr>
          <w:b/>
          <w:bCs/>
          <w:sz w:val="20"/>
          <w:szCs w:val="20"/>
        </w:rPr>
        <w:t xml:space="preserve">appearance of bias</w:t>
      </w:r>
      <w:r>
        <w:rPr>
          <w:sz w:val="20"/>
          <w:szCs w:val="20"/>
        </w:rPr>
        <w:t xml:space="preserve"> standard, which it said was a general principle of law. The United Kingdom answered that in disputes between States the real test is </w:t>
      </w:r>
      <w:r>
        <w:rPr>
          <w:b/>
          <w:bCs/>
          <w:sz w:val="20"/>
          <w:szCs w:val="20"/>
        </w:rPr>
        <w:t xml:space="preserve">whether the arbitrator was involved in the subject matter of this particular case</w:t>
      </w:r>
      <w:r>
        <w:rPr>
          <w:sz w:val="20"/>
          <w:szCs w:val="20"/>
        </w:rPr>
        <w:t xml:space="preserve">, as the practice of the International Court of Justice shows. Judge Greenwood, as is normal, commented on the challenge. He said he had never been involved with the Chagos Islands or the issues in the claim, and pointed out that he had also appeared </w:t>
      </w:r>
      <w:r>
        <w:rPr>
          <w:b/>
          <w:bCs/>
          <w:sz w:val="20"/>
          <w:szCs w:val="20"/>
        </w:rPr>
        <w:t xml:space="preserve">against</w:t>
      </w:r>
      <w:r>
        <w:rPr>
          <w:sz w:val="20"/>
          <w:szCs w:val="20"/>
        </w:rPr>
        <w:t xml:space="preserve"> the United Kingdom and had advised more than twenty other States. The tribunal held the correct test to be the one in the applicable rules: whether circumstances exist that raise </w:t>
      </w:r>
      <w:r>
        <w:rPr>
          <w:b/>
          <w:bCs/>
          <w:sz w:val="20"/>
          <w:szCs w:val="20"/>
          <w:shd w:fill="FFF2CC" w:color="auto" w:val="clear"/>
        </w:rPr>
        <w:t xml:space="preserve">justifiable doubts</w:t>
      </w:r>
      <w:r>
        <w:rPr>
          <w:sz w:val="20"/>
          <w:szCs w:val="20"/>
        </w:rPr>
        <w:t xml:space="preserve"> about impartiality or independence. On the facts, his earlier work raised no such doubt.</w:t>
      </w:r>
    </w:p>
    <w:p>
      <w:pPr>
        <w:spacing w:after="60" w:line="258"/>
        <w:ind w:left="230"/>
        <w:jc w:val="both"/>
      </w:pPr>
      <w:r>
        <w:rPr>
          <w:b/>
          <w:bCs/>
          <w:sz w:val="20"/>
          <w:szCs w:val="20"/>
        </w:rPr>
        <w:t xml:space="preserve">Status. </w:t>
      </w:r>
      <w:r>
        <w:rPr>
          <w:sz w:val="20"/>
          <w:szCs w:val="20"/>
        </w:rPr>
        <w:t xml:space="preserve">This is a decision of an international arbitral tribunal. It persuades but does not bind Indian courts, where section 12 and the Schedules govern. </w:t>
      </w:r>
      <w:r>
        <w:rPr>
          <w:b/>
          <w:bCs/>
          <w:sz w:val="20"/>
          <w:szCs w:val="20"/>
        </w:rPr>
        <w:t xml:space="preserve">Three points carry over:</w:t>
      </w:r>
      <w:r>
        <w:rPr>
          <w:sz w:val="20"/>
          <w:szCs w:val="20"/>
        </w:rPr>
        <w:t xml:space="preserve"> the test is appearance, not proof of actual bias; what mattered in the end was </w:t>
      </w:r>
      <w:r>
        <w:rPr>
          <w:b/>
          <w:bCs/>
          <w:sz w:val="20"/>
          <w:szCs w:val="20"/>
        </w:rPr>
        <w:t xml:space="preserve">involvement in the subject matter of this dispute</w:t>
      </w:r>
      <w:r>
        <w:rPr>
          <w:sz w:val="20"/>
          <w:szCs w:val="20"/>
        </w:rPr>
        <w:t xml:space="preserve">; and the arbitrator being challenged is heard before the challenge is decided.</w:t>
      </w:r>
    </w:p>
    <w:p>
      <w:pPr>
        <w:pStyle w:val="Heading2"/>
        <w:keepNext/>
        <w:spacing w:after="100" w:before="250"/>
      </w:pPr>
      <w:r>
        <w:t xml:space="preserve">The departmental arbitrator problem</w:t>
      </w:r>
    </w:p>
    <w:p>
      <w:pPr>
        <w:spacing w:after="120" w:line="264"/>
        <w:jc w:val="both"/>
      </w:pPr>
      <w:r>
        <w:t xml:space="preserve">Here is the situation that has produced most of the litigation on section 12(5). Government departments and public sector companies have long written contracts saying that </w:t>
      </w:r>
      <w:r>
        <w:rPr>
          <w:b/>
          <w:bCs/>
        </w:rPr>
        <w:t xml:space="preserve">one of their own officers</w:t>
      </w:r>
      <w:r>
        <w:t xml:space="preserve">, or a person chosen by that officer, will be the arbitrator. It is common in railway and defence contracts.</w:t>
      </w:r>
    </w:p>
    <w:p>
      <w:pPr>
        <w:spacing w:after="120" w:line="264"/>
        <w:jc w:val="both"/>
      </w:pPr>
      <w:r>
        <w:t xml:space="preserve">The justification offered is that departmental officers understand the technical work. </w:t>
      </w:r>
      <w:r>
        <w:rPr>
          <w:b/>
          <w:bCs/>
        </w:rPr>
        <w:t xml:space="preserve">The difficulty is obvious: the decision-maker belongs to one of the parties.</w:t>
      </w:r>
    </w:p>
    <w:p>
      <w:pPr>
        <w:keepNext/>
        <w:spacing w:after="60" w:before="150"/>
      </w:pPr>
      <w:r>
        <w:rPr>
          <w:b/>
          <w:bCs/>
          <w:i/>
          <w:iCs/>
          <w:sz w:val="21"/>
          <w:szCs w:val="21"/>
        </w:rPr>
        <w:t xml:space="preserve">Indian Oil Corporation Ltd. v. Raja Transport Pvt. Ltd.</w:t>
      </w:r>
      <w:r>
        <w:rPr>
          <w:sz w:val="19"/>
          <w:szCs w:val="19"/>
        </w:rPr>
        <w:t xml:space="preserve">, (2009) 8 SCC 520 (SC, 24 August 2009)</w:t>
      </w:r>
    </w:p>
    <w:p>
      <w:pPr>
        <w:spacing w:after="60" w:line="258"/>
        <w:ind w:left="230"/>
        <w:jc w:val="both"/>
      </w:pPr>
      <w:r>
        <w:rPr>
          <w:b/>
          <w:bCs/>
          <w:sz w:val="20"/>
          <w:szCs w:val="20"/>
        </w:rPr>
        <w:t xml:space="preserve">Facts. </w:t>
      </w:r>
      <w:r>
        <w:rPr>
          <w:sz w:val="20"/>
          <w:szCs w:val="20"/>
        </w:rPr>
        <w:t xml:space="preserve">The contract named a senior officer of one party as the arbitrator, and the other party objected to him.</w:t>
      </w:r>
    </w:p>
    <w:p>
      <w:pPr>
        <w:spacing w:after="60" w:line="258"/>
        <w:ind w:left="230"/>
        <w:jc w:val="both"/>
      </w:pPr>
      <w:r>
        <w:rPr>
          <w:b/>
          <w:bCs/>
          <w:sz w:val="20"/>
          <w:szCs w:val="20"/>
        </w:rPr>
        <w:t xml:space="preserve">Decision. </w:t>
      </w:r>
      <w:r>
        <w:rPr>
          <w:sz w:val="20"/>
          <w:szCs w:val="20"/>
        </w:rPr>
        <w:t xml:space="preserve">An employee of a party is </w:t>
      </w:r>
      <w:r>
        <w:rPr>
          <w:b/>
          <w:bCs/>
          <w:sz w:val="20"/>
          <w:szCs w:val="20"/>
        </w:rPr>
        <w:t xml:space="preserve">not automatically disqualified</w:t>
      </w:r>
      <w:r>
        <w:rPr>
          <w:sz w:val="20"/>
          <w:szCs w:val="20"/>
        </w:rPr>
        <w:t xml:space="preserve">.</w:t>
      </w:r>
    </w:p>
    <w:p>
      <w:pPr>
        <w:spacing w:after="60" w:line="258"/>
        <w:ind w:left="230"/>
        <w:jc w:val="both"/>
      </w:pPr>
      <w:r>
        <w:rPr>
          <w:b/>
          <w:bCs/>
          <w:sz w:val="20"/>
          <w:szCs w:val="20"/>
        </w:rPr>
        <w:t xml:space="preserve">Principle. </w:t>
      </w:r>
      <w:r>
        <w:rPr>
          <w:sz w:val="20"/>
          <w:szCs w:val="20"/>
        </w:rPr>
        <w:t xml:space="preserve">Where the parties themselves agreed that a named senior officer would arbitrate, he is presumed to be independent and impartial. The court will give effect to the clause unless a </w:t>
      </w:r>
      <w:r>
        <w:rPr>
          <w:b/>
          <w:bCs/>
          <w:sz w:val="20"/>
          <w:szCs w:val="20"/>
        </w:rPr>
        <w:t xml:space="preserve">reasonable apprehension of bias</w:t>
      </w:r>
      <w:r>
        <w:rPr>
          <w:sz w:val="20"/>
          <w:szCs w:val="20"/>
        </w:rPr>
        <w:t xml:space="preserve"> is actually made out on the facts. Merely saying that he is an employee is not enough.</w:t>
      </w:r>
    </w:p>
    <w:p>
      <w:pPr>
        <w:spacing w:after="60" w:line="258"/>
        <w:ind w:left="230"/>
        <w:jc w:val="both"/>
      </w:pPr>
      <w:r>
        <w:rPr>
          <w:b/>
          <w:bCs/>
          <w:sz w:val="20"/>
          <w:szCs w:val="20"/>
        </w:rPr>
        <w:t xml:space="preserve">Status. </w:t>
      </w:r>
      <w:r>
        <w:rPr>
          <w:b/>
          <w:bCs/>
          <w:sz w:val="20"/>
          <w:szCs w:val="20"/>
        </w:rPr>
        <w:t xml:space="preserve">Mostly no longer good law.</w:t>
      </w:r>
      <w:r>
        <w:rPr>
          <w:sz w:val="20"/>
          <w:szCs w:val="20"/>
        </w:rPr>
        <w:t xml:space="preserve"> For arbitrations under the amended Act, section 12(5) with the Seventh Schedule, together with </w:t>
      </w:r>
      <w:r>
        <w:rPr>
          <w:b/>
          <w:bCs/>
          <w:i/>
          <w:iCs/>
          <w:sz w:val="20"/>
          <w:szCs w:val="20"/>
        </w:rPr>
        <w:t xml:space="preserve">TRF</w:t>
      </w:r>
      <w:r>
        <w:rPr>
          <w:sz w:val="20"/>
          <w:szCs w:val="20"/>
        </w:rPr>
        <w:t xml:space="preserve"> and </w:t>
      </w:r>
      <w:r>
        <w:rPr>
          <w:b/>
          <w:bCs/>
          <w:i/>
          <w:iCs/>
          <w:sz w:val="20"/>
          <w:szCs w:val="20"/>
        </w:rPr>
        <w:t xml:space="preserve">Perkins Eastman</w:t>
      </w:r>
      <w:r>
        <w:rPr>
          <w:sz w:val="20"/>
          <w:szCs w:val="20"/>
        </w:rPr>
        <w:t xml:space="preserve">, have taken away this presumption. Cite the case for the position before 2015, not as the law today.</w:t>
      </w:r>
    </w:p>
    <w:p>
      <w:pPr>
        <w:keepNext/>
        <w:spacing w:after="60" w:before="150"/>
      </w:pPr>
      <w:r>
        <w:rPr>
          <w:b/>
          <w:bCs/>
          <w:i/>
          <w:iCs/>
          <w:sz w:val="21"/>
          <w:szCs w:val="21"/>
        </w:rPr>
        <w:t xml:space="preserve">Bharat Broadband Network Ltd. v. United Telecoms Ltd.</w:t>
      </w:r>
      <w:r>
        <w:rPr>
          <w:sz w:val="19"/>
          <w:szCs w:val="19"/>
        </w:rPr>
        <w:t xml:space="preserve">, (2019) 5 SCC 755; 2019 INSC 537 (SC, 16 April 2019, R.F. Nariman J.)</w:t>
      </w:r>
    </w:p>
    <w:p>
      <w:pPr>
        <w:spacing w:after="60" w:line="258"/>
        <w:ind w:left="230"/>
        <w:jc w:val="both"/>
      </w:pPr>
      <w:r>
        <w:rPr>
          <w:b/>
          <w:bCs/>
          <w:sz w:val="20"/>
          <w:szCs w:val="20"/>
        </w:rPr>
        <w:t xml:space="preserve">Facts. </w:t>
      </w:r>
      <w:r>
        <w:rPr>
          <w:sz w:val="20"/>
          <w:szCs w:val="20"/>
        </w:rPr>
        <w:t xml:space="preserve">The contract said the Chairman and Managing Director of Bharat Broadband, or his nominee, would be the sole arbitrator, and the CMD appointed one K.H. Khan. Item 5 of the Seventh Schedule covers an arbitrator who is part of the management of a company connected with a party and involved in the dispute. United Telecoms had already filed its statement of claim before the arbitrator without protest.</w:t>
      </w:r>
    </w:p>
    <w:p>
      <w:pPr>
        <w:spacing w:after="60" w:line="258"/>
        <w:ind w:left="230"/>
        <w:jc w:val="both"/>
      </w:pPr>
      <w:r>
        <w:rPr>
          <w:b/>
          <w:bCs/>
          <w:sz w:val="20"/>
          <w:szCs w:val="20"/>
        </w:rPr>
        <w:t xml:space="preserve">Decision. </w:t>
      </w:r>
      <w:r>
        <w:rPr>
          <w:b/>
          <w:bCs/>
          <w:sz w:val="20"/>
          <w:szCs w:val="20"/>
          <w:shd w:fill="FFF2CC" w:color="auto" w:val="clear"/>
        </w:rPr>
        <w:t xml:space="preserve">The appointment was void and the arbitrator's mandate came to an end.</w:t>
      </w:r>
    </w:p>
    <w:p>
      <w:pPr>
        <w:spacing w:after="60" w:line="258"/>
        <w:ind w:left="230"/>
        <w:jc w:val="both"/>
      </w:pPr>
      <w:r>
        <w:rPr>
          <w:b/>
          <w:bCs/>
          <w:sz w:val="20"/>
          <w:szCs w:val="20"/>
        </w:rPr>
        <w:t xml:space="preserve">Principle. </w:t>
      </w:r>
      <w:r>
        <w:rPr>
          <w:sz w:val="20"/>
          <w:szCs w:val="20"/>
        </w:rPr>
        <w:t xml:space="preserve">A person caught by section 12(5) is disqualified </w:t>
      </w:r>
      <w:r>
        <w:rPr>
          <w:b/>
          <w:bCs/>
          <w:sz w:val="20"/>
          <w:szCs w:val="20"/>
        </w:rPr>
        <w:t xml:space="preserve">in law</w:t>
      </w:r>
      <w:r>
        <w:rPr>
          <w:sz w:val="20"/>
          <w:szCs w:val="20"/>
        </w:rPr>
        <w:t xml:space="preserve"> — </w:t>
      </w:r>
      <w:r>
        <w:rPr>
          <w:b/>
          <w:bCs/>
          <w:i/>
          <w:iCs/>
          <w:sz w:val="20"/>
          <w:szCs w:val="20"/>
        </w:rPr>
        <w:t xml:space="preserve">de jure</w:t>
      </w:r>
      <w:r>
        <w:rPr>
          <w:sz w:val="20"/>
          <w:szCs w:val="20"/>
        </w:rPr>
        <w:t xml:space="preserve"> — and cannot act at all. Following </w:t>
      </w:r>
      <w:r>
        <w:rPr>
          <w:b/>
          <w:bCs/>
          <w:i/>
          <w:iCs/>
          <w:sz w:val="20"/>
          <w:szCs w:val="20"/>
        </w:rPr>
        <w:t xml:space="preserve">TRF</w:t>
      </w:r>
      <w:r>
        <w:rPr>
          <w:sz w:val="20"/>
          <w:szCs w:val="20"/>
        </w:rPr>
        <w:t xml:space="preserve">, the Court held that </w:t>
      </w:r>
      <w:r>
        <w:rPr>
          <w:b/>
          <w:bCs/>
          <w:sz w:val="20"/>
          <w:szCs w:val="20"/>
        </w:rPr>
        <w:t xml:space="preserve">a disqualified person cannot appoint an arbitrator either</w:t>
      </w:r>
      <w:r>
        <w:rPr>
          <w:sz w:val="20"/>
          <w:szCs w:val="20"/>
        </w:rPr>
        <w:t xml:space="preserve">, because he cannot pass on an authority he does not have. The disqualification can be waived only by an </w:t>
      </w:r>
      <w:r>
        <w:rPr>
          <w:b/>
          <w:bCs/>
          <w:sz w:val="20"/>
          <w:szCs w:val="20"/>
        </w:rPr>
        <w:t xml:space="preserve">express written agreement</w:t>
      </w:r>
      <w:r>
        <w:rPr>
          <w:sz w:val="20"/>
          <w:szCs w:val="20"/>
        </w:rPr>
        <w:t xml:space="preserve"> made after the dispute arose, and filing a statement of claim without protest is not such an agreement. Since the arbitrator could not act in law, his mandate ended under </w:t>
      </w:r>
      <w:r>
        <w:rPr>
          <w:b/>
          <w:bCs/>
          <w:sz w:val="20"/>
          <w:szCs w:val="20"/>
        </w:rPr>
        <w:t xml:space="preserve">section 14</w:t>
      </w:r>
      <w:r>
        <w:rPr>
          <w:sz w:val="20"/>
          <w:szCs w:val="20"/>
        </w:rPr>
        <w:t xml:space="preserve">.</w:t>
      </w:r>
    </w:p>
    <w:p>
      <w:pPr>
        <w:spacing w:after="60" w:line="258"/>
        <w:ind w:left="230"/>
        <w:jc w:val="both"/>
      </w:pPr>
      <w:r>
        <w:rPr>
          <w:b/>
          <w:bCs/>
          <w:sz w:val="20"/>
          <w:szCs w:val="20"/>
        </w:rPr>
        <w:t xml:space="preserve">Status. </w:t>
      </w:r>
      <w:r>
        <w:rPr>
          <w:sz w:val="20"/>
          <w:szCs w:val="20"/>
        </w:rPr>
        <w:t xml:space="preserve">Good law. It ties three sections together: disqualification under section 12(5) makes the arbitrator unable in law, which ends the mandate under section 14, after which a replacement is appointed under section 15(2).</w:t>
      </w:r>
    </w:p>
    <w:p>
      <w:pPr>
        <w:pStyle w:val="Heading2"/>
        <w:keepNext/>
        <w:spacing w:after="100" w:before="250"/>
      </w:pPr>
      <w:r>
        <w:t xml:space="preserve">Where the law stands on one-sided appointments</w:t>
      </w:r>
    </w:p>
    <w:p>
      <w:pPr>
        <w:spacing w:after="120" w:line="264"/>
        <w:jc w:val="both"/>
      </w:pPr>
      <w:r>
        <w:t xml:space="preserve">Three further decisions complete the story, and together they change the practice described above.</w:t>
      </w:r>
    </w:p>
    <w:p>
      <w:pPr>
        <w:pStyle w:val="ListParagraph"/>
        <w:numPr>
          <w:ilvl w:val="0"/>
          <w:numId w:val="24"/>
        </w:numPr>
        <w:spacing w:after="70" w:line="264"/>
        <w:jc w:val="both"/>
      </w:pPr>
      <w:r>
        <w:rPr>
          <w:b/>
          <w:bCs/>
          <w:i/>
          <w:iCs/>
        </w:rPr>
        <w:t xml:space="preserve">TRF Ltd. v. Energo Engineering Projects Ltd.</w:t>
      </w:r>
      <w:r>
        <w:t xml:space="preserve">, (2017) 8 SCC 377 (three judges) — a person who is himself disqualified </w:t>
      </w:r>
      <w:r>
        <w:rPr>
          <w:b/>
          <w:bCs/>
        </w:rPr>
        <w:t xml:space="preserve">cannot nominate</w:t>
      </w:r>
      <w:r>
        <w:t xml:space="preserve"> an arbitrator.</w:t>
      </w:r>
    </w:p>
    <w:p>
      <w:pPr>
        <w:pStyle w:val="ListParagraph"/>
        <w:numPr>
          <w:ilvl w:val="0"/>
          <w:numId w:val="24"/>
        </w:numPr>
        <w:spacing w:after="70" w:line="264"/>
        <w:jc w:val="both"/>
      </w:pPr>
      <w:r>
        <w:rPr>
          <w:b/>
          <w:bCs/>
          <w:i/>
          <w:iCs/>
        </w:rPr>
        <w:t xml:space="preserve">Perkins Eastman Architects DPC v. HSCC (India) Ltd.</w:t>
      </w:r>
      <w:r>
        <w:t xml:space="preserve">, (2020) 20 SCC 760; 2019 SCC OnLine SC 1517; AIR 2020 SC 59 (26 November 2019) — a party with an interest in the outcome </w:t>
      </w:r>
      <w:r>
        <w:rPr>
          <w:b/>
          <w:bCs/>
        </w:rPr>
        <w:t xml:space="preserve">cannot appoint the sole arbitrator by itself</w:t>
      </w:r>
      <w:r>
        <w:t xml:space="preserve">. The reasoning is neat: if an interest disqualifies a man from deciding, the same interest disqualifies him from choosing who decides.</w:t>
      </w:r>
    </w:p>
    <w:p>
      <w:pPr>
        <w:pStyle w:val="ListParagraph"/>
        <w:numPr>
          <w:ilvl w:val="0"/>
          <w:numId w:val="24"/>
        </w:numPr>
        <w:spacing w:after="70" w:line="264"/>
        <w:jc w:val="both"/>
      </w:pPr>
      <w:r>
        <w:rPr>
          <w:b/>
          <w:bCs/>
          <w:i/>
          <w:iCs/>
        </w:rPr>
        <w:t xml:space="preserve">Central Organisation for Railway Electrification v. ECI-SPIC-SMO-MCML (JV)</w:t>
      </w:r>
      <w:r>
        <w:t xml:space="preserve">, known as </w:t>
      </w:r>
      <w:r>
        <w:rPr>
          <w:b/>
          <w:bCs/>
        </w:rPr>
        <w:t xml:space="preserve">CORE-II</w:t>
      </w:r>
      <w:r>
        <w:t xml:space="preserve">, 2024 INSC 857; 2024 SCC OnLine SC 3219 (Constitution Bench of five, 8 November 2024) — </w:t>
      </w:r>
      <w:r>
        <w:rPr>
          <w:b/>
          <w:bCs/>
          <w:shd w:fill="FFF2CC" w:color="auto" w:val="clear"/>
        </w:rPr>
        <w:t xml:space="preserve">in contracts between a public body and a private party, a clause letting one side appoint the arbitrator violates Article 14 of the Constitution,</w:t>
      </w:r>
      <w:r>
        <w:t xml:space="preserve"> which guarantees equality. The ruling applies going forward only. The earlier three-judge decision, </w:t>
      </w:r>
      <w:r>
        <w:rPr>
          <w:b/>
          <w:bCs/>
        </w:rPr>
        <w:t xml:space="preserve">CORE-I</w:t>
      </w:r>
      <w:r>
        <w:t xml:space="preserve">, (2020) 14 SCC 712, is overruled on this point.</w:t>
      </w:r>
    </w:p>
    <w:p>
      <w:pPr>
        <w:spacing w:after="120" w:line="264"/>
        <w:jc w:val="both"/>
      </w:pPr>
      <w:r>
        <w:rPr>
          <w:b/>
          <w:bCs/>
        </w:rPr>
        <w:t xml:space="preserve">Putting it together. ==The departmental arbitrator, as traditionally practised, can no longer survive.==</w:t>
      </w:r>
      <w:r>
        <w:t xml:space="preserve"> A person in the Seventh Schedule is disqualified. A disqualified person cannot appoint. An interested party cannot appoint a sole arbitrator on its own. And in a public-private contract a one-sided appointment clause is unconstitutional.</w:t>
      </w:r>
    </w:p>
    <w:p>
      <w:pPr>
        <w:spacing w:after="120" w:line="264"/>
        <w:jc w:val="both"/>
      </w:pPr>
      <w:r>
        <w:rPr>
          <w:b/>
          <w:bCs/>
        </w:rPr>
        <w:t xml:space="preserve">A point students often miss.</w:t>
      </w:r>
      <w:r>
        <w:t xml:space="preserve"> The Seventh Schedule makes no distinction between government bodies and private companies. It is written in terms of relationships, and it applies to both equally.</w:t>
      </w:r>
    </w:p>
    <w:p>
      <w:pPr>
        <w:pStyle w:val="Heading1"/>
        <w:keepNext/>
        <w:pBdr>
          <w:bottom w:val="single" w:color="1F3864" w:sz="6" w:space="4"/>
        </w:pBdr>
        <w:spacing w:after="160" w:before="420"/>
      </w:pPr>
      <w:r>
        <w:t xml:space="preserve">9.  When an Arbitrator Must Go, and Who Replaces Him: Sections 14 and 15</w:t>
      </w:r>
    </w:p>
    <w:p>
      <w:pPr>
        <w:pStyle w:val="Heading2"/>
        <w:keepNext/>
        <w:spacing w:after="100" w:before="250"/>
      </w:pPr>
      <w:r>
        <w:t xml:space="preserve">What these sections do</w:t>
      </w:r>
    </w:p>
    <w:p>
      <w:pPr>
        <w:spacing w:after="120" w:line="264"/>
        <w:jc w:val="both"/>
      </w:pPr>
      <w:r>
        <w:t xml:space="preserve">An arbitrator may fall ill, be arrested, become insolvent, simply stop working, or turn out to be disqualified. Something must then happen, or the arbitration will die.</w:t>
      </w:r>
    </w:p>
    <w:p>
      <w:pPr>
        <w:spacing w:after="120" w:line="264"/>
        <w:jc w:val="both"/>
      </w:pPr>
      <w:r>
        <w:t xml:space="preserve">These two sections say when an arbitrator's appointment comes to an end, and how a replacement is brought in. </w:t>
      </w:r>
      <w:r>
        <w:rPr>
          <w:b/>
          <w:bCs/>
        </w:rPr>
        <w:t xml:space="preserve">The aim is always to keep the arbitration alive, not to end it.</w:t>
      </w:r>
    </w:p>
    <w:p>
      <w:pPr>
        <w:spacing w:after="120" w:line="264"/>
        <w:jc w:val="both"/>
      </w:pPr>
      <w:r>
        <w:t xml:space="preserve">Section 14 deals with an arbitrator who cannot act or does not act. Section 15 collects the other ways an appointment ends, and sets out the replacement machinery. They overlap, so read them together.</w:t>
      </w:r>
    </w:p>
    <w:p>
      <w:pPr>
        <w:pStyle w:val="Heading2"/>
        <w:keepNext/>
        <w:spacing w:after="100" w:before="250"/>
      </w:pPr>
      <w:r>
        <w:t xml:space="preserve">Section 14: unable or unwilling to act</w:t>
      </w:r>
    </w:p>
    <w:p>
      <w:pPr>
        <w:spacing w:after="120" w:line="264"/>
        <w:jc w:val="both"/>
      </w:pPr>
      <w:r>
        <w:t xml:space="preserve">Under </w:t>
      </w:r>
      <w:r>
        <w:rPr>
          <w:b/>
          <w:bCs/>
        </w:rPr>
        <w:t xml:space="preserve">section 14(1)</w:t>
      </w:r>
      <w:r>
        <w:t xml:space="preserve"> the appointment ends, and the arbitrator must be replaced, where —</w:t>
      </w:r>
    </w:p>
    <w:p>
      <w:pPr>
        <w:pStyle w:val="ListParagraph"/>
        <w:numPr>
          <w:ilvl w:val="0"/>
          <w:numId w:val="25"/>
        </w:numPr>
        <w:spacing w:after="70" w:line="264"/>
        <w:jc w:val="both"/>
      </w:pPr>
      <w:r>
        <w:t xml:space="preserve">he becomes unable </w:t>
      </w:r>
      <w:r>
        <w:rPr>
          <w:b/>
          <w:bCs/>
        </w:rPr>
        <w:t xml:space="preserve">in law</w:t>
      </w:r>
      <w:r>
        <w:t xml:space="preserve"> or </w:t>
      </w:r>
      <w:r>
        <w:rPr>
          <w:b/>
          <w:bCs/>
        </w:rPr>
        <w:t xml:space="preserve">in fact</w:t>
      </w:r>
      <w:r>
        <w:t xml:space="preserve"> to do the job, or for any other reason </w:t>
      </w:r>
      <w:r>
        <w:rPr>
          <w:b/>
          <w:bCs/>
        </w:rPr>
        <w:t xml:space="preserve">fails to act without undue delay</w:t>
      </w:r>
      <w:r>
        <w:t xml:space="preserve">; and</w:t>
      </w:r>
    </w:p>
    <w:p>
      <w:pPr>
        <w:pStyle w:val="ListParagraph"/>
        <w:numPr>
          <w:ilvl w:val="0"/>
          <w:numId w:val="25"/>
        </w:numPr>
        <w:spacing w:after="70" w:line="264"/>
        <w:jc w:val="both"/>
      </w:pPr>
      <w:r>
        <w:t xml:space="preserve">he </w:t>
      </w:r>
      <w:r>
        <w:rPr>
          <w:b/>
          <w:bCs/>
        </w:rPr>
        <w:t xml:space="preserve">resigns</w:t>
      </w:r>
      <w:r>
        <w:t xml:space="preserve">, or </w:t>
      </w:r>
      <w:r>
        <w:rPr>
          <w:b/>
          <w:bCs/>
        </w:rPr>
        <w:t xml:space="preserve">the parties agree</w:t>
      </w:r>
      <w:r>
        <w:t xml:space="preserve"> to end his appointment.</w:t>
      </w:r>
    </w:p>
    <w:p>
      <w:pPr>
        <w:spacing w:after="120" w:line="264"/>
        <w:jc w:val="both"/>
      </w:pPr>
      <w:r>
        <w:t xml:space="preserve">The words “and he shall be substituted by another arbitrator” were added in 2015. They make plain what section 15(2) already implied: </w:t>
      </w:r>
      <w:r>
        <w:rPr>
          <w:b/>
          <w:bCs/>
        </w:rPr>
        <w:t xml:space="preserve">the arbitration goes on with a new arbitrator.</w:t>
      </w:r>
    </w:p>
    <w:p>
      <w:pPr>
        <w:pStyle w:val="Heading3"/>
        <w:keepNext/>
        <w:spacing w:after="80" w:before="180"/>
      </w:pPr>
      <w:r>
        <w:t xml:space="preserve">Unable in law, and unable in fact</w:t>
      </w:r>
    </w:p>
    <w:p>
      <w:pPr>
        <w:spacing w:after="120" w:line="264"/>
        <w:jc w:val="both"/>
      </w:pPr>
      <w:r>
        <w:t xml:space="preserve">This distinction is frequently asked. The Latin terms are </w:t>
      </w:r>
      <w:r>
        <w:rPr>
          <w:i/>
          <w:iCs/>
        </w:rPr>
        <w:t xml:space="preserve">de jure</w:t>
      </w:r>
      <w:r>
        <w:t xml:space="preserve"> and </w:t>
      </w:r>
      <w:r>
        <w:rPr>
          <w:i/>
          <w:iCs/>
        </w:rPr>
        <w:t xml:space="preserve">de facto</w:t>
      </w:r>
      <w:r>
        <w:t xml:space="preserve">, but the idea is simple.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2100"/>
        <w:gridCol w:w="6750"/>
      </w:tblGrid>
      <w:tr>
        <w:trPr>
          <w:tblHeader/>
        </w:trPr>
        <w:tc>
          <w:tcPr>
            <w:tcW w:type="dxa" w:w="2100"/>
            <w:tcMar>
              <w:top w:type="dxa" w:w="70"/>
              <w:left w:type="dxa" w:w="100"/>
              <w:bottom w:type="dxa" w:w="70"/>
              <w:right w:type="dxa" w:w="100"/>
            </w:tcMar>
          </w:tcPr>
          <w:p>
            <w:pPr>
              <w:spacing w:after="0" w:line="240"/>
            </w:pPr>
            <w:r>
              <w:rPr>
                <w:b/>
                <w:bCs/>
                <w:color w:val="1F3864"/>
                <w:sz w:val="18"/>
                <w:szCs w:val="18"/>
              </w:rPr>
              <w:t xml:space="preserve">Category</w:t>
            </w:r>
          </w:p>
        </w:tc>
        <w:tc>
          <w:tcPr>
            <w:tcW w:type="dxa" w:w="6750"/>
            <w:tcMar>
              <w:top w:type="dxa" w:w="70"/>
              <w:left w:type="dxa" w:w="100"/>
              <w:bottom w:type="dxa" w:w="70"/>
              <w:right w:type="dxa" w:w="100"/>
            </w:tcMar>
          </w:tcPr>
          <w:p>
            <w:pPr>
              <w:spacing w:after="0" w:line="240"/>
            </w:pPr>
            <w:r>
              <w:rPr>
                <w:b/>
                <w:bCs/>
                <w:color w:val="1F3864"/>
                <w:sz w:val="18"/>
                <w:szCs w:val="18"/>
              </w:rPr>
              <w:t xml:space="preserve">What it means, with examples</w:t>
            </w:r>
          </w:p>
        </w:tc>
      </w:tr>
      <w:tr>
        <w:tc>
          <w:tcPr>
            <w:tcW w:type="dxa" w:w="2100"/>
            <w:tcMar>
              <w:top w:type="dxa" w:w="70"/>
              <w:left w:type="dxa" w:w="100"/>
              <w:bottom w:type="dxa" w:w="70"/>
              <w:right w:type="dxa" w:w="100"/>
            </w:tcMar>
          </w:tcPr>
          <w:p>
            <w:pPr>
              <w:spacing w:after="0" w:line="240"/>
            </w:pPr>
            <w:r>
              <w:rPr>
                <w:b/>
                <w:bCs/>
                <w:sz w:val="18"/>
                <w:szCs w:val="18"/>
              </w:rPr>
              <w:t xml:space="preserve">Unable in law</w:t>
            </w:r>
            <w:r>
              <w:rPr>
                <w:sz w:val="18"/>
                <w:szCs w:val="18"/>
              </w:rPr>
              <w:t xml:space="preserve"> (</w:t>
            </w:r>
            <w:r>
              <w:rPr>
                <w:i/>
                <w:iCs/>
                <w:sz w:val="18"/>
                <w:szCs w:val="18"/>
              </w:rPr>
              <w:t xml:space="preserve">de jure</w:t>
            </w:r>
            <w:r>
              <w:rPr>
                <w:sz w:val="18"/>
                <w:szCs w:val="18"/>
              </w:rPr>
              <w:t xml:space="preserve">)</w:t>
            </w:r>
          </w:p>
        </w:tc>
        <w:tc>
          <w:tcPr>
            <w:tcW w:type="dxa" w:w="6750"/>
            <w:tcMar>
              <w:top w:type="dxa" w:w="70"/>
              <w:left w:type="dxa" w:w="100"/>
              <w:bottom w:type="dxa" w:w="70"/>
              <w:right w:type="dxa" w:w="100"/>
            </w:tcMar>
          </w:tcPr>
          <w:p>
            <w:pPr>
              <w:spacing w:after="0" w:line="240"/>
            </w:pPr>
            <w:r>
              <w:rPr>
                <w:sz w:val="18"/>
                <w:szCs w:val="18"/>
              </w:rPr>
              <w:t xml:space="preserve">Something about his legal position stops him, whatever his health or willingness. The old textbook example is </w:t>
            </w:r>
            <w:r>
              <w:rPr>
                <w:b/>
                <w:bCs/>
                <w:sz w:val="18"/>
                <w:szCs w:val="18"/>
              </w:rPr>
              <w:t xml:space="preserve">insolvency</w:t>
            </w:r>
            <w:r>
              <w:rPr>
                <w:sz w:val="18"/>
                <w:szCs w:val="18"/>
              </w:rPr>
              <w:t xml:space="preserve">. The important modern example is </w:t>
            </w:r>
            <w:r>
              <w:rPr>
                <w:b/>
                <w:bCs/>
                <w:sz w:val="18"/>
                <w:szCs w:val="18"/>
                <w:shd w:fill="FFF2CC" w:color="auto" w:val="clear"/>
              </w:rPr>
              <w:t xml:space="preserve">disqualification under section 12(5), which Bharat Broadband holds to be exactly this kind of inability,</w:t>
            </w:r>
            <w:r>
              <w:rPr>
                <w:sz w:val="18"/>
                <w:szCs w:val="18"/>
              </w:rPr>
              <w:t xml:space="preserve"> so the appointment ends under section 14.</w:t>
            </w:r>
          </w:p>
        </w:tc>
      </w:tr>
      <w:tr>
        <w:tc>
          <w:tcPr>
            <w:tcW w:type="dxa" w:w="2100"/>
            <w:tcMar>
              <w:top w:type="dxa" w:w="70"/>
              <w:left w:type="dxa" w:w="100"/>
              <w:bottom w:type="dxa" w:w="70"/>
              <w:right w:type="dxa" w:w="100"/>
            </w:tcMar>
          </w:tcPr>
          <w:p>
            <w:pPr>
              <w:spacing w:after="0" w:line="240"/>
            </w:pPr>
            <w:r>
              <w:rPr>
                <w:b/>
                <w:bCs/>
                <w:sz w:val="18"/>
                <w:szCs w:val="18"/>
              </w:rPr>
              <w:t xml:space="preserve">Unable in fact</w:t>
            </w:r>
            <w:r>
              <w:rPr>
                <w:sz w:val="18"/>
                <w:szCs w:val="18"/>
              </w:rPr>
              <w:t xml:space="preserve"> (</w:t>
            </w:r>
            <w:r>
              <w:rPr>
                <w:i/>
                <w:iCs/>
                <w:sz w:val="18"/>
                <w:szCs w:val="18"/>
              </w:rPr>
              <w:t xml:space="preserve">de facto</w:t>
            </w:r>
            <w:r>
              <w:rPr>
                <w:sz w:val="18"/>
                <w:szCs w:val="18"/>
              </w:rPr>
              <w:t xml:space="preserve">)</w:t>
            </w:r>
          </w:p>
        </w:tc>
        <w:tc>
          <w:tcPr>
            <w:tcW w:type="dxa" w:w="6750"/>
            <w:tcMar>
              <w:top w:type="dxa" w:w="70"/>
              <w:left w:type="dxa" w:w="100"/>
              <w:bottom w:type="dxa" w:w="70"/>
              <w:right w:type="dxa" w:w="100"/>
            </w:tcMar>
          </w:tcPr>
          <w:p>
            <w:pPr>
              <w:spacing w:after="0" w:line="240"/>
            </w:pPr>
            <w:r>
              <w:rPr>
                <w:sz w:val="18"/>
                <w:szCs w:val="18"/>
              </w:rPr>
              <w:t xml:space="preserve">He is still perfectly qualified in law, but cannot actually do the work — he is </w:t>
            </w:r>
            <w:r>
              <w:rPr>
                <w:b/>
                <w:bCs/>
                <w:sz w:val="18"/>
                <w:szCs w:val="18"/>
              </w:rPr>
              <w:t xml:space="preserve">detained or arrested</w:t>
            </w:r>
            <w:r>
              <w:rPr>
                <w:sz w:val="18"/>
                <w:szCs w:val="18"/>
              </w:rPr>
              <w:t xml:space="preserve">, or is </w:t>
            </w:r>
            <w:r>
              <w:rPr>
                <w:b/>
                <w:bCs/>
                <w:sz w:val="18"/>
                <w:szCs w:val="18"/>
              </w:rPr>
              <w:t xml:space="preserve">seriously ill or of unsound mind</w:t>
            </w:r>
            <w:r>
              <w:rPr>
                <w:sz w:val="18"/>
                <w:szCs w:val="18"/>
              </w:rPr>
              <w:t xml:space="preserve">. The test is practical: can he hear witnesses, read the papers, discuss with his colleagues and decide?</w:t>
            </w:r>
          </w:p>
        </w:tc>
      </w:tr>
      <w:tr>
        <w:tc>
          <w:tcPr>
            <w:tcW w:type="dxa" w:w="2100"/>
            <w:tcMar>
              <w:top w:type="dxa" w:w="70"/>
              <w:left w:type="dxa" w:w="100"/>
              <w:bottom w:type="dxa" w:w="70"/>
              <w:right w:type="dxa" w:w="100"/>
            </w:tcMar>
          </w:tcPr>
          <w:p>
            <w:pPr>
              <w:spacing w:after="0" w:line="240"/>
            </w:pPr>
            <w:r>
              <w:rPr>
                <w:b/>
                <w:bCs/>
                <w:sz w:val="18"/>
                <w:szCs w:val="18"/>
              </w:rPr>
              <w:t xml:space="preserve">Failure to act without undue delay</w:t>
            </w:r>
          </w:p>
        </w:tc>
        <w:tc>
          <w:tcPr>
            <w:tcW w:type="dxa" w:w="6750"/>
            <w:tcMar>
              <w:top w:type="dxa" w:w="70"/>
              <w:left w:type="dxa" w:w="100"/>
              <w:bottom w:type="dxa" w:w="70"/>
              <w:right w:type="dxa" w:w="100"/>
            </w:tcMar>
          </w:tcPr>
          <w:p>
            <w:pPr>
              <w:spacing w:after="0" w:line="240"/>
            </w:pPr>
            <w:r>
              <w:rPr>
                <w:sz w:val="18"/>
                <w:szCs w:val="18"/>
              </w:rPr>
              <w:t xml:space="preserve">A separate situation altogether. He is able to act but simply does not, within any reasonable time. </w:t>
            </w:r>
            <w:r>
              <w:rPr>
                <w:b/>
                <w:bCs/>
                <w:sz w:val="18"/>
                <w:szCs w:val="18"/>
              </w:rPr>
              <w:t xml:space="preserve">This is a failure to perform, not an inability.</w:t>
            </w:r>
          </w:p>
        </w:tc>
      </w:tr>
    </w:tbl>
    <w:p>
      <w:pPr>
        <w:spacing w:after="120"/>
      </w:pPr>
      <w:r>
        <w:rPr>
          <w:sz w:val="10"/>
          <w:szCs w:val="10"/>
        </w:rPr>
        <w:t xml:space="preserve"/>
      </w:r>
    </w:p>
    <w:p>
      <w:pPr>
        <w:spacing w:after="120" w:line="264"/>
        <w:jc w:val="both"/>
      </w:pPr>
      <w:r>
        <w:rPr>
          <w:b/>
          <w:bCs/>
        </w:rPr>
        <w:t xml:space="preserve">Section 14(2).</w:t>
      </w:r>
      <w:r>
        <w:t xml:space="preserve"> If the parties disagree about whether any of these grounds is made out, a party may apply to </w:t>
      </w:r>
      <w:r>
        <w:rPr>
          <w:b/>
          <w:bCs/>
        </w:rPr>
        <w:t xml:space="preserve">the court</w:t>
      </w:r>
      <w:r>
        <w:t xml:space="preserve"> to decide whether the appointment has ended. The parties can agree otherwise, so this too can be contracted out of. Note that this is one of the places where Part I expressly allows a court to step in, so it fits with section 5.</w:t>
      </w:r>
    </w:p>
    <w:p>
      <w:pPr>
        <w:spacing w:after="120" w:line="264"/>
        <w:jc w:val="both"/>
      </w:pPr>
      <w:r>
        <w:rPr>
          <w:b/>
          <w:bCs/>
        </w:rPr>
        <w:t xml:space="preserve">Section 14(3).</w:t>
      </w:r>
      <w:r>
        <w:t xml:space="preserve"> If an arbitrator resigns, or a party agrees to end his appointment, that </w:t>
      </w:r>
      <w:r>
        <w:rPr>
          <w:b/>
          <w:bCs/>
          <w:shd w:fill="FFF2CC" w:color="auto" w:val="clear"/>
        </w:rPr>
        <w:t xml:space="preserve">does not mean either of them accepts that the ground was true.</w:t>
      </w:r>
      <w:r>
        <w:t xml:space="preserve"> The point of this is practical. Without it, an arbitrator facing an allegation of bias could never resign quietly, because resigning would look like an admission.</w:t>
      </w:r>
    </w:p>
    <w:p>
      <w:pPr>
        <w:pStyle w:val="Heading2"/>
        <w:keepNext/>
        <w:spacing w:after="100" w:before="250"/>
      </w:pPr>
      <w:r>
        <w:t xml:space="preserve">Section 15: ending the appointment and appointing a replacement</w:t>
      </w:r>
    </w:p>
    <w:p>
      <w:pPr>
        <w:spacing w:after="120" w:line="264"/>
        <w:jc w:val="both"/>
      </w:pPr>
      <w:r>
        <w:t xml:space="preserve">Section 15 does four separate things.</w:t>
      </w:r>
    </w:p>
    <w:p>
      <w:pPr>
        <w:pStyle w:val="ListParagraph"/>
        <w:numPr>
          <w:ilvl w:val="0"/>
          <w:numId w:val="26"/>
        </w:numPr>
        <w:spacing w:after="70" w:line="264"/>
        <w:jc w:val="both"/>
      </w:pPr>
      <w:r>
        <w:rPr>
          <w:b/>
          <w:bCs/>
        </w:rPr>
        <w:t xml:space="preserve">(1)</w:t>
      </w:r>
      <w:r>
        <w:t xml:space="preserve"> </w:t>
      </w:r>
      <w:r>
        <w:rPr>
          <w:b/>
          <w:bCs/>
        </w:rPr>
        <w:t xml:space="preserve">In addition</w:t>
      </w:r>
      <w:r>
        <w:t xml:space="preserve"> to the situations in sections 13 and 14, the appointment ends where the arbitrator resigns </w:t>
      </w:r>
      <w:r>
        <w:rPr>
          <w:b/>
          <w:bCs/>
        </w:rPr>
        <w:t xml:space="preserve">for any reason at all</w:t>
      </w:r>
      <w:r>
        <w:t xml:space="preserve">, or where </w:t>
      </w:r>
      <w:r>
        <w:rPr>
          <w:b/>
          <w:bCs/>
        </w:rPr>
        <w:t xml:space="preserve">the parties agree</w:t>
      </w:r>
      <w:r>
        <w:t xml:space="preserve"> to end it. The words “in addition to” tell you that sections 13, 14 and 15 add up; they are not alternatives.</w:t>
      </w:r>
    </w:p>
    <w:p>
      <w:pPr>
        <w:pStyle w:val="ListParagraph"/>
        <w:numPr>
          <w:ilvl w:val="0"/>
          <w:numId w:val="26"/>
        </w:numPr>
        <w:spacing w:after="70" w:line="264"/>
        <w:jc w:val="both"/>
      </w:pPr>
      <w:r>
        <w:rPr>
          <w:b/>
          <w:bCs/>
        </w:rPr>
        <w:t xml:space="preserve">(2)</w:t>
      </w:r>
      <w:r>
        <w:t xml:space="preserve"> When the appointment ends, a replacement is appointed </w:t>
      </w:r>
      <w:r>
        <w:rPr>
          <w:b/>
          <w:bCs/>
          <w:shd w:fill="FFF2CC" w:color="auto" w:val="clear"/>
        </w:rPr>
        <w:t xml:space="preserve">by the same route as the original appointment.</w:t>
      </w:r>
      <w:r>
        <w:t xml:space="preserve"> If the first arbitrator came in under the parties' own procedure, so does the replacement. If he came in under section 11, so does the replacement. </w:t>
      </w:r>
      <w:r>
        <w:rPr>
          <w:b/>
          <w:bCs/>
        </w:rPr>
        <w:t xml:space="preserve">This is why section 11 still matters long after the tribunal is first set up.</w:t>
      </w:r>
    </w:p>
    <w:p>
      <w:pPr>
        <w:pStyle w:val="ListParagraph"/>
        <w:numPr>
          <w:ilvl w:val="0"/>
          <w:numId w:val="26"/>
        </w:numPr>
        <w:spacing w:after="70" w:line="264"/>
        <w:jc w:val="both"/>
      </w:pPr>
      <w:r>
        <w:rPr>
          <w:b/>
          <w:bCs/>
        </w:rPr>
        <w:t xml:space="preserve">(3)</w:t>
      </w:r>
      <w:r>
        <w:t xml:space="preserve"> Unless the parties agree otherwise, hearings already held </w:t>
      </w:r>
      <w:r>
        <w:rPr>
          <w:b/>
          <w:bCs/>
        </w:rPr>
        <w:t xml:space="preserve">may be repeated, if the tribunal thinks fit</w:t>
      </w:r>
      <w:r>
        <w:t xml:space="preserve">. The choice belongs to the tribunal, not to a party. It will normally repeat them where the new tribunal cannot fairly decide on a record it did not hear — which is the </w:t>
      </w:r>
      <w:r>
        <w:rPr>
          <w:b/>
          <w:bCs/>
          <w:i/>
          <w:iCs/>
        </w:rPr>
        <w:t xml:space="preserve">Gullapalli-I</w:t>
      </w:r>
      <w:r>
        <w:t xml:space="preserve"> principle again, that the person who decides must have heard.</w:t>
      </w:r>
    </w:p>
    <w:p>
      <w:pPr>
        <w:pStyle w:val="ListParagraph"/>
        <w:numPr>
          <w:ilvl w:val="0"/>
          <w:numId w:val="26"/>
        </w:numPr>
        <w:spacing w:after="70" w:line="264"/>
        <w:jc w:val="both"/>
      </w:pPr>
      <w:r>
        <w:rPr>
          <w:b/>
          <w:bCs/>
        </w:rPr>
        <w:t xml:space="preserve">(4)</w:t>
      </w:r>
      <w:r>
        <w:t xml:space="preserve"> Unless the parties agree otherwise, orders already made are </w:t>
      </w:r>
      <w:r>
        <w:rPr>
          <w:b/>
          <w:bCs/>
        </w:rPr>
        <w:t xml:space="preserve">not invalid merely because the tribunal's membership has changed</w:t>
      </w:r>
      <w:r>
        <w:t xml:space="preserve">. Without this, every replacement would undo everything decided so far.</w:t>
      </w:r>
    </w:p>
    <w:p>
      <w:pPr>
        <w:pStyle w:val="Heading2"/>
        <w:keepNext/>
        <w:spacing w:after="100" w:before="250"/>
      </w:pPr>
      <w:r>
        <w:t xml:space="preserve">All the ways an appointment can end</w:t>
      </w:r>
    </w:p>
    <w:p>
      <w:pPr>
        <w:pStyle w:val="ListParagraph"/>
        <w:numPr>
          <w:ilvl w:val="0"/>
          <w:numId w:val="27"/>
        </w:numPr>
        <w:spacing w:after="70" w:line="264"/>
        <w:jc w:val="both"/>
      </w:pPr>
      <w:r>
        <w:rPr>
          <w:b/>
          <w:bCs/>
        </w:rPr>
        <w:t xml:space="preserve">A successful challenge</w:t>
      </w:r>
      <w:r>
        <w:t xml:space="preserve"> for bias or lack of qualifications — sections 12 and 13, decided by the tribunal.</w:t>
      </w:r>
    </w:p>
    <w:p>
      <w:pPr>
        <w:pStyle w:val="ListParagraph"/>
        <w:numPr>
          <w:ilvl w:val="0"/>
          <w:numId w:val="27"/>
        </w:numPr>
        <w:spacing w:after="70" w:line="264"/>
        <w:jc w:val="both"/>
      </w:pPr>
      <w:r>
        <w:rPr>
          <w:b/>
          <w:bCs/>
        </w:rPr>
        <w:t xml:space="preserve">Inability in law or in fact, or failure to act without undue delay</w:t>
      </w:r>
      <w:r>
        <w:t xml:space="preserve"> — section 14(1)(a), with the court deciding under section 14(2) if there is a dispute.</w:t>
      </w:r>
    </w:p>
    <w:p>
      <w:pPr>
        <w:pStyle w:val="ListParagraph"/>
        <w:numPr>
          <w:ilvl w:val="0"/>
          <w:numId w:val="27"/>
        </w:numPr>
        <w:spacing w:after="70" w:line="264"/>
        <w:jc w:val="both"/>
      </w:pPr>
      <w:r>
        <w:rPr>
          <w:b/>
          <w:bCs/>
        </w:rPr>
        <w:t xml:space="preserve">Resignation, or agreement of the parties</w:t>
      </w:r>
      <w:r>
        <w:t xml:space="preserve"> — sections 14(1)(b) and 15(1).</w:t>
      </w:r>
    </w:p>
    <w:p>
      <w:pPr>
        <w:pStyle w:val="ListParagraph"/>
        <w:numPr>
          <w:ilvl w:val="0"/>
          <w:numId w:val="27"/>
        </w:numPr>
        <w:spacing w:after="70" w:line="264"/>
        <w:jc w:val="both"/>
      </w:pPr>
      <w:r>
        <w:rPr>
          <w:b/>
          <w:bCs/>
        </w:rPr>
        <w:t xml:space="preserve">Disqualification under section 12(5)</w:t>
      </w:r>
      <w:r>
        <w:t xml:space="preserve"> — this is inability in law, so the appointment ends under section 14 and a replacement comes in under section 15(2).</w:t>
      </w:r>
    </w:p>
    <w:p>
      <w:pPr>
        <w:pStyle w:val="ListParagraph"/>
        <w:numPr>
          <w:ilvl w:val="0"/>
          <w:numId w:val="27"/>
        </w:numPr>
        <w:spacing w:after="70" w:line="264"/>
        <w:jc w:val="both"/>
      </w:pPr>
      <w:r>
        <w:rPr>
          <w:b/>
          <w:bCs/>
        </w:rPr>
        <w:t xml:space="preserve">The time for making the award runs out</w:t>
      </w:r>
      <w:r>
        <w:t xml:space="preserve"> under section 29A, and is not extended.</w:t>
      </w:r>
    </w:p>
    <w:p>
      <w:pPr>
        <w:pStyle w:val="Heading1"/>
        <w:keepNext/>
        <w:pBdr>
          <w:bottom w:val="single" w:color="1F3864" w:sz="6" w:space="4"/>
        </w:pBdr>
        <w:spacing w:after="160" w:before="420"/>
      </w:pPr>
      <w:r>
        <w:t xml:space="preserve">10.  The Tribunal's Power to Decide Its Own Jurisdiction: Section 16</w:t>
      </w:r>
    </w:p>
    <w:p>
      <w:pPr>
        <w:pStyle w:val="Heading2"/>
        <w:keepNext/>
        <w:spacing w:after="100" w:before="250"/>
      </w:pPr>
      <w:r>
        <w:t xml:space="preserve">The circular problem</w:t>
      </w:r>
    </w:p>
    <w:p>
      <w:pPr>
        <w:spacing w:after="120" w:line="264"/>
        <w:jc w:val="both"/>
      </w:pPr>
      <w:r>
        <w:t xml:space="preserve">The tribunal's authority comes only from the arbitration agreement. So what happens when a party says there is no valid arbitration agreement at all?</w:t>
      </w:r>
    </w:p>
    <w:p>
      <w:pPr>
        <w:spacing w:after="120" w:line="264"/>
        <w:jc w:val="both"/>
      </w:pPr>
      <w:r>
        <w:t xml:space="preserve">If the tribunal decides that question, it seems to be assuming the very authority that is being denied. But if only a court can decide it, then </w:t>
      </w:r>
      <w:r>
        <w:rPr>
          <w:b/>
          <w:bCs/>
        </w:rPr>
        <w:t xml:space="preserve">every arbitration can be stopped at the very start</w:t>
      </w:r>
      <w:r>
        <w:t xml:space="preserve"> by simply raising the objection.</w:t>
      </w:r>
    </w:p>
    <w:p>
      <w:pPr>
        <w:spacing w:after="120" w:line="264"/>
        <w:jc w:val="both"/>
      </w:pPr>
      <w:r>
        <w:t xml:space="preserve">The Act answers this with two ideas.</w:t>
      </w:r>
    </w:p>
    <w:p>
      <w:pPr>
        <w:pStyle w:val="ListParagraph"/>
        <w:numPr>
          <w:ilvl w:val="0"/>
          <w:numId w:val="28"/>
        </w:numPr>
        <w:spacing w:after="70" w:line="264"/>
        <w:jc w:val="both"/>
      </w:pPr>
      <w:r>
        <w:rPr>
          <w:b/>
          <w:bCs/>
        </w:rPr>
        <w:t xml:space="preserve">Competence to decide competence.</w:t>
      </w:r>
      <w:r>
        <w:t xml:space="preserve"> The tribunal is given power to rule on its own jurisdiction. Textbooks call this </w:t>
      </w:r>
      <w:r>
        <w:rPr>
          <w:i/>
          <w:iCs/>
        </w:rPr>
        <w:t xml:space="preserve">kompetenz-kompetenz</w:t>
      </w:r>
      <w:r>
        <w:t xml:space="preserve">.</w:t>
      </w:r>
    </w:p>
    <w:p>
      <w:pPr>
        <w:pStyle w:val="ListParagraph"/>
        <w:numPr>
          <w:ilvl w:val="0"/>
          <w:numId w:val="28"/>
        </w:numPr>
        <w:spacing w:after="70" w:line="264"/>
        <w:jc w:val="both"/>
      </w:pPr>
      <w:r>
        <w:rPr>
          <w:b/>
          <w:bCs/>
        </w:rPr>
        <w:t xml:space="preserve">Separability.</w:t>
      </w:r>
      <w:r>
        <w:t xml:space="preserve"> The arbitration clause is treated as a separate agreement, standing apart from the contract it sits in. So an attack on the contract does not automatically destroy the tribunal's authority.</w:t>
      </w:r>
    </w:p>
    <w:p>
      <w:pPr>
        <w:pStyle w:val="Heading2"/>
        <w:keepNext/>
        <w:spacing w:after="100" w:before="250"/>
      </w:pPr>
      <w:r>
        <w:t xml:space="preserve">Section 16(1): the two ideas in the text</w:t>
      </w:r>
    </w:p>
    <w:p>
      <w:pPr>
        <w:spacing w:after="120" w:line="264"/>
        <w:jc w:val="both"/>
      </w:pPr>
      <w:r>
        <w:t xml:space="preserve">The tribunal may rule on its own jurisdiction, including on any objection about whether the arbitration agreement exists or is valid. For that purpose —</w:t>
      </w:r>
    </w:p>
    <w:p>
      <w:pPr>
        <w:pStyle w:val="ListParagraph"/>
        <w:numPr>
          <w:ilvl w:val="0"/>
          <w:numId w:val="29"/>
        </w:numPr>
        <w:spacing w:after="70" w:line="264"/>
        <w:jc w:val="both"/>
      </w:pPr>
      <w:r>
        <w:t xml:space="preserve">an arbitration clause forming part of a contract </w:t>
      </w:r>
      <w:r>
        <w:rPr>
          <w:b/>
          <w:bCs/>
          <w:shd w:fill="FFF2CC" w:color="auto" w:val="clear"/>
        </w:rPr>
        <w:t xml:space="preserve">is to be treated as an agreement independent of the other terms of the contract;</w:t>
      </w:r>
      <w:r>
        <w:t xml:space="preserve"> and</w:t>
      </w:r>
    </w:p>
    <w:p>
      <w:pPr>
        <w:pStyle w:val="ListParagraph"/>
        <w:numPr>
          <w:ilvl w:val="0"/>
          <w:numId w:val="29"/>
        </w:numPr>
        <w:spacing w:after="70" w:line="264"/>
        <w:jc w:val="both"/>
      </w:pPr>
      <w:r>
        <w:t xml:space="preserve">a decision by the tribunal that the contract is null and void does </w:t>
      </w:r>
      <w:r>
        <w:rPr>
          <w:b/>
          <w:bCs/>
        </w:rPr>
        <w:t xml:space="preserve">not automatically make the arbitration clause invalid</w:t>
      </w:r>
      <w:r>
        <w:t xml:space="preserve"> as well.</w:t>
      </w:r>
    </w:p>
    <w:p>
      <w:pPr>
        <w:spacing w:after="120" w:line="264"/>
        <w:jc w:val="both"/>
      </w:pPr>
      <w:r>
        <w:t xml:space="preserve">The Act expresses the second point with the Latin </w:t>
      </w:r>
      <w:r>
        <w:rPr>
          <w:i/>
          <w:iCs/>
        </w:rPr>
        <w:t xml:space="preserve">ipso jure</w:t>
      </w:r>
      <w:r>
        <w:t xml:space="preserve">, which means “automatically, by the law itself”. So invalidity of the main contract does not by itself bring the clause down. The clause survives, precisely so that the tribunal can decide what follows from the contract being void.</w:t>
      </w:r>
    </w:p>
    <w:p>
      <w:pPr>
        <w:spacing w:after="120" w:line="264"/>
        <w:jc w:val="both"/>
      </w:pPr>
      <w:r>
        <w:rPr>
          <w:b/>
          <w:bCs/>
        </w:rPr>
        <w:t xml:space="preserve">What this means in practice.</w:t>
      </w:r>
      <w:r>
        <w:t xml:space="preserve"> Where a party says the contract is void, or was cancelled, or was obtained by fraud, the tribunal keeps its jurisdiction and decides those very questions.</w:t>
      </w:r>
    </w:p>
    <w:p>
      <w:pPr>
        <w:spacing w:after="120" w:line="264"/>
        <w:jc w:val="both"/>
      </w:pPr>
      <w:r>
        <w:rPr>
          <w:b/>
          <w:bCs/>
          <w:shd w:fill="FFF2CC" w:color="auto" w:val="clear"/>
        </w:rPr>
        <w:t xml:space="preserve">The position is different if the attack is on the arbitration clause itself.</w:t>
      </w:r>
      <w:r>
        <w:t xml:space="preserve"> Separability saves the clause from the fate of the contract. It cannot save a clause that is itself bad.</w:t>
      </w:r>
    </w:p>
    <w:p>
      <w:pPr>
        <w:pStyle w:val="Heading2"/>
        <w:keepNext/>
        <w:spacing w:after="100" w:before="250"/>
      </w:pPr>
      <w:r>
        <w:t xml:space="preserve">When objections must be raised</w:t>
      </w:r>
    </w:p>
    <w:p>
      <w:pPr>
        <w:spacing w:after="120" w:line="264"/>
        <w:jc w:val="both"/>
      </w:pPr>
      <w:r>
        <w:t xml:space="preserve">There are two different objections, with two different deadlines. Mixing them up is a common error.</w:t>
      </w:r>
    </w:p>
    <w:p>
      <w:pPr>
        <w:pStyle w:val="ListParagraph"/>
        <w:numPr>
          <w:ilvl w:val="0"/>
          <w:numId w:val="30"/>
        </w:numPr>
        <w:spacing w:after="70" w:line="264"/>
        <w:jc w:val="both"/>
      </w:pPr>
      <w:r>
        <w:rPr>
          <w:b/>
          <w:bCs/>
        </w:rPr>
        <w:t xml:space="preserve">“The tribunal has no jurisdiction at all.”</w:t>
      </w:r>
      <w:r>
        <w:t xml:space="preserve"> This attacks the arbitration from the very beginning, and must be raised </w:t>
      </w:r>
      <w:r>
        <w:rPr>
          <w:b/>
          <w:bCs/>
          <w:shd w:fill="FFF2CC" w:color="auto" w:val="clear"/>
        </w:rPr>
        <w:t xml:space="preserve">no later than when the statement of defence is filed</w:t>
      </w:r>
      <w:r>
        <w:t xml:space="preserve"> (section 16(2)). There is a proviso worth remembering: a party does </w:t>
      </w:r>
      <w:r>
        <w:rPr>
          <w:b/>
          <w:bCs/>
        </w:rPr>
        <w:t xml:space="preserve">not</w:t>
      </w:r>
      <w:r>
        <w:t xml:space="preserve"> lose this objection merely because it appointed, or helped appoint, an arbitrator. </w:t>
      </w:r>
      <w:r>
        <w:rPr>
          <w:b/>
          <w:bCs/>
        </w:rPr>
        <w:t xml:space="preserve">Taking part in forming the tribunal is not the same as accepting its jurisdiction.</w:t>
      </w:r>
    </w:p>
    <w:p>
      <w:pPr>
        <w:pStyle w:val="ListParagraph"/>
        <w:numPr>
          <w:ilvl w:val="0"/>
          <w:numId w:val="30"/>
        </w:numPr>
        <w:spacing w:after="70" w:line="264"/>
        <w:jc w:val="both"/>
      </w:pPr>
      <w:r>
        <w:rPr>
          <w:b/>
          <w:bCs/>
        </w:rPr>
        <w:t xml:space="preserve">“The tribunal is going beyond what it was asked to decide.”</w:t>
      </w:r>
      <w:r>
        <w:t xml:space="preserve"> This must be raised </w:t>
      </w:r>
      <w:r>
        <w:rPr>
          <w:b/>
          <w:bCs/>
        </w:rPr>
        <w:t xml:space="preserve">as soon as the matter said to be outside the tribunal's authority comes up</w:t>
      </w:r>
      <w:r>
        <w:t xml:space="preserve"> during the proceedings (section 16(3)). It cannot be tied to the statement of defence, because the tribunal may stray at any point.</w:t>
      </w:r>
    </w:p>
    <w:p>
      <w:pPr>
        <w:pStyle w:val="ListParagraph"/>
        <w:numPr>
          <w:ilvl w:val="0"/>
          <w:numId w:val="30"/>
        </w:numPr>
        <w:spacing w:after="70" w:line="264"/>
        <w:jc w:val="both"/>
      </w:pPr>
      <w:r>
        <w:rPr>
          <w:b/>
          <w:bCs/>
        </w:rPr>
        <w:t xml:space="preserve">Late objections.</w:t>
      </w:r>
      <w:r>
        <w:t xml:space="preserve"> Under section 16(4) the tribunal may still allow a late objection in either case, if it thinks the delay was </w:t>
      </w:r>
      <w:r>
        <w:rPr>
          <w:b/>
          <w:bCs/>
        </w:rPr>
        <w:t xml:space="preserve">justified</w:t>
      </w:r>
      <w:r>
        <w:t xml:space="preserve">.</w:t>
      </w:r>
    </w:p>
    <w:p>
      <w:pPr>
        <w:spacing w:after="120" w:line="264"/>
        <w:jc w:val="both"/>
      </w:pPr>
      <w:r>
        <w:rPr>
          <w:b/>
          <w:bCs/>
        </w:rPr>
        <w:t xml:space="preserve">Compare civil litigation</w:t>
      </w:r>
      <w:r>
        <w:t xml:space="preserve">, where a plea about jurisdiction can often be raised much later. Here there is a firm deadline, and the penalty for missing it is losing the point altogether, subject only to the tribunal excusing the delay. The policy is the same as in section 4: </w:t>
      </w:r>
      <w:r>
        <w:rPr>
          <w:b/>
          <w:bCs/>
        </w:rPr>
        <w:t xml:space="preserve">an objection may not be kept in the pocket for later use.</w:t>
      </w:r>
    </w:p>
    <w:p>
      <w:pPr>
        <w:pStyle w:val="Heading2"/>
        <w:keepNext/>
        <w:spacing w:after="100" w:before="250"/>
      </w:pPr>
      <w:r>
        <w:t xml:space="preserve">What happens after the tribunal decides</w:t>
      </w:r>
    </w:p>
    <w:p>
      <w:pPr>
        <w:spacing w:after="120" w:line="264"/>
        <w:jc w:val="both"/>
      </w:pPr>
      <w:r>
        <w:t xml:space="preserve">Under section 16(5), the tribunal rules on the objection. If it </w:t>
      </w:r>
      <w:r>
        <w:rPr>
          <w:b/>
          <w:bCs/>
        </w:rPr>
        <w:t xml:space="preserve">rejects</w:t>
      </w:r>
      <w:r>
        <w:t xml:space="preserve"> the objection, it carries on and makes an award. Under section 16(6), the losing party's remedy is then to apply under </w:t>
      </w:r>
      <w:r>
        <w:rPr>
          <w:b/>
          <w:bCs/>
        </w:rPr>
        <w:t xml:space="preserve">section 34</w:t>
      </w:r>
      <w:r>
        <w:t xml:space="preserve"> to set the award aside.</w:t>
      </w:r>
    </w:p>
    <w:p>
      <w:pPr>
        <w:spacing w:after="120" w:line="264"/>
        <w:jc w:val="both"/>
      </w:pPr>
      <w:r>
        <w:rPr>
          <w:b/>
          <w:bCs/>
        </w:rPr>
        <w:t xml:space="preserve">Notice the imbalance here, because examiners like it.</w:t>
      </w:r>
      <w:r>
        <w:t xml:space="preserve"> If the tribunal </w:t>
      </w:r>
      <w:r>
        <w:rPr>
          <w:b/>
          <w:bCs/>
        </w:rPr>
        <w:t xml:space="preserve">rejects</w:t>
      </w:r>
      <w:r>
        <w:t xml:space="preserve"> the objection, there is no immediate appeal; the objecting party must sit through the whole arbitration and raise the point at the end. But if the tribunal </w:t>
      </w:r>
      <w:r>
        <w:rPr>
          <w:b/>
          <w:bCs/>
        </w:rPr>
        <w:t xml:space="preserve">accepts</w:t>
      </w:r>
      <w:r>
        <w:t xml:space="preserve"> the objection, the arbitration is over, and that order </w:t>
      </w:r>
      <w:r>
        <w:rPr>
          <w:b/>
          <w:bCs/>
        </w:rPr>
        <w:t xml:space="preserve">can</w:t>
      </w:r>
      <w:r>
        <w:t xml:space="preserve"> be appealed at once under </w:t>
      </w:r>
      <w:r>
        <w:rPr>
          <w:b/>
          <w:bCs/>
        </w:rPr>
        <w:t xml:space="preserve">section 37(2)(a)</w:t>
      </w:r>
      <w:r>
        <w:t xml:space="preserve">.</w:t>
      </w:r>
    </w:p>
    <w:p>
      <w:pPr>
        <w:spacing w:after="120" w:line="264"/>
        <w:jc w:val="both"/>
      </w:pPr>
      <w:r>
        <w:rPr>
          <w:b/>
          <w:bCs/>
          <w:shd w:fill="FFF2CC" w:color="auto" w:val="clear"/>
        </w:rPr>
        <w:t xml:space="preserve">The design is deliberate. An arbitration that is going ahead should not be interrupted by an appeal about jurisdiction.</w:t>
      </w:r>
    </w:p>
    <w:p>
      <w:pPr>
        <w:pStyle w:val="Heading2"/>
        <w:keepNext/>
        <w:spacing w:after="100" w:before="250"/>
      </w:pPr>
      <w:r>
        <w:t xml:space="preserve">How section 16 connects to sections 8 and 11</w:t>
      </w:r>
    </w:p>
    <w:p>
      <w:pPr>
        <w:spacing w:after="120" w:line="264"/>
        <w:jc w:val="both"/>
      </w:pPr>
      <w:r>
        <w:t xml:space="preserve">Section 16 is where the </w:t>
      </w:r>
      <w:r>
        <w:rPr>
          <w:b/>
          <w:bCs/>
        </w:rPr>
        <w:t xml:space="preserve">rule of first priority</w:t>
      </w:r>
      <w:r>
        <w:t xml:space="preserve"> comes from. Where the existence or validity of the agreement is in doubt, the tribunal decides first. The court's role is limited to a quick first look under section 8, and, because of section 11(6A), to the existence of the agreement under section 11. The court examines the matter properly only at the end, under section 34, and even then within narrow limits.</w:t>
      </w:r>
    </w:p>
    <w:p>
      <w:pPr>
        <w:spacing w:after="120" w:line="264"/>
        <w:jc w:val="both"/>
      </w:pPr>
      <w:r>
        <w:rPr>
          <w:b/>
          <w:bCs/>
        </w:rPr>
        <w:t xml:space="preserve">The scheme is not perfect, and it is worth saying so in an answer.</w:t>
      </w:r>
      <w:r>
        <w:t xml:space="preserve"> If the court's quick look is wrong one way, a tribunal is set up although the parties never agreed to arbitration. If it is wrong the other way, a valid agreement goes unenforced. The Act accepts that risk, because the alternative — a full trial on jurisdiction before the arbitration can even start — would be worse. Section 34 is meant to correct the mistakes.</w:t>
      </w:r>
    </w:p>
    <w:p>
      <w:pPr>
        <w:pStyle w:val="Heading1"/>
        <w:keepNext/>
        <w:pBdr>
          <w:bottom w:val="single" w:color="1F3864" w:sz="6" w:space="4"/>
        </w:pBdr>
        <w:spacing w:after="160" w:before="420"/>
      </w:pPr>
      <w:r>
        <w:t xml:space="preserve">11.  How the Arbitration Is Actually Conducted: Sections 18 to 26</w:t>
      </w:r>
    </w:p>
    <w:p>
      <w:pPr>
        <w:pStyle w:val="Heading2"/>
        <w:keepNext/>
        <w:spacing w:after="100" w:before="250"/>
      </w:pPr>
      <w:r>
        <w:t xml:space="preserve">The balance this Chapter strikes</w:t>
      </w:r>
    </w:p>
    <w:p>
      <w:pPr>
        <w:spacing w:after="120" w:line="264"/>
        <w:jc w:val="both"/>
      </w:pPr>
      <w:r>
        <w:t xml:space="preserve">These nine sections are the heart of the Act in daily practice. They pull in two directions and then reconcile them.</w:t>
      </w:r>
    </w:p>
    <w:p>
      <w:pPr>
        <w:spacing w:after="120" w:line="264"/>
        <w:jc w:val="both"/>
      </w:pPr>
      <w:r>
        <w:rPr>
          <w:b/>
          <w:bCs/>
        </w:rPr>
        <w:t xml:space="preserve">On one side, flexibility.</w:t>
      </w:r>
      <w:r>
        <w:t xml:space="preserve"> The tribunal is freed from the rigid procedure of the courts, so the arbitration can be quicker and shaped to the dispute.</w:t>
      </w:r>
    </w:p>
    <w:p>
      <w:pPr>
        <w:spacing w:after="120" w:line="264"/>
        <w:jc w:val="both"/>
      </w:pPr>
      <w:r>
        <w:rPr>
          <w:b/>
          <w:bCs/>
        </w:rPr>
        <w:t xml:space="preserve">On the other side, fairness.</w:t>
      </w:r>
      <w:r>
        <w:t xml:space="preserve"> Whatever procedure is chosen, both sides must be treated equally and each must be properly heard.</w:t>
      </w:r>
    </w:p>
    <w:p>
      <w:pPr>
        <w:spacing w:after="120" w:line="264"/>
        <w:jc w:val="both"/>
      </w:pPr>
      <w:r>
        <w:t xml:space="preserve">Almost every section here begins “unless otherwise agreed by the parties”, so the parties can change most of it. </w:t>
      </w:r>
      <w:r>
        <w:rPr>
          <w:b/>
          <w:bCs/>
          <w:shd w:fill="FFF2CC" w:color="auto" w:val="clear"/>
        </w:rPr>
        <w:t xml:space="preserve">Section 18 is the one they cannot change.</w:t>
      </w:r>
    </w:p>
    <w:p>
      <w:pPr>
        <w:pStyle w:val="Heading2"/>
        <w:keepNext/>
        <w:spacing w:after="100" w:before="250"/>
      </w:pPr>
      <w:r>
        <w:t xml:space="preserve">Section 18: equal treatment</w:t>
      </w:r>
    </w:p>
    <w:p>
      <w:pPr>
        <w:spacing w:after="110" w:before="70" w:line="250"/>
        <w:ind w:left="460" w:right="259"/>
        <w:jc w:val="both"/>
      </w:pPr>
      <w:r>
        <w:rPr>
          <w:b/>
          <w:bCs/>
          <w:sz w:val="19"/>
          <w:szCs w:val="19"/>
        </w:rPr>
        <w:t xml:space="preserve">18.</w:t>
      </w:r>
      <w:r>
        <w:rPr>
          <w:sz w:val="19"/>
          <w:szCs w:val="19"/>
        </w:rPr>
        <w:t xml:space="preserve"> The parties shall be treated with equality and each party shall be given a </w:t>
      </w:r>
      <w:r>
        <w:rPr>
          <w:b/>
          <w:bCs/>
          <w:sz w:val="19"/>
          <w:szCs w:val="19"/>
        </w:rPr>
        <w:t xml:space="preserve">full opportunity</w:t>
      </w:r>
      <w:r>
        <w:rPr>
          <w:sz w:val="19"/>
          <w:szCs w:val="19"/>
        </w:rPr>
        <w:t xml:space="preserve"> to present his case.</w:t>
      </w:r>
    </w:p>
    <w:p>
      <w:pPr>
        <w:spacing w:after="120" w:line="264"/>
        <w:jc w:val="both"/>
      </w:pPr>
      <w:r>
        <w:t xml:space="preserve">This one sentence is the </w:t>
      </w:r>
      <w:r>
        <w:rPr>
          <w:b/>
          <w:bCs/>
        </w:rPr>
        <w:t xml:space="preserve">fairness guarantee</w:t>
      </w:r>
      <w:r>
        <w:t xml:space="preserve"> of the Act, and it </w:t>
      </w:r>
      <w:r>
        <w:rPr>
          <w:b/>
          <w:bCs/>
        </w:rPr>
        <w:t xml:space="preserve">cannot be contracted out of</w:t>
      </w:r>
      <w:r>
        <w:t xml:space="preserve">. It has two parts: the parties must be treated equally, and each must get a full opportunity to present its case. It is the arbitral form of the rule that the other side must be heard.</w:t>
      </w:r>
    </w:p>
    <w:p>
      <w:pPr>
        <w:spacing w:after="120" w:line="264"/>
        <w:jc w:val="both"/>
      </w:pPr>
      <w:r>
        <w:rPr>
          <w:b/>
          <w:bCs/>
        </w:rPr>
        <w:t xml:space="preserve">Link with section 34.</w:t>
      </w:r>
      <w:r>
        <w:t xml:space="preserve"> Breaking section 18 is what </w:t>
      </w:r>
      <w:r>
        <w:rPr>
          <w:b/>
          <w:bCs/>
        </w:rPr>
        <w:t xml:space="preserve">section 34(2)(a)(iii)</w:t>
      </w:r>
      <w:r>
        <w:t xml:space="preserve"> is aimed at. An award can be set aside where a party was not given proper notice of the appointment of the arbitrator or of the proceedings, or was otherwise unable to present its case. </w:t>
      </w:r>
      <w:r>
        <w:rPr>
          <w:b/>
          <w:bCs/>
          <w:shd w:fill="FFF2CC" w:color="auto" w:val="clear"/>
        </w:rPr>
        <w:t xml:space="preserve">So section 18 is not just a principle. It is the ground on which awards are actually set aside.</w:t>
      </w:r>
    </w:p>
    <w:p>
      <w:pPr>
        <w:spacing w:after="120" w:line="264"/>
        <w:jc w:val="both"/>
      </w:pPr>
      <w:r>
        <w:t xml:space="preserve">Some books call section 18 the natural justice clause and others the due process clause. Nothing turns on the name. The rules of natural justice — including </w:t>
      </w:r>
      <w:r>
        <w:rPr>
          <w:b/>
          <w:bCs/>
          <w:i/>
          <w:iCs/>
        </w:rPr>
        <w:t xml:space="preserve">Gullapalli-I</w:t>
      </w:r>
      <w:r>
        <w:t xml:space="preserve">, that the person who decides must have heard — apply to </w:t>
      </w:r>
      <w:r>
        <w:rPr>
          <w:b/>
          <w:bCs/>
        </w:rPr>
        <w:t xml:space="preserve">every</w:t>
      </w:r>
      <w:r>
        <w:t xml:space="preserve"> arbitral tribunal, whether the parties are government bodies or private persons.</w:t>
      </w:r>
    </w:p>
    <w:p>
      <w:pPr>
        <w:pStyle w:val="Heading2"/>
        <w:keepNext/>
        <w:spacing w:after="100" w:before="250"/>
      </w:pPr>
      <w:r>
        <w:t xml:space="preserve">Section 19: what procedure the tribunal follows</w:t>
      </w:r>
    </w:p>
    <w:p>
      <w:pPr>
        <w:spacing w:after="120" w:line="264"/>
        <w:jc w:val="both"/>
      </w:pPr>
      <w:r>
        <w:rPr>
          <w:b/>
          <w:bCs/>
        </w:rPr>
        <w:t xml:space="preserve">Section 19(1)</w:t>
      </w:r>
      <w:r>
        <w:t xml:space="preserve"> says the tribunal </w:t>
      </w:r>
      <w:r>
        <w:rPr>
          <w:b/>
          <w:bCs/>
          <w:shd w:fill="FFF2CC" w:color="auto" w:val="clear"/>
        </w:rPr>
        <w:t xml:space="preserve">is not bound by the Code of Civil Procedure, 1908 or by the law of evidence.</w:t>
      </w:r>
      <w:r>
        <w:t xml:space="preserve"> The reason is simple: court procedure is technical and slow, and applying it would defeat the whole purpose of arbitration.</w:t>
      </w:r>
    </w:p>
    <w:p>
      <w:pPr>
        <w:spacing w:after="120" w:line="264"/>
        <w:jc w:val="both"/>
      </w:pPr>
      <w:r>
        <w:rPr>
          <w:b/>
          <w:bCs/>
        </w:rPr>
        <w:t xml:space="preserve">Section 19(2)</w:t>
      </w:r>
      <w:r>
        <w:t xml:space="preserve"> lets the parties agree the procedure. </w:t>
      </w:r>
      <w:r>
        <w:rPr>
          <w:b/>
          <w:bCs/>
        </w:rPr>
        <w:t xml:space="preserve">Section 19(3)</w:t>
      </w:r>
      <w:r>
        <w:t xml:space="preserve"> says that if they do not, the tribunal may conduct the proceedings as it thinks appropriate. </w:t>
      </w:r>
      <w:r>
        <w:rPr>
          <w:b/>
          <w:bCs/>
        </w:rPr>
        <w:t xml:space="preserve">Section 19(4)</w:t>
      </w:r>
      <w:r>
        <w:t xml:space="preserve"> adds that this includes deciding what evidence is </w:t>
      </w:r>
      <w:r>
        <w:rPr>
          <w:b/>
          <w:bCs/>
        </w:rPr>
        <w:t xml:space="preserve">admissible, relevant, material, and how much weight it carries</w:t>
      </w:r>
      <w:r>
        <w:t xml:space="preserve">.</w:t>
      </w:r>
    </w:p>
    <w:p>
      <w:pPr>
        <w:spacing w:after="120" w:line="264"/>
        <w:jc w:val="both"/>
      </w:pPr>
      <w:r>
        <w:t xml:space="preserve">Two points of nuance matter in an answer.</w:t>
      </w:r>
    </w:p>
    <w:p>
      <w:pPr>
        <w:pStyle w:val="ListParagraph"/>
        <w:numPr>
          <w:ilvl w:val="0"/>
          <w:numId w:val="31"/>
        </w:numPr>
        <w:spacing w:after="70" w:line="264"/>
        <w:jc w:val="both"/>
      </w:pPr>
      <w:r>
        <w:t xml:space="preserve">The tribunal is </w:t>
      </w:r>
      <w:r>
        <w:rPr>
          <w:b/>
          <w:bCs/>
        </w:rPr>
        <w:t xml:space="preserve">not bound</w:t>
      </w:r>
      <w:r>
        <w:t xml:space="preserve"> by those laws, but it is </w:t>
      </w:r>
      <w:r>
        <w:rPr>
          <w:b/>
          <w:bCs/>
        </w:rPr>
        <w:t xml:space="preserve">not forbidden to use them</w:t>
      </w:r>
      <w:r>
        <w:t xml:space="preserve"> either. Tribunals often borrow their principles because they are sensible. What section 19 removes is the compulsion, not the option.</w:t>
      </w:r>
    </w:p>
    <w:p>
      <w:pPr>
        <w:pStyle w:val="ListParagraph"/>
        <w:numPr>
          <w:ilvl w:val="0"/>
          <w:numId w:val="31"/>
        </w:numPr>
        <w:spacing w:after="70" w:line="264"/>
        <w:jc w:val="both"/>
      </w:pPr>
      <w:r>
        <w:t xml:space="preserve">Section 19(3) operates “subject to this Part”, which means subject to section 18. </w:t>
      </w:r>
      <w:r>
        <w:rPr>
          <w:b/>
          <w:bCs/>
        </w:rPr>
        <w:t xml:space="preserve">So freedom of procedure never licenses unfairness.</w:t>
      </w:r>
    </w:p>
    <w:p>
      <w:pPr>
        <w:spacing w:after="120" w:line="264"/>
        <w:jc w:val="both"/>
      </w:pPr>
      <w:r>
        <w:rPr>
          <w:b/>
          <w:bCs/>
        </w:rPr>
        <w:t xml:space="preserve">In practice</w:t>
      </w:r>
      <w:r>
        <w:t xml:space="preserve">, tribunals hold a </w:t>
      </w:r>
      <w:r>
        <w:rPr>
          <w:b/>
          <w:bCs/>
        </w:rPr>
        <w:t xml:space="preserve">procedural hearing</w:t>
      </w:r>
      <w:r>
        <w:t xml:space="preserve"> at the very beginning and record the result in </w:t>
      </w:r>
      <w:r>
        <w:rPr>
          <w:b/>
          <w:bCs/>
        </w:rPr>
        <w:t xml:space="preserve">procedural orders</w:t>
      </w:r>
      <w:r>
        <w:t xml:space="preserve">. These fix the timetable, the order of pleadings, how evidence will be given, and the arrangements for hearings. Section 19(4) is what makes the tribunal the </w:t>
      </w:r>
      <w:r>
        <w:rPr>
          <w:b/>
          <w:bCs/>
        </w:rPr>
        <w:t xml:space="preserve">master of the evidence</w:t>
      </w:r>
      <w:r>
        <w:t xml:space="preserve"> in its own case.</w:t>
      </w:r>
    </w:p>
    <w:p>
      <w:pPr>
        <w:pStyle w:val="Heading2"/>
        <w:keepNext/>
        <w:spacing w:after="100" w:before="250"/>
      </w:pPr>
      <w:r>
        <w:t xml:space="preserve">Section 20: the place of arbitration</w:t>
      </w:r>
    </w:p>
    <w:p>
      <w:pPr>
        <w:spacing w:after="120" w:line="264"/>
        <w:jc w:val="both"/>
      </w:pPr>
      <w:r>
        <w:rPr>
          <w:b/>
          <w:bCs/>
        </w:rPr>
        <w:t xml:space="preserve">Section 20(1)</w:t>
      </w:r>
      <w:r>
        <w:t xml:space="preserve"> lets the parties agree the place. </w:t>
      </w:r>
      <w:r>
        <w:rPr>
          <w:b/>
          <w:bCs/>
        </w:rPr>
        <w:t xml:space="preserve">Section 20(2)</w:t>
      </w:r>
      <w:r>
        <w:t xml:space="preserve"> says that if they do not, the tribunal decides it, looking at the circumstances and </w:t>
      </w:r>
      <w:r>
        <w:rPr>
          <w:b/>
          <w:bCs/>
        </w:rPr>
        <w:t xml:space="preserve">including the convenience of the parties</w:t>
      </w:r>
      <w:r>
        <w:t xml:space="preserve">. </w:t>
      </w:r>
      <w:r>
        <w:rPr>
          <w:b/>
          <w:bCs/>
        </w:rPr>
        <w:t xml:space="preserve">Section 20(3)</w:t>
      </w:r>
      <w:r>
        <w:t xml:space="preserve"> lets the tribunal meet anywhere it finds suitable — to consult among themselves, to hear witnesses, experts or the parties, or to inspect documents, goods or property.</w:t>
      </w:r>
    </w:p>
    <w:p>
      <w:pPr>
        <w:spacing w:after="120" w:line="264"/>
        <w:jc w:val="both"/>
      </w:pPr>
      <w:r>
        <w:rPr>
          <w:b/>
          <w:bCs/>
        </w:rPr>
        <w:t xml:space="preserve">The seat.</w:t>
      </w:r>
      <w:r>
        <w:t xml:space="preserve"> The word “place” in sub-sections (1) and (2) means the </w:t>
      </w:r>
      <w:r>
        <w:rPr>
          <w:b/>
          <w:bCs/>
        </w:rPr>
        <w:t xml:space="preserve">seat</w:t>
      </w:r>
      <w:r>
        <w:t xml:space="preserve">, which is a legal idea rather than a geographical one. </w:t>
      </w:r>
      <w:r>
        <w:rPr>
          <w:b/>
          <w:bCs/>
          <w:shd w:fill="FFF2CC" w:color="auto" w:val="clear"/>
        </w:rPr>
        <w:t xml:space="preserve">The seat decides which law governs the conduct of the arbitration, and which country's courts supervise it, including the court that can set the award aside.</w:t>
      </w:r>
      <w:r>
        <w:t xml:space="preserve"> This is why </w:t>
      </w:r>
      <w:r>
        <w:rPr>
          <w:b/>
          <w:bCs/>
          <w:i/>
          <w:iCs/>
        </w:rPr>
        <w:t xml:space="preserve">BALCO</w:t>
      </w:r>
      <w:r>
        <w:t xml:space="preserve"> decided the reach of Part I by looking at the seat.</w:t>
      </w:r>
    </w:p>
    <w:p>
      <w:pPr>
        <w:spacing w:after="120" w:line="264"/>
        <w:jc w:val="both"/>
      </w:pPr>
      <w:r>
        <w:rPr>
          <w:b/>
          <w:bCs/>
        </w:rPr>
        <w:t xml:space="preserve">The venue.</w:t>
      </w:r>
      <w:r>
        <w:t xml:space="preserve"> The venue is simply where the tribunal sits. Section 20(3) lets it sit elsewhere without moving the seat, and </w:t>
      </w:r>
      <w:r>
        <w:rPr>
          <w:b/>
          <w:bCs/>
        </w:rPr>
        <w:t xml:space="preserve">the legal consequences follow the seat, not the venue</w:t>
      </w:r>
      <w:r>
        <w:t xml:space="preserve">.</w:t>
      </w:r>
    </w:p>
    <w:p>
      <w:pPr>
        <w:spacing w:after="120" w:line="264"/>
        <w:jc w:val="both"/>
      </w:pPr>
      <w:r>
        <w:rPr>
          <w:b/>
          <w:bCs/>
        </w:rPr>
        <w:t xml:space="preserve">Where no seat is chosen</w:t>
      </w:r>
      <w:r>
        <w:t xml:space="preserve">, the tribunal works it out from the circumstances. </w:t>
      </w:r>
      <w:r>
        <w:rPr>
          <w:b/>
          <w:bCs/>
        </w:rPr>
        <w:t xml:space="preserve">Example:</w:t>
      </w:r>
      <w:r>
        <w:t xml:space="preserve"> if the same parties' earlier contracts named a seat expressly, and the present contract says nothing, the tribunal may fairly conclude that they meant the same seat again. That is a conclusion drawn from facts, not a rule of law.</w:t>
      </w:r>
    </w:p>
    <w:p>
      <w:pPr>
        <w:pStyle w:val="Heading2"/>
        <w:keepNext/>
        <w:spacing w:after="100" w:before="250"/>
      </w:pPr>
      <w:r>
        <w:t xml:space="preserve">Section 21: when the arbitration begins</w:t>
      </w:r>
    </w:p>
    <w:p>
      <w:pPr>
        <w:spacing w:after="120" w:line="264"/>
        <w:jc w:val="both"/>
      </w:pPr>
      <w:r>
        <w:t xml:space="preserve">Unless the parties agree otherwise, the arbitration begins </w:t>
      </w:r>
      <w:r>
        <w:rPr>
          <w:b/>
          <w:bCs/>
          <w:shd w:fill="FFF2CC" w:color="auto" w:val="clear"/>
        </w:rPr>
        <w:t xml:space="preserve">on the day the respondent receives the request to refer that dispute to arbitration.</w:t>
      </w:r>
      <w:r>
        <w:t xml:space="preserve"> Three points follow.</w:t>
      </w:r>
    </w:p>
    <w:p>
      <w:pPr>
        <w:pStyle w:val="ListParagraph"/>
        <w:numPr>
          <w:ilvl w:val="0"/>
          <w:numId w:val="32"/>
        </w:numPr>
        <w:spacing w:after="70" w:line="264"/>
        <w:jc w:val="both"/>
      </w:pPr>
      <w:r>
        <w:t xml:space="preserve">What counts is </w:t>
      </w:r>
      <w:r>
        <w:rPr>
          <w:b/>
          <w:bCs/>
        </w:rPr>
        <w:t xml:space="preserve">receipt by the respondent</w:t>
      </w:r>
      <w:r>
        <w:t xml:space="preserve">, not the day the claimant posted it.</w:t>
      </w:r>
    </w:p>
    <w:p>
      <w:pPr>
        <w:pStyle w:val="ListParagraph"/>
        <w:numPr>
          <w:ilvl w:val="0"/>
          <w:numId w:val="32"/>
        </w:numPr>
        <w:spacing w:after="70" w:line="264"/>
        <w:jc w:val="both"/>
      </w:pPr>
      <w:r>
        <w:t xml:space="preserve">The request must relate to </w:t>
      </w:r>
      <w:r>
        <w:rPr>
          <w:b/>
          <w:bCs/>
        </w:rPr>
        <w:t xml:space="preserve">that particular dispute</w:t>
      </w:r>
      <w:r>
        <w:t xml:space="preserve">. A general letter reserving all rights is not a request to refer.</w:t>
      </w:r>
    </w:p>
    <w:p>
      <w:pPr>
        <w:pStyle w:val="ListParagraph"/>
        <w:numPr>
          <w:ilvl w:val="0"/>
          <w:numId w:val="32"/>
        </w:numPr>
        <w:spacing w:after="70" w:line="264"/>
        <w:jc w:val="both"/>
      </w:pPr>
      <w:r>
        <w:t xml:space="preserve">This request is the </w:t>
      </w:r>
      <w:r>
        <w:rPr>
          <w:b/>
          <w:bCs/>
        </w:rPr>
        <w:t xml:space="preserve">notice of arbitration</w:t>
      </w:r>
      <w:r>
        <w:t xml:space="preserve">, and it must not be confused with a </w:t>
      </w:r>
      <w:r>
        <w:rPr>
          <w:b/>
          <w:bCs/>
        </w:rPr>
        <w:t xml:space="preserve">notice of dispute</w:t>
      </w:r>
      <w:r>
        <w:t xml:space="preserve"> or a demand for payment. A notice of dispute only says “I have a grievance”. A notice of arbitration says “I am invoking the arbitration clause”, and in practice it comes much later.</w:t>
      </w:r>
    </w:p>
    <w:p>
      <w:pPr>
        <w:spacing w:after="120" w:line="264"/>
        <w:jc w:val="both"/>
      </w:pPr>
      <w:r>
        <w:rPr>
          <w:b/>
          <w:bCs/>
        </w:rPr>
        <w:t xml:space="preserve">Why the date matters.</w:t>
      </w:r>
      <w:r>
        <w:t xml:space="preserve"> The ninety-day period in section 9(2) is counted from it, limitation stops running on it, and the tribunal's power under section 17 begins with it.</w:t>
      </w:r>
    </w:p>
    <w:p>
      <w:pPr>
        <w:pStyle w:val="Heading2"/>
        <w:keepNext/>
        <w:spacing w:after="100" w:before="250"/>
      </w:pPr>
      <w:r>
        <w:t xml:space="preserve">Section 22: language</w:t>
      </w:r>
    </w:p>
    <w:p>
      <w:pPr>
        <w:spacing w:after="120" w:line="264"/>
        <w:jc w:val="both"/>
      </w:pPr>
      <w:r>
        <w:t xml:space="preserve">The parties may choose the language, and if they do not, the tribunal chooses it. Unless something else is specified, the choice covers </w:t>
      </w:r>
      <w:r>
        <w:rPr>
          <w:b/>
          <w:bCs/>
        </w:rPr>
        <w:t xml:space="preserve">every written statement by a party, every hearing, and every award, decision or other communication by or to the tribunal</w:t>
      </w:r>
      <w:r>
        <w:t xml:space="preserve">. The tribunal may also order that documents be filed with a </w:t>
      </w:r>
      <w:r>
        <w:rPr>
          <w:b/>
          <w:bCs/>
        </w:rPr>
        <w:t xml:space="preserve">translation</w:t>
      </w:r>
      <w:r>
        <w:t xml:space="preserve">.</w:t>
      </w:r>
    </w:p>
    <w:p>
      <w:pPr>
        <w:spacing w:after="120" w:line="264"/>
        <w:jc w:val="both"/>
      </w:pPr>
      <w:r>
        <w:t xml:space="preserve">This matters most in international arbitration, where the parties, the arbitrators, the witnesses and the documents may all use different languages. </w:t>
      </w:r>
      <w:r>
        <w:rPr>
          <w:b/>
          <w:bCs/>
        </w:rPr>
        <w:t xml:space="preserve">Note that the choice binds the tribunal's own output too</w:t>
      </w:r>
      <w:r>
        <w:t xml:space="preserve">, not just what the parties file.</w:t>
      </w:r>
    </w:p>
    <w:p>
      <w:pPr>
        <w:pStyle w:val="Heading2"/>
        <w:keepNext/>
        <w:spacing w:after="100" w:before="250"/>
      </w:pPr>
      <w:r>
        <w:t xml:space="preserve">Section 23: the pleadings</w:t>
      </w:r>
    </w:p>
    <w:p>
      <w:pPr>
        <w:spacing w:after="120" w:line="264"/>
        <w:jc w:val="both"/>
      </w:pPr>
      <w:r>
        <w:rPr>
          <w:b/>
          <w:bCs/>
        </w:rPr>
        <w:t xml:space="preserve">Section 23(1).</w:t>
      </w:r>
      <w:r>
        <w:t xml:space="preserve"> Within the time agreed or fixed by the tribunal, the </w:t>
      </w:r>
      <w:r>
        <w:rPr>
          <w:b/>
          <w:bCs/>
        </w:rPr>
        <w:t xml:space="preserve">claimant</w:t>
      </w:r>
      <w:r>
        <w:t xml:space="preserve"> must state —</w:t>
      </w:r>
    </w:p>
    <w:p>
      <w:pPr>
        <w:pStyle w:val="ListParagraph"/>
        <w:numPr>
          <w:ilvl w:val="0"/>
          <w:numId w:val="33"/>
        </w:numPr>
        <w:spacing w:after="70" w:line="264"/>
        <w:jc w:val="both"/>
      </w:pPr>
      <w:r>
        <w:t xml:space="preserve">the </w:t>
      </w:r>
      <w:r>
        <w:rPr>
          <w:b/>
          <w:bCs/>
        </w:rPr>
        <w:t xml:space="preserve">facts supporting the claim</w:t>
      </w:r>
      <w:r>
        <w:t xml:space="preserve">;</w:t>
      </w:r>
    </w:p>
    <w:p>
      <w:pPr>
        <w:pStyle w:val="ListParagraph"/>
        <w:numPr>
          <w:ilvl w:val="0"/>
          <w:numId w:val="33"/>
        </w:numPr>
        <w:spacing w:after="70" w:line="264"/>
        <w:jc w:val="both"/>
      </w:pPr>
      <w:r>
        <w:t xml:space="preserve">the </w:t>
      </w:r>
      <w:r>
        <w:rPr>
          <w:b/>
          <w:bCs/>
        </w:rPr>
        <w:t xml:space="preserve">points at issue</w:t>
      </w:r>
      <w:r>
        <w:t xml:space="preserve">; and</w:t>
      </w:r>
    </w:p>
    <w:p>
      <w:pPr>
        <w:pStyle w:val="ListParagraph"/>
        <w:numPr>
          <w:ilvl w:val="0"/>
          <w:numId w:val="33"/>
        </w:numPr>
        <w:spacing w:after="70" w:line="264"/>
        <w:jc w:val="both"/>
      </w:pPr>
      <w:r>
        <w:t xml:space="preserve">the </w:t>
      </w:r>
      <w:r>
        <w:rPr>
          <w:b/>
          <w:bCs/>
        </w:rPr>
        <w:t xml:space="preserve">relief or remedy asked for</w:t>
      </w:r>
      <w:r>
        <w:t xml:space="preserve">.</w:t>
      </w:r>
    </w:p>
    <w:p>
      <w:pPr>
        <w:spacing w:after="120" w:line="264"/>
        <w:jc w:val="both"/>
      </w:pPr>
      <w:r>
        <w:t xml:space="preserve">The </w:t>
      </w:r>
      <w:r>
        <w:rPr>
          <w:b/>
          <w:bCs/>
        </w:rPr>
        <w:t xml:space="preserve">respondent</w:t>
      </w:r>
      <w:r>
        <w:t xml:space="preserve"> must then answer those same particulars. The statement of claim and statement of defence do the work that the plaint and written statement do in a civil suit. Under </w:t>
      </w:r>
      <w:r>
        <w:rPr>
          <w:b/>
          <w:bCs/>
        </w:rPr>
        <w:t xml:space="preserve">section 23(2)</w:t>
      </w:r>
      <w:r>
        <w:t xml:space="preserve"> each side may file all documents it thinks relevant — these are the exhibits — or may simply list the documents it will produce later.</w:t>
      </w:r>
    </w:p>
    <w:p>
      <w:pPr>
        <w:pStyle w:val="Heading3"/>
        <w:keepNext/>
        <w:spacing w:after="80" w:before="180"/>
      </w:pPr>
      <w:r>
        <w:t xml:space="preserve">Counterclaim and set-off — section 23(2A)</w:t>
      </w:r>
    </w:p>
    <w:p>
      <w:pPr>
        <w:spacing w:after="120" w:line="264"/>
        <w:jc w:val="both"/>
      </w:pPr>
      <w:r>
        <w:t xml:space="preserve">This was added in 2015. The respondent may also bring a </w:t>
      </w:r>
      <w:r>
        <w:rPr>
          <w:b/>
          <w:bCs/>
        </w:rPr>
        <w:t xml:space="preserve">counterclaim</w:t>
      </w:r>
      <w:r>
        <w:t xml:space="preserve"> or plead a </w:t>
      </w:r>
      <w:r>
        <w:rPr>
          <w:b/>
          <w:bCs/>
        </w:rPr>
        <w:t xml:space="preserve">set-off</w:t>
      </w:r>
      <w:r>
        <w:t xml:space="preserve">, and the tribunal must decide it, </w:t>
      </w:r>
      <w:r>
        <w:rPr>
          <w:b/>
          <w:bCs/>
          <w:shd w:fill="FFF2CC" w:color="auto" w:val="clear"/>
        </w:rPr>
        <w:t xml:space="preserve">but only if it falls within the scope of the arbitration agreement.</w:t>
      </w:r>
      <w:r>
        <w:t xml:space="preserve"> That limit is essential, because the tribunal's power rests on consent and nothing else.</w:t>
      </w:r>
    </w:p>
    <w:p>
      <w:pPr>
        <w:spacing w:after="120" w:line="264"/>
        <w:jc w:val="both"/>
      </w:pPr>
      <w:r>
        <w:rPr>
          <w:b/>
          <w:bCs/>
        </w:rPr>
        <w:t xml:space="preserve">The two are not the same thing.</w:t>
      </w:r>
      <w:r>
        <w:t xml:space="preserve"> A </w:t>
      </w:r>
      <w:r>
        <w:rPr>
          <w:b/>
          <w:bCs/>
        </w:rPr>
        <w:t xml:space="preserve">counterclaim</w:t>
      </w:r>
      <w:r>
        <w:t xml:space="preserve"> is the respondent's own independent claim, on which it can actually recover money. A </w:t>
      </w:r>
      <w:r>
        <w:rPr>
          <w:b/>
          <w:bCs/>
        </w:rPr>
        <w:t xml:space="preserve">set-off</w:t>
      </w:r>
      <w:r>
        <w:t xml:space="preserve"> is purely defensive: it reduces or wipes out the claimant's claim, and in its pure form gives the respondent nothing to take away.</w:t>
      </w:r>
    </w:p>
    <w:p>
      <w:pPr>
        <w:pStyle w:val="Heading3"/>
        <w:keepNext/>
        <w:spacing w:after="80" w:before="180"/>
      </w:pPr>
      <w:r>
        <w:t xml:space="preserve">Amending the pleadings — section 23(3)</w:t>
      </w:r>
    </w:p>
    <w:p>
      <w:pPr>
        <w:spacing w:after="120" w:line="264"/>
        <w:jc w:val="both"/>
      </w:pPr>
      <w:r>
        <w:t xml:space="preserve">Unless the parties agree otherwise, either side may amend or add to its claim or defence during the arbitration, </w:t>
      </w:r>
      <w:r>
        <w:rPr>
          <w:b/>
          <w:bCs/>
        </w:rPr>
        <w:t xml:space="preserve">unless the tribunal thinks it inappropriate to allow it because of the delay</w:t>
      </w:r>
      <w:r>
        <w:t xml:space="preserve"> in asking.</w:t>
      </w:r>
    </w:p>
    <w:p>
      <w:pPr>
        <w:spacing w:after="120" w:line="264"/>
        <w:jc w:val="both"/>
      </w:pPr>
      <w:r>
        <w:rPr>
          <w:b/>
          <w:bCs/>
        </w:rPr>
        <w:t xml:space="preserve">So permission is the rule, and refusal the exception</w:t>
      </w:r>
      <w:r>
        <w:t xml:space="preserve">, and the ground for refusal named in the provision is delay. A tribunal will also refuse an amendment that falls outside the arbitration agreement, because it would have no power over it. The comparison with civil procedure is helpful: amendments are generally allowed there too, and the test is whether the amendment helps decide the </w:t>
      </w:r>
      <w:r>
        <w:rPr>
          <w:b/>
          <w:bCs/>
        </w:rPr>
        <w:t xml:space="preserve">real question in controversy</w:t>
      </w:r>
      <w:r>
        <w:t xml:space="preserve"> between the parties.</w:t>
      </w:r>
    </w:p>
    <w:p>
      <w:pPr>
        <w:pStyle w:val="Heading3"/>
        <w:keepNext/>
        <w:spacing w:after="80" w:before="180"/>
      </w:pPr>
      <w:r>
        <w:t xml:space="preserve">The six-month timetable — section 23(4)</w:t>
      </w:r>
    </w:p>
    <w:p>
      <w:pPr>
        <w:spacing w:after="120" w:line="264"/>
        <w:jc w:val="both"/>
      </w:pPr>
      <w:r>
        <w:t xml:space="preserve">Added by the 2019 Amendment. Claim and defence must both be completed within </w:t>
      </w:r>
      <w:r>
        <w:rPr>
          <w:b/>
          <w:bCs/>
          <w:shd w:fill="FFF2CC" w:color="auto" w:val="clear"/>
        </w:rPr>
        <w:t xml:space="preserve">six months from the date on which the arbitrator, or all the arbitrators, received written notice of appointment.</w:t>
      </w:r>
    </w:p>
    <w:p>
      <w:pPr>
        <w:spacing w:after="120" w:line="264"/>
        <w:jc w:val="both"/>
      </w:pPr>
      <w:r>
        <w:rPr>
          <w:b/>
          <w:bCs/>
        </w:rPr>
        <w:t xml:space="preserve">Get this right. ==There is no section 23(9).==</w:t>
      </w:r>
      <w:r>
        <w:t xml:space="preserve"> Students sometimes cite one. The provision is section 23(4), and its real connection is with </w:t>
      </w:r>
      <w:r>
        <w:rPr>
          <w:b/>
          <w:bCs/>
        </w:rPr>
        <w:t xml:space="preserve">section 29A</w:t>
      </w:r>
      <w:r>
        <w:t xml:space="preserve">. Under section 29A(1), as amended in 2019, the twelve months for making the award start running from the completion of pleadings under section 23(4). </w:t>
      </w:r>
      <w:r>
        <w:rPr>
          <w:b/>
          <w:bCs/>
        </w:rPr>
        <w:t xml:space="preserve">So the six months and the twelve months come one after the other; they do not overlap.</w:t>
      </w:r>
    </w:p>
    <w:p>
      <w:pPr>
        <w:spacing w:after="120" w:line="264"/>
        <w:jc w:val="both"/>
      </w:pPr>
      <w:r>
        <w:rPr>
          <w:b/>
          <w:bCs/>
        </w:rPr>
        <w:t xml:space="preserve">A little more on section 29A</w:t>
      </w:r>
      <w:r>
        <w:t xml:space="preserve">, which lies outside these topics but is asked alongside. In a domestic arbitration the award must be made within twelve months of the pleadings being completed. The parties may extend that by agreement by up to six months (section 29A(3)). After that only a court can extend it, and only for sufficient cause (sections 29A(4) and (5)).</w:t>
      </w:r>
    </w:p>
    <w:p>
      <w:pPr>
        <w:spacing w:after="120" w:line="264"/>
        <w:jc w:val="both"/>
      </w:pPr>
      <w:r>
        <w:t xml:space="preserve">For </w:t>
      </w:r>
      <w:r>
        <w:rPr>
          <w:b/>
          <w:bCs/>
        </w:rPr>
        <w:t xml:space="preserve">international commercial arbitration</w:t>
      </w:r>
      <w:r>
        <w:t xml:space="preserve"> the twelve months is </w:t>
      </w:r>
      <w:r>
        <w:rPr>
          <w:b/>
          <w:bCs/>
          <w:shd w:fill="FFF2CC" w:color="auto" w:val="clear"/>
        </w:rPr>
        <w:t xml:space="preserve">only a target, not a binding limit.</w:t>
      </w:r>
      <w:r>
        <w:t xml:space="preserve"> The tribunal must try to finish within twelve months but is not bound by the domestic limit: </w:t>
      </w:r>
      <w:r>
        <w:rPr>
          <w:b/>
          <w:bCs/>
          <w:i/>
          <w:iCs/>
        </w:rPr>
        <w:t xml:space="preserve">Tata Sons Pvt. Ltd. v. Siva Industries and Holdings Ltd.</w:t>
      </w:r>
      <w:r>
        <w:t xml:space="preserve">, MA No. 2680 of 2019 in Arbitration Case (Civil) No. 38 of 2017 (SC, 5 January 2023).</w:t>
      </w:r>
    </w:p>
    <w:p>
      <w:pPr>
        <w:pStyle w:val="Heading2"/>
        <w:keepNext/>
        <w:spacing w:after="100" w:before="250"/>
      </w:pPr>
      <w:r>
        <w:t xml:space="preserve">Section 24: hearings</w:t>
      </w:r>
    </w:p>
    <w:p>
      <w:pPr>
        <w:spacing w:after="120" w:line="264"/>
        <w:jc w:val="both"/>
      </w:pPr>
      <w:r>
        <w:rPr>
          <w:b/>
          <w:bCs/>
        </w:rPr>
        <w:t xml:space="preserve">Section 24(1).</w:t>
      </w:r>
      <w:r>
        <w:t xml:space="preserve"> Unless the parties agree otherwise, the tribunal decides whether to hold oral hearings for evidence or argument, or to decide the case on documents alone. An arbitration decided wholly on papers is called a </w:t>
      </w:r>
      <w:r>
        <w:rPr>
          <w:b/>
          <w:bCs/>
        </w:rPr>
        <w:t xml:space="preserve">documents-only arbitration</w:t>
      </w:r>
      <w:r>
        <w:t xml:space="preserve">.</w:t>
      </w:r>
    </w:p>
    <w:p>
      <w:pPr>
        <w:spacing w:after="120" w:line="264"/>
        <w:jc w:val="both"/>
      </w:pPr>
      <w:r>
        <w:t xml:space="preserve">That discretion sounds wide, but two provisos cut it down sharply.</w:t>
      </w:r>
    </w:p>
    <w:p>
      <w:pPr>
        <w:pStyle w:val="ListParagraph"/>
        <w:numPr>
          <w:ilvl w:val="0"/>
          <w:numId w:val="34"/>
        </w:numPr>
        <w:spacing w:after="70" w:line="264"/>
        <w:jc w:val="both"/>
      </w:pPr>
      <w:r>
        <w:rPr>
          <w:b/>
          <w:bCs/>
        </w:rPr>
        <w:t xml:space="preserve">First proviso.</w:t>
      </w:r>
      <w:r>
        <w:t xml:space="preserve"> The tribunal </w:t>
      </w:r>
      <w:r>
        <w:rPr>
          <w:b/>
          <w:bCs/>
        </w:rPr>
        <w:t xml:space="preserve">must</w:t>
      </w:r>
      <w:r>
        <w:t xml:space="preserve"> hold an oral hearing, at a suitable stage, </w:t>
      </w:r>
      <w:r>
        <w:rPr>
          <w:b/>
          <w:bCs/>
          <w:shd w:fill="FFF2CC" w:color="auto" w:val="clear"/>
        </w:rPr>
        <w:t xml:space="preserve">if a party asks for one,</w:t>
      </w:r>
      <w:r>
        <w:t xml:space="preserve"> unless the parties had agreed there would be none. In effect, </w:t>
      </w:r>
      <w:r>
        <w:rPr>
          <w:b/>
          <w:bCs/>
        </w:rPr>
        <w:t xml:space="preserve">a party is entitled to an oral hearing simply by asking.</w:t>
      </w:r>
      <w:r>
        <w:t xml:space="preserve"> So deciding a case on documents alone is the exception. It needs either the parties' agreement, or a case that can genuinely be decided on the papers. A dispute turning on complicated facts needs oral evidence; a dispute about the meaning of a document may not.</w:t>
      </w:r>
    </w:p>
    <w:p>
      <w:pPr>
        <w:pStyle w:val="ListParagraph"/>
        <w:numPr>
          <w:ilvl w:val="0"/>
          <w:numId w:val="34"/>
        </w:numPr>
        <w:spacing w:after="70" w:line="264"/>
        <w:jc w:val="both"/>
      </w:pPr>
      <w:r>
        <w:rPr>
          <w:b/>
          <w:bCs/>
        </w:rPr>
        <w:t xml:space="preserve">Second proviso.</w:t>
      </w:r>
      <w:r>
        <w:t xml:space="preserve"> The tribunal must, as far as possible, hold hearings </w:t>
      </w:r>
      <w:r>
        <w:rPr>
          <w:b/>
          <w:bCs/>
        </w:rPr>
        <w:t xml:space="preserve">from day to day</w:t>
      </w:r>
      <w:r>
        <w:t xml:space="preserve">, must </w:t>
      </w:r>
      <w:r>
        <w:rPr>
          <w:b/>
          <w:bCs/>
        </w:rPr>
        <w:t xml:space="preserve">not grant an adjournment unless sufficient cause is shown</w:t>
      </w:r>
      <w:r>
        <w:t xml:space="preserve">, and </w:t>
      </w:r>
      <w:r>
        <w:rPr>
          <w:b/>
          <w:bCs/>
          <w:shd w:fill="FFF2CC" w:color="auto" w:val="clear"/>
        </w:rPr>
        <w:t xml:space="preserve">may impose costs, including exemplary costs, on a party that asks for an adjournment without sufficient cause.</w:t>
      </w:r>
      <w:r>
        <w:t xml:space="preserve"> This is the Act's main weapon against delay tactics.</w:t>
      </w:r>
    </w:p>
    <w:p>
      <w:pPr>
        <w:spacing w:after="120" w:line="264"/>
        <w:jc w:val="both"/>
      </w:pPr>
      <w:r>
        <w:rPr>
          <w:b/>
          <w:bCs/>
        </w:rPr>
        <w:t xml:space="preserve">Section 24(2).</w:t>
      </w:r>
      <w:r>
        <w:t xml:space="preserve"> The parties must get </w:t>
      </w:r>
      <w:r>
        <w:rPr>
          <w:b/>
          <w:bCs/>
        </w:rPr>
        <w:t xml:space="preserve">sufficient advance notice</w:t>
      </w:r>
      <w:r>
        <w:t xml:space="preserve"> of every hearing, and of every meeting held to inspect documents, goods or property.</w:t>
      </w:r>
    </w:p>
    <w:p>
      <w:pPr>
        <w:spacing w:after="120" w:line="264"/>
        <w:jc w:val="both"/>
      </w:pPr>
      <w:r>
        <w:rPr>
          <w:b/>
          <w:bCs/>
        </w:rPr>
        <w:t xml:space="preserve">Section 24(3).</w:t>
      </w:r>
      <w:r>
        <w:t xml:space="preserve"> Everything one party gives the tribunal — statements, documents, information, applications — </w:t>
      </w:r>
      <w:r>
        <w:rPr>
          <w:b/>
          <w:bCs/>
        </w:rPr>
        <w:t xml:space="preserve">must also be given to the other party</w:t>
      </w:r>
      <w:r>
        <w:t xml:space="preserve">. And any expert report or document the tribunal may rely on must be given to both.</w:t>
      </w:r>
    </w:p>
    <w:p>
      <w:pPr>
        <w:spacing w:after="120" w:line="264"/>
        <w:jc w:val="both"/>
      </w:pPr>
      <w:r>
        <w:rPr>
          <w:b/>
          <w:bCs/>
        </w:rPr>
        <w:t xml:space="preserve">These two sub-sections are section 18 at work.</w:t>
      </w:r>
      <w:r>
        <w:t xml:space="preserve"> A party cannot have a full opportunity if it does not know when the tribunal is sitting, or what material has been put before it. </w:t>
      </w:r>
      <w:r>
        <w:rPr>
          <w:b/>
          <w:bCs/>
          <w:shd w:fill="FFF2CC" w:color="auto" w:val="clear"/>
        </w:rPr>
        <w:t xml:space="preserve">Section 24(3) also means the tribunal cannot base its decision on anything the parties have not seen.</w:t>
      </w:r>
      <w:r>
        <w:t xml:space="preserve"> Section 26 takes this further for expert reports.</w:t>
      </w:r>
    </w:p>
    <w:p>
      <w:pPr>
        <w:pStyle w:val="Heading2"/>
        <w:keepNext/>
        <w:spacing w:after="100" w:before="250"/>
      </w:pPr>
      <w:r>
        <w:t xml:space="preserve">Section 25: what happens if a party defaults</w:t>
      </w:r>
    </w:p>
    <w:p>
      <w:pPr>
        <w:spacing w:after="120" w:line="264"/>
        <w:jc w:val="both"/>
      </w:pPr>
      <w:r>
        <w:t xml:space="preserve">This applies unless the parties agree otherwise, and only where the defaulting party shows </w:t>
      </w:r>
      <w:r>
        <w:rPr>
          <w:b/>
          <w:bCs/>
        </w:rPr>
        <w:t xml:space="preserve">no sufficient cause</w:t>
      </w:r>
      <w:r>
        <w:t xml:space="preserv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3450"/>
        <w:gridCol w:w="5400"/>
      </w:tblGrid>
      <w:tr>
        <w:trPr>
          <w:tblHeader/>
        </w:trPr>
        <w:tc>
          <w:tcPr>
            <w:tcW w:type="dxa" w:w="3450"/>
            <w:tcMar>
              <w:top w:type="dxa" w:w="70"/>
              <w:left w:type="dxa" w:w="100"/>
              <w:bottom w:type="dxa" w:w="70"/>
              <w:right w:type="dxa" w:w="100"/>
            </w:tcMar>
          </w:tcPr>
          <w:p>
            <w:pPr>
              <w:spacing w:after="0" w:line="240"/>
            </w:pPr>
            <w:r>
              <w:rPr>
                <w:b/>
                <w:bCs/>
                <w:color w:val="1F3864"/>
                <w:sz w:val="18"/>
                <w:szCs w:val="18"/>
              </w:rPr>
              <w:t xml:space="preserve">What the party fails to do</w:t>
            </w:r>
          </w:p>
        </w:tc>
        <w:tc>
          <w:tcPr>
            <w:tcW w:type="dxa" w:w="5400"/>
            <w:tcMar>
              <w:top w:type="dxa" w:w="70"/>
              <w:left w:type="dxa" w:w="100"/>
              <w:bottom w:type="dxa" w:w="70"/>
              <w:right w:type="dxa" w:w="100"/>
            </w:tcMar>
          </w:tcPr>
          <w:p>
            <w:pPr>
              <w:spacing w:after="0" w:line="240"/>
            </w:pPr>
            <w:r>
              <w:rPr>
                <w:b/>
                <w:bCs/>
                <w:color w:val="1F3864"/>
                <w:sz w:val="18"/>
                <w:szCs w:val="18"/>
              </w:rPr>
              <w:t xml:space="preserve">What the tribunal does</w:t>
            </w:r>
          </w:p>
        </w:tc>
      </w:tr>
      <w:tr>
        <w:tc>
          <w:tcPr>
            <w:tcW w:type="dxa" w:w="3450"/>
            <w:tcMar>
              <w:top w:type="dxa" w:w="70"/>
              <w:left w:type="dxa" w:w="100"/>
              <w:bottom w:type="dxa" w:w="70"/>
              <w:right w:type="dxa" w:w="100"/>
            </w:tcMar>
          </w:tcPr>
          <w:p>
            <w:pPr>
              <w:spacing w:after="0" w:line="240"/>
            </w:pPr>
            <w:r>
              <w:rPr>
                <w:b/>
                <w:bCs/>
                <w:sz w:val="18"/>
                <w:szCs w:val="18"/>
              </w:rPr>
              <w:t xml:space="preserve">(a)</w:t>
            </w:r>
            <w:r>
              <w:rPr>
                <w:sz w:val="18"/>
                <w:szCs w:val="18"/>
              </w:rPr>
              <w:t xml:space="preserve"> The claimant does not file its statement of claim</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must end</w:t>
            </w:r>
            <w:r>
              <w:rPr>
                <w:sz w:val="18"/>
                <w:szCs w:val="18"/>
              </w:rPr>
              <w:t xml:space="preserve"> the proceedings. There is simply no claim to decide.</w:t>
            </w:r>
          </w:p>
        </w:tc>
      </w:tr>
      <w:tr>
        <w:tc>
          <w:tcPr>
            <w:tcW w:type="dxa" w:w="3450"/>
            <w:tcMar>
              <w:top w:type="dxa" w:w="70"/>
              <w:left w:type="dxa" w:w="100"/>
              <w:bottom w:type="dxa" w:w="70"/>
              <w:right w:type="dxa" w:w="100"/>
            </w:tcMar>
          </w:tcPr>
          <w:p>
            <w:pPr>
              <w:spacing w:after="0" w:line="240"/>
            </w:pPr>
            <w:r>
              <w:rPr>
                <w:b/>
                <w:bCs/>
                <w:sz w:val="18"/>
                <w:szCs w:val="18"/>
              </w:rPr>
              <w:t xml:space="preserve">(b)</w:t>
            </w:r>
            <w:r>
              <w:rPr>
                <w:sz w:val="18"/>
                <w:szCs w:val="18"/>
              </w:rPr>
              <w:t xml:space="preserve"> The respondent does not file its statement of defence</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must carry on</w:t>
            </w:r>
            <w:r>
              <w:rPr>
                <w:sz w:val="18"/>
                <w:szCs w:val="18"/>
              </w:rPr>
              <w:t xml:space="preserve">, </w:t>
            </w:r>
            <w:r>
              <w:rPr>
                <w:b/>
                <w:bCs/>
                <w:sz w:val="18"/>
                <w:szCs w:val="18"/>
                <w:shd w:fill="FFF2CC" w:color="auto" w:val="clear"/>
              </w:rPr>
              <w:t xml:space="preserve">and must not treat the failure, by itself, as admitting the claimant's allegations.</w:t>
            </w:r>
            <w:r>
              <w:rPr>
                <w:sz w:val="18"/>
                <w:szCs w:val="18"/>
              </w:rPr>
              <w:t xml:space="preserve"> It may, if it chooses, treat the right to file a defence as lost.</w:t>
            </w:r>
          </w:p>
        </w:tc>
      </w:tr>
      <w:tr>
        <w:tc>
          <w:tcPr>
            <w:tcW w:type="dxa" w:w="3450"/>
            <w:tcMar>
              <w:top w:type="dxa" w:w="70"/>
              <w:left w:type="dxa" w:w="100"/>
              <w:bottom w:type="dxa" w:w="70"/>
              <w:right w:type="dxa" w:w="100"/>
            </w:tcMar>
          </w:tcPr>
          <w:p>
            <w:pPr>
              <w:spacing w:after="0" w:line="240"/>
            </w:pPr>
            <w:r>
              <w:rPr>
                <w:b/>
                <w:bCs/>
                <w:sz w:val="18"/>
                <w:szCs w:val="18"/>
              </w:rPr>
              <w:t xml:space="preserve">(c)</w:t>
            </w:r>
            <w:r>
              <w:rPr>
                <w:sz w:val="18"/>
                <w:szCs w:val="18"/>
              </w:rPr>
              <w:t xml:space="preserve"> A party does not attend a hearing, or does not produce documents</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may carry on</w:t>
            </w:r>
            <w:r>
              <w:rPr>
                <w:sz w:val="18"/>
                <w:szCs w:val="18"/>
              </w:rPr>
              <w:t xml:space="preserve"> and make the award </w:t>
            </w:r>
            <w:r>
              <w:rPr>
                <w:b/>
                <w:bCs/>
                <w:sz w:val="18"/>
                <w:szCs w:val="18"/>
              </w:rPr>
              <w:t xml:space="preserve">on whatever evidence it has</w:t>
            </w:r>
            <w:r>
              <w:rPr>
                <w:sz w:val="18"/>
                <w:szCs w:val="18"/>
              </w:rPr>
              <w:t xml:space="preserve">.</w:t>
            </w:r>
          </w:p>
        </w:tc>
      </w:tr>
    </w:tbl>
    <w:p>
      <w:pPr>
        <w:spacing w:after="120"/>
      </w:pPr>
      <w:r>
        <w:rPr>
          <w:sz w:val="10"/>
          <w:szCs w:val="10"/>
        </w:rPr>
        <w:t xml:space="preserve"/>
      </w:r>
    </w:p>
    <w:p>
      <w:pPr>
        <w:spacing w:after="120" w:line="264"/>
        <w:jc w:val="both"/>
      </w:pPr>
      <w:r>
        <w:rPr>
          <w:b/>
          <w:bCs/>
        </w:rPr>
        <w:t xml:space="preserve">Clause (b) is the one to remember.</w:t>
      </w:r>
      <w:r>
        <w:t xml:space="preserve"> The words about not treating default as an admission were added in 2015, and they change the position considerably. </w:t>
      </w:r>
      <w:r>
        <w:rPr>
          <w:b/>
          <w:bCs/>
        </w:rPr>
        <w:t xml:space="preserve">A respondent who files nothing has not admitted the claim.</w:t>
      </w:r>
      <w:r>
        <w:t xml:space="preserve"> The claimant must still prove its case, and the tribunal must still decide on the evidence. This is different from what happens in some civil proceedings when a written statement is not filed.</w:t>
      </w:r>
    </w:p>
    <w:p>
      <w:pPr>
        <w:spacing w:after="120" w:line="264"/>
        <w:jc w:val="both"/>
      </w:pPr>
      <w:r>
        <w:t xml:space="preserve">The consequences in clause (b) — losing the right to file a defence, and with it the chance to cross-examine — together with costs, are sometimes loosely called civil penalties. </w:t>
      </w:r>
      <w:r>
        <w:rPr>
          <w:b/>
          <w:bCs/>
        </w:rPr>
        <w:t xml:space="preserve">They are better understood as ways of keeping the arbitration moving, not as punishments.</w:t>
      </w:r>
      <w:r>
        <w:t xml:space="preserve"> They apply only where the party has shown no sufficient cause.</w:t>
      </w:r>
    </w:p>
    <w:p>
      <w:pPr>
        <w:pStyle w:val="Heading2"/>
        <w:keepNext/>
        <w:spacing w:after="100" w:before="250"/>
      </w:pPr>
      <w:r>
        <w:t xml:space="preserve">Section 26: an expert appointed by the tribunal</w:t>
      </w:r>
    </w:p>
    <w:p>
      <w:pPr>
        <w:spacing w:after="120" w:line="264"/>
        <w:jc w:val="both"/>
      </w:pPr>
      <w:r>
        <w:t xml:space="preserve">Arbitrations often turn on technical questions, and two different kinds of expert can appear.</w:t>
      </w:r>
    </w:p>
    <w:p>
      <w:pPr>
        <w:pStyle w:val="ListParagraph"/>
        <w:numPr>
          <w:ilvl w:val="0"/>
          <w:numId w:val="35"/>
        </w:numPr>
        <w:spacing w:after="70" w:line="264"/>
        <w:jc w:val="both"/>
      </w:pPr>
      <w:r>
        <w:t xml:space="preserve">A </w:t>
      </w:r>
      <w:r>
        <w:rPr>
          <w:b/>
          <w:bCs/>
        </w:rPr>
        <w:t xml:space="preserve">party-appointed expert</w:t>
      </w:r>
      <w:r>
        <w:t xml:space="preserve"> is hired and instructed by one side, and gives evidence supporting that side. He is a </w:t>
      </w:r>
      <w:r>
        <w:rPr>
          <w:b/>
          <w:bCs/>
        </w:rPr>
        <w:t xml:space="preserve">witness</w:t>
      </w:r>
      <w:r>
        <w:t xml:space="preserve">, and the other side tests him by cross-examination.</w:t>
      </w:r>
    </w:p>
    <w:p>
      <w:pPr>
        <w:pStyle w:val="ListParagraph"/>
        <w:numPr>
          <w:ilvl w:val="0"/>
          <w:numId w:val="35"/>
        </w:numPr>
        <w:spacing w:after="70" w:line="264"/>
        <w:jc w:val="both"/>
      </w:pPr>
      <w:r>
        <w:t xml:space="preserve">A </w:t>
      </w:r>
      <w:r>
        <w:rPr>
          <w:b/>
          <w:bCs/>
        </w:rPr>
        <w:t xml:space="preserve">tribunal-appointed expert</w:t>
      </w:r>
      <w:r>
        <w:t xml:space="preserve"> is chosen by the tribunal itself to report on questions the tribunal identifies. Because the tribunal picked him and may rely on his report, section 26 builds in protections for the parties.</w:t>
      </w:r>
    </w:p>
    <w:p>
      <w:pPr>
        <w:spacing w:after="120" w:line="264"/>
        <w:jc w:val="both"/>
      </w:pPr>
      <w:r>
        <w:t xml:space="preserve">Unless the parties agree otherwise, the tribunal may appoint one or more experts to report on </w:t>
      </w:r>
      <w:r>
        <w:rPr>
          <w:b/>
          <w:bCs/>
        </w:rPr>
        <w:t xml:space="preserve">specific questions it identifies</w:t>
      </w:r>
      <w:r>
        <w:t xml:space="preserve">, and may direct a party to give the expert information, or access to documents, goods or property. If a party asks, or the tribunal thinks it necessary, the expert must </w:t>
      </w:r>
      <w:r>
        <w:rPr>
          <w:b/>
          <w:bCs/>
        </w:rPr>
        <w:t xml:space="preserve">attend an oral hearing</w:t>
      </w:r>
      <w:r>
        <w:t xml:space="preserve">, where the parties can question him and produce their own experts. And on a party's request the expert must </w:t>
      </w:r>
      <w:r>
        <w:rPr>
          <w:b/>
          <w:bCs/>
        </w:rPr>
        <w:t xml:space="preserve">make available for inspection</w:t>
      </w:r>
      <w:r>
        <w:t xml:space="preserve"> all the material he was given to prepare his report.</w:t>
      </w:r>
    </w:p>
    <w:p>
      <w:pPr>
        <w:spacing w:after="120" w:line="264"/>
        <w:jc w:val="both"/>
      </w:pPr>
      <w:r>
        <w:rPr>
          <w:b/>
          <w:bCs/>
        </w:rPr>
        <w:t xml:space="preserve">These last two are fairness safeguards.</w:t>
      </w:r>
      <w:r>
        <w:t xml:space="preserve"> The expert can be questioned, a rival expert can be called, and the basis of the report can be checked. It is the same idea as section 24(3) — nothing decides the case unless both sides can see and test it.</w:t>
      </w:r>
    </w:p>
    <w:p>
      <w:pPr>
        <w:spacing w:after="120" w:line="264"/>
        <w:jc w:val="both"/>
      </w:pPr>
      <w:r>
        <w:rPr>
          <w:b/>
          <w:bCs/>
        </w:rPr>
        <w:t xml:space="preserve">One limit to note.</w:t>
      </w:r>
      <w:r>
        <w:t xml:space="preserve"> </w:t>
      </w:r>
      <w:r>
        <w:rPr>
          <w:b/>
          <w:bCs/>
          <w:shd w:fill="FFF2CC" w:color="auto" w:val="clear"/>
        </w:rPr>
        <w:t xml:space="preserve">The expert reports only on the specific questions given to him. He does not decide the dispute, and the tribunal cannot hand over its own job of deciding to him.</w:t>
      </w:r>
    </w:p>
    <w:p>
      <w:pPr>
        <w:pStyle w:val="Heading1"/>
        <w:keepNext/>
        <w:pBdr>
          <w:bottom w:val="single" w:color="1F3864" w:sz="6" w:space="4"/>
        </w:pBdr>
        <w:spacing w:after="160" w:before="420"/>
      </w:pPr>
      <w:r>
        <w:t xml:space="preserve">12.  Case Laws, Topic-wise</w:t>
      </w:r>
    </w:p>
    <w:p>
      <w:pPr>
        <w:spacing w:after="120" w:line="264"/>
        <w:jc w:val="both"/>
      </w:pPr>
      <w:r>
        <w:t xml:space="preserve">Every citation below was checked against the judgment or an authoritative report. Where a printed volume reference could not be confirmed, the neutral citation, the SCC OnLine citation, or the case number with its date has been given instead.</w:t>
      </w:r>
    </w:p>
    <w:p>
      <w:pPr>
        <w:pStyle w:val="Heading2"/>
        <w:keepNext/>
        <w:spacing w:after="100" w:before="250"/>
      </w:pPr>
      <w:r>
        <w:t xml:space="preserve">Topic 1 — International commercial arbitration: section 2(1)(f)</w:t>
      </w:r>
    </w:p>
    <w:p>
      <w:pPr>
        <w:pStyle w:val="ListParagraph"/>
        <w:numPr>
          <w:ilvl w:val="0"/>
          <w:numId w:val="36"/>
        </w:numPr>
        <w:spacing w:after="70" w:line="264"/>
        <w:jc w:val="both"/>
      </w:pPr>
      <w:r>
        <w:rPr>
          <w:b/>
          <w:bCs/>
          <w:i/>
          <w:iCs/>
        </w:rPr>
        <w:t xml:space="preserve">R.M. Investments &amp; Trading Co. Pvt. Ltd. v. Boeing Co.</w:t>
      </w:r>
      <w:r>
        <w:t xml:space="preserve">, (1994) 4 SCC 541; AIR 1994 SC 1136 (SC, 10 February 1994) — “commercial” is read broadly.</w:t>
      </w:r>
    </w:p>
    <w:p>
      <w:pPr>
        <w:pStyle w:val="ListParagraph"/>
        <w:numPr>
          <w:ilvl w:val="0"/>
          <w:numId w:val="36"/>
        </w:numPr>
        <w:spacing w:after="70" w:line="264"/>
        <w:jc w:val="both"/>
      </w:pPr>
      <w:r>
        <w:rPr>
          <w:b/>
          <w:bCs/>
          <w:i/>
          <w:iCs/>
        </w:rPr>
        <w:t xml:space="preserve">TDM Infrastructure P. Ltd. v. UE Development India P. Ltd.</w:t>
      </w:r>
      <w:r>
        <w:t xml:space="preserve">, (2008) 14 SCC 271 (SC, 14 May 2008) — a company's nationality depends on where it was incorporated.</w:t>
      </w:r>
    </w:p>
    <w:p>
      <w:pPr>
        <w:pStyle w:val="ListParagraph"/>
        <w:numPr>
          <w:ilvl w:val="0"/>
          <w:numId w:val="36"/>
        </w:numPr>
        <w:spacing w:after="70" w:line="264"/>
        <w:jc w:val="both"/>
      </w:pPr>
      <w:r>
        <w:rPr>
          <w:b/>
          <w:bCs/>
          <w:i/>
          <w:iCs/>
        </w:rPr>
        <w:t xml:space="preserve">Bhatia International v. Bulk Trading S.A.</w:t>
      </w:r>
      <w:r>
        <w:t xml:space="preserve">, (2002) 4 SCC 105 (SC, 3 Judges) — Part I applied to arbitrations held abroad. </w:t>
      </w:r>
      <w:r>
        <w:rPr>
          <w:b/>
          <w:bCs/>
        </w:rPr>
        <w:t xml:space="preserve">Overruled by BALCO, for the future only.</w:t>
      </w:r>
    </w:p>
    <w:p>
      <w:pPr>
        <w:pStyle w:val="ListParagraph"/>
        <w:numPr>
          <w:ilvl w:val="0"/>
          <w:numId w:val="36"/>
        </w:numPr>
        <w:spacing w:after="70" w:line="264"/>
        <w:jc w:val="both"/>
      </w:pPr>
      <w:r>
        <w:rPr>
          <w:b/>
          <w:bCs/>
          <w:i/>
          <w:iCs/>
        </w:rPr>
        <w:t xml:space="preserve">Venture Global Engineering v. Satyam Computer Services Ltd.</w:t>
      </w:r>
      <w:r>
        <w:t xml:space="preserve">, (2008) 4 SCC 190 (SC) — section 34 held available against a foreign award. </w:t>
      </w:r>
      <w:r>
        <w:rPr>
          <w:b/>
          <w:bCs/>
        </w:rPr>
        <w:t xml:space="preserve">Overruled by BALCO, for the future only.</w:t>
      </w:r>
    </w:p>
    <w:p>
      <w:pPr>
        <w:pStyle w:val="ListParagraph"/>
        <w:numPr>
          <w:ilvl w:val="0"/>
          <w:numId w:val="36"/>
        </w:numPr>
        <w:spacing w:after="70" w:line="264"/>
        <w:jc w:val="both"/>
      </w:pPr>
      <w:r>
        <w:rPr>
          <w:b/>
          <w:bCs/>
          <w:i/>
          <w:iCs/>
        </w:rPr>
        <w:t xml:space="preserve">Bharat Aluminium Co. v. Kaiser Aluminium Technical Services Inc.</w:t>
      </w:r>
      <w:r>
        <w:t xml:space="preserve"> (BALCO), (2012) 9 SCC 552 (SC, Constitution Bench of 5, 6 September 2012) — Part I applies only to arbitrations seated in India; the seat decides everything; applies to agreements made on or after 6 September 2012.</w:t>
      </w:r>
    </w:p>
    <w:p>
      <w:pPr>
        <w:pStyle w:val="ListParagraph"/>
        <w:numPr>
          <w:ilvl w:val="0"/>
          <w:numId w:val="36"/>
        </w:numPr>
        <w:spacing w:after="70" w:line="264"/>
        <w:jc w:val="both"/>
      </w:pPr>
      <w:r>
        <w:rPr>
          <w:b/>
          <w:bCs/>
          <w:i/>
          <w:iCs/>
        </w:rPr>
        <w:t xml:space="preserve">Saipem S.p.A. v. People's Republic of Bangladesh</w:t>
      </w:r>
      <w:r>
        <w:t xml:space="preserve">, ICSID Case No. ARB/05/7; Award 30 June 2009 — courts obstructing an arbitration can amount to expropriation.</w:t>
      </w:r>
    </w:p>
    <w:p>
      <w:pPr>
        <w:pStyle w:val="ListParagraph"/>
        <w:numPr>
          <w:ilvl w:val="0"/>
          <w:numId w:val="36"/>
        </w:numPr>
        <w:spacing w:after="70" w:line="264"/>
        <w:jc w:val="both"/>
      </w:pPr>
      <w:r>
        <w:rPr>
          <w:b/>
          <w:bCs/>
          <w:i/>
          <w:iCs/>
        </w:rPr>
        <w:t xml:space="preserve">White Industries Australia Ltd. v. Republic of India</w:t>
      </w:r>
      <w:r>
        <w:t xml:space="preserve">, UNCITRAL, Australia–India investment treaty; Final Award 30 November 2011 — nine years of court delay denied “effective means”.</w:t>
      </w:r>
    </w:p>
    <w:p>
      <w:pPr>
        <w:pStyle w:val="Heading2"/>
        <w:keepNext/>
        <w:spacing w:after="100" w:before="250"/>
      </w:pPr>
      <w:r>
        <w:t xml:space="preserve">Topic 2 — Waiver of the right to object: section 4</w:t>
      </w:r>
    </w:p>
    <w:p>
      <w:pPr>
        <w:pStyle w:val="ListParagraph"/>
        <w:numPr>
          <w:ilvl w:val="0"/>
          <w:numId w:val="37"/>
        </w:numPr>
        <w:spacing w:after="70" w:line="264"/>
        <w:jc w:val="both"/>
      </w:pPr>
      <w:r>
        <w:rPr>
          <w:b/>
          <w:bCs/>
          <w:i/>
          <w:iCs/>
        </w:rPr>
        <w:t xml:space="preserve">Scott v. Avery</w:t>
      </w:r>
      <w:r>
        <w:t xml:space="preserve">, (1856) 5 HL Cas 811; 10 ER 1121 (House of Lords) — a clause requiring an award before suing is valid.</w:t>
      </w:r>
    </w:p>
    <w:p>
      <w:pPr>
        <w:pStyle w:val="ListParagraph"/>
        <w:numPr>
          <w:ilvl w:val="0"/>
          <w:numId w:val="37"/>
        </w:numPr>
        <w:spacing w:after="70" w:line="264"/>
        <w:jc w:val="both"/>
      </w:pPr>
      <w:r>
        <w:rPr>
          <w:b/>
          <w:bCs/>
          <w:i/>
          <w:iCs/>
        </w:rPr>
        <w:t xml:space="preserve">Narayan Prasad Lohia v. Nikunj Kumar Lohia</w:t>
      </w:r>
      <w:r>
        <w:t xml:space="preserve">, (2002) 3 SCC 572 — an objection not taken under section 16(2) is treated as given up. See also Topic 6.</w:t>
      </w:r>
    </w:p>
    <w:p>
      <w:pPr>
        <w:pStyle w:val="Heading2"/>
        <w:keepNext/>
        <w:spacing w:after="100" w:before="250"/>
      </w:pPr>
      <w:r>
        <w:t xml:space="preserve">Topic 3 — Reference and judicial intervention: sections 8 and 5</w:t>
      </w:r>
    </w:p>
    <w:p>
      <w:pPr>
        <w:pStyle w:val="ListParagraph"/>
        <w:numPr>
          <w:ilvl w:val="0"/>
          <w:numId w:val="38"/>
        </w:numPr>
        <w:spacing w:after="70" w:line="264"/>
        <w:jc w:val="both"/>
      </w:pPr>
      <w:r>
        <w:rPr>
          <w:b/>
          <w:bCs/>
          <w:i/>
          <w:iCs/>
        </w:rPr>
        <w:t xml:space="preserve">Union of India v. Tantia Construction Pvt. Ltd.</w:t>
      </w:r>
      <w:r>
        <w:t xml:space="preserve">, (2011) 5 SCC 697 — having another remedy, including an arbitration clause, does not bar a writ petition; section 5 cannot cut down constitutional powers.</w:t>
      </w:r>
    </w:p>
    <w:p>
      <w:pPr>
        <w:pStyle w:val="ListParagraph"/>
        <w:numPr>
          <w:ilvl w:val="0"/>
          <w:numId w:val="38"/>
        </w:numPr>
        <w:spacing w:after="70" w:line="264"/>
        <w:jc w:val="both"/>
      </w:pPr>
      <w:r>
        <w:rPr>
          <w:b/>
          <w:bCs/>
          <w:i/>
          <w:iCs/>
        </w:rPr>
        <w:t xml:space="preserve">Union of India v. Tantia Constructions Ltd.</w:t>
      </w:r>
      <w:r>
        <w:t xml:space="preserve">, 2021 SCC OnLine SC 271 (SC, 3 Judges) — </w:t>
      </w:r>
      <w:r>
        <w:rPr>
          <w:b/>
          <w:bCs/>
        </w:rPr>
        <w:t xml:space="preserve">a different case</w:t>
      </w:r>
      <w:r>
        <w:t xml:space="preserve">, on one-sided appointment clauses, referred to a larger Bench.</w:t>
      </w:r>
    </w:p>
    <w:p>
      <w:pPr>
        <w:pStyle w:val="ListParagraph"/>
        <w:numPr>
          <w:ilvl w:val="0"/>
          <w:numId w:val="38"/>
        </w:numPr>
        <w:spacing w:after="70" w:line="264"/>
        <w:jc w:val="both"/>
      </w:pPr>
      <w:r>
        <w:rPr>
          <w:b/>
          <w:bCs/>
          <w:i/>
          <w:iCs/>
        </w:rPr>
        <w:t xml:space="preserve">Emaar MGF Land Ltd. v. Aftab Singh</w:t>
      </w:r>
      <w:r>
        <w:t xml:space="preserve">, (2019) 12 SCC 751 (SC, 10 December 2018) — consumer disputes cannot be arbitrated, and a consumer forum need not refer them.</w:t>
      </w:r>
    </w:p>
    <w:p>
      <w:pPr>
        <w:pStyle w:val="ListParagraph"/>
        <w:numPr>
          <w:ilvl w:val="0"/>
          <w:numId w:val="38"/>
        </w:numPr>
        <w:spacing w:after="70" w:line="264"/>
        <w:jc w:val="both"/>
      </w:pPr>
      <w:r>
        <w:rPr>
          <w:b/>
          <w:bCs/>
          <w:i/>
          <w:iCs/>
        </w:rPr>
        <w:t xml:space="preserve">Booz Allen &amp; Hamilton Inc. v. SBI Home Finance Ltd.</w:t>
      </w:r>
      <w:r>
        <w:t xml:space="preserve">, (2011) 5 SCC 532 — listed the categories of disputes that cannot be arbitrated.</w:t>
      </w:r>
    </w:p>
    <w:p>
      <w:pPr>
        <w:pStyle w:val="ListParagraph"/>
        <w:numPr>
          <w:ilvl w:val="0"/>
          <w:numId w:val="38"/>
        </w:numPr>
        <w:spacing w:after="70" w:line="264"/>
        <w:jc w:val="both"/>
      </w:pPr>
      <w:r>
        <w:rPr>
          <w:b/>
          <w:bCs/>
          <w:i/>
          <w:iCs/>
        </w:rPr>
        <w:t xml:space="preserve">Vidya Drolia v. Durga Trading Corporation</w:t>
      </w:r>
      <w:r>
        <w:t xml:space="preserve">, (2021) 2 SCC 1 (SC, 3 Judges) — restated them as a fourfold test.</w:t>
      </w:r>
    </w:p>
    <w:p>
      <w:pPr>
        <w:pStyle w:val="Heading2"/>
        <w:keepNext/>
        <w:spacing w:after="100" w:before="250"/>
      </w:pPr>
      <w:r>
        <w:t xml:space="preserve">Topic 4 — The arbitration agreement: section 7</w:t>
      </w:r>
    </w:p>
    <w:p>
      <w:pPr>
        <w:pStyle w:val="ListParagraph"/>
        <w:numPr>
          <w:ilvl w:val="0"/>
          <w:numId w:val="39"/>
        </w:numPr>
        <w:spacing w:after="70" w:line="264"/>
        <w:jc w:val="both"/>
      </w:pPr>
      <w:r>
        <w:rPr>
          <w:b/>
          <w:bCs/>
          <w:i/>
          <w:iCs/>
        </w:rPr>
        <w:t xml:space="preserve">Jagdish Chander v. Ramesh Chander</w:t>
      </w:r>
      <w:r>
        <w:t xml:space="preserve">, (2007) 5 SCC 719 — the clause must create an obligation to arbitrate, not merely a possibility; the four essential attributes.</w:t>
      </w:r>
    </w:p>
    <w:p>
      <w:pPr>
        <w:pStyle w:val="ListParagraph"/>
        <w:numPr>
          <w:ilvl w:val="0"/>
          <w:numId w:val="39"/>
        </w:numPr>
        <w:spacing w:after="70" w:line="264"/>
        <w:jc w:val="both"/>
      </w:pPr>
      <w:r>
        <w:rPr>
          <w:b/>
          <w:bCs/>
          <w:i/>
          <w:iCs/>
        </w:rPr>
        <w:t xml:space="preserve">Wellington Associates Ltd. v. Kirit Mehta</w:t>
      </w:r>
      <w:r>
        <w:t xml:space="preserve">, (2000) 4 SCC 272 — “may be referred to arbitration” is not an arbitration agreement.</w:t>
      </w:r>
    </w:p>
    <w:p>
      <w:pPr>
        <w:pStyle w:val="ListParagraph"/>
        <w:numPr>
          <w:ilvl w:val="0"/>
          <w:numId w:val="39"/>
        </w:numPr>
        <w:spacing w:after="70" w:line="264"/>
        <w:jc w:val="both"/>
      </w:pPr>
      <w:r>
        <w:rPr>
          <w:b/>
          <w:bCs/>
          <w:i/>
          <w:iCs/>
        </w:rPr>
        <w:t xml:space="preserve">In Re: Interplay between Arbitration Agreements under the Arbitration and Conciliation Act 1996 and the Indian Stamp Act 1899</w:t>
      </w:r>
      <w:r>
        <w:t xml:space="preserve">, 2023 INSC 1066 (SC, 7 Judges, 13 December 2023) — an unstamped document is inadmissible but not void; the defect is curable; stamp duty is for the tribunal.</w:t>
      </w:r>
    </w:p>
    <w:p>
      <w:pPr>
        <w:pStyle w:val="ListParagraph"/>
        <w:numPr>
          <w:ilvl w:val="0"/>
          <w:numId w:val="39"/>
        </w:numPr>
        <w:spacing w:after="70" w:line="264"/>
        <w:jc w:val="both"/>
      </w:pPr>
      <w:r>
        <w:rPr>
          <w:b/>
          <w:bCs/>
          <w:i/>
          <w:iCs/>
        </w:rPr>
        <w:t xml:space="preserve">N.N. Global Mercantile Pvt. Ltd. v. Indo Unique Flame Ltd.</w:t>
      </w:r>
      <w:r>
        <w:t xml:space="preserve">, (2023) 7 SCC 1 (5 Judges) — </w:t>
      </w:r>
      <w:r>
        <w:rPr>
          <w:b/>
          <w:bCs/>
        </w:rPr>
        <w:t xml:space="preserve">overruled</w:t>
      </w:r>
      <w:r>
        <w:t xml:space="preserve"> by In Re: Interplay.</w:t>
      </w:r>
    </w:p>
    <w:p>
      <w:pPr>
        <w:pStyle w:val="ListParagraph"/>
        <w:numPr>
          <w:ilvl w:val="0"/>
          <w:numId w:val="39"/>
        </w:numPr>
        <w:spacing w:after="70" w:line="264"/>
        <w:jc w:val="both"/>
      </w:pPr>
      <w:r>
        <w:rPr>
          <w:b/>
          <w:bCs/>
          <w:i/>
          <w:iCs/>
        </w:rPr>
        <w:t xml:space="preserve">SMS Tea Estates Pvt. Ltd. v. Chandmari Tea Co. Pvt. Ltd.</w:t>
      </w:r>
      <w:r>
        <w:t xml:space="preserve">, (2011) 14 SCC 66 — </w:t>
      </w:r>
      <w:r>
        <w:rPr>
          <w:b/>
          <w:bCs/>
        </w:rPr>
        <w:t xml:space="preserve">overruled</w:t>
      </w:r>
      <w:r>
        <w:t xml:space="preserve"> by In Re: Interplay.</w:t>
      </w:r>
    </w:p>
    <w:p>
      <w:pPr>
        <w:pStyle w:val="ListParagraph"/>
        <w:numPr>
          <w:ilvl w:val="0"/>
          <w:numId w:val="39"/>
        </w:numPr>
        <w:spacing w:after="70" w:line="264"/>
        <w:jc w:val="both"/>
      </w:pPr>
      <w:r>
        <w:rPr>
          <w:b/>
          <w:bCs/>
          <w:i/>
          <w:iCs/>
        </w:rPr>
        <w:t xml:space="preserve">Garware Wall Ropes Ltd. v. Coastal Marine Constructions &amp; Engineering Ltd.</w:t>
      </w:r>
      <w:r>
        <w:t xml:space="preserve">, (2019) 9 SCC 209 — paragraphs 22 and 29 </w:t>
      </w:r>
      <w:r>
        <w:rPr>
          <w:b/>
          <w:bCs/>
        </w:rPr>
        <w:t xml:space="preserve">overruled</w:t>
      </w:r>
      <w:r>
        <w:t xml:space="preserve"> by In Re: Interplay.</w:t>
      </w:r>
    </w:p>
    <w:p>
      <w:pPr>
        <w:pStyle w:val="ListParagraph"/>
        <w:numPr>
          <w:ilvl w:val="0"/>
          <w:numId w:val="39"/>
        </w:numPr>
        <w:spacing w:after="70" w:line="264"/>
        <w:jc w:val="both"/>
      </w:pPr>
      <w:r>
        <w:rPr>
          <w:b/>
          <w:bCs/>
          <w:i/>
          <w:iCs/>
        </w:rPr>
        <w:t xml:space="preserve">Cox and Kings Ltd. v. SAP India Pvt. Ltd.</w:t>
      </w:r>
      <w:r>
        <w:t xml:space="preserve">, 2023 INSC 1051; 2023 SCC OnLine SC 1634 (SC, Constitution Bench of 5, 6 December 2023) — the group of companies doctrine, based on section 2(1)(h) with section 7.</w:t>
      </w:r>
    </w:p>
    <w:p>
      <w:pPr>
        <w:pStyle w:val="Heading2"/>
        <w:keepNext/>
        <w:spacing w:after="100" w:before="250"/>
      </w:pPr>
      <w:r>
        <w:t xml:space="preserve">Topic 5 — Interim measures: sections 9 and 17</w:t>
      </w:r>
    </w:p>
    <w:p>
      <w:pPr>
        <w:pStyle w:val="ListParagraph"/>
        <w:numPr>
          <w:ilvl w:val="0"/>
          <w:numId w:val="40"/>
        </w:numPr>
        <w:spacing w:after="70" w:line="264"/>
        <w:jc w:val="both"/>
      </w:pPr>
      <w:r>
        <w:rPr>
          <w:b/>
          <w:bCs/>
          <w:i/>
          <w:iCs/>
        </w:rPr>
        <w:t xml:space="preserve">Sundaram Finance Ltd. v. NEPC India Ltd.</w:t>
      </w:r>
      <w:r>
        <w:t xml:space="preserve">, (1999) 2 SCC 479; AIR 1999 SC 565 (SC, 13 January 1999) — section 9 relief is available before the arbitration starts, on proof of a manifest intention to arbitrate.</w:t>
      </w:r>
    </w:p>
    <w:p>
      <w:pPr>
        <w:pStyle w:val="ListParagraph"/>
        <w:numPr>
          <w:ilvl w:val="0"/>
          <w:numId w:val="40"/>
        </w:numPr>
        <w:spacing w:after="70" w:line="264"/>
        <w:jc w:val="both"/>
      </w:pPr>
      <w:r>
        <w:rPr>
          <w:b/>
          <w:bCs/>
          <w:i/>
          <w:iCs/>
        </w:rPr>
        <w:t xml:space="preserve">Firm Ashok Traders v. Gurumukh Das Saluja</w:t>
      </w:r>
      <w:r>
        <w:t xml:space="preserve">, (2004) 3 SCC 155 — the section 9 right comes from the statute, not the contract, and only a party can use it.</w:t>
      </w:r>
    </w:p>
    <w:p>
      <w:pPr>
        <w:pStyle w:val="Heading2"/>
        <w:keepNext/>
        <w:spacing w:after="100" w:before="250"/>
      </w:pPr>
      <w:r>
        <w:t xml:space="preserve">Topic 6 — Number of arbitrators: section 10</w:t>
      </w:r>
    </w:p>
    <w:p>
      <w:pPr>
        <w:pStyle w:val="ListParagraph"/>
        <w:numPr>
          <w:ilvl w:val="0"/>
          <w:numId w:val="41"/>
        </w:numPr>
        <w:spacing w:after="70" w:line="264"/>
        <w:jc w:val="both"/>
      </w:pPr>
      <w:r>
        <w:rPr>
          <w:b/>
          <w:bCs/>
          <w:i/>
          <w:iCs/>
        </w:rPr>
        <w:t xml:space="preserve">Narayan Prasad Lohia v. Nikunj Kumar Lohia</w:t>
      </w:r>
      <w:r>
        <w:t xml:space="preserve">, (2002) 3 SCC 572; AIR 2002 SC 1139 (SC, 3 Judges, 20 February 2002) — section 10 can be contracted out of; an even-numbered tribunal agreed by the parties is valid, and a late objection is lost.</w:t>
      </w:r>
    </w:p>
    <w:p>
      <w:pPr>
        <w:pStyle w:val="ListParagraph"/>
        <w:numPr>
          <w:ilvl w:val="0"/>
          <w:numId w:val="41"/>
        </w:numPr>
        <w:spacing w:after="70" w:line="264"/>
        <w:jc w:val="both"/>
      </w:pPr>
      <w:r>
        <w:rPr>
          <w:b/>
          <w:bCs/>
          <w:i/>
          <w:iCs/>
        </w:rPr>
        <w:t xml:space="preserve">Quippo Construction Equipment Ltd. v. Janardan Nirman Pvt. Ltd.</w:t>
      </w:r>
      <w:r>
        <w:t xml:space="preserve">, (2020) 18 SCC 277 — follows Lohia; sections 10 and 16 read with section 4.</w:t>
      </w:r>
    </w:p>
    <w:p>
      <w:pPr>
        <w:pStyle w:val="Heading2"/>
        <w:keepNext/>
        <w:spacing w:after="100" w:before="250"/>
      </w:pPr>
      <w:r>
        <w:t xml:space="preserve">Topic 7 — Appointment of arbitrators: section 11</w:t>
      </w:r>
    </w:p>
    <w:p>
      <w:pPr>
        <w:pStyle w:val="ListParagraph"/>
        <w:numPr>
          <w:ilvl w:val="0"/>
          <w:numId w:val="42"/>
        </w:numPr>
        <w:spacing w:after="70" w:line="264"/>
        <w:jc w:val="both"/>
      </w:pPr>
      <w:r>
        <w:rPr>
          <w:b/>
          <w:bCs/>
          <w:i/>
          <w:iCs/>
        </w:rPr>
        <w:t xml:space="preserve">Gullapalli Nageswara Rao v. Andhra Pradesh State Road Transport Corporation</w:t>
      </w:r>
      <w:r>
        <w:t xml:space="preserve"> (Gullapalli-I), AIR 1959 SC 308 (Constitution Bench of 5, 5 November 1958) — the person who decides must be the person who heard.</w:t>
      </w:r>
    </w:p>
    <w:p>
      <w:pPr>
        <w:pStyle w:val="ListParagraph"/>
        <w:numPr>
          <w:ilvl w:val="0"/>
          <w:numId w:val="42"/>
        </w:numPr>
        <w:spacing w:after="70" w:line="264"/>
        <w:jc w:val="both"/>
      </w:pPr>
      <w:r>
        <w:rPr>
          <w:b/>
          <w:bCs/>
          <w:i/>
          <w:iCs/>
        </w:rPr>
        <w:t xml:space="preserve">Gullapalli Nageswara Rao v. State of Andhra Pradesh</w:t>
      </w:r>
      <w:r>
        <w:t xml:space="preserve"> (Gullapalli-II), AIR 1959 SC 1376 (21 August 1959) — to be distinguished; the corrected procedure was upheld.</w:t>
      </w:r>
    </w:p>
    <w:p>
      <w:pPr>
        <w:pStyle w:val="ListParagraph"/>
        <w:numPr>
          <w:ilvl w:val="0"/>
          <w:numId w:val="42"/>
        </w:numPr>
        <w:spacing w:after="70" w:line="264"/>
        <w:jc w:val="both"/>
      </w:pPr>
      <w:r>
        <w:rPr>
          <w:b/>
          <w:bCs/>
          <w:i/>
          <w:iCs/>
        </w:rPr>
        <w:t xml:space="preserve">Konkan Railway Corporation Ltd. v. Mehul Construction Co.</w:t>
      </w:r>
      <w:r>
        <w:t xml:space="preserve">, (2000) 7 SCC 201 (3 Judges) — the section 11 power is administrative; mandamus is the remedy. </w:t>
      </w:r>
      <w:r>
        <w:rPr>
          <w:b/>
          <w:bCs/>
        </w:rPr>
        <w:t xml:space="preserve">Overruled on that point by Patel Engineering.</w:t>
      </w:r>
    </w:p>
    <w:p>
      <w:pPr>
        <w:pStyle w:val="ListParagraph"/>
        <w:numPr>
          <w:ilvl w:val="0"/>
          <w:numId w:val="42"/>
        </w:numPr>
        <w:spacing w:after="70" w:line="264"/>
        <w:jc w:val="both"/>
      </w:pPr>
      <w:r>
        <w:rPr>
          <w:b/>
          <w:bCs/>
          <w:i/>
          <w:iCs/>
        </w:rPr>
        <w:t xml:space="preserve">Konkan Railway Corporation Ltd. v. Rani Construction Pvt. Ltd.</w:t>
      </w:r>
      <w:r>
        <w:t xml:space="preserve">, (2002) 2 SCC 388 (Constitution Bench) — approved Mehul Construction; rules made under a section cannot interpret it. </w:t>
      </w:r>
      <w:r>
        <w:rPr>
          <w:b/>
          <w:bCs/>
        </w:rPr>
        <w:t xml:space="preserve">Overruled by Patel Engineering.</w:t>
      </w:r>
    </w:p>
    <w:p>
      <w:pPr>
        <w:pStyle w:val="ListParagraph"/>
        <w:numPr>
          <w:ilvl w:val="0"/>
          <w:numId w:val="42"/>
        </w:numPr>
        <w:spacing w:after="70" w:line="264"/>
        <w:jc w:val="both"/>
      </w:pPr>
      <w:r>
        <w:rPr>
          <w:b/>
          <w:bCs/>
          <w:i/>
          <w:iCs/>
        </w:rPr>
        <w:t xml:space="preserve">SBP &amp; Co. v. Patel Engineering Ltd.</w:t>
      </w:r>
      <w:r>
        <w:t xml:space="preserve">, (2005) 8 SCC 618; AIR 2006 SC 450 (7 Judges, 26 October 2005) — the section 11(6) power is judicial, and preliminary questions may be decided. </w:t>
      </w:r>
      <w:r>
        <w:rPr>
          <w:b/>
          <w:bCs/>
        </w:rPr>
        <w:t xml:space="preserve">Only partly good law</w:t>
      </w:r>
      <w:r>
        <w:t xml:space="preserve">: the wide enquiry is gone.</w:t>
      </w:r>
    </w:p>
    <w:p>
      <w:pPr>
        <w:pStyle w:val="ListParagraph"/>
        <w:numPr>
          <w:ilvl w:val="0"/>
          <w:numId w:val="42"/>
        </w:numPr>
        <w:spacing w:after="70" w:line="264"/>
        <w:jc w:val="both"/>
      </w:pPr>
      <w:r>
        <w:rPr>
          <w:b/>
          <w:bCs/>
          <w:i/>
          <w:iCs/>
        </w:rPr>
        <w:t xml:space="preserve">National Insurance Co. Ltd. v. Boghara Polyfab Pvt. Ltd.</w:t>
      </w:r>
      <w:r>
        <w:t xml:space="preserve">, (2009) 1 SCC 267 — set out which questions could be decided at the appointment stage.</w:t>
      </w:r>
    </w:p>
    <w:p>
      <w:pPr>
        <w:pStyle w:val="ListParagraph"/>
        <w:numPr>
          <w:ilvl w:val="0"/>
          <w:numId w:val="42"/>
        </w:numPr>
        <w:spacing w:after="70" w:line="264"/>
        <w:jc w:val="both"/>
      </w:pPr>
      <w:r>
        <w:rPr>
          <w:b/>
          <w:bCs/>
          <w:i/>
          <w:iCs/>
        </w:rPr>
        <w:t xml:space="preserve">Duro Felguera S.A. v. Gangavaram Port Ltd.</w:t>
      </w:r>
      <w:r>
        <w:t xml:space="preserve">, (2017) 9 SCC 729 — after section 11(6A), only existence may be examined.</w:t>
      </w:r>
    </w:p>
    <w:p>
      <w:pPr>
        <w:pStyle w:val="ListParagraph"/>
        <w:numPr>
          <w:ilvl w:val="0"/>
          <w:numId w:val="42"/>
        </w:numPr>
        <w:spacing w:after="70" w:line="264"/>
        <w:jc w:val="both"/>
      </w:pPr>
      <w:r>
        <w:rPr>
          <w:b/>
          <w:bCs/>
          <w:i/>
          <w:iCs/>
        </w:rPr>
        <w:t xml:space="preserve">Mayavati Trading Pvt. Ltd. v. Pradyuat Deb Burman</w:t>
      </w:r>
      <w:r>
        <w:t xml:space="preserve">, (2019) 8 SCC 714 — the wide enquiry in Patel Engineering is no longer good law.</w:t>
      </w:r>
    </w:p>
    <w:p>
      <w:pPr>
        <w:pStyle w:val="ListParagraph"/>
        <w:numPr>
          <w:ilvl w:val="0"/>
          <w:numId w:val="42"/>
        </w:numPr>
        <w:spacing w:after="70" w:line="264"/>
        <w:jc w:val="both"/>
      </w:pPr>
      <w:r>
        <w:rPr>
          <w:b/>
          <w:bCs/>
          <w:i/>
          <w:iCs/>
        </w:rPr>
        <w:t xml:space="preserve">In Re: Interplay</w:t>
      </w:r>
      <w:r>
        <w:t xml:space="preserve">, 2023 INSC 1066 (7 Judges) — section 11(6A) is still in force, and the enquiry stays narrow.</w:t>
      </w:r>
    </w:p>
    <w:p>
      <w:pPr>
        <w:pStyle w:val="Heading2"/>
        <w:keepNext/>
        <w:spacing w:after="100" w:before="250"/>
      </w:pPr>
      <w:r>
        <w:t xml:space="preserve">Topic 8 — Objecting to an arbitrator: sections 12 and 13</w:t>
      </w:r>
    </w:p>
    <w:p>
      <w:pPr>
        <w:pStyle w:val="ListParagraph"/>
        <w:numPr>
          <w:ilvl w:val="0"/>
          <w:numId w:val="43"/>
        </w:numPr>
        <w:spacing w:after="70" w:line="264"/>
        <w:jc w:val="both"/>
      </w:pPr>
      <w:r>
        <w:rPr>
          <w:b/>
          <w:bCs/>
          <w:i/>
          <w:iCs/>
        </w:rPr>
        <w:t xml:space="preserve">Chagos Marine Protected Area Arbitration (Mauritius v. United Kingdom)</w:t>
      </w:r>
      <w:r>
        <w:t xml:space="preserve"> — Reasoned Decision on Challenge, PCA Case No. 2011-03, 30 November 2011 — the “justifiable doubts” test; the challenge failed.</w:t>
      </w:r>
    </w:p>
    <w:p>
      <w:pPr>
        <w:pStyle w:val="ListParagraph"/>
        <w:numPr>
          <w:ilvl w:val="0"/>
          <w:numId w:val="43"/>
        </w:numPr>
        <w:spacing w:after="70" w:line="264"/>
        <w:jc w:val="both"/>
      </w:pPr>
      <w:r>
        <w:rPr>
          <w:b/>
          <w:bCs/>
          <w:i/>
          <w:iCs/>
        </w:rPr>
        <w:t xml:space="preserve">Indian Oil Corporation Ltd. v. Raja Transport Pvt. Ltd.</w:t>
      </w:r>
      <w:r>
        <w:t xml:space="preserve">, (2009) 8 SCC 520 (SC, 24 August 2009) — an employee of a party is not automatically disqualified. </w:t>
      </w:r>
      <w:r>
        <w:rPr>
          <w:b/>
          <w:bCs/>
        </w:rPr>
        <w:t xml:space="preserve">Mostly superseded.</w:t>
      </w:r>
    </w:p>
    <w:p>
      <w:pPr>
        <w:pStyle w:val="ListParagraph"/>
        <w:numPr>
          <w:ilvl w:val="0"/>
          <w:numId w:val="43"/>
        </w:numPr>
        <w:spacing w:after="70" w:line="264"/>
        <w:jc w:val="both"/>
      </w:pPr>
      <w:r>
        <w:rPr>
          <w:b/>
          <w:bCs/>
          <w:i/>
          <w:iCs/>
        </w:rPr>
        <w:t xml:space="preserve">Bharat Broadband Network Ltd. v. United Telecoms Ltd.</w:t>
      </w:r>
      <w:r>
        <w:t xml:space="preserve">, (2019) 5 SCC 755; 2019 INSC 537 (SC, 16 April 2019) — a person caught by section 12(5) is disqualified in law, cannot appoint anyone else, and can be excused only by express written agreement after the dispute arises.</w:t>
      </w:r>
    </w:p>
    <w:p>
      <w:pPr>
        <w:pStyle w:val="ListParagraph"/>
        <w:numPr>
          <w:ilvl w:val="0"/>
          <w:numId w:val="43"/>
        </w:numPr>
        <w:spacing w:after="70" w:line="264"/>
        <w:jc w:val="both"/>
      </w:pPr>
      <w:r>
        <w:rPr>
          <w:b/>
          <w:bCs/>
          <w:i/>
          <w:iCs/>
        </w:rPr>
        <w:t xml:space="preserve">TRF Ltd. v. Energo Engineering Projects Ltd.</w:t>
      </w:r>
      <w:r>
        <w:t xml:space="preserve">, (2017) 8 SCC 377 (3 Judges) — a disqualified person cannot nominate an arbitrator.</w:t>
      </w:r>
    </w:p>
    <w:p>
      <w:pPr>
        <w:pStyle w:val="ListParagraph"/>
        <w:numPr>
          <w:ilvl w:val="0"/>
          <w:numId w:val="43"/>
        </w:numPr>
        <w:spacing w:after="70" w:line="264"/>
        <w:jc w:val="both"/>
      </w:pPr>
      <w:r>
        <w:rPr>
          <w:b/>
          <w:bCs/>
          <w:i/>
          <w:iCs/>
        </w:rPr>
        <w:t xml:space="preserve">Perkins Eastman Architects DPC v. HSCC (India) Ltd.</w:t>
      </w:r>
      <w:r>
        <w:t xml:space="preserve">, (2020) 20 SCC 760; 2019 SCC OnLine SC 1517; AIR 2020 SC 59 (26 November 2019) — an interested party cannot appoint the sole arbitrator by itself.</w:t>
      </w:r>
    </w:p>
    <w:p>
      <w:pPr>
        <w:pStyle w:val="ListParagraph"/>
        <w:numPr>
          <w:ilvl w:val="0"/>
          <w:numId w:val="43"/>
        </w:numPr>
        <w:spacing w:after="70" w:line="264"/>
        <w:jc w:val="both"/>
      </w:pPr>
      <w:r>
        <w:rPr>
          <w:b/>
          <w:bCs/>
          <w:i/>
          <w:iCs/>
        </w:rPr>
        <w:t xml:space="preserve">Central Organisation for Railway Electrification v. ECI-SPIC-SMO-MCML (JV)</w:t>
      </w:r>
      <w:r>
        <w:t xml:space="preserve"> (CORE-II), 2024 INSC 857; 2024 SCC OnLine SC 3219 (Constitution Bench of 5, 8 November 2024) — one-sided appointment clauses in public-private contracts violate Article 14; applies going forward only.</w:t>
      </w:r>
    </w:p>
    <w:p>
      <w:pPr>
        <w:pStyle w:val="ListParagraph"/>
        <w:numPr>
          <w:ilvl w:val="0"/>
          <w:numId w:val="43"/>
        </w:numPr>
        <w:spacing w:after="70" w:line="264"/>
        <w:jc w:val="both"/>
      </w:pPr>
      <w:r>
        <w:rPr>
          <w:b/>
          <w:bCs/>
          <w:i/>
          <w:iCs/>
        </w:rPr>
        <w:t xml:space="preserve">Central Organisation for Railway Electrification v. ECI-SPIC-SMO-MCML (JV)</w:t>
      </w:r>
      <w:r>
        <w:t xml:space="preserve"> (CORE-I), (2020) 14 SCC 712 (3 Judges, 17 December 2019) — had upheld such a clause. </w:t>
      </w:r>
      <w:r>
        <w:rPr>
          <w:b/>
          <w:bCs/>
        </w:rPr>
        <w:t xml:space="preserve">Overruled by CORE-II.</w:t>
      </w:r>
    </w:p>
    <w:p>
      <w:pPr>
        <w:pStyle w:val="Heading2"/>
        <w:keepNext/>
        <w:spacing w:after="100" w:before="250"/>
      </w:pPr>
      <w:r>
        <w:t xml:space="preserve">Topics 9, 10 and 11 — sections 14, 15, 16 and Chapter V</w:t>
      </w:r>
    </w:p>
    <w:p>
      <w:pPr>
        <w:pStyle w:val="ListParagraph"/>
        <w:numPr>
          <w:ilvl w:val="0"/>
          <w:numId w:val="44"/>
        </w:numPr>
        <w:spacing w:after="70" w:line="264"/>
        <w:jc w:val="both"/>
      </w:pPr>
      <w:r>
        <w:rPr>
          <w:b/>
          <w:bCs/>
          <w:i/>
          <w:iCs/>
        </w:rPr>
        <w:t xml:space="preserve">Bharat Broadband Network Ltd. v. United Telecoms Ltd.</w:t>
      </w:r>
      <w:r>
        <w:t xml:space="preserve">, (2019) 5 SCC 755 — disqualification makes an arbitrator unable in law, so the appointment ends under section 14 and a replacement comes in under section 15(2).</w:t>
      </w:r>
    </w:p>
    <w:p>
      <w:pPr>
        <w:pStyle w:val="ListParagraph"/>
        <w:numPr>
          <w:ilvl w:val="0"/>
          <w:numId w:val="44"/>
        </w:numPr>
        <w:spacing w:after="70" w:line="264"/>
        <w:jc w:val="both"/>
      </w:pPr>
      <w:r>
        <w:rPr>
          <w:b/>
          <w:bCs/>
          <w:i/>
          <w:iCs/>
        </w:rPr>
        <w:t xml:space="preserve">Gullapalli Nageswara Rao v. A.P. State Road Transport Corporation</w:t>
      </w:r>
      <w:r>
        <w:t xml:space="preserve"> (Gullapalli-I), AIR 1959 SC 308 — the reason behind section 15(3), and the fairness content of section 18.</w:t>
      </w:r>
    </w:p>
    <w:p>
      <w:pPr>
        <w:pStyle w:val="ListParagraph"/>
        <w:numPr>
          <w:ilvl w:val="0"/>
          <w:numId w:val="44"/>
        </w:numPr>
        <w:spacing w:after="70" w:line="264"/>
        <w:jc w:val="both"/>
      </w:pPr>
      <w:r>
        <w:rPr>
          <w:b/>
          <w:bCs/>
          <w:i/>
          <w:iCs/>
        </w:rPr>
        <w:t xml:space="preserve">Bharat Aluminium Co. v. Kaiser Aluminium Technical Services Inc.</w:t>
      </w:r>
      <w:r>
        <w:t xml:space="preserve"> (BALCO), (2012) 9 SCC 552 — the seat-based approach that underlies the seat and venue distinction in section 20.</w:t>
      </w:r>
    </w:p>
    <w:p>
      <w:pPr>
        <w:pStyle w:val="ListParagraph"/>
        <w:numPr>
          <w:ilvl w:val="0"/>
          <w:numId w:val="44"/>
        </w:numPr>
        <w:spacing w:after="70" w:line="264"/>
        <w:jc w:val="both"/>
      </w:pPr>
      <w:r>
        <w:rPr>
          <w:b/>
          <w:bCs/>
          <w:i/>
          <w:iCs/>
        </w:rPr>
        <w:t xml:space="preserve">Tata Sons Pvt. Ltd. v. Siva Industries and Holdings Ltd.</w:t>
      </w:r>
      <w:r>
        <w:t xml:space="preserve">, MA No. 2680 of 2019 in Arbitration Case (Civil) No. 38 of 2017 (SC, 5 January 2023) — the twelve months under section 29A, counted from completion of pleadings under section 23(4), is only a target in international commercial arbitration.</w:t>
      </w:r>
    </w:p>
    <w:p>
      <w:pPr>
        <w:spacing w:after="120" w:line="264"/>
        <w:jc w:val="both"/>
      </w:pPr>
      <w:r>
        <w:rPr>
          <w:b/>
          <w:bCs/>
        </w:rPr>
        <w:t xml:space="preserve">Note.</w:t>
      </w:r>
      <w:r>
        <w:t xml:space="preserve"> Section 16 had no case of its own in the prescribed list. Its working is traced through the section 8 and section 11 cases in Topics 3 and 7, where the rule of first priority is established.</w:t>
      </w:r>
    </w:p>
    <w:p>
      <w:pPr>
        <w:pStyle w:val="Heading2"/>
        <w:keepNext/>
        <w:spacing w:after="100" w:before="250"/>
      </w:pPr>
      <w:r>
        <w:t xml:space="preserve">Cases overruled, superseded, or to be cited with care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3300"/>
        <w:gridCol w:w="5550"/>
      </w:tblGrid>
      <w:tr>
        <w:trPr>
          <w:tblHeader/>
        </w:trPr>
        <w:tc>
          <w:tcPr>
            <w:tcW w:type="dxa" w:w="3300"/>
            <w:tcMar>
              <w:top w:type="dxa" w:w="70"/>
              <w:left w:type="dxa" w:w="100"/>
              <w:bottom w:type="dxa" w:w="70"/>
              <w:right w:type="dxa" w:w="100"/>
            </w:tcMar>
          </w:tcPr>
          <w:p>
            <w:pPr>
              <w:spacing w:after="0" w:line="240"/>
            </w:pPr>
            <w:r>
              <w:rPr>
                <w:b/>
                <w:bCs/>
                <w:color w:val="1F3864"/>
                <w:sz w:val="18"/>
                <w:szCs w:val="18"/>
              </w:rPr>
              <w:t xml:space="preserve">Case</w:t>
            </w:r>
          </w:p>
        </w:tc>
        <w:tc>
          <w:tcPr>
            <w:tcW w:type="dxa" w:w="5550"/>
            <w:tcMar>
              <w:top w:type="dxa" w:w="70"/>
              <w:left w:type="dxa" w:w="100"/>
              <w:bottom w:type="dxa" w:w="70"/>
              <w:right w:type="dxa" w:w="100"/>
            </w:tcMar>
          </w:tcPr>
          <w:p>
            <w:pPr>
              <w:spacing w:after="0" w:line="240"/>
            </w:pPr>
            <w:r>
              <w:rPr>
                <w:b/>
                <w:bCs/>
                <w:color w:val="1F3864"/>
                <w:sz w:val="18"/>
                <w:szCs w:val="18"/>
              </w:rPr>
              <w:t xml:space="preserve">Where it stands now</w:t>
            </w:r>
          </w:p>
        </w:tc>
      </w:tr>
      <w:tr>
        <w:tc>
          <w:tcPr>
            <w:tcW w:type="dxa" w:w="3300"/>
            <w:tcMar>
              <w:top w:type="dxa" w:w="70"/>
              <w:left w:type="dxa" w:w="100"/>
              <w:bottom w:type="dxa" w:w="70"/>
              <w:right w:type="dxa" w:w="100"/>
            </w:tcMar>
          </w:tcPr>
          <w:p>
            <w:pPr>
              <w:spacing w:after="0" w:line="240"/>
            </w:pPr>
            <w:r>
              <w:rPr>
                <w:b/>
                <w:bCs/>
                <w:i/>
                <w:iCs/>
                <w:sz w:val="18"/>
                <w:szCs w:val="18"/>
              </w:rPr>
              <w:t xml:space="preserve">Bhatia International</w:t>
            </w:r>
            <w:r>
              <w:rPr>
                <w:sz w:val="18"/>
                <w:szCs w:val="18"/>
              </w:rPr>
              <w:t xml:space="preserve"> (2002); </w:t>
            </w:r>
            <w:r>
              <w:rPr>
                <w:b/>
                <w:bCs/>
                <w:i/>
                <w:iCs/>
                <w:sz w:val="18"/>
                <w:szCs w:val="18"/>
              </w:rPr>
              <w:t xml:space="preserve">Venture Global</w:t>
            </w:r>
            <w:r>
              <w:rPr>
                <w:sz w:val="18"/>
                <w:szCs w:val="18"/>
              </w:rPr>
              <w:t xml:space="preserve"> (2008)</w:t>
            </w:r>
          </w:p>
        </w:tc>
        <w:tc>
          <w:tcPr>
            <w:tcW w:type="dxa" w:w="5550"/>
            <w:tcMar>
              <w:top w:type="dxa" w:w="70"/>
              <w:left w:type="dxa" w:w="100"/>
              <w:bottom w:type="dxa" w:w="70"/>
              <w:right w:type="dxa" w:w="100"/>
            </w:tcMar>
          </w:tcPr>
          <w:p>
            <w:pPr>
              <w:spacing w:after="0" w:line="240"/>
            </w:pPr>
            <w:r>
              <w:rPr>
                <w:sz w:val="18"/>
                <w:szCs w:val="18"/>
              </w:rPr>
              <w:t xml:space="preserve">Overruled by BALCO, but only for agreements made on or after 6 September 2012. Earlier agreements are still governed by Bhatia.</w:t>
            </w:r>
          </w:p>
        </w:tc>
      </w:tr>
      <w:tr>
        <w:tc>
          <w:tcPr>
            <w:tcW w:type="dxa" w:w="3300"/>
            <w:tcMar>
              <w:top w:type="dxa" w:w="70"/>
              <w:left w:type="dxa" w:w="100"/>
              <w:bottom w:type="dxa" w:w="70"/>
              <w:right w:type="dxa" w:w="100"/>
            </w:tcMar>
          </w:tcPr>
          <w:p>
            <w:pPr>
              <w:spacing w:after="0" w:line="240"/>
            </w:pPr>
            <w:r>
              <w:rPr>
                <w:b/>
                <w:bCs/>
                <w:i/>
                <w:iCs/>
                <w:sz w:val="18"/>
                <w:szCs w:val="18"/>
              </w:rPr>
              <w:t xml:space="preserve">Mehul Construction</w:t>
            </w:r>
            <w:r>
              <w:rPr>
                <w:sz w:val="18"/>
                <w:szCs w:val="18"/>
              </w:rPr>
              <w:t xml:space="preserve"> (2000); </w:t>
            </w:r>
            <w:r>
              <w:rPr>
                <w:b/>
                <w:bCs/>
                <w:i/>
                <w:iCs/>
                <w:sz w:val="18"/>
                <w:szCs w:val="18"/>
              </w:rPr>
              <w:t xml:space="preserve">Rani Construction</w:t>
            </w:r>
            <w:r>
              <w:rPr>
                <w:sz w:val="18"/>
                <w:szCs w:val="18"/>
              </w:rPr>
              <w:t xml:space="preserve"> (2002)</w:t>
            </w:r>
          </w:p>
        </w:tc>
        <w:tc>
          <w:tcPr>
            <w:tcW w:type="dxa" w:w="5550"/>
            <w:tcMar>
              <w:top w:type="dxa" w:w="70"/>
              <w:left w:type="dxa" w:w="100"/>
              <w:bottom w:type="dxa" w:w="70"/>
              <w:right w:type="dxa" w:w="100"/>
            </w:tcMar>
          </w:tcPr>
          <w:p>
            <w:pPr>
              <w:spacing w:after="0" w:line="240"/>
            </w:pPr>
            <w:r>
              <w:rPr>
                <w:sz w:val="18"/>
                <w:szCs w:val="18"/>
              </w:rPr>
              <w:t xml:space="preserve">Overruled on the nature of the section 11 power. But their view that the enquiry should be narrow has effectively come back through section 11(6A).</w:t>
            </w:r>
          </w:p>
        </w:tc>
      </w:tr>
      <w:tr>
        <w:tc>
          <w:tcPr>
            <w:tcW w:type="dxa" w:w="3300"/>
            <w:tcMar>
              <w:top w:type="dxa" w:w="70"/>
              <w:left w:type="dxa" w:w="100"/>
              <w:bottom w:type="dxa" w:w="70"/>
              <w:right w:type="dxa" w:w="100"/>
            </w:tcMar>
          </w:tcPr>
          <w:p>
            <w:pPr>
              <w:spacing w:after="0" w:line="240"/>
            </w:pPr>
            <w:r>
              <w:rPr>
                <w:b/>
                <w:bCs/>
                <w:i/>
                <w:iCs/>
                <w:sz w:val="18"/>
                <w:szCs w:val="18"/>
              </w:rPr>
              <w:t xml:space="preserve">SBP &amp; Co. v. Patel Engineering</w:t>
            </w:r>
            <w:r>
              <w:rPr>
                <w:sz w:val="18"/>
                <w:szCs w:val="18"/>
              </w:rPr>
              <w:t xml:space="preserve"> (2005)</w:t>
            </w:r>
          </w:p>
        </w:tc>
        <w:tc>
          <w:tcPr>
            <w:tcW w:type="dxa" w:w="5550"/>
            <w:tcMar>
              <w:top w:type="dxa" w:w="70"/>
              <w:left w:type="dxa" w:w="100"/>
              <w:bottom w:type="dxa" w:w="70"/>
              <w:right w:type="dxa" w:w="100"/>
            </w:tcMar>
          </w:tcPr>
          <w:p>
            <w:pPr>
              <w:spacing w:after="0" w:line="240"/>
            </w:pPr>
            <w:r>
              <w:rPr>
                <w:sz w:val="18"/>
                <w:szCs w:val="18"/>
              </w:rPr>
              <w:t xml:space="preserve">The power is still judicial. The wide preliminary enquiry is gone (Mayavati Trading).</w:t>
            </w:r>
          </w:p>
        </w:tc>
      </w:tr>
      <w:tr>
        <w:tc>
          <w:tcPr>
            <w:tcW w:type="dxa" w:w="3300"/>
            <w:tcMar>
              <w:top w:type="dxa" w:w="70"/>
              <w:left w:type="dxa" w:w="100"/>
              <w:bottom w:type="dxa" w:w="70"/>
              <w:right w:type="dxa" w:w="100"/>
            </w:tcMar>
          </w:tcPr>
          <w:p>
            <w:pPr>
              <w:spacing w:after="0" w:line="240"/>
            </w:pPr>
            <w:r>
              <w:rPr>
                <w:b/>
                <w:bCs/>
                <w:i/>
                <w:iCs/>
                <w:sz w:val="18"/>
                <w:szCs w:val="18"/>
              </w:rPr>
              <w:t xml:space="preserve">Indian Oil Corporation v. Raja Transport</w:t>
            </w:r>
            <w:r>
              <w:rPr>
                <w:sz w:val="18"/>
                <w:szCs w:val="18"/>
              </w:rPr>
              <w:t xml:space="preserve"> (2009)</w:t>
            </w:r>
          </w:p>
        </w:tc>
        <w:tc>
          <w:tcPr>
            <w:tcW w:type="dxa" w:w="5550"/>
            <w:tcMar>
              <w:top w:type="dxa" w:w="70"/>
              <w:left w:type="dxa" w:w="100"/>
              <w:bottom w:type="dxa" w:w="70"/>
              <w:right w:type="dxa" w:w="100"/>
            </w:tcMar>
          </w:tcPr>
          <w:p>
            <w:pPr>
              <w:spacing w:after="0" w:line="240"/>
            </w:pPr>
            <w:r>
              <w:rPr>
                <w:sz w:val="18"/>
                <w:szCs w:val="18"/>
              </w:rPr>
              <w:t xml:space="preserve">Mostly superseded by section 12(5), TRF, Perkins Eastman and CORE-II. Use it for the pre-2015 position.</w:t>
            </w:r>
          </w:p>
        </w:tc>
      </w:tr>
      <w:tr>
        <w:tc>
          <w:tcPr>
            <w:tcW w:type="dxa" w:w="3300"/>
            <w:tcMar>
              <w:top w:type="dxa" w:w="70"/>
              <w:left w:type="dxa" w:w="100"/>
              <w:bottom w:type="dxa" w:w="70"/>
              <w:right w:type="dxa" w:w="100"/>
            </w:tcMar>
          </w:tcPr>
          <w:p>
            <w:pPr>
              <w:spacing w:after="0" w:line="240"/>
            </w:pPr>
            <w:r>
              <w:rPr>
                <w:b/>
                <w:bCs/>
                <w:i/>
                <w:iCs/>
                <w:sz w:val="18"/>
                <w:szCs w:val="18"/>
              </w:rPr>
              <w:t xml:space="preserve">CORE-I</w:t>
            </w:r>
            <w:r>
              <w:rPr>
                <w:sz w:val="18"/>
                <w:szCs w:val="18"/>
              </w:rPr>
              <w:t xml:space="preserve"> (2020)</w:t>
            </w:r>
          </w:p>
        </w:tc>
        <w:tc>
          <w:tcPr>
            <w:tcW w:type="dxa" w:w="5550"/>
            <w:tcMar>
              <w:top w:type="dxa" w:w="70"/>
              <w:left w:type="dxa" w:w="100"/>
              <w:bottom w:type="dxa" w:w="70"/>
              <w:right w:type="dxa" w:w="100"/>
            </w:tcMar>
          </w:tcPr>
          <w:p>
            <w:pPr>
              <w:spacing w:after="0" w:line="240"/>
            </w:pPr>
            <w:r>
              <w:rPr>
                <w:sz w:val="18"/>
                <w:szCs w:val="18"/>
              </w:rPr>
              <w:t xml:space="preserve">Overruled on one-sided appointments by CORE-II (2024).</w:t>
            </w:r>
          </w:p>
        </w:tc>
      </w:tr>
      <w:tr>
        <w:tc>
          <w:tcPr>
            <w:tcW w:type="dxa" w:w="3300"/>
            <w:tcMar>
              <w:top w:type="dxa" w:w="70"/>
              <w:left w:type="dxa" w:w="100"/>
              <w:bottom w:type="dxa" w:w="70"/>
              <w:right w:type="dxa" w:w="100"/>
            </w:tcMar>
          </w:tcPr>
          <w:p>
            <w:pPr>
              <w:spacing w:after="0" w:line="240"/>
            </w:pPr>
            <w:r>
              <w:rPr>
                <w:b/>
                <w:bCs/>
                <w:i/>
                <w:iCs/>
                <w:sz w:val="18"/>
                <w:szCs w:val="18"/>
              </w:rPr>
              <w:t xml:space="preserve">N.N. Global</w:t>
            </w:r>
            <w:r>
              <w:rPr>
                <w:sz w:val="18"/>
                <w:szCs w:val="18"/>
              </w:rPr>
              <w:t xml:space="preserve"> (2023); </w:t>
            </w:r>
            <w:r>
              <w:rPr>
                <w:b/>
                <w:bCs/>
                <w:i/>
                <w:iCs/>
                <w:sz w:val="18"/>
                <w:szCs w:val="18"/>
              </w:rPr>
              <w:t xml:space="preserve">SMS Tea Estates</w:t>
            </w:r>
            <w:r>
              <w:rPr>
                <w:sz w:val="18"/>
                <w:szCs w:val="18"/>
              </w:rPr>
              <w:t xml:space="preserve"> (2011); </w:t>
            </w:r>
            <w:r>
              <w:rPr>
                <w:b/>
                <w:bCs/>
                <w:i/>
                <w:iCs/>
                <w:sz w:val="18"/>
                <w:szCs w:val="18"/>
              </w:rPr>
              <w:t xml:space="preserve">Garware Wall Ropes</w:t>
            </w:r>
            <w:r>
              <w:rPr>
                <w:sz w:val="18"/>
                <w:szCs w:val="18"/>
              </w:rPr>
              <w:t xml:space="preserve"> (2019), paras 22 and 29</w:t>
            </w:r>
          </w:p>
        </w:tc>
        <w:tc>
          <w:tcPr>
            <w:tcW w:type="dxa" w:w="5550"/>
            <w:tcMar>
              <w:top w:type="dxa" w:w="70"/>
              <w:left w:type="dxa" w:w="100"/>
              <w:bottom w:type="dxa" w:w="70"/>
              <w:right w:type="dxa" w:w="100"/>
            </w:tcMar>
          </w:tcPr>
          <w:p>
            <w:pPr>
              <w:spacing w:after="0" w:line="240"/>
            </w:pPr>
            <w:r>
              <w:rPr>
                <w:sz w:val="18"/>
                <w:szCs w:val="18"/>
              </w:rPr>
              <w:t xml:space="preserve">Overruled by In Re: Interplay (2023).</w:t>
            </w:r>
          </w:p>
        </w:tc>
      </w:tr>
      <w:tr>
        <w:tc>
          <w:tcPr>
            <w:tcW w:type="dxa" w:w="3300"/>
            <w:tcMar>
              <w:top w:type="dxa" w:w="70"/>
              <w:left w:type="dxa" w:w="100"/>
              <w:bottom w:type="dxa" w:w="70"/>
              <w:right w:type="dxa" w:w="100"/>
            </w:tcMar>
          </w:tcPr>
          <w:p>
            <w:pPr>
              <w:spacing w:after="0" w:line="240"/>
            </w:pPr>
            <w:r>
              <w:rPr>
                <w:b/>
                <w:bCs/>
                <w:i/>
                <w:iCs/>
                <w:sz w:val="18"/>
                <w:szCs w:val="18"/>
              </w:rPr>
              <w:t xml:space="preserve">Vidya Drolia</w:t>
            </w:r>
            <w:r>
              <w:rPr>
                <w:sz w:val="18"/>
                <w:szCs w:val="18"/>
              </w:rPr>
              <w:t xml:space="preserve"> (2021)</w:t>
            </w:r>
          </w:p>
        </w:tc>
        <w:tc>
          <w:tcPr>
            <w:tcW w:type="dxa" w:w="5550"/>
            <w:tcMar>
              <w:top w:type="dxa" w:w="70"/>
              <w:left w:type="dxa" w:w="100"/>
              <w:bottom w:type="dxa" w:w="70"/>
              <w:right w:type="dxa" w:w="100"/>
            </w:tcMar>
          </w:tcPr>
          <w:p>
            <w:pPr>
              <w:spacing w:after="0" w:line="240"/>
            </w:pPr>
            <w:r>
              <w:rPr>
                <w:sz w:val="18"/>
                <w:szCs w:val="18"/>
              </w:rPr>
              <w:t xml:space="preserve">Still good law on non-arbitrability, but it wrongly assumed section 11(6A) had been deleted. Corrected in In Re: Interplay.</w:t>
            </w:r>
          </w:p>
        </w:tc>
      </w:tr>
      <w:tr>
        <w:tc>
          <w:tcPr>
            <w:tcW w:type="dxa" w:w="3300"/>
            <w:tcMar>
              <w:top w:type="dxa" w:w="70"/>
              <w:left w:type="dxa" w:w="100"/>
              <w:bottom w:type="dxa" w:w="70"/>
              <w:right w:type="dxa" w:w="100"/>
            </w:tcMar>
          </w:tcPr>
          <w:p>
            <w:pPr>
              <w:spacing w:after="0" w:line="240"/>
            </w:pPr>
            <w:r>
              <w:rPr>
                <w:b/>
                <w:bCs/>
                <w:i/>
                <w:iCs/>
                <w:sz w:val="18"/>
                <w:szCs w:val="18"/>
              </w:rPr>
              <w:t xml:space="preserve">Tantia Construction</w:t>
            </w:r>
            <w:r>
              <w:rPr>
                <w:sz w:val="18"/>
                <w:szCs w:val="18"/>
              </w:rPr>
              <w:t xml:space="preserve"> (2011) and </w:t>
            </w:r>
            <w:r>
              <w:rPr>
                <w:b/>
                <w:bCs/>
                <w:i/>
                <w:iCs/>
                <w:sz w:val="18"/>
                <w:szCs w:val="18"/>
              </w:rPr>
              <w:t xml:space="preserve">Tantia Constructions</w:t>
            </w:r>
            <w:r>
              <w:rPr>
                <w:sz w:val="18"/>
                <w:szCs w:val="18"/>
              </w:rPr>
              <w:t xml:space="preserve"> (2021)</w:t>
            </w:r>
          </w:p>
        </w:tc>
        <w:tc>
          <w:tcPr>
            <w:tcW w:type="dxa" w:w="5550"/>
            <w:tcMar>
              <w:top w:type="dxa" w:w="70"/>
              <w:left w:type="dxa" w:w="100"/>
              <w:bottom w:type="dxa" w:w="70"/>
              <w:right w:type="dxa" w:w="100"/>
            </w:tcMar>
          </w:tcPr>
          <w:p>
            <w:pPr>
              <w:spacing w:after="0" w:line="240"/>
            </w:pPr>
            <w:r>
              <w:rPr>
                <w:sz w:val="18"/>
                <w:szCs w:val="18"/>
              </w:rPr>
              <w:t xml:space="preserve">Two different cases on two different questions. </w:t>
            </w:r>
            <w:r>
              <w:rPr>
                <w:b/>
                <w:bCs/>
                <w:sz w:val="18"/>
                <w:szCs w:val="18"/>
              </w:rPr>
              <w:t xml:space="preserve">Do not mix them up.</w:t>
            </w:r>
          </w:p>
        </w:tc>
      </w:tr>
      <w:tr>
        <w:tc>
          <w:tcPr>
            <w:tcW w:type="dxa" w:w="3300"/>
            <w:tcMar>
              <w:top w:type="dxa" w:w="70"/>
              <w:left w:type="dxa" w:w="100"/>
              <w:bottom w:type="dxa" w:w="70"/>
              <w:right w:type="dxa" w:w="100"/>
            </w:tcMar>
          </w:tcPr>
          <w:p>
            <w:pPr>
              <w:spacing w:after="0" w:line="240"/>
            </w:pPr>
            <w:r>
              <w:rPr>
                <w:b/>
                <w:bCs/>
                <w:i/>
                <w:iCs/>
                <w:sz w:val="18"/>
                <w:szCs w:val="18"/>
              </w:rPr>
              <w:t xml:space="preserve">Scott v. Avery</w:t>
            </w:r>
            <w:r>
              <w:rPr>
                <w:sz w:val="18"/>
                <w:szCs w:val="18"/>
              </w:rPr>
              <w:t xml:space="preserve"> (1856)</w:t>
            </w:r>
          </w:p>
        </w:tc>
        <w:tc>
          <w:tcPr>
            <w:tcW w:type="dxa" w:w="5550"/>
            <w:tcMar>
              <w:top w:type="dxa" w:w="70"/>
              <w:left w:type="dxa" w:w="100"/>
              <w:bottom w:type="dxa" w:w="70"/>
              <w:right w:type="dxa" w:w="100"/>
            </w:tcMar>
          </w:tcPr>
          <w:p>
            <w:pPr>
              <w:spacing w:after="0" w:line="240"/>
            </w:pPr>
            <w:r>
              <w:rPr>
                <w:sz w:val="18"/>
                <w:szCs w:val="18"/>
              </w:rPr>
              <w:t xml:space="preserve">An English case describing a type of clause. It is not an Indian statutory rule.</w:t>
            </w:r>
          </w:p>
        </w:tc>
      </w:tr>
      <w:tr>
        <w:tc>
          <w:tcPr>
            <w:tcW w:type="dxa" w:w="3300"/>
            <w:tcMar>
              <w:top w:type="dxa" w:w="70"/>
              <w:left w:type="dxa" w:w="100"/>
              <w:bottom w:type="dxa" w:w="70"/>
              <w:right w:type="dxa" w:w="100"/>
            </w:tcMar>
          </w:tcPr>
          <w:p>
            <w:pPr>
              <w:spacing w:after="0" w:line="240"/>
            </w:pPr>
            <w:r>
              <w:rPr>
                <w:b/>
                <w:bCs/>
                <w:i/>
                <w:iCs/>
                <w:sz w:val="18"/>
                <w:szCs w:val="18"/>
              </w:rPr>
              <w:t xml:space="preserve">Saipem</w:t>
            </w:r>
            <w:r>
              <w:rPr>
                <w:sz w:val="18"/>
                <w:szCs w:val="18"/>
              </w:rPr>
              <w:t xml:space="preserve"> (2009); </w:t>
            </w:r>
            <w:r>
              <w:rPr>
                <w:b/>
                <w:bCs/>
                <w:i/>
                <w:iCs/>
                <w:sz w:val="18"/>
                <w:szCs w:val="18"/>
              </w:rPr>
              <w:t xml:space="preserve">White Industries</w:t>
            </w:r>
            <w:r>
              <w:rPr>
                <w:sz w:val="18"/>
                <w:szCs w:val="18"/>
              </w:rPr>
              <w:t xml:space="preserve"> (2011); </w:t>
            </w:r>
            <w:r>
              <w:rPr>
                <w:b/>
                <w:bCs/>
                <w:i/>
                <w:iCs/>
                <w:sz w:val="18"/>
                <w:szCs w:val="18"/>
              </w:rPr>
              <w:t xml:space="preserve">Chagos</w:t>
            </w:r>
            <w:r>
              <w:rPr>
                <w:sz w:val="18"/>
                <w:szCs w:val="18"/>
              </w:rPr>
              <w:t xml:space="preserve"> challenge (2011)</w:t>
            </w:r>
          </w:p>
        </w:tc>
        <w:tc>
          <w:tcPr>
            <w:tcW w:type="dxa" w:w="5550"/>
            <w:tcMar>
              <w:top w:type="dxa" w:w="70"/>
              <w:left w:type="dxa" w:w="100"/>
              <w:bottom w:type="dxa" w:w="70"/>
              <w:right w:type="dxa" w:w="100"/>
            </w:tcMar>
          </w:tcPr>
          <w:p>
            <w:pPr>
              <w:spacing w:after="0" w:line="240"/>
            </w:pPr>
            <w:r>
              <w:rPr>
                <w:sz w:val="18"/>
                <w:szCs w:val="18"/>
              </w:rPr>
              <w:t xml:space="preserve">Decisions of arbitral tribunals. They persuade; they do not bind Indian courts.</w:t>
            </w:r>
          </w:p>
        </w:tc>
      </w:tr>
    </w:tbl>
    <w:p>
      <w:pPr>
        <w:spacing w:after="120"/>
      </w:pPr>
      <w:r>
        <w:rPr>
          <w:sz w:val="10"/>
          <w:szCs w:val="10"/>
        </w:rPr>
        <w:t xml:space="preserve"/>
      </w:r>
    </w:p>
    <w:sectPr>
      <w:headerReference w:type="default" r:id="rId7"/>
      <w:headerReference w:type="first" r:id="rId8"/>
      <w:footerReference w:type="default" r:id="rId9"/>
      <w:footerReference w:type="first" r:id="rId10"/>
      <w:pgSz w:w="11906" w:h="16838" w:orient="portrait"/>
      <w:pgMar w:top="1250" w:right="1300" w:bottom="125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5"/>
      </w:pBdr>
      <w:tabs>
        <w:tab w:val="right" w:pos="9306"/>
      </w:tabs>
      <w:spacing w:before="60"/>
    </w:pPr>
    <w:r>
      <w:rPr>
        <w:rFonts w:ascii="Arial" w:cs="Arial" w:eastAsia="Arial" w:hAnsi="Arial"/>
        <w:color w:val="1F3864"/>
        <w:sz w:val="17"/>
        <w:szCs w:val="17"/>
      </w:rPr>
      <w:t xml:space="preserve">Surendra Mundvadiya | Alternative Dispute Resolution</w:t>
    </w:r>
    <w:r>
      <w:rPr>
        <w:sz w:val="17"/>
        <w:szCs w:val="17"/>
      </w:rPr>
      <w:t xml:space="preserve">	</w:t>
    </w:r>
    <w:r>
      <w:rPr>
        <w:rFonts w:ascii="Arial" w:cs="Arial" w:eastAsia="Arial" w:hAnsi="Arial"/>
        <w:color w:val="1F386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5" w:hanging="302"/>
      </w:pPr>
    </w:lvl>
  </w:abstractNum>
  <w:abstractNum w:abstractNumId="3"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dc:title>
  <dc:creator>Surendra Mundvadiya</dc:creator>
  <cp:lastModifiedBy>Un-named</cp:lastModifiedBy>
  <cp:revision>1</cp:revision>
  <dcterms:created xsi:type="dcterms:W3CDTF">2026-09-22T15:38:57.822Z</dcterms:created>
  <dcterms:modified xsi:type="dcterms:W3CDTF">2026-09-22T15:38:57.822Z</dcterms:modified>
</cp:coreProperties>
</file>

<file path=docProps/custom.xml><?xml version="1.0" encoding="utf-8"?>
<Properties xmlns="http://schemas.openxmlformats.org/officeDocument/2006/custom-properties" xmlns:vt="http://schemas.openxmlformats.org/officeDocument/2006/docPropsVTypes"/>
</file>