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Information</w:t>
      </w:r>
      <w:r>
        <w:t xml:space="preserve"> </w:t>
      </w:r>
      <w:r>
        <w:t xml:space="preserve">Technology</w:t>
      </w:r>
      <w:r>
        <w:t xml:space="preserve"> </w:t>
      </w:r>
      <w:r>
        <w:t xml:space="preserve">Law</w:t>
      </w:r>
      <w:r>
        <w:t xml:space="preserve"> </w:t>
      </w:r>
      <w:r>
        <w:t xml:space="preserve">(IP61021)</w:t>
      </w:r>
    </w:p>
    <w:p>
      <w:pPr>
        <w:pStyle w:val="Subtitle"/>
      </w:pPr>
      <w:r>
        <w:t xml:space="preserve">Complete</w:t>
      </w:r>
      <w:r>
        <w:t xml:space="preserve"> </w:t>
      </w:r>
      <w:r>
        <w:t xml:space="preserve">Exam</w:t>
      </w:r>
      <w:r>
        <w:t xml:space="preserve"> </w:t>
      </w:r>
      <w:r>
        <w:t xml:space="preserve">Notes</w:t>
      </w:r>
    </w:p>
    <w:p>
      <w:pPr>
        <w:pStyle w:val="Author"/>
      </w:pPr>
      <w:r>
        <w:t xml:space="preserve">RGSoIPL,</w:t>
      </w:r>
      <w:r>
        <w:t xml:space="preserve"> </w:t>
      </w:r>
      <w:r>
        <w:t xml:space="preserve">IIT</w:t>
      </w:r>
      <w:r>
        <w:t xml:space="preserve"> </w:t>
      </w:r>
      <w:r>
        <w:t xml:space="preserve">Kharagpur</w:t>
      </w:r>
      <w:r>
        <w:t xml:space="preserve"> </w:t>
      </w:r>
      <w:r>
        <w:t xml:space="preserve">·</w:t>
      </w:r>
      <w:r>
        <w:t xml:space="preserve"> </w:t>
      </w:r>
      <w:r>
        <w:t xml:space="preserve">Dr. Balraj</w:t>
      </w:r>
      <w:r>
        <w:t xml:space="preserve"> </w:t>
      </w:r>
      <w:r>
        <w:t xml:space="preserve">K</w:t>
      </w:r>
      <w:r>
        <w:t xml:space="preserve"> </w:t>
      </w:r>
      <w:r>
        <w:t xml:space="preserve">Sidhu</w:t>
      </w:r>
    </w:p>
    <w:bookmarkStart w:id="21" w:name="how-to-use-this"/>
    <w:p>
      <w:pPr>
        <w:pStyle w:val="Heading1"/>
      </w:pPr>
      <w:r>
        <w:t xml:space="preserve">HOW TO USE THIS</w:t>
      </w:r>
    </w:p>
    <w:p>
      <w:pPr>
        <w:pStyle w:val="FirstParagraph"/>
      </w:pPr>
      <w:r>
        <w:t xml:space="preserve">The mid-semester paper carries</w:t>
      </w:r>
      <w:r>
        <w:t xml:space="preserve"> </w:t>
      </w:r>
      <w:r>
        <w:rPr>
          <w:bCs/>
          <w:b/>
        </w:rPr>
        <w:t xml:space="preserve">30 marks</w:t>
      </w:r>
      <w:r>
        <w:t xml:space="preserve">, set either as three ten-mark questions or six five-mark questions, and the questions are problem-based. The instruction given in class was blunt: name the provision, name the issue, and support the answer with a case. General discussion earns nothing.</w:t>
      </w:r>
    </w:p>
    <w:p>
      <w:pPr>
        <w:pStyle w:val="BodyText"/>
      </w:pPr>
      <w:r>
        <w:t xml:space="preserve">These notes cover every slide of all six decks — IT Act Introduction (27), Liability of Intermediaries (45), Cyber Speech (30), Cybersecurity (22), SGI (10) and the Case Studies deck (17).</w:t>
      </w:r>
      <w:r>
        <w:t xml:space="preserve"> </w:t>
      </w:r>
      <w:r>
        <w:rPr>
          <w:bCs/>
          <w:b/>
        </w:rPr>
        <w:t xml:space="preserve">Part Six</w:t>
      </w:r>
      <w:r>
        <w:t xml:space="preserve"> </w:t>
      </w:r>
      <w:r>
        <w:t xml:space="preserve">contains twenty problem questions with answer skeletons;</w:t>
      </w:r>
      <w:r>
        <w:t xml:space="preserve"> </w:t>
      </w:r>
      <w:r>
        <w:rPr>
          <w:bCs/>
          <w:b/>
        </w:rPr>
        <w:t xml:space="preserve">Part Seven</w:t>
      </w:r>
      <w:r>
        <w:t xml:space="preserve"> </w:t>
      </w:r>
      <w:r>
        <w:t xml:space="preserve">is a topic-wise table of every case with what the court held. Revise backwards from those two.</w:t>
      </w:r>
    </w:p>
    <w:bookmarkStart w:id="20" w:name="the-architecture-of-the-course"/>
    <w:p>
      <w:pPr>
        <w:pStyle w:val="Heading2"/>
      </w:pPr>
      <w:r>
        <w:t xml:space="preserve">The architecture of the course</w:t>
      </w:r>
    </w:p>
    <w:p>
      <w:pPr>
        <w:pStyle w:val="SourceCode"/>
      </w:pPr>
      <w:r>
        <w:rPr>
          <w:rStyle w:val="VerbatimChar"/>
        </w:rPr>
        <w:t xml:space="preserve">                 SOMEONE POSTS SOMETHING ONLINE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IS THE CONTENT LAWFUL?                 IS THE PLATFORM LIABLE?</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MODULE 3        MODULE 5            MODULE 2              Who may order</w:t>
      </w:r>
      <w:r>
        <w:br/>
      </w:r>
      <w:r>
        <w:rPr>
          <w:rStyle w:val="VerbatimChar"/>
        </w:rPr>
        <w:t xml:space="preserve">Art.19(1)(a)    Rule 2(1)(wa)       s.79 SAFE HARBOUR     removal?</w:t>
      </w:r>
      <w:r>
        <w:br/>
      </w:r>
      <w:r>
        <w:rPr>
          <w:rStyle w:val="VerbatimChar"/>
        </w:rPr>
        <w:t xml:space="preserve">Art.19(2) — 8   Is it SGI?          79(2): (a) OR (b)     s.69A = POWER</w:t>
      </w:r>
      <w:r>
        <w:br/>
      </w:r>
      <w:r>
        <w:rPr>
          <w:rStyle w:val="VerbatimChar"/>
        </w:rPr>
        <w:t xml:space="preserve">grounds only    ├ lawful → LABEL           + (c) always   s.79(3)(b)</w:t>
      </w:r>
      <w:r>
        <w:br/>
      </w:r>
      <w:r>
        <w:rPr>
          <w:rStyle w:val="VerbatimChar"/>
        </w:rPr>
        <w:t xml:space="preserve">Shreya Singhal  └ unlawful→ REMOVE  79(3): (a) active?      = CONDITION</w:t>
      </w:r>
      <w:r>
        <w:br/>
      </w:r>
      <w:r>
        <w:rPr>
          <w:rStyle w:val="VerbatimChar"/>
        </w:rPr>
        <w:t xml:space="preserve">= incitement                               (b) knowledge?        │</w:t>
      </w:r>
      <w:r>
        <w:br/>
      </w:r>
      <w:r>
        <w:rPr>
          <w:rStyle w:val="VerbatimChar"/>
        </w:rPr>
        <w:t xml:space="preserve">   line                                    │                     ▼</w:t>
      </w:r>
      <w:r>
        <w:br/>
      </w:r>
      <w:r>
        <w:rPr>
          <w:rStyle w:val="VerbatimChar"/>
        </w:rPr>
        <w:t xml:space="preserve">                                    Rule 7 → IMMUNITY GONE   MODULE 4</w:t>
      </w:r>
      <w:r>
        <w:br/>
      </w:r>
      <w:r>
        <w:rPr>
          <w:rStyle w:val="VerbatimChar"/>
        </w:rPr>
        <w:t xml:space="preserve">                                                             if the target is</w:t>
      </w:r>
      <w:r>
        <w:br/>
      </w:r>
      <w:r>
        <w:rPr>
          <w:rStyle w:val="VerbatimChar"/>
        </w:rPr>
        <w:t xml:space="preserve">                                                             CRITICAL</w:t>
      </w:r>
      <w:r>
        <w:br/>
      </w:r>
      <w:r>
        <w:rPr>
          <w:rStyle w:val="VerbatimChar"/>
        </w:rPr>
        <w:t xml:space="preserve">                                                             INFRASTRUCTURE</w:t>
      </w:r>
      <w:r>
        <w:br/>
      </w:r>
      <w:r>
        <w:rPr>
          <w:rStyle w:val="VerbatimChar"/>
        </w:rPr>
        <w:t xml:space="preserve">                                                             ss.70 · 70A · 70B</w:t>
      </w:r>
      <w:r>
        <w:br/>
      </w:r>
      <w:r>
        <w:br/>
      </w:r>
      <w:r>
        <w:rPr>
          <w:rStyle w:val="VerbatimChar"/>
        </w:rPr>
        <w:t xml:space="preserve">  MODULE 1 underlies everything: what it is (s.2), whether Indian law</w:t>
      </w:r>
      <w:r>
        <w:br/>
      </w:r>
      <w:r>
        <w:rPr>
          <w:rStyle w:val="VerbatimChar"/>
        </w:rPr>
        <w:t xml:space="preserve">  reaches it (s.1(2) + s.75), whether the electronic form is valid (ss.3, 3A).</w:t>
      </w:r>
    </w:p>
    <w:bookmarkEnd w:id="20"/>
    <w:bookmarkEnd w:id="21"/>
    <w:bookmarkStart w:id="22" w:name="contents"/>
    <w:p>
      <w:pPr>
        <w:pStyle w:val="Heading1"/>
      </w:pPr>
      <w:r>
        <w:t xml:space="preserve">CONTENTS</w:t>
      </w:r>
    </w:p>
    <w:p>
      <w:pPr>
        <w:pStyle w:val="FirstParagraph"/>
      </w:pPr>
      <w:r>
        <w:rPr>
          <w:bCs/>
          <w:b/>
        </w:rPr>
        <w:t xml:space="preserve">MODULE 1 — THE IT ACT 2000</w:t>
      </w:r>
    </w:p>
    <w:p>
      <w:pPr>
        <w:numPr>
          <w:ilvl w:val="0"/>
          <w:numId w:val="1001"/>
        </w:numPr>
        <w:pStyle w:val="Compact"/>
      </w:pPr>
      <w:r>
        <w:t xml:space="preserve">The problem the Act was written to solve</w:t>
      </w:r>
    </w:p>
    <w:p>
      <w:pPr>
        <w:numPr>
          <w:ilvl w:val="0"/>
          <w:numId w:val="1001"/>
        </w:numPr>
        <w:pStyle w:val="Compact"/>
      </w:pPr>
      <w:r>
        <w:t xml:space="preserve">The international foundation and the three MLEC principles</w:t>
      </w:r>
    </w:p>
    <w:p>
      <w:pPr>
        <w:numPr>
          <w:ilvl w:val="0"/>
          <w:numId w:val="1001"/>
        </w:numPr>
        <w:pStyle w:val="Compact"/>
      </w:pPr>
      <w:r>
        <w:t xml:space="preserve">Delegated legislation</w:t>
      </w:r>
    </w:p>
    <w:p>
      <w:pPr>
        <w:numPr>
          <w:ilvl w:val="0"/>
          <w:numId w:val="1001"/>
        </w:numPr>
        <w:pStyle w:val="Compact"/>
      </w:pPr>
      <w:r>
        <w:t xml:space="preserve">Section 1 — reach and exclusions</w:t>
      </w:r>
    </w:p>
    <w:p>
      <w:pPr>
        <w:numPr>
          <w:ilvl w:val="0"/>
          <w:numId w:val="1001"/>
        </w:numPr>
        <w:pStyle w:val="Compact"/>
      </w:pPr>
      <w:r>
        <w:t xml:space="preserve">Global injunctions</w:t>
      </w:r>
    </w:p>
    <w:p>
      <w:pPr>
        <w:numPr>
          <w:ilvl w:val="0"/>
          <w:numId w:val="1001"/>
        </w:numPr>
        <w:pStyle w:val="Compact"/>
      </w:pPr>
      <w:r>
        <w:t xml:space="preserve">Section 2 — the definitions that drive everything</w:t>
      </w:r>
    </w:p>
    <w:p>
      <w:pPr>
        <w:pStyle w:val="FirstParagraph"/>
      </w:pPr>
      <w:r>
        <w:rPr>
          <w:bCs/>
          <w:b/>
        </w:rPr>
        <w:t xml:space="preserve">MODULE 2 — LIABILITY OF INTERMEDIARIES</w:t>
      </w:r>
    </w:p>
    <w:p>
      <w:pPr>
        <w:numPr>
          <w:ilvl w:val="0"/>
          <w:numId w:val="1002"/>
        </w:numPr>
        <w:pStyle w:val="Compact"/>
      </w:pPr>
      <w:r>
        <w:t xml:space="preserve">Why platforms became a regulatory problem</w:t>
      </w:r>
    </w:p>
    <w:p>
      <w:pPr>
        <w:numPr>
          <w:ilvl w:val="0"/>
          <w:numId w:val="1002"/>
        </w:numPr>
        <w:pStyle w:val="Compact"/>
      </w:pPr>
      <w:r>
        <w:t xml:space="preserve">The models, and where India sits</w:t>
      </w:r>
    </w:p>
    <w:p>
      <w:pPr>
        <w:numPr>
          <w:ilvl w:val="0"/>
          <w:numId w:val="1002"/>
        </w:numPr>
        <w:pStyle w:val="Compact"/>
      </w:pPr>
      <w:r>
        <w:t xml:space="preserve">Section 79 — the structure of the exemption</w:t>
      </w:r>
    </w:p>
    <w:p>
      <w:pPr>
        <w:numPr>
          <w:ilvl w:val="0"/>
          <w:numId w:val="1002"/>
        </w:numPr>
        <w:pStyle w:val="Compact"/>
      </w:pPr>
      <w:r>
        <w:t xml:space="preserve">Actual knowledge</w:t>
      </w:r>
    </w:p>
    <w:p>
      <w:pPr>
        <w:numPr>
          <w:ilvl w:val="0"/>
          <w:numId w:val="1002"/>
        </w:numPr>
        <w:pStyle w:val="Compact"/>
      </w:pPr>
      <w:r>
        <w:t xml:space="preserve">Losing the exemption by participation</w:t>
      </w:r>
    </w:p>
    <w:p>
      <w:pPr>
        <w:numPr>
          <w:ilvl w:val="0"/>
          <w:numId w:val="1002"/>
        </w:numPr>
        <w:pStyle w:val="Compact"/>
      </w:pPr>
      <w:r>
        <w:t xml:space="preserve">Corporate and criminal liability</w:t>
      </w:r>
    </w:p>
    <w:p>
      <w:pPr>
        <w:numPr>
          <w:ilvl w:val="0"/>
          <w:numId w:val="1002"/>
        </w:numPr>
        <w:pStyle w:val="Compact"/>
      </w:pPr>
      <w:r>
        <w:t xml:space="preserve">Disclosure, foreign servers and privacy</w:t>
      </w:r>
    </w:p>
    <w:p>
      <w:pPr>
        <w:numPr>
          <w:ilvl w:val="0"/>
          <w:numId w:val="1002"/>
        </w:numPr>
        <w:pStyle w:val="Compact"/>
      </w:pPr>
      <w:r>
        <w:t xml:space="preserve">Obligations beyond notice and takedown</w:t>
      </w:r>
    </w:p>
    <w:p>
      <w:pPr>
        <w:numPr>
          <w:ilvl w:val="0"/>
          <w:numId w:val="1002"/>
        </w:numPr>
        <w:pStyle w:val="Compact"/>
      </w:pPr>
      <w:r>
        <w:t xml:space="preserve">Blocking, and the limits of the Government’s route</w:t>
      </w:r>
    </w:p>
    <w:p>
      <w:pPr>
        <w:numPr>
          <w:ilvl w:val="0"/>
          <w:numId w:val="1002"/>
        </w:numPr>
        <w:pStyle w:val="Compact"/>
      </w:pPr>
      <w:r>
        <w:t xml:space="preserve">The 2021 Rules</w:t>
      </w:r>
    </w:p>
    <w:p>
      <w:pPr>
        <w:numPr>
          <w:ilvl w:val="0"/>
          <w:numId w:val="1002"/>
        </w:numPr>
        <w:pStyle w:val="Compact"/>
      </w:pPr>
      <w:r>
        <w:t xml:space="preserve">Part III — the Code of Ethics</w:t>
      </w:r>
    </w:p>
    <w:p>
      <w:pPr>
        <w:pStyle w:val="FirstParagraph"/>
      </w:pPr>
      <w:r>
        <w:rPr>
          <w:bCs/>
          <w:b/>
        </w:rPr>
        <w:t xml:space="preserve">MODULE 3 — CYBER-SPEECH</w:t>
      </w:r>
    </w:p>
    <w:p>
      <w:pPr>
        <w:numPr>
          <w:ilvl w:val="0"/>
          <w:numId w:val="1003"/>
        </w:numPr>
        <w:pStyle w:val="Compact"/>
      </w:pPr>
      <w:r>
        <w:t xml:space="preserve">The shift that created the problem</w:t>
      </w:r>
    </w:p>
    <w:p>
      <w:pPr>
        <w:numPr>
          <w:ilvl w:val="0"/>
          <w:numId w:val="1003"/>
        </w:numPr>
        <w:pStyle w:val="Compact"/>
      </w:pPr>
      <w:r>
        <w:t xml:space="preserve">Three constitutional traditions</w:t>
      </w:r>
    </w:p>
    <w:p>
      <w:pPr>
        <w:numPr>
          <w:ilvl w:val="0"/>
          <w:numId w:val="1003"/>
        </w:numPr>
        <w:pStyle w:val="Compact"/>
      </w:pPr>
      <w:r>
        <w:t xml:space="preserve">Hate speech</w:t>
      </w:r>
    </w:p>
    <w:p>
      <w:pPr>
        <w:numPr>
          <w:ilvl w:val="0"/>
          <w:numId w:val="1003"/>
        </w:numPr>
        <w:pStyle w:val="Compact"/>
      </w:pPr>
      <w:r>
        <w:t xml:space="preserve">Section 66A and</w:t>
      </w:r>
      <w:r>
        <w:t xml:space="preserve"> </w:t>
      </w:r>
      <w:r>
        <w:rPr>
          <w:iCs/>
          <w:i/>
        </w:rPr>
        <w:t xml:space="preserve">Shreya Singhal</w:t>
      </w:r>
    </w:p>
    <w:p>
      <w:pPr>
        <w:numPr>
          <w:ilvl w:val="0"/>
          <w:numId w:val="1003"/>
        </w:numPr>
        <w:pStyle w:val="Compact"/>
      </w:pPr>
      <w:r>
        <w:t xml:space="preserve">The vacuum debate</w:t>
      </w:r>
    </w:p>
    <w:p>
      <w:pPr>
        <w:numPr>
          <w:ilvl w:val="0"/>
          <w:numId w:val="1003"/>
        </w:numPr>
        <w:pStyle w:val="Compact"/>
      </w:pPr>
      <w:r>
        <w:t xml:space="preserve">Recent controversies</w:t>
      </w:r>
    </w:p>
    <w:p>
      <w:pPr>
        <w:numPr>
          <w:ilvl w:val="0"/>
          <w:numId w:val="1003"/>
        </w:numPr>
        <w:pStyle w:val="Compact"/>
      </w:pPr>
      <w:r>
        <w:t xml:space="preserve">Fake news</w:t>
      </w:r>
    </w:p>
    <w:p>
      <w:pPr>
        <w:numPr>
          <w:ilvl w:val="0"/>
          <w:numId w:val="1003"/>
        </w:numPr>
        <w:pStyle w:val="Compact"/>
      </w:pPr>
      <w:r>
        <w:rPr>
          <w:iCs/>
          <w:i/>
        </w:rPr>
        <w:t xml:space="preserve">Kunal Kamra</w:t>
      </w:r>
      <w:r>
        <w:t xml:space="preserve"> </w:t>
      </w:r>
      <w:r>
        <w:t xml:space="preserve">and the Fact Check Unit</w:t>
      </w:r>
    </w:p>
    <w:p>
      <w:pPr>
        <w:pStyle w:val="FirstParagraph"/>
      </w:pPr>
      <w:r>
        <w:rPr>
          <w:bCs/>
          <w:b/>
        </w:rPr>
        <w:t xml:space="preserve">MODULE 4 — CYBERSECURITY</w:t>
      </w:r>
    </w:p>
    <w:p>
      <w:pPr>
        <w:numPr>
          <w:ilvl w:val="0"/>
          <w:numId w:val="1004"/>
        </w:numPr>
        <w:pStyle w:val="Compact"/>
      </w:pPr>
      <w:r>
        <w:t xml:space="preserve">The threat picture</w:t>
      </w:r>
    </w:p>
    <w:p>
      <w:pPr>
        <w:numPr>
          <w:ilvl w:val="0"/>
          <w:numId w:val="1004"/>
        </w:numPr>
        <w:pStyle w:val="Compact"/>
      </w:pPr>
      <w:r>
        <w:t xml:space="preserve">The statutory definition</w:t>
      </w:r>
    </w:p>
    <w:p>
      <w:pPr>
        <w:numPr>
          <w:ilvl w:val="0"/>
          <w:numId w:val="1004"/>
        </w:numPr>
        <w:pStyle w:val="Compact"/>
      </w:pPr>
      <w:r>
        <w:t xml:space="preserve">Protected systems and critical information infrastructure</w:t>
      </w:r>
    </w:p>
    <w:p>
      <w:pPr>
        <w:numPr>
          <w:ilvl w:val="0"/>
          <w:numId w:val="1004"/>
        </w:numPr>
        <w:pStyle w:val="Compact"/>
      </w:pPr>
      <w:r>
        <w:t xml:space="preserve">The two institutions</w:t>
      </w:r>
    </w:p>
    <w:p>
      <w:pPr>
        <w:numPr>
          <w:ilvl w:val="0"/>
          <w:numId w:val="1004"/>
        </w:numPr>
        <w:pStyle w:val="Compact"/>
      </w:pPr>
      <w:r>
        <w:t xml:space="preserve">The CERT-In Directions 2022</w:t>
      </w:r>
    </w:p>
    <w:p>
      <w:pPr>
        <w:pStyle w:val="FirstParagraph"/>
      </w:pPr>
      <w:r>
        <w:rPr>
          <w:bCs/>
          <w:b/>
        </w:rPr>
        <w:t xml:space="preserve">MODULE 5 — SYNTHETICALLY GENERATED INFORMATION</w:t>
      </w:r>
    </w:p>
    <w:p>
      <w:pPr>
        <w:numPr>
          <w:ilvl w:val="0"/>
          <w:numId w:val="1005"/>
        </w:numPr>
        <w:pStyle w:val="Compact"/>
      </w:pPr>
      <w:r>
        <w:t xml:space="preserve">Why the 2026 Rules were made</w:t>
      </w:r>
    </w:p>
    <w:p>
      <w:pPr>
        <w:numPr>
          <w:ilvl w:val="0"/>
          <w:numId w:val="1005"/>
        </w:numPr>
        <w:pStyle w:val="Compact"/>
      </w:pPr>
      <w:r>
        <w:t xml:space="preserve">What counts as synthetically generated information</w:t>
      </w:r>
    </w:p>
    <w:p>
      <w:pPr>
        <w:numPr>
          <w:ilvl w:val="0"/>
          <w:numId w:val="1005"/>
        </w:numPr>
        <w:pStyle w:val="Compact"/>
      </w:pPr>
      <w:r>
        <w:t xml:space="preserve">The obligations</w:t>
      </w:r>
    </w:p>
    <w:p>
      <w:pPr>
        <w:numPr>
          <w:ilvl w:val="0"/>
          <w:numId w:val="1005"/>
        </w:numPr>
        <w:pStyle w:val="Compact"/>
      </w:pPr>
      <w:r>
        <w:t xml:space="preserve">The constitutional objections</w:t>
      </w:r>
    </w:p>
    <w:p>
      <w:pPr>
        <w:numPr>
          <w:ilvl w:val="0"/>
          <w:numId w:val="1005"/>
        </w:numPr>
        <w:pStyle w:val="Compact"/>
      </w:pPr>
      <w:r>
        <w:t xml:space="preserve">The practical objections</w:t>
      </w:r>
    </w:p>
    <w:p>
      <w:pPr>
        <w:pStyle w:val="FirstParagraph"/>
      </w:pPr>
      <w:r>
        <w:rPr>
          <w:bCs/>
          <w:b/>
        </w:rPr>
        <w:t xml:space="preserve">PART 5 — THE TWO TUTORIAL CASE STUDIES</w:t>
      </w:r>
    </w:p>
    <w:p>
      <w:pPr>
        <w:numPr>
          <w:ilvl w:val="0"/>
          <w:numId w:val="1006"/>
        </w:numPr>
        <w:pStyle w:val="Compact"/>
      </w:pPr>
      <w:r>
        <w:t xml:space="preserve">C1 —</w:t>
      </w:r>
      <w:r>
        <w:t xml:space="preserve"> </w:t>
      </w:r>
      <w:r>
        <w:rPr>
          <w:iCs/>
          <w:i/>
        </w:rPr>
        <w:t xml:space="preserve">Neetu Singh &amp; Anr. v. Telegram FZ LLC &amp; Ors.</w:t>
      </w:r>
    </w:p>
    <w:p>
      <w:pPr>
        <w:numPr>
          <w:ilvl w:val="0"/>
          <w:numId w:val="1006"/>
        </w:numPr>
        <w:pStyle w:val="Compact"/>
      </w:pPr>
      <w:r>
        <w:t xml:space="preserve">C2 —</w:t>
      </w:r>
      <w:r>
        <w:t xml:space="preserve"> </w:t>
      </w:r>
      <w:r>
        <w:rPr>
          <w:iCs/>
          <w:i/>
        </w:rPr>
        <w:t xml:space="preserve">Ashwini Kumar Upadhyay v. Union of India &amp; Ors.</w:t>
      </w:r>
    </w:p>
    <w:p>
      <w:pPr>
        <w:pStyle w:val="FirstParagraph"/>
      </w:pPr>
      <w:r>
        <w:rPr>
          <w:bCs/>
          <w:b/>
        </w:rPr>
        <w:t xml:space="preserve">PART 6 — TWENTY PROBLEM QUESTIONS</w:t>
      </w:r>
    </w:p>
    <w:p>
      <w:pPr>
        <w:pStyle w:val="BodyText"/>
      </w:pPr>
      <w:r>
        <w:rPr>
          <w:bCs/>
          <w:b/>
        </w:rPr>
        <w:t xml:space="preserve">PART 7 — EVERY CASE, BY TOPIC, WITH WHAT WAS HELD</w:t>
      </w:r>
    </w:p>
    <w:p>
      <w:pPr>
        <w:numPr>
          <w:ilvl w:val="0"/>
          <w:numId w:val="1007"/>
        </w:numPr>
        <w:pStyle w:val="Compact"/>
      </w:pPr>
      <w:r>
        <w:t xml:space="preserve">A. Interpretation, definitions and jurisdiction</w:t>
      </w:r>
    </w:p>
    <w:p>
      <w:pPr>
        <w:numPr>
          <w:ilvl w:val="0"/>
          <w:numId w:val="1007"/>
        </w:numPr>
        <w:pStyle w:val="Compact"/>
      </w:pPr>
      <w:r>
        <w:t xml:space="preserve">B. Extra-territoriality and global injunctions</w:t>
      </w:r>
    </w:p>
    <w:p>
      <w:pPr>
        <w:numPr>
          <w:ilvl w:val="0"/>
          <w:numId w:val="1007"/>
        </w:numPr>
        <w:pStyle w:val="Compact"/>
      </w:pPr>
      <w:r>
        <w:t xml:space="preserve">C. The origin of safe harbour</w:t>
      </w:r>
    </w:p>
    <w:p>
      <w:pPr>
        <w:numPr>
          <w:ilvl w:val="0"/>
          <w:numId w:val="1007"/>
        </w:numPr>
        <w:pStyle w:val="Compact"/>
      </w:pPr>
      <w:r>
        <w:t xml:space="preserve">D. Section 79 — the core safe-harbour cases</w:t>
      </w:r>
    </w:p>
    <w:p>
      <w:pPr>
        <w:numPr>
          <w:ilvl w:val="0"/>
          <w:numId w:val="1007"/>
        </w:numPr>
        <w:pStyle w:val="Compact"/>
      </w:pPr>
      <w:r>
        <w:t xml:space="preserve">E. Corporate and criminal liability</w:t>
      </w:r>
    </w:p>
    <w:p>
      <w:pPr>
        <w:numPr>
          <w:ilvl w:val="0"/>
          <w:numId w:val="1007"/>
        </w:numPr>
        <w:pStyle w:val="Compact"/>
      </w:pPr>
      <w:r>
        <w:t xml:space="preserve">F. Expanding intermediary obligations</w:t>
      </w:r>
    </w:p>
    <w:p>
      <w:pPr>
        <w:numPr>
          <w:ilvl w:val="0"/>
          <w:numId w:val="1007"/>
        </w:numPr>
        <w:pStyle w:val="Compact"/>
      </w:pPr>
      <w:r>
        <w:t xml:space="preserve">G. Blocking, proportionality and privacy</w:t>
      </w:r>
    </w:p>
    <w:p>
      <w:pPr>
        <w:numPr>
          <w:ilvl w:val="0"/>
          <w:numId w:val="1007"/>
        </w:numPr>
        <w:pStyle w:val="Compact"/>
      </w:pPr>
      <w:r>
        <w:t xml:space="preserve">H. Free speech and hate speech</w:t>
      </w:r>
    </w:p>
    <w:p>
      <w:pPr>
        <w:numPr>
          <w:ilvl w:val="0"/>
          <w:numId w:val="1007"/>
        </w:numPr>
        <w:pStyle w:val="Compact"/>
      </w:pPr>
      <w:r>
        <w:t xml:space="preserve">I. Fake news</w:t>
      </w:r>
    </w:p>
    <w:p>
      <w:pPr>
        <w:numPr>
          <w:ilvl w:val="0"/>
          <w:numId w:val="1007"/>
        </w:numPr>
        <w:pStyle w:val="Compact"/>
      </w:pPr>
      <w:r>
        <w:t xml:space="preserve">J. Authorities cited within the above</w:t>
      </w:r>
    </w:p>
    <w:p>
      <w:pPr>
        <w:pStyle w:val="FirstParagraph"/>
      </w:pPr>
      <w:r>
        <w:rPr>
          <w:bCs/>
          <w:b/>
        </w:rPr>
        <w:t xml:space="preserve">PART 8 — NUMBERS, AND WHERE THE PPTs DISAGREE</w:t>
      </w:r>
    </w:p>
    <w:p>
      <w:pPr>
        <w:numPr>
          <w:ilvl w:val="0"/>
          <w:numId w:val="1008"/>
        </w:numPr>
        <w:pStyle w:val="Compact"/>
      </w:pPr>
      <w:r>
        <w:t xml:space="preserve">Numbers</w:t>
      </w:r>
    </w:p>
    <w:p>
      <w:pPr>
        <w:numPr>
          <w:ilvl w:val="0"/>
          <w:numId w:val="1008"/>
        </w:numPr>
        <w:pStyle w:val="Compact"/>
      </w:pPr>
      <w:r>
        <w:t xml:space="preserve">Where the PPTs disagree</w:t>
      </w:r>
    </w:p>
    <w:p>
      <w:pPr>
        <w:numPr>
          <w:ilvl w:val="0"/>
          <w:numId w:val="1008"/>
        </w:numPr>
        <w:pStyle w:val="Compact"/>
      </w:pPr>
      <w:r>
        <w:t xml:space="preserve">Outside this syllabus</w:t>
      </w:r>
    </w:p>
    <w:bookmarkEnd w:id="22"/>
    <w:bookmarkStart w:id="29" w:name="module-1-the-it-act-2000"/>
    <w:p>
      <w:pPr>
        <w:pStyle w:val="Heading1"/>
      </w:pPr>
      <w:r>
        <w:t xml:space="preserve">MODULE 1 — THE IT ACT 2000</w:t>
      </w:r>
    </w:p>
    <w:bookmarkStart w:id="23" w:name="the-problem-the-act-was-written-to-solve"/>
    <w:p>
      <w:pPr>
        <w:pStyle w:val="Heading2"/>
      </w:pPr>
      <w:r>
        <w:t xml:space="preserve">The problem the Act was written to solve</w:t>
      </w:r>
    </w:p>
    <w:p>
      <w:pPr>
        <w:pStyle w:val="FirstParagraph"/>
      </w:pPr>
      <w:r>
        <w:t xml:space="preserve">Indian law before 2000 assumed paper. Contracts were signed by hand, filings with government were physical, and a record meant a paper record. As commerce moved onto networks, the question became whether an electronic communication carried any legal consequence at all. The Information Technology Bill 1999 was referred to a</w:t>
      </w:r>
      <w:r>
        <w:t xml:space="preserve"> </w:t>
      </w:r>
      <w:r>
        <w:rPr>
          <w:bCs/>
          <w:b/>
        </w:rPr>
        <w:t xml:space="preserve">42-member Parliamentary Standing Committee</w:t>
      </w:r>
      <w:r>
        <w:t xml:space="preserve">, received assent on</w:t>
      </w:r>
      <w:r>
        <w:t xml:space="preserve"> </w:t>
      </w:r>
      <w:r>
        <w:rPr>
          <w:bCs/>
          <w:b/>
        </w:rPr>
        <w:t xml:space="preserve">9 June 2000</w:t>
      </w:r>
      <w:r>
        <w:t xml:space="preserve"> </w:t>
      </w:r>
      <w:r>
        <w:t xml:space="preserve">as</w:t>
      </w:r>
      <w:r>
        <w:t xml:space="preserve"> </w:t>
      </w:r>
      <w:r>
        <w:rPr>
          <w:bCs/>
          <w:b/>
        </w:rPr>
        <w:t xml:space="preserve">Act 21 of 2000</w:t>
      </w:r>
      <w:r>
        <w:t xml:space="preserve">, and commenced on</w:t>
      </w:r>
      <w:r>
        <w:t xml:space="preserve"> </w:t>
      </w:r>
      <w:r>
        <w:rPr>
          <w:bCs/>
          <w:b/>
        </w:rPr>
        <w:t xml:space="preserve">17 October 2000</w:t>
      </w:r>
      <w:r>
        <w:t xml:space="preserve">. Its stated purposes were to give a fillip to the growth of computers, internet and software in India, to provide a legal framework promoting e-commerce, and to usher in an age where paper would be replaced by electronic records.</w:t>
      </w:r>
    </w:p>
    <w:p>
      <w:pPr>
        <w:pStyle w:val="BodyText"/>
      </w:pPr>
      <w:r>
        <w:t xml:space="preserve">The consequence of that origin is that the Act as enacted was</w:t>
      </w:r>
      <w:r>
        <w:t xml:space="preserve"> </w:t>
      </w:r>
      <w:r>
        <w:rPr>
          <w:bCs/>
          <w:b/>
        </w:rPr>
        <w:t xml:space="preserve">not a criminal statute</w:t>
      </w:r>
      <w:r>
        <w:t xml:space="preserve">. Cyber terrorism, identity theft, obscenity, child sexual abuse material, data protection and intermediary liability all arrived later, through the</w:t>
      </w:r>
      <w:r>
        <w:t xml:space="preserve"> </w:t>
      </w:r>
      <w:r>
        <w:rPr>
          <w:bCs/>
          <w:b/>
        </w:rPr>
        <w:t xml:space="preserve">IT (Amendment) Act 2008</w:t>
      </w:r>
      <w:r>
        <w:t xml:space="preserve">, notified on</w:t>
      </w:r>
      <w:r>
        <w:t xml:space="preserve"> </w:t>
      </w:r>
      <w:r>
        <w:rPr>
          <w:bCs/>
          <w:b/>
        </w:rPr>
        <w:t xml:space="preserve">5 February 2009</w:t>
      </w:r>
      <w:r>
        <w:t xml:space="preserve">. The trigger was the Mumbai terror attacks of November 2008, and the amendment transformed an e-commerce enabling law into a criminal, security and platform-regulation statute. It inserted</w:t>
      </w:r>
      <w:r>
        <w:t xml:space="preserve"> </w:t>
      </w:r>
      <w:r>
        <w:rPr>
          <w:bCs/>
          <w:b/>
        </w:rPr>
        <w:t xml:space="preserve">s.66F</w:t>
      </w:r>
      <w:r>
        <w:t xml:space="preserve"> </w:t>
      </w:r>
      <w:r>
        <w:t xml:space="preserve">(cyber terrorism, punishable up to life imprisonment),</w:t>
      </w:r>
      <w:r>
        <w:t xml:space="preserve"> </w:t>
      </w:r>
      <w:r>
        <w:rPr>
          <w:bCs/>
          <w:b/>
        </w:rPr>
        <w:t xml:space="preserve">s.2(1)(ta)</w:t>
      </w:r>
      <w:r>
        <w:t xml:space="preserve"> </w:t>
      </w:r>
      <w:r>
        <w:t xml:space="preserve">and</w:t>
      </w:r>
      <w:r>
        <w:t xml:space="preserve"> </w:t>
      </w:r>
      <w:r>
        <w:rPr>
          <w:bCs/>
          <w:b/>
        </w:rPr>
        <w:t xml:space="preserve">s.3A</w:t>
      </w:r>
      <w:r>
        <w:t xml:space="preserve"> </w:t>
      </w:r>
      <w:r>
        <w:t xml:space="preserve">(electronic signatures),</w:t>
      </w:r>
      <w:r>
        <w:t xml:space="preserve"> </w:t>
      </w:r>
      <w:r>
        <w:rPr>
          <w:bCs/>
          <w:b/>
        </w:rPr>
        <w:t xml:space="preserve">s.43A</w:t>
      </w:r>
      <w:r>
        <w:t xml:space="preserve"> </w:t>
      </w:r>
      <w:r>
        <w:t xml:space="preserve">and</w:t>
      </w:r>
      <w:r>
        <w:t xml:space="preserve"> </w:t>
      </w:r>
      <w:r>
        <w:rPr>
          <w:bCs/>
          <w:b/>
        </w:rPr>
        <w:t xml:space="preserve">s.72A</w:t>
      </w:r>
      <w:r>
        <w:t xml:space="preserve"> </w:t>
      </w:r>
      <w:r>
        <w:t xml:space="preserve">(data protection),</w:t>
      </w:r>
      <w:r>
        <w:t xml:space="preserve"> </w:t>
      </w:r>
      <w:r>
        <w:rPr>
          <w:bCs/>
          <w:b/>
        </w:rPr>
        <w:t xml:space="preserve">ss.66 and 66A–66E</w:t>
      </w:r>
      <w:r>
        <w:t xml:space="preserve"> </w:t>
      </w:r>
      <w:r>
        <w:t xml:space="preserve">(computer-related offences),</w:t>
      </w:r>
      <w:r>
        <w:t xml:space="preserve"> </w:t>
      </w:r>
      <w:r>
        <w:rPr>
          <w:bCs/>
          <w:b/>
        </w:rPr>
        <w:t xml:space="preserve">ss.67A and 67B</w:t>
      </w:r>
      <w:r>
        <w:t xml:space="preserve"> </w:t>
      </w:r>
      <w:r>
        <w:t xml:space="preserve">(sexually explicit material and child sexual abuse material), the new</w:t>
      </w:r>
      <w:r>
        <w:t xml:space="preserve"> </w:t>
      </w:r>
      <w:r>
        <w:rPr>
          <w:bCs/>
          <w:b/>
        </w:rPr>
        <w:t xml:space="preserve">s.2(1)(w)</w:t>
      </w:r>
      <w:r>
        <w:t xml:space="preserve"> </w:t>
      </w:r>
      <w:r>
        <w:t xml:space="preserve">and</w:t>
      </w:r>
      <w:r>
        <w:t xml:space="preserve"> </w:t>
      </w:r>
      <w:r>
        <w:rPr>
          <w:bCs/>
          <w:b/>
        </w:rPr>
        <w:t xml:space="preserve">s.79</w:t>
      </w:r>
      <w:r>
        <w:t xml:space="preserve"> </w:t>
      </w:r>
      <w:r>
        <w:t xml:space="preserve">(intermediaries),</w:t>
      </w:r>
      <w:r>
        <w:t xml:space="preserve"> </w:t>
      </w:r>
      <w:r>
        <w:rPr>
          <w:bCs/>
          <w:b/>
        </w:rPr>
        <w:t xml:space="preserve">ss.69A and 69B</w:t>
      </w:r>
      <w:r>
        <w:t xml:space="preserve"> </w:t>
      </w:r>
      <w:r>
        <w:t xml:space="preserve">(blocking and traffic monitoring), and the institutional framework of the Adjudicating Officer and Cyber Appellate Tribunal.</w:t>
      </w:r>
    </w:p>
    <w:bookmarkEnd w:id="23"/>
    <w:bookmarkStart w:id="24" w:name="X8939984f8896f8d519cf797668ea6a4febb6291"/>
    <w:p>
      <w:pPr>
        <w:pStyle w:val="Heading2"/>
      </w:pPr>
      <w:r>
        <w:t xml:space="preserve">The international foundation and the three MLEC principles</w:t>
      </w:r>
    </w:p>
    <w:p>
      <w:pPr>
        <w:pStyle w:val="FirstParagraph"/>
      </w:pPr>
      <w:r>
        <w:t xml:space="preserve">The Act rests on the</w:t>
      </w:r>
      <w:r>
        <w:t xml:space="preserve"> </w:t>
      </w:r>
      <w:r>
        <w:rPr>
          <w:bCs/>
          <w:b/>
        </w:rPr>
        <w:t xml:space="preserve">UNCITRAL Model Law on Electronic Commerce</w:t>
      </w:r>
      <w:r>
        <w:t xml:space="preserve">, adopted in</w:t>
      </w:r>
      <w:r>
        <w:t xml:space="preserve"> </w:t>
      </w:r>
      <w:r>
        <w:rPr>
          <w:bCs/>
          <w:b/>
        </w:rPr>
        <w:t xml:space="preserve">1996</w:t>
      </w:r>
      <w:r>
        <w:t xml:space="preserve"> </w:t>
      </w:r>
      <w:r>
        <w:t xml:space="preserve">and taken up by the UN General Assembly through</w:t>
      </w:r>
      <w:r>
        <w:t xml:space="preserve"> </w:t>
      </w:r>
      <w:r>
        <w:rPr>
          <w:bCs/>
          <w:b/>
        </w:rPr>
        <w:t xml:space="preserve">Resolution A/RES/51/162 of 30 January 1997</w:t>
      </w:r>
      <w:r>
        <w:t xml:space="preserve">. The resolution recommends that States give favourable consideration to the Model Law</w:t>
      </w:r>
      <w:r>
        <w:t xml:space="preserve"> </w:t>
      </w:r>
      <w:r>
        <w:rPr>
          <w:iCs/>
          <w:i/>
        </w:rPr>
        <w:t xml:space="preserve">“</w:t>
      </w:r>
      <w:r>
        <w:rPr>
          <w:iCs/>
          <w:i/>
        </w:rPr>
        <w:t xml:space="preserve">in view of the need for uniformity of the law applicable to alternatives to paper-based methods of communication and storage of information.</w:t>
      </w:r>
      <w:r>
        <w:rPr>
          <w:iCs/>
          <w:i/>
        </w:rPr>
        <w:t xml:space="preserve">”</w:t>
      </w:r>
      <w:r>
        <w:t xml:space="preserve"> </w:t>
      </w:r>
      <w:r>
        <w:t xml:space="preserve">The Preamble of the Indian Act recites this, states the three objects — legal recognition of electronic transactions, facilitation of electronic filing with government, and amendment of the</w:t>
      </w:r>
      <w:r>
        <w:t xml:space="preserve"> </w:t>
      </w:r>
      <w:r>
        <w:rPr>
          <w:bCs/>
          <w:b/>
        </w:rPr>
        <w:t xml:space="preserve">Indian Penal Code, the Indian Evidence Act 1872, the Bankers’ Books Evidence Act 1891 and the Reserve Bank of India Act 1934</w:t>
      </w:r>
      <w:r>
        <w:t xml:space="preserve"> </w:t>
      </w:r>
      <w:r>
        <w:t xml:space="preserve">— and records the further object of promoting efficient delivery of government services through reliable electronic records.</w:t>
      </w:r>
    </w:p>
    <w:p>
      <w:pPr>
        <w:pStyle w:val="BodyText"/>
      </w:pPr>
      <w:r>
        <w:t xml:space="preserve">The Model Law rests on three principles, and the examinable point is that the Act as originally enacted satisfied only two of them.</w:t>
      </w:r>
    </w:p>
    <w:p>
      <w:pPr>
        <w:pStyle w:val="BodyText"/>
      </w:pPr>
      <w:r>
        <w:rPr>
          <w:bCs/>
          <w:b/>
        </w:rPr>
        <w:t xml:space="preserve">Non-discrimination</w:t>
      </w:r>
      <w:r>
        <w:t xml:space="preserve"> </w:t>
      </w:r>
      <w:r>
        <w:t xml:space="preserve">requires that a document not be denied legal effect, validity or enforceability</w:t>
      </w:r>
      <w:r>
        <w:t xml:space="preserve"> </w:t>
      </w:r>
      <w:r>
        <w:rPr>
          <w:iCs/>
          <w:i/>
        </w:rPr>
        <w:t xml:space="preserve">solely</w:t>
      </w:r>
      <w:r>
        <w:t xml:space="preserve"> </w:t>
      </w:r>
      <w:r>
        <w:t xml:space="preserve">because it is in electronic form. The qualifier matters: the principle removes electronic form as a disqualifying reason but leaves every other legal requirement intact.</w:t>
      </w:r>
      <w:r>
        <w:t xml:space="preserve"> </w:t>
      </w:r>
      <w:r>
        <w:rPr>
          <w:bCs/>
          <w:b/>
        </w:rPr>
        <w:t xml:space="preserve">Sections 3 to 10</w:t>
      </w:r>
      <w:r>
        <w:t xml:space="preserve"> </w:t>
      </w:r>
      <w:r>
        <w:t xml:space="preserve">of the Act satisfy it.</w:t>
      </w:r>
    </w:p>
    <w:p>
      <w:pPr>
        <w:pStyle w:val="BodyText"/>
      </w:pPr>
      <w:r>
        <w:rPr>
          <w:bCs/>
          <w:b/>
        </w:rPr>
        <w:t xml:space="preserve">Technological neutrality</w:t>
      </w:r>
      <w:r>
        <w:t xml:space="preserve"> </w:t>
      </w:r>
      <w:r>
        <w:t xml:space="preserve">requires legislation to describe functions and standards rather than fix the law to a named technology, because technology outpaces legislation and a neutral rule accommodates future developments without further amendment.</w:t>
      </w:r>
      <w:r>
        <w:t xml:space="preserve"> </w:t>
      </w:r>
      <w:r>
        <w:rPr>
          <w:bCs/>
          <w:b/>
        </w:rPr>
        <w:t xml:space="preserve">The original Act failed this test.</w:t>
      </w:r>
      <w:r>
        <w:t xml:space="preserve"> </w:t>
      </w:r>
      <w:r>
        <w:t xml:space="preserve">It recognised only the</w:t>
      </w:r>
      <w:r>
        <w:t xml:space="preserve"> </w:t>
      </w:r>
      <w:r>
        <w:rPr>
          <w:bCs/>
          <w:b/>
        </w:rPr>
        <w:t xml:space="preserve">digital signature</w:t>
      </w:r>
      <w:r>
        <w:t xml:space="preserve">, defined in</w:t>
      </w:r>
      <w:r>
        <w:t xml:space="preserve"> </w:t>
      </w:r>
      <w:r>
        <w:rPr>
          <w:bCs/>
          <w:b/>
        </w:rPr>
        <w:t xml:space="preserve">s.2(1)(p)</w:t>
      </w:r>
      <w:r>
        <w:t xml:space="preserve"> </w:t>
      </w:r>
      <w:r>
        <w:t xml:space="preserve">and operating through</w:t>
      </w:r>
      <w:r>
        <w:t xml:space="preserve"> </w:t>
      </w:r>
      <w:r>
        <w:rPr>
          <w:bCs/>
          <w:b/>
        </w:rPr>
        <w:t xml:space="preserve">s.3</w:t>
      </w:r>
      <w:r>
        <w:t xml:space="preserve">, which requires authentication</w:t>
      </w:r>
      <w:r>
        <w:t xml:space="preserve"> </w:t>
      </w:r>
      <w:r>
        <w:rPr>
          <w:iCs/>
          <w:i/>
        </w:rPr>
        <w:t xml:space="preserve">“</w:t>
      </w:r>
      <w:r>
        <w:rPr>
          <w:iCs/>
          <w:i/>
        </w:rPr>
        <w:t xml:space="preserve">by the use of an asymmetric crypto system and hash function.</w:t>
      </w:r>
      <w:r>
        <w:rPr>
          <w:iCs/>
          <w:i/>
        </w:rPr>
        <w:t xml:space="preserve">”</w:t>
      </w:r>
      <w:r>
        <w:t xml:space="preserve"> </w:t>
      </w:r>
      <w:r>
        <w:t xml:space="preserve">That is a single technology. The defect was cured by the 2008 Amendment, which inserted</w:t>
      </w:r>
      <w:r>
        <w:t xml:space="preserve"> </w:t>
      </w:r>
      <w:r>
        <w:rPr>
          <w:bCs/>
          <w:b/>
        </w:rPr>
        <w:t xml:space="preserve">s.2(1)(ta)</w:t>
      </w:r>
      <w:r>
        <w:t xml:space="preserve"> </w:t>
      </w:r>
      <w:r>
        <w:t xml:space="preserve">and</w:t>
      </w:r>
      <w:r>
        <w:t xml:space="preserve"> </w:t>
      </w:r>
      <w:r>
        <w:rPr>
          <w:bCs/>
          <w:b/>
        </w:rPr>
        <w:t xml:space="preserve">s.3A</w:t>
      </w:r>
      <w:r>
        <w:t xml:space="preserve">, permitting authentication by any electronic signature or authentication technique which is considered reliable and specified in the</w:t>
      </w:r>
      <w:r>
        <w:t xml:space="preserve"> </w:t>
      </w:r>
      <w:r>
        <w:rPr>
          <w:bCs/>
          <w:b/>
        </w:rPr>
        <w:t xml:space="preserve">Second Schedule</w:t>
      </w:r>
      <w:r>
        <w:t xml:space="preserve"> </w:t>
      </w:r>
      <w:r>
        <w:t xml:space="preserve">— a schedule that can be amended as technology changes. Aadhaar-based biometric authentication is the standing illustration: it could never have qualified as a digital signature under s.3 and operates only because of s.3A.</w:t>
      </w:r>
    </w:p>
    <w:p>
      <w:pPr>
        <w:pStyle w:val="BodyText"/>
      </w:pPr>
      <w:r>
        <w:rPr>
          <w:bCs/>
          <w:b/>
        </w:rPr>
        <w:t xml:space="preserve">Functional equivalence</w:t>
      </w:r>
      <w:r>
        <w:t xml:space="preserve"> </w:t>
      </w:r>
      <w:r>
        <w:t xml:space="preserve">asks what legal function a paper formality performs — writing preserves information, an original demonstrates integrity, a signature attributes and signifies assent — and then sets conditions under which an electronic method performs the same function. The Act satisfies 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Principle</w:t>
            </w:r>
          </w:p>
        </w:tc>
        <w:tc>
          <w:tcPr/>
          <w:p>
            <w:pPr>
              <w:pStyle w:val="Compact"/>
              <w:jc w:val="left"/>
            </w:pPr>
            <w:r>
              <w:t xml:space="preserve">Original IT Act 2000</w:t>
            </w:r>
          </w:p>
        </w:tc>
        <w:tc>
          <w:tcPr/>
          <w:p>
            <w:pPr>
              <w:pStyle w:val="Compact"/>
              <w:jc w:val="left"/>
            </w:pPr>
            <w:r>
              <w:t xml:space="preserve">Cured by</w:t>
            </w:r>
          </w:p>
        </w:tc>
      </w:tr>
      <w:tr>
        <w:tc>
          <w:tcPr/>
          <w:p>
            <w:pPr>
              <w:pStyle w:val="Compact"/>
              <w:jc w:val="left"/>
            </w:pPr>
            <w:r>
              <w:t xml:space="preserve">Non-discrimination</w:t>
            </w:r>
          </w:p>
        </w:tc>
        <w:tc>
          <w:tcPr/>
          <w:p>
            <w:pPr>
              <w:pStyle w:val="Compact"/>
              <w:jc w:val="left"/>
            </w:pPr>
            <w:r>
              <w:t xml:space="preserve">✔ Compliant (ss.3–10)</w:t>
            </w:r>
          </w:p>
        </w:tc>
        <w:tc>
          <w:tcPr/>
          <w:p>
            <w:pPr>
              <w:pStyle w:val="Compact"/>
              <w:jc w:val="left"/>
            </w:pPr>
            <w:r>
              <w:t xml:space="preserve">—</w:t>
            </w:r>
          </w:p>
        </w:tc>
      </w:tr>
      <w:tr>
        <w:tc>
          <w:tcPr/>
          <w:p>
            <w:pPr>
              <w:pStyle w:val="Compact"/>
              <w:jc w:val="left"/>
            </w:pPr>
            <w:r>
              <w:rPr>
                <w:bCs/>
                <w:b/>
              </w:rPr>
              <w:t xml:space="preserve">Technological neutrality</w:t>
            </w:r>
          </w:p>
        </w:tc>
        <w:tc>
          <w:tcPr/>
          <w:p>
            <w:pPr>
              <w:pStyle w:val="Compact"/>
              <w:jc w:val="left"/>
            </w:pPr>
            <w:r>
              <w:rPr>
                <w:bCs/>
                <w:b/>
              </w:rPr>
              <w:t xml:space="preserve">✘ Not compliant</w:t>
            </w:r>
          </w:p>
        </w:tc>
        <w:tc>
          <w:tcPr/>
          <w:p>
            <w:pPr>
              <w:pStyle w:val="Compact"/>
              <w:jc w:val="left"/>
            </w:pPr>
            <w:r>
              <w:t xml:space="preserve">2008 Amendment: s.2(1)(ta), s.3A, Second Schedule</w:t>
            </w:r>
          </w:p>
        </w:tc>
      </w:tr>
      <w:tr>
        <w:tc>
          <w:tcPr/>
          <w:p>
            <w:pPr>
              <w:pStyle w:val="Compact"/>
              <w:jc w:val="left"/>
            </w:pPr>
            <w:r>
              <w:t xml:space="preserve">Functional equivalence</w:t>
            </w:r>
          </w:p>
        </w:tc>
        <w:tc>
          <w:tcPr/>
          <w:p>
            <w:pPr>
              <w:pStyle w:val="Compact"/>
              <w:jc w:val="left"/>
            </w:pPr>
            <w:r>
              <w:t xml:space="preserve">✔ Compliant</w:t>
            </w:r>
          </w:p>
        </w:tc>
        <w:tc>
          <w:tcPr/>
          <w:p>
            <w:pPr>
              <w:pStyle w:val="Compact"/>
              <w:jc w:val="left"/>
            </w:pPr>
            <w:r>
              <w:t xml:space="preserve">—</w:t>
            </w:r>
          </w:p>
        </w:tc>
      </w:tr>
    </w:tbl>
    <w:p>
      <w:pPr>
        <w:pStyle w:val="BodyText"/>
      </w:pPr>
      <w:r>
        <w:t xml:space="preserve">Whether the Model Law may be used as an external aid to interpretation was answered in</w:t>
      </w:r>
      <w:r>
        <w:t xml:space="preserve"> </w:t>
      </w:r>
      <w:r>
        <w:rPr>
          <w:iCs/>
          <w:i/>
          <w:bCs/>
          <w:b/>
        </w:rPr>
        <w:t xml:space="preserve">Konkan Railway Corporation Ltd. v. Rani Construction (P) Ltd.</w:t>
      </w:r>
      <w:r>
        <w:t xml:space="preserve">, AIR 2002 SC 778, a case on the arbitration Model Law but directly analogous. The Court held that the Model Law had</w:t>
      </w:r>
      <w:r>
        <w:t xml:space="preserve"> </w:t>
      </w:r>
      <w:r>
        <w:rPr>
          <w:iCs/>
          <w:i/>
        </w:rPr>
        <w:t xml:space="preserve">“</w:t>
      </w:r>
      <w:r>
        <w:rPr>
          <w:iCs/>
          <w:i/>
        </w:rPr>
        <w:t xml:space="preserve">only [been] taken into account in drafting</w:t>
      </w:r>
      <w:r>
        <w:rPr>
          <w:iCs/>
          <w:i/>
        </w:rPr>
        <w:t xml:space="preserve">”</w:t>
      </w:r>
      <w:r>
        <w:t xml:space="preserve"> </w:t>
      </w:r>
      <w:r>
        <w:t xml:space="preserve">the Indian statute, that</w:t>
      </w:r>
      <w:r>
        <w:t xml:space="preserve"> </w:t>
      </w:r>
      <w:r>
        <w:rPr>
          <w:iCs/>
          <w:i/>
        </w:rPr>
        <w:t xml:space="preserve">“</w:t>
      </w:r>
      <w:r>
        <w:rPr>
          <w:iCs/>
          <w:i/>
        </w:rPr>
        <w:t xml:space="preserve">the Act and the Model Law are not identically drafted,</w:t>
      </w:r>
      <w:r>
        <w:rPr>
          <w:iCs/>
          <w:i/>
        </w:rPr>
        <w:t xml:space="preserve">”</w:t>
      </w:r>
      <w:r>
        <w:t xml:space="preserve"> </w:t>
      </w:r>
      <w:r>
        <w:t xml:space="preserve">and that therefore</w:t>
      </w:r>
      <w:r>
        <w:t xml:space="preserve"> </w:t>
      </w:r>
      <w:r>
        <w:rPr>
          <w:iCs/>
          <w:i/>
        </w:rPr>
        <w:t xml:space="preserve">“</w:t>
      </w:r>
      <w:r>
        <w:rPr>
          <w:iCs/>
          <w:i/>
        </w:rPr>
        <w:t xml:space="preserve">the Model Law and judgments and literature thereon are… not a guide to the interpretation of the Act.</w:t>
      </w:r>
      <w:r>
        <w:rPr>
          <w:iCs/>
          <w:i/>
        </w:rPr>
        <w:t xml:space="preserve">”</w:t>
      </w:r>
      <w:r>
        <w:t xml:space="preserve"> </w:t>
      </w:r>
      <w:r>
        <w:t xml:space="preserve">The Model Law acted as a catalyst for a domestic law; interpretation must proceed from the object of the Act itself and the facts of the particular problem.</w:t>
      </w:r>
    </w:p>
    <w:bookmarkEnd w:id="24"/>
    <w:bookmarkStart w:id="25" w:name="delegated-legislation"/>
    <w:p>
      <w:pPr>
        <w:pStyle w:val="Heading2"/>
      </w:pPr>
      <w:r>
        <w:t xml:space="preserve">Delegated legislation</w:t>
      </w:r>
    </w:p>
    <w:p>
      <w:pPr>
        <w:pStyle w:val="FirstParagraph"/>
      </w:pPr>
      <w:r>
        <w:t xml:space="preserve">A distinctive feature of IT law is that the regime changes principally through</w:t>
      </w:r>
      <w:r>
        <w:t xml:space="preserve"> </w:t>
      </w:r>
      <w:r>
        <w:rPr>
          <w:bCs/>
          <w:b/>
        </w:rPr>
        <w:t xml:space="preserve">Rules</w:t>
      </w:r>
      <w:r>
        <w:t xml:space="preserve"> </w:t>
      </w:r>
      <w:r>
        <w:t xml:space="preserve">made by the executive rather than through amendment of the parent Act. The Rules supply technical, procedural and institutional detail that could not sit in the statute, but they must remain within the policy and limits the parent Act lays down; a rule that steps beyond is</w:t>
      </w:r>
      <w:r>
        <w:t xml:space="preserve"> </w:t>
      </w:r>
      <w:r>
        <w:rPr>
          <w:iCs/>
          <w:i/>
        </w:rPr>
        <w:t xml:space="preserve">ultra vires</w:t>
      </w:r>
      <w:r>
        <w:t xml:space="preserve">. That limit is the central argument in</w:t>
      </w:r>
      <w:r>
        <w:t xml:space="preserve"> </w:t>
      </w:r>
      <w:r>
        <w:rPr>
          <w:iCs/>
          <w:i/>
        </w:rPr>
        <w:t xml:space="preserve">Kunal Kamra</w:t>
      </w:r>
      <w:r>
        <w:t xml:space="preserve">, in</w:t>
      </w:r>
      <w:r>
        <w:t xml:space="preserve"> </w:t>
      </w:r>
      <w:r>
        <w:rPr>
          <w:iCs/>
          <w:i/>
        </w:rPr>
        <w:t xml:space="preserve">X v. Union of India</w:t>
      </w:r>
      <w:r>
        <w:t xml:space="preserve">, and in every challenge to the 2021 Rules.</w:t>
      </w:r>
    </w:p>
    <w:p>
      <w:pPr>
        <w:pStyle w:val="BodyText"/>
      </w:pPr>
      <w:r>
        <w:t xml:space="preserve">Four years matter.</w:t>
      </w:r>
      <w:r>
        <w:t xml:space="preserve"> </w:t>
      </w:r>
      <w:r>
        <w:rPr>
          <w:bCs/>
          <w:b/>
        </w:rPr>
        <w:t xml:space="preserve">2009</w:t>
      </w:r>
      <w:r>
        <w:t xml:space="preserve"> </w:t>
      </w:r>
      <w:r>
        <w:t xml:space="preserve">produced the Interception, Monitoring and Decryption Rules and the Blocking Rules under s.69A.</w:t>
      </w:r>
      <w:r>
        <w:t xml:space="preserve"> </w:t>
      </w:r>
      <w:r>
        <w:rPr>
          <w:bCs/>
          <w:b/>
        </w:rPr>
        <w:t xml:space="preserve">2011</w:t>
      </w:r>
      <w:r>
        <w:t xml:space="preserve"> </w:t>
      </w:r>
      <w:r>
        <w:t xml:space="preserve">produced the Sensitive Personal Data or Information Rules — India’s data protection framework before the DPDP Act 2023 — and the Intermediaries Guidelines Rules.</w:t>
      </w:r>
      <w:r>
        <w:t xml:space="preserve"> </w:t>
      </w:r>
      <w:r>
        <w:rPr>
          <w:bCs/>
          <w:b/>
        </w:rPr>
        <w:t xml:space="preserve">2013</w:t>
      </w:r>
      <w:r>
        <w:t xml:space="preserve"> </w:t>
      </w:r>
      <w:r>
        <w:t xml:space="preserve">produced the NCIIPC Rules under s.70A and the CERT-In Rules under s.70B.</w:t>
      </w:r>
      <w:r>
        <w:t xml:space="preserve"> </w:t>
      </w:r>
      <w:r>
        <w:rPr>
          <w:bCs/>
          <w:b/>
        </w:rPr>
        <w:t xml:space="preserve">2021</w:t>
      </w:r>
      <w:r>
        <w:t xml:space="preserve"> </w:t>
      </w:r>
      <w:r>
        <w:t xml:space="preserve">produced the Intermediary Guidelines and Digital Media Ethics Code Rules, amended in 2023 and again in 2026.</w:t>
      </w:r>
    </w:p>
    <w:bookmarkEnd w:id="25"/>
    <w:bookmarkStart w:id="26" w:name="section-1-reach-and-exclusions"/>
    <w:p>
      <w:pPr>
        <w:pStyle w:val="Heading2"/>
      </w:pPr>
      <w:r>
        <w:t xml:space="preserve">Section 1 — reach and exclusions</w:t>
      </w:r>
    </w:p>
    <w:p>
      <w:pPr>
        <w:pStyle w:val="FirstParagraph"/>
      </w:pPr>
      <w:r>
        <w:t xml:space="preserve">Section 1 fixes the boundaries of the Act. Under</w:t>
      </w:r>
      <w:r>
        <w:t xml:space="preserve"> </w:t>
      </w:r>
      <w:r>
        <w:rPr>
          <w:bCs/>
          <w:b/>
        </w:rPr>
        <w:t xml:space="preserve">s.1(2)</w:t>
      </w:r>
      <w:r>
        <w:t xml:space="preserve"> </w:t>
      </w:r>
      <w:r>
        <w:t xml:space="preserve">it extends to the whole of India, and unlike many Indian statutes it carries</w:t>
      </w:r>
      <w:r>
        <w:t xml:space="preserve"> </w:t>
      </w:r>
      <w:r>
        <w:rPr>
          <w:bCs/>
          <w:b/>
        </w:rPr>
        <w:t xml:space="preserve">no exception for Jammu and Kashmir</w:t>
      </w:r>
      <w:r>
        <w:t xml:space="preserve">. The same sub-section gives it extra-territorial operation, applying to any offence or contravention committed outside India by any person, which makes the IT Act a</w:t>
      </w:r>
      <w:r>
        <w:t xml:space="preserve"> </w:t>
      </w:r>
      <w:r>
        <w:rPr>
          <w:bCs/>
          <w:b/>
        </w:rPr>
        <w:t xml:space="preserve">long-arm statute</w:t>
      </w:r>
      <w:r>
        <w:t xml:space="preserve"> </w:t>
      </w:r>
      <w:r>
        <w:t xml:space="preserve">— one that allows a court to obtain personal jurisdiction over an out-of-state defendant on the basis of acts committed outside, provided the defendant has a sufficient connection with the forum.</w:t>
      </w:r>
    </w:p>
    <w:p>
      <w:pPr>
        <w:pStyle w:val="BodyText"/>
      </w:pPr>
      <w:r>
        <w:t xml:space="preserve">Reach alone is not enough, and</w:t>
      </w:r>
      <w:r>
        <w:t xml:space="preserve"> </w:t>
      </w:r>
      <w:r>
        <w:rPr>
          <w:bCs/>
          <w:b/>
        </w:rPr>
        <w:t xml:space="preserve">s.1(2) must be read with s.75</w:t>
      </w:r>
      <w:r>
        <w:t xml:space="preserve">. Section 75(1) confirms that the Act applies irrespective of nationality;</w:t>
      </w:r>
      <w:r>
        <w:t xml:space="preserve"> </w:t>
      </w:r>
      <w:r>
        <w:rPr>
          <w:bCs/>
          <w:b/>
        </w:rPr>
        <w:t xml:space="preserve">s.75(2)</w:t>
      </w:r>
      <w:r>
        <w:t xml:space="preserve"> </w:t>
      </w:r>
      <w:r>
        <w:t xml:space="preserve">supplies the nexus, applying the Act to conduct outside India only</w:t>
      </w:r>
      <w:r>
        <w:t xml:space="preserve"> </w:t>
      </w:r>
      <w:r>
        <w:rPr>
          <w:iCs/>
          <w:i/>
        </w:rPr>
        <w:t xml:space="preserve">“</w:t>
      </w:r>
      <w:r>
        <w:rPr>
          <w:iCs/>
          <w:i/>
        </w:rPr>
        <w:t xml:space="preserve">if the act or conduct constituting the offence or contravention involves a computer, computer system or computer network located in India.</w:t>
      </w:r>
      <w:r>
        <w:rPr>
          <w:iCs/>
          <w:i/>
        </w:rPr>
        <w:t xml:space="preserve">”</w:t>
      </w:r>
      <w:r>
        <w:t xml:space="preserve"> </w:t>
      </w:r>
      <w:r>
        <w:t xml:space="preserve">Nationality and physical location are therefore irrelevant; the location of the computer decides. The distinction between an</w:t>
      </w:r>
      <w:r>
        <w:t xml:space="preserve"> </w:t>
      </w:r>
      <w:r>
        <w:rPr>
          <w:bCs/>
          <w:b/>
        </w:rPr>
        <w:t xml:space="preserve">offence</w:t>
      </w:r>
      <w:r>
        <w:t xml:space="preserve">, which is punishable, and a</w:t>
      </w:r>
      <w:r>
        <w:t xml:space="preserve"> </w:t>
      </w:r>
      <w:r>
        <w:rPr>
          <w:bCs/>
          <w:b/>
        </w:rPr>
        <w:t xml:space="preserve">contravention</w:t>
      </w:r>
      <w:r>
        <w:t xml:space="preserve">, which attracts compensation under s.43, runs through the section.</w:t>
      </w:r>
    </w:p>
    <w:p>
      <w:pPr>
        <w:pStyle w:val="BodyText"/>
      </w:pPr>
      <w:r>
        <w:rPr>
          <w:bCs/>
          <w:b/>
        </w:rPr>
        <w:t xml:space="preserve">Section 1(4)</w:t>
      </w:r>
      <w:r>
        <w:t xml:space="preserve"> </w:t>
      </w:r>
      <w:r>
        <w:t xml:space="preserve">excludes the five documents in the</w:t>
      </w:r>
      <w:r>
        <w:t xml:space="preserve"> </w:t>
      </w:r>
      <w:r>
        <w:rPr>
          <w:bCs/>
          <w:b/>
        </w:rPr>
        <w:t xml:space="preserve">First Schedule</w:t>
      </w:r>
      <w:r>
        <w:t xml:space="preserve"> </w:t>
      </w:r>
      <w:r>
        <w:t xml:space="preserve">— a negotiable instrument other than a cheque, a power-of-attorney, a trust, a will including any other testamentary disposition, and a contract for the sale or conveyance of immovable property. Cheques are deliberately not excluded. These five were chosen because in 2000 India’s registries were not digitised, because each carries a heightened formality requirement (a will needs two attesting witnesses, a trust protects beneficiaries, a power-of-attorney transfers authority over another’s affairs), and because each is a prime target for forgery. The exclusion was never intended to be permanent: the proviso to s.1(4) allows the Central Government to amend the Schedule by notification laid before Parliament, and entry 5 has been the subject of deletion as electronic property registration became feasible.</w:t>
      </w:r>
    </w:p>
    <w:bookmarkEnd w:id="26"/>
    <w:bookmarkStart w:id="27" w:name="global-injunctions"/>
    <w:p>
      <w:pPr>
        <w:pStyle w:val="Heading2"/>
      </w:pPr>
      <w:r>
        <w:t xml:space="preserve">Global injunctions</w:t>
      </w:r>
    </w:p>
    <w:p>
      <w:pPr>
        <w:pStyle w:val="FirstParagraph"/>
      </w:pPr>
      <w:r>
        <w:t xml:space="preserve">Because content uploaded anywhere is visible everywhere, an order confined to Indian domains is easily circumvented, yet a worldwide order overrides the speech standards of countries that have made a different constitutional choice. The Indian answer came in</w:t>
      </w:r>
      <w:r>
        <w:t xml:space="preserve"> </w:t>
      </w:r>
      <w:r>
        <w:rPr>
          <w:iCs/>
          <w:i/>
          <w:bCs/>
          <w:b/>
        </w:rPr>
        <w:t xml:space="preserve">Swami Ramdev v. Facebook, Inc.</w:t>
      </w:r>
      <w:r>
        <w:t xml:space="preserve"> </w:t>
      </w:r>
      <w:r>
        <w:t xml:space="preserve">(Delhi HC, 23 October 2019). A defamatory video went viral; the platforms offered geo-blocking for India. The Court held at</w:t>
      </w:r>
      <w:r>
        <w:t xml:space="preserve"> </w:t>
      </w:r>
      <w:r>
        <w:rPr>
          <w:bCs/>
          <w:b/>
        </w:rPr>
        <w:t xml:space="preserve">paragraph 76</w:t>
      </w:r>
      <w:r>
        <w:t xml:space="preserve"> </w:t>
      </w:r>
      <w:r>
        <w:t xml:space="preserve">that intermediaries must remove or disable material</w:t>
      </w:r>
      <w:r>
        <w:t xml:space="preserve"> </w:t>
      </w:r>
      <w:r>
        <w:rPr>
          <w:iCs/>
          <w:i/>
        </w:rPr>
        <w:t xml:space="preserve">“</w:t>
      </w:r>
      <w:r>
        <w:rPr>
          <w:iCs/>
          <w:i/>
        </w:rPr>
        <w:t xml:space="preserve">residing in or connected to a computer resource</w:t>
      </w:r>
      <w:r>
        <w:rPr>
          <w:iCs/>
          <w:i/>
        </w:rPr>
        <w:t xml:space="preserve">”</w:t>
      </w:r>
      <w:r>
        <w:t xml:space="preserve"> </w:t>
      </w:r>
      <w:r>
        <w:t xml:space="preserve">— meaning the network itself — and at</w:t>
      </w:r>
      <w:r>
        <w:t xml:space="preserve"> </w:t>
      </w:r>
      <w:r>
        <w:rPr>
          <w:bCs/>
          <w:b/>
        </w:rPr>
        <w:t xml:space="preserve">paragraph 78</w:t>
      </w:r>
      <w:r>
        <w:t xml:space="preserve"> </w:t>
      </w:r>
      <w:r>
        <w:t xml:space="preserve">that reading</w:t>
      </w:r>
      <w:r>
        <w:t xml:space="preserve"> </w:t>
      </w:r>
      <w:r>
        <w:rPr>
          <w:bCs/>
          <w:b/>
        </w:rPr>
        <w:t xml:space="preserve">s.2(1)(k)</w:t>
      </w:r>
      <w:r>
        <w:t xml:space="preserve"> </w:t>
      </w:r>
      <w:r>
        <w:t xml:space="preserve">with</w:t>
      </w:r>
      <w:r>
        <w:t xml:space="preserve"> </w:t>
      </w:r>
      <w:r>
        <w:rPr>
          <w:bCs/>
          <w:b/>
        </w:rPr>
        <w:t xml:space="preserve">s.79(3)(b)</w:t>
      </w:r>
      <w:r>
        <w:t xml:space="preserve">, where information has been uploaded on a computer network</w:t>
      </w:r>
      <w:r>
        <w:t xml:space="preserve"> </w:t>
      </w:r>
      <w:r>
        <w:rPr>
          <w:iCs/>
          <w:i/>
        </w:rPr>
        <w:t xml:space="preserve">“</w:t>
      </w:r>
      <w:r>
        <w:rPr>
          <w:iCs/>
          <w:i/>
        </w:rPr>
        <w:t xml:space="preserve">the platforms would be bound to remove it and disable it from that computer network completely.</w:t>
      </w:r>
      <w:r>
        <w:rPr>
          <w:iCs/>
          <w:i/>
        </w:rPr>
        <w:t xml:space="preserve">”</w:t>
      </w:r>
      <w:r>
        <w:t xml:space="preserve"> </w:t>
      </w:r>
      <w:r>
        <w:t xml:space="preserve">At</w:t>
      </w:r>
      <w:r>
        <w:t xml:space="preserve"> </w:t>
      </w:r>
      <w:r>
        <w:rPr>
          <w:bCs/>
          <w:b/>
        </w:rPr>
        <w:t xml:space="preserve">paragraph 83</w:t>
      </w:r>
      <w:r>
        <w:t xml:space="preserve"> </w:t>
      </w:r>
      <w:r>
        <w:t xml:space="preserve">it required intermediaries to</w:t>
      </w:r>
      <w:r>
        <w:t xml:space="preserve"> </w:t>
      </w:r>
      <w:r>
        <w:rPr>
          <w:iCs/>
          <w:i/>
        </w:rPr>
        <w:t xml:space="preserve">“</w:t>
      </w:r>
      <w:r>
        <w:rPr>
          <w:iCs/>
          <w:i/>
        </w:rPr>
        <w:t xml:space="preserve">disable access of all kinds,</w:t>
      </w:r>
      <w:r>
        <w:rPr>
          <w:iCs/>
          <w:i/>
        </w:rPr>
        <w:t xml:space="preserve">”</w:t>
      </w:r>
      <w:r>
        <w:t xml:space="preserve"> </w:t>
      </w:r>
      <w:r>
        <w:t xml:space="preserve">including access by global viewers. Mere geo-blocking, it held, is not in consonance with s.79. The operative distinction is between content uploaded from an Indian IP address, which must be removed globally, and content uploaded from abroad, which need only be geo-blocked for India.</w:t>
      </w:r>
    </w:p>
    <w:p>
      <w:pPr>
        <w:pStyle w:val="BodyText"/>
      </w:pPr>
      <w:r>
        <w:t xml:space="preserve">The Canadian line reaches the same conclusion on a different route. In</w:t>
      </w:r>
      <w:r>
        <w:t xml:space="preserve"> </w:t>
      </w:r>
      <w:r>
        <w:rPr>
          <w:iCs/>
          <w:i/>
          <w:bCs/>
          <w:b/>
        </w:rPr>
        <w:t xml:space="preserve">Google Inc. v. Equustek Solutions Inc.</w:t>
      </w:r>
      <w:r>
        <w:t xml:space="preserve"> </w:t>
      </w:r>
      <w:r>
        <w:t xml:space="preserve">(Supreme Court of Canada, 2017), Datalink misappropriated trade secrets and continued selling online; Google removed 345 pages from google.ca but refused to de-index the site or touch google.com. The Court held at</w:t>
      </w:r>
      <w:r>
        <w:t xml:space="preserve"> </w:t>
      </w:r>
      <w:r>
        <w:rPr>
          <w:bCs/>
          <w:b/>
        </w:rPr>
        <w:t xml:space="preserve">paragraph 38</w:t>
      </w:r>
      <w:r>
        <w:t xml:space="preserve"> </w:t>
      </w:r>
      <w:r>
        <w:t xml:space="preserve">that</w:t>
      </w:r>
      <w:r>
        <w:t xml:space="preserve"> </w:t>
      </w:r>
      <w:r>
        <w:rPr>
          <w:iCs/>
          <w:i/>
        </w:rPr>
        <w:t xml:space="preserve">“</w:t>
      </w:r>
      <w:r>
        <w:rPr>
          <w:iCs/>
          <w:i/>
        </w:rPr>
        <w:t xml:space="preserve">[w]hen a court has in personam jurisdiction, and where it is necessary to ensure the injunction’s effectiveness, it can grant an injunction enjoining that person’s conduct anywhere in the world,</w:t>
      </w:r>
      <w:r>
        <w:rPr>
          <w:iCs/>
          <w:i/>
        </w:rPr>
        <w:t xml:space="preserve">”</w:t>
      </w:r>
      <w:r>
        <w:t xml:space="preserve"> </w:t>
      </w:r>
      <w:r>
        <w:t xml:space="preserve">observing at</w:t>
      </w:r>
      <w:r>
        <w:t xml:space="preserve"> </w:t>
      </w:r>
      <w:r>
        <w:rPr>
          <w:bCs/>
          <w:b/>
        </w:rPr>
        <w:t xml:space="preserve">paragraph 41</w:t>
      </w:r>
      <w:r>
        <w:t xml:space="preserve"> </w:t>
      </w:r>
      <w:r>
        <w:t xml:space="preserve">that</w:t>
      </w:r>
      <w:r>
        <w:t xml:space="preserve"> </w:t>
      </w:r>
      <w:r>
        <w:rPr>
          <w:iCs/>
          <w:i/>
        </w:rPr>
        <w:t xml:space="preserve">“</w:t>
      </w:r>
      <w:r>
        <w:rPr>
          <w:iCs/>
          <w:i/>
        </w:rPr>
        <w:t xml:space="preserve">[t]he Internet has no borders – its natural habitat is global.</w:t>
      </w:r>
      <w:r>
        <w:rPr>
          <w:iCs/>
          <w:i/>
        </w:rPr>
        <w:t xml:space="preserve">”</w:t>
      </w:r>
      <w:r>
        <w:t xml:space="preserve"> </w:t>
      </w:r>
      <w:r>
        <w:t xml:space="preserve">Google then obtained a declaration from the</w:t>
      </w:r>
      <w:r>
        <w:t xml:space="preserve"> </w:t>
      </w:r>
      <w:r>
        <w:rPr>
          <w:bCs/>
          <w:b/>
        </w:rPr>
        <w:t xml:space="preserve">US District Court for the Northern District of California</w:t>
      </w:r>
      <w:r>
        <w:t xml:space="preserve"> </w:t>
      </w:r>
      <w:r>
        <w:t xml:space="preserve">that the Canadian order</w:t>
      </w:r>
      <w:r>
        <w:t xml:space="preserve"> </w:t>
      </w:r>
      <w:r>
        <w:rPr>
          <w:iCs/>
          <w:i/>
        </w:rPr>
        <w:t xml:space="preserve">“</w:t>
      </w:r>
      <w:r>
        <w:rPr>
          <w:iCs/>
          <w:i/>
        </w:rPr>
        <w:t xml:space="preserve">undermines the policy goals of Section 230 and threatens free speech on the global internet</w:t>
      </w:r>
      <w:r>
        <w:rPr>
          <w:iCs/>
          <w:i/>
        </w:rPr>
        <w:t xml:space="preserve">”</w:t>
      </w:r>
      <w:r>
        <w:t xml:space="preserve"> </w:t>
      </w:r>
      <w:r>
        <w:t xml:space="preserve">and was unenforceable in the United States. It returned to Canada to have the injunction set aside, and the</w:t>
      </w:r>
      <w:r>
        <w:t xml:space="preserve"> </w:t>
      </w:r>
      <w:r>
        <w:rPr>
          <w:bCs/>
          <w:b/>
        </w:rPr>
        <w:t xml:space="preserve">Supreme Court of British Columbia dismissed the motion</w:t>
      </w:r>
      <w:r>
        <w:t xml:space="preserve">, affirming extra-territorial jurisdiction over a party subject to its personal jurisdiction irrespective of enforceability abroad. The three decisions together establish that the power to make a worldwide order and the ability to enforce it in a foreign system are distinct questions, each answered by its own law.</w:t>
      </w:r>
    </w:p>
    <w:bookmarkEnd w:id="27"/>
    <w:bookmarkStart w:id="28" w:name="Xfc26c2fdb9b1c9bec3f0865f143bda1d9055390"/>
    <w:p>
      <w:pPr>
        <w:pStyle w:val="Heading2"/>
      </w:pPr>
      <w:r>
        <w:t xml:space="preserve">Section 2 — the definitions that drive everything</w:t>
      </w:r>
    </w:p>
    <w:p>
      <w:pPr>
        <w:pStyle w:val="FirstParagraph"/>
      </w:pPr>
      <w:r>
        <w:t xml:space="preserve">The Act is built around three actors. The</w:t>
      </w:r>
      <w:r>
        <w:t xml:space="preserve"> </w:t>
      </w:r>
      <w:r>
        <w:rPr>
          <w:bCs/>
          <w:b/>
        </w:rPr>
        <w:t xml:space="preserve">originator</w:t>
      </w:r>
      <w:r>
        <w:t xml:space="preserve"> </w:t>
      </w:r>
      <w:r>
        <w:t xml:space="preserve">under</w:t>
      </w:r>
      <w:r>
        <w:t xml:space="preserve"> </w:t>
      </w:r>
      <w:r>
        <w:rPr>
          <w:bCs/>
          <w:b/>
        </w:rPr>
        <w:t xml:space="preserve">s.2(1)(za)</w:t>
      </w:r>
      <w:r>
        <w:t xml:space="preserve"> </w:t>
      </w:r>
      <w:r>
        <w:t xml:space="preserve">sends, generates, stores or transmits an electronic message; the</w:t>
      </w:r>
      <w:r>
        <w:t xml:space="preserve"> </w:t>
      </w:r>
      <w:r>
        <w:rPr>
          <w:bCs/>
          <w:b/>
        </w:rPr>
        <w:t xml:space="preserve">addressee</w:t>
      </w:r>
      <w:r>
        <w:t xml:space="preserve"> </w:t>
      </w:r>
      <w:r>
        <w:t xml:space="preserve">under</w:t>
      </w:r>
      <w:r>
        <w:t xml:space="preserve"> </w:t>
      </w:r>
      <w:r>
        <w:rPr>
          <w:bCs/>
          <w:b/>
        </w:rPr>
        <w:t xml:space="preserve">s.2(1)(b)</w:t>
      </w:r>
      <w:r>
        <w:t xml:space="preserve"> </w:t>
      </w:r>
      <w:r>
        <w:t xml:space="preserve">is the person intended by the originator to receive it; the</w:t>
      </w:r>
      <w:r>
        <w:t xml:space="preserve"> </w:t>
      </w:r>
      <w:r>
        <w:rPr>
          <w:bCs/>
          <w:b/>
        </w:rPr>
        <w:t xml:space="preserve">intermediary</w:t>
      </w:r>
      <w:r>
        <w:t xml:space="preserve"> </w:t>
      </w:r>
      <w:r>
        <w:t xml:space="preserve">under</w:t>
      </w:r>
      <w:r>
        <w:t xml:space="preserve"> </w:t>
      </w:r>
      <w:r>
        <w:rPr>
          <w:bCs/>
          <w:b/>
        </w:rPr>
        <w:t xml:space="preserve">s.2(1)(w)</w:t>
      </w:r>
      <w:r>
        <w:t xml:space="preserve"> </w:t>
      </w:r>
      <w:r>
        <w:t xml:space="preserve">is the person who, on behalf of another, receives, stores or transmits that record or provides any service with respect to it. The first two roles are dynamic and swap when the addressee replies; the intermediary is static. Critically,</w:t>
      </w:r>
      <w:r>
        <w:t xml:space="preserve"> </w:t>
      </w:r>
      <w:r>
        <w:rPr>
          <w:bCs/>
          <w:b/>
        </w:rPr>
        <w:t xml:space="preserve">both the originator and addressee definitions expressly exclude the intermediary</w:t>
      </w:r>
      <w:r>
        <w:t xml:space="preserve"> </w:t>
      </w:r>
      <w:r>
        <w:t xml:space="preserve">— the facilitator is not to be treated as the speaker, and that exclusion is the doctrinal root of safe harbour.</w:t>
      </w:r>
    </w:p>
    <w:p>
      <w:pPr>
        <w:pStyle w:val="BodyText"/>
      </w:pPr>
      <w:r>
        <w:rPr>
          <w:bCs/>
          <w:b/>
        </w:rPr>
        <w:t xml:space="preserve">Section 2(1)(i)</w:t>
      </w:r>
      <w:r>
        <w:t xml:space="preserve"> </w:t>
      </w:r>
      <w:r>
        <w:t xml:space="preserve">defines a computer functionally rather than by form: any electronic, magnetic, optical or other high-speed data processing device or system performing logical, arithmetic and memory functions by manipulation of impulses, and including all connected input, output, processing, storage, software or communication facilities.</w:t>
      </w:r>
      <w:r>
        <w:t xml:space="preserve"> </w:t>
      </w:r>
      <w:r>
        <w:rPr>
          <w:bCs/>
          <w:b/>
        </w:rPr>
        <w:t xml:space="preserve">Section 2(1)(l)</w:t>
      </w:r>
      <w:r>
        <w:t xml:space="preserve"> </w:t>
      </w:r>
      <w:r>
        <w:t xml:space="preserve">extends this to a computer system — a device or collection of devices including input and output support devices, excluding non-programmable calculators, capable of use with external files containing programmes and instructions.</w:t>
      </w:r>
      <w:r>
        <w:t xml:space="preserve"> </w:t>
      </w:r>
      <w:r>
        <w:rPr>
          <w:bCs/>
          <w:b/>
        </w:rPr>
        <w:t xml:space="preserve">Section 2(1)(j)</w:t>
      </w:r>
      <w:r>
        <w:t xml:space="preserve"> </w:t>
      </w:r>
      <w:r>
        <w:t xml:space="preserve">defines a computer network as the interconnection of one or more computers, computer systems or communication devices through satellite, microwave, wire, wireless or other media, and expressly covers interconnection</w:t>
      </w:r>
      <w:r>
        <w:t xml:space="preserve"> </w:t>
      </w:r>
      <w:r>
        <w:rPr>
          <w:iCs/>
          <w:i/>
        </w:rPr>
        <w:t xml:space="preserve">“</w:t>
      </w:r>
      <w:r>
        <w:rPr>
          <w:iCs/>
          <w:i/>
        </w:rPr>
        <w:t xml:space="preserve">whether or not… continuously maintained.</w:t>
      </w:r>
      <w:r>
        <w:rPr>
          <w:iCs/>
          <w:i/>
        </w:rPr>
        <w:t xml:space="preserve">”</w:t>
      </w:r>
      <w:r>
        <w:t xml:space="preserve"> </w:t>
      </w:r>
      <w:r>
        <w:rPr>
          <w:bCs/>
          <w:b/>
        </w:rPr>
        <w:t xml:space="preserve">Section 2(1)(ha)</w:t>
      </w:r>
      <w:r>
        <w:t xml:space="preserve"> </w:t>
      </w:r>
      <w:r>
        <w:t xml:space="preserve">covers communication devices, ending with the open words</w:t>
      </w:r>
      <w:r>
        <w:t xml:space="preserve"> </w:t>
      </w:r>
      <w:r>
        <w:rPr>
          <w:iCs/>
          <w:i/>
        </w:rPr>
        <w:t xml:space="preserve">“</w:t>
      </w:r>
      <w:r>
        <w:rPr>
          <w:iCs/>
          <w:i/>
        </w:rPr>
        <w:t xml:space="preserve">any other device used to communicate, send or transmit any text, video, audio or image.</w:t>
      </w:r>
      <w:r>
        <w:rPr>
          <w:iCs/>
          <w:i/>
        </w:rPr>
        <w:t xml:space="preserve">”</w:t>
      </w:r>
    </w:p>
    <w:p>
      <w:pPr>
        <w:pStyle w:val="BodyText"/>
      </w:pPr>
      <w:r>
        <w:t xml:space="preserve">Above all of these sits</w:t>
      </w:r>
      <w:r>
        <w:t xml:space="preserve"> </w:t>
      </w:r>
      <w:r>
        <w:rPr>
          <w:bCs/>
          <w:b/>
        </w:rPr>
        <w:t xml:space="preserve">s.2(1)(k)</w:t>
      </w:r>
      <w:r>
        <w:t xml:space="preserve">,</w:t>
      </w:r>
      <w:r>
        <w:t xml:space="preserve"> </w:t>
      </w:r>
      <w:r>
        <w:t xml:space="preserve">“</w:t>
      </w:r>
      <w:r>
        <w:t xml:space="preserve">computer resource,</w:t>
      </w:r>
      <w:r>
        <w:t xml:space="preserve">”</w:t>
      </w:r>
      <w:r>
        <w:t xml:space="preserve"> </w:t>
      </w:r>
      <w:r>
        <w:t xml:space="preserve">meaning computer, communication device, computer system, computer network, data, computer database or software. It is the widest term in the Act, embraces hardware and software alike, and because duties, powers and offences are framed in its terms it was the hinge on which</w:t>
      </w:r>
      <w:r>
        <w:t xml:space="preserve"> </w:t>
      </w:r>
      <w:r>
        <w:rPr>
          <w:iCs/>
          <w:i/>
        </w:rPr>
        <w:t xml:space="preserve">Swami Ramdev</w:t>
      </w:r>
      <w:r>
        <w:t xml:space="preserve"> </w:t>
      </w:r>
      <w:r>
        <w:t xml:space="preserve">turned.</w:t>
      </w:r>
    </w:p>
    <w:p>
      <w:pPr>
        <w:pStyle w:val="BodyText"/>
      </w:pPr>
      <w:r>
        <w:t xml:space="preserve">The narrow reading in</w:t>
      </w:r>
      <w:r>
        <w:t xml:space="preserve"> </w:t>
      </w:r>
      <w:r>
        <w:rPr>
          <w:iCs/>
          <w:i/>
          <w:bCs/>
          <w:b/>
        </w:rPr>
        <w:t xml:space="preserve">Diebold Systems Pvt. Ltd. v. Commissioner of Commercial Taxes</w:t>
      </w:r>
      <w:r>
        <w:t xml:space="preserve"> </w:t>
      </w:r>
      <w:r>
        <w:t xml:space="preserve">(Karnataka HC, 2005) is the counterpoint. Holding at</w:t>
      </w:r>
      <w:r>
        <w:t xml:space="preserve"> </w:t>
      </w:r>
      <w:r>
        <w:rPr>
          <w:bCs/>
          <w:b/>
        </w:rPr>
        <w:t xml:space="preserve">paragraph 39</w:t>
      </w:r>
      <w:r>
        <w:t xml:space="preserve"> </w:t>
      </w:r>
      <w:r>
        <w:t xml:space="preserve">that</w:t>
      </w:r>
      <w:r>
        <w:t xml:space="preserve"> </w:t>
      </w:r>
      <w:r>
        <w:rPr>
          <w:iCs/>
          <w:i/>
        </w:rPr>
        <w:t xml:space="preserve">“</w:t>
      </w:r>
      <w:r>
        <w:rPr>
          <w:iCs/>
          <w:i/>
        </w:rPr>
        <w:t xml:space="preserve">ATM is not a computer by itself and it is connected to a computer that performs the tasks requested by the person using ATM’s,</w:t>
      </w:r>
      <w:r>
        <w:rPr>
          <w:iCs/>
          <w:i/>
        </w:rPr>
        <w:t xml:space="preserve">”</w:t>
      </w:r>
      <w:r>
        <w:t xml:space="preserve"> </w:t>
      </w:r>
      <w:r>
        <w:t xml:space="preserve">the Court treated the terminal as a customer-facing interface whose processing occurs on a remote server. The reasoning is vulnerable — s.2(1)(l), s.2(1)(j) and the inclusive limb of s.2(1)(i) would plainly cover the arrangement — but it remains the authority that a device is not a computer merely because it is electronic, and it is distinguishable wherever processing occurs on board.</w:t>
      </w:r>
    </w:p>
    <w:p>
      <w:pPr>
        <w:pStyle w:val="BodyText"/>
      </w:pPr>
      <w:r>
        <w:t xml:space="preserve">The remaining definitions are quickly stated.</w:t>
      </w:r>
      <w:r>
        <w:t xml:space="preserve"> </w:t>
      </w:r>
      <w:r>
        <w:rPr>
          <w:bCs/>
          <w:b/>
        </w:rPr>
        <w:t xml:space="preserve">Electronic form</w:t>
      </w:r>
      <w:r>
        <w:t xml:space="preserve"> </w:t>
      </w:r>
      <w:r>
        <w:t xml:space="preserve">under</w:t>
      </w:r>
      <w:r>
        <w:t xml:space="preserve"> </w:t>
      </w:r>
      <w:r>
        <w:rPr>
          <w:bCs/>
          <w:b/>
        </w:rPr>
        <w:t xml:space="preserve">s.2(1)(r)</w:t>
      </w:r>
      <w:r>
        <w:t xml:space="preserve"> </w:t>
      </w:r>
      <w:r>
        <w:t xml:space="preserve">describes the medium;</w:t>
      </w:r>
      <w:r>
        <w:t xml:space="preserve"> </w:t>
      </w:r>
      <w:r>
        <w:rPr>
          <w:bCs/>
          <w:b/>
        </w:rPr>
        <w:t xml:space="preserve">electronic record</w:t>
      </w:r>
      <w:r>
        <w:t xml:space="preserve"> </w:t>
      </w:r>
      <w:r>
        <w:t xml:space="preserve">under</w:t>
      </w:r>
      <w:r>
        <w:t xml:space="preserve"> </w:t>
      </w:r>
      <w:r>
        <w:rPr>
          <w:bCs/>
          <w:b/>
        </w:rPr>
        <w:t xml:space="preserve">s.2(1)(t)</w:t>
      </w:r>
      <w:r>
        <w:t xml:space="preserve"> </w:t>
      </w:r>
      <w:r>
        <w:t xml:space="preserve">is the informational object.</w:t>
      </w:r>
      <w:r>
        <w:t xml:space="preserve"> </w:t>
      </w:r>
      <w:r>
        <w:rPr>
          <w:bCs/>
          <w:b/>
        </w:rPr>
        <w:t xml:space="preserve">Data</w:t>
      </w:r>
      <w:r>
        <w:t xml:space="preserve"> </w:t>
      </w:r>
      <w:r>
        <w:t xml:space="preserve">under</w:t>
      </w:r>
      <w:r>
        <w:t xml:space="preserve"> </w:t>
      </w:r>
      <w:r>
        <w:rPr>
          <w:bCs/>
          <w:b/>
        </w:rPr>
        <w:t xml:space="preserve">s.2(1)(o)</w:t>
      </w:r>
      <w:r>
        <w:t xml:space="preserve"> </w:t>
      </w:r>
      <w:r>
        <w:t xml:space="preserve">is a representation of information, knowledge, facts, concepts or instructions prepared in a formalised manner and processed in a computer system or network;</w:t>
      </w:r>
      <w:r>
        <w:t xml:space="preserve"> </w:t>
      </w:r>
      <w:r>
        <w:rPr>
          <w:bCs/>
          <w:b/>
        </w:rPr>
        <w:t xml:space="preserve">information</w:t>
      </w:r>
      <w:r>
        <w:t xml:space="preserve"> </w:t>
      </w:r>
      <w:r>
        <w:t xml:space="preserve">under</w:t>
      </w:r>
      <w:r>
        <w:t xml:space="preserve"> </w:t>
      </w:r>
      <w:r>
        <w:rPr>
          <w:bCs/>
          <w:b/>
        </w:rPr>
        <w:t xml:space="preserve">s.2(1)(v)</w:t>
      </w:r>
      <w:r>
        <w:t xml:space="preserve"> </w:t>
      </w:r>
      <w:r>
        <w:t xml:space="preserve">is the wider genus, including data, message, text, images, sound, voice, codes, computer programmes, software and databases. Formalised structure is what separates the two.</w:t>
      </w:r>
    </w:p>
    <w:p>
      <w:pPr>
        <w:pStyle w:val="BodyText"/>
      </w:pPr>
      <w:r>
        <w:t xml:space="preserve">The definition of intermediary is record-specific — status is assessed</w:t>
      </w:r>
      <w:r>
        <w:t xml:space="preserve"> </w:t>
      </w:r>
      <w:r>
        <w:rPr>
          <w:iCs/>
          <w:i/>
        </w:rPr>
        <w:t xml:space="preserve">“</w:t>
      </w:r>
      <w:r>
        <w:rPr>
          <w:iCs/>
          <w:i/>
        </w:rPr>
        <w:t xml:space="preserve">with respect to any particular electronic record</w:t>
      </w:r>
      <w:r>
        <w:rPr>
          <w:iCs/>
          <w:i/>
        </w:rPr>
        <w:t xml:space="preserve">”</w:t>
      </w:r>
      <w:r>
        <w:t xml:space="preserve"> </w:t>
      </w:r>
      <w:r>
        <w:t xml:space="preserve">— turns on acting on behalf of another, and carries a non-exhaustive list covering telecom, network and internet service providers, web-hosting providers, search engines, online payment sites, online-auction sites, online marketplaces and cyber cafés. There is accordingly no single intermediary but a chain, from the cyber café through the ISP, the DNS provider, the web host, the search engine and the sharing platform down to the person who actually posts or sells — who is the originator, not an intermediary. Different layers exercise different degrees of control, and in any problem the layer must be identified before anything else.</w:t>
      </w:r>
    </w:p>
    <w:bookmarkEnd w:id="28"/>
    <w:bookmarkEnd w:id="29"/>
    <w:bookmarkStart w:id="41" w:name="module-2-liability-of-intermediaries"/>
    <w:p>
      <w:pPr>
        <w:pStyle w:val="Heading1"/>
      </w:pPr>
      <w:r>
        <w:t xml:space="preserve">MODULE 2 — LIABILITY OF INTERMEDIARIES</w:t>
      </w:r>
    </w:p>
    <w:bookmarkStart w:id="30" w:name="X4665a85e436b87eb93879271a2b136603fd8b4e"/>
    <w:p>
      <w:pPr>
        <w:pStyle w:val="Heading2"/>
      </w:pPr>
      <w:r>
        <w:t xml:space="preserve">Why platforms became a regulatory problem</w:t>
      </w:r>
    </w:p>
    <w:p>
      <w:pPr>
        <w:pStyle w:val="FirstParagraph"/>
      </w:pPr>
      <w:r>
        <w:t xml:space="preserve">The four most valuable companies whose business models depend largely on online platforms —</w:t>
      </w:r>
      <w:r>
        <w:t xml:space="preserve"> </w:t>
      </w:r>
      <w:r>
        <w:rPr>
          <w:bCs/>
          <w:b/>
        </w:rPr>
        <w:t xml:space="preserve">Google, Apple, Meta and Amazon</w:t>
      </w:r>
      <w:r>
        <w:t xml:space="preserve">, together GAMA — illustrate how far the term has travelled.</w:t>
      </w:r>
      <w:r>
        <w:t xml:space="preserve"> </w:t>
      </w:r>
      <w:r>
        <w:t xml:space="preserve">“</w:t>
      </w:r>
      <w:r>
        <w:t xml:space="preserve">Platform</w:t>
      </w:r>
      <w:r>
        <w:t xml:space="preserve">”</w:t>
      </w:r>
      <w:r>
        <w:t xml:space="preserve"> </w:t>
      </w:r>
      <w:r>
        <w:t xml:space="preserve">began in the computational sense of</w:t>
      </w:r>
      <w:r>
        <w:t xml:space="preserve"> </w:t>
      </w:r>
      <w:r>
        <w:rPr>
          <w:iCs/>
          <w:i/>
        </w:rPr>
        <w:t xml:space="preserve">“</w:t>
      </w:r>
      <w:r>
        <w:rPr>
          <w:iCs/>
          <w:i/>
        </w:rPr>
        <w:t xml:space="preserve">a technical base upon which other programs will run</w:t>
      </w:r>
      <w:r>
        <w:rPr>
          <w:iCs/>
          <w:i/>
        </w:rPr>
        <w:t xml:space="preserve">”</w:t>
      </w:r>
      <w:r>
        <w:t xml:space="preserve">; it now describes services that are platforms</w:t>
      </w:r>
      <w:r>
        <w:t xml:space="preserve"> </w:t>
      </w:r>
      <w:r>
        <w:rPr>
          <w:iCs/>
          <w:i/>
        </w:rPr>
        <w:t xml:space="preserve">“</w:t>
      </w:r>
      <w:r>
        <w:rPr>
          <w:iCs/>
          <w:i/>
        </w:rPr>
        <w:t xml:space="preserve">not necessarily because they allow code to be written or run, but because they afford an opportunity to communicate, interact or sell.</w:t>
      </w:r>
      <w:r>
        <w:rPr>
          <w:iCs/>
          <w:i/>
        </w:rPr>
        <w:t xml:space="preserve">”</w:t>
      </w:r>
      <w:r>
        <w:t xml:space="preserve"> </w:t>
      </w:r>
      <w:r>
        <w:t xml:space="preserve">The word is a catch-all covering online marketplaces, sharing-economy services, communication platforms, social networks, search engines, news aggregators, music and video sharing services, app stores and payment systems, each with a different business model and a different degree of control. While platforms lowered barriers for consumers and businesses, some simultaneously erected new barriers for potential competitors — a proposition the European Commission made concrete on</w:t>
      </w:r>
      <w:r>
        <w:t xml:space="preserve"> </w:t>
      </w:r>
      <w:r>
        <w:rPr>
          <w:bCs/>
          <w:b/>
        </w:rPr>
        <w:t xml:space="preserve">4 March 2024</w:t>
      </w:r>
      <w:r>
        <w:t xml:space="preserve"> </w:t>
      </w:r>
      <w:r>
        <w:t xml:space="preserve">when it</w:t>
      </w:r>
      <w:r>
        <w:t xml:space="preserve"> </w:t>
      </w:r>
      <w:r>
        <w:rPr>
          <w:bCs/>
          <w:b/>
        </w:rPr>
        <w:t xml:space="preserve">fined Apple over €1.8 billion</w:t>
      </w:r>
      <w:r>
        <w:t xml:space="preserve"> </w:t>
      </w:r>
      <w:r>
        <w:t xml:space="preserve">for abusing its dominant position in the distribution of music-streaming apps to iOS users, through</w:t>
      </w:r>
      <w:r>
        <w:t xml:space="preserve"> </w:t>
      </w:r>
      <w:r>
        <w:rPr>
          <w:bCs/>
          <w:b/>
        </w:rPr>
        <w:t xml:space="preserve">anti-steering provisions</w:t>
      </w:r>
      <w:r>
        <w:t xml:space="preserve"> </w:t>
      </w:r>
      <w:r>
        <w:t xml:space="preserve">that banned developers from fully informing users about cheaper subscription services outside the app, producing higher prices and limited choice.</w:t>
      </w:r>
    </w:p>
    <w:p>
      <w:pPr>
        <w:pStyle w:val="BodyText"/>
      </w:pPr>
      <w:r>
        <w:t xml:space="preserve">The doctrinal origin of safe harbour lies in two irreconcilable American decisions. In</w:t>
      </w:r>
      <w:r>
        <w:t xml:space="preserve"> </w:t>
      </w:r>
      <w:r>
        <w:rPr>
          <w:iCs/>
          <w:i/>
          <w:bCs/>
          <w:b/>
        </w:rPr>
        <w:t xml:space="preserve">Cubby Inc. v. CompuServe Inc.</w:t>
      </w:r>
      <w:r>
        <w:t xml:space="preserve"> </w:t>
      </w:r>
      <w:r>
        <w:t xml:space="preserve">(1991) a defamatory post on one of some 150 hosted forums attracted no liability because CompuServe exercised no editorial control and was analogous to a newsstand. In</w:t>
      </w:r>
      <w:r>
        <w:t xml:space="preserve"> </w:t>
      </w:r>
      <w:r>
        <w:rPr>
          <w:iCs/>
          <w:i/>
          <w:bCs/>
          <w:b/>
        </w:rPr>
        <w:t xml:space="preserve">Stratton Oakmont Inc. v. Prodigy Services Co.</w:t>
      </w:r>
      <w:r>
        <w:t xml:space="preserve"> </w:t>
      </w:r>
      <w:r>
        <w:t xml:space="preserve">(1995) Prodigy was held liable for a defamatory post on its</w:t>
      </w:r>
      <w:r>
        <w:t xml:space="preserve"> </w:t>
      </w:r>
      <w:r>
        <w:t xml:space="preserve">“</w:t>
      </w:r>
      <w:r>
        <w:t xml:space="preserve">Money Talk</w:t>
      </w:r>
      <w:r>
        <w:t xml:space="preserve">”</w:t>
      </w:r>
      <w:r>
        <w:t xml:space="preserve"> </w:t>
      </w:r>
      <w:r>
        <w:t xml:space="preserve">board precisely because it operated content policies and exercised editorial control. The combined effect was perverse: the platform that moderated was punished and the one that did nothing went free.</w:t>
      </w:r>
      <w:r>
        <w:t xml:space="preserve"> </w:t>
      </w:r>
      <w:r>
        <w:rPr>
          <w:bCs/>
          <w:b/>
        </w:rPr>
        <w:t xml:space="preserve">Section 230 of the Communications Decency Act 1996</w:t>
      </w:r>
      <w:r>
        <w:t xml:space="preserve"> </w:t>
      </w:r>
      <w:r>
        <w:t xml:space="preserve">resolved it by providing that</w:t>
      </w:r>
      <w:r>
        <w:t xml:space="preserve"> </w:t>
      </w:r>
      <w:r>
        <w:rPr>
          <w:iCs/>
          <w:i/>
        </w:rPr>
        <w:t xml:space="preserve">“</w:t>
      </w:r>
      <w:r>
        <w:rPr>
          <w:iCs/>
          <w:i/>
        </w:rPr>
        <w:t xml:space="preserve">No provider or user of an interactive computer service shall be treated as the publisher or speaker of any information provided by another information content provider.</w:t>
      </w:r>
      <w:r>
        <w:rPr>
          <w:iCs/>
          <w:i/>
        </w:rPr>
        <w:t xml:space="preserve">”</w:t>
      </w:r>
    </w:p>
    <w:p>
      <w:pPr>
        <w:pStyle w:val="BodyText"/>
      </w:pPr>
      <w:r>
        <w:t xml:space="preserve">That settlement has since eroded. Platforms acquired hundreds of millions of users and centralised power by absorbing smaller businesses — Facebook had acquired both WhatsApp and Instagram by 2014. Disinformation and misinformation proliferated, harassment of children, women and vulnerable groups became rampant, and because profitability depends on maximising time spent on the service, the operative goal became</w:t>
      </w:r>
      <w:r>
        <w:t xml:space="preserve"> </w:t>
      </w:r>
      <w:r>
        <w:rPr>
          <w:iCs/>
          <w:i/>
        </w:rPr>
        <w:t xml:space="preserve">“</w:t>
      </w:r>
      <w:r>
        <w:rPr>
          <w:iCs/>
          <w:i/>
        </w:rPr>
        <w:t xml:space="preserve">algorithmic recommendation of arresting content that sticks eyeballs to the platform and causes behaviour that can be used to profile readers for advertisers.</w:t>
      </w:r>
      <w:r>
        <w:rPr>
          <w:iCs/>
          <w:i/>
        </w:rPr>
        <w:t xml:space="preserve">”</w:t>
      </w:r>
      <w:r>
        <w:t xml:space="preserve"> </w:t>
      </w:r>
      <w:r>
        <w:t xml:space="preserve">The conclusion is the single most quotable proposition in this module:</w:t>
      </w:r>
      <w:r>
        <w:t xml:space="preserve"> </w:t>
      </w:r>
      <w:r>
        <w:rPr>
          <w:iCs/>
          <w:i/>
        </w:rPr>
        <w:t xml:space="preserve">“</w:t>
      </w:r>
      <w:r>
        <w:rPr>
          <w:iCs/>
          <w:i/>
        </w:rPr>
        <w:t xml:space="preserve">By monitoring users’ reading and behaviour the platform companies</w:t>
      </w:r>
      <w:r>
        <w:rPr>
          <w:iCs/>
          <w:i/>
        </w:rPr>
        <w:t xml:space="preserve"> </w:t>
      </w:r>
      <w:r>
        <w:rPr>
          <w:bCs/>
          <w:b/>
          <w:iCs/>
          <w:i/>
        </w:rPr>
        <w:t xml:space="preserve">ceased to be the neutral conduit</w:t>
      </w:r>
      <w:r>
        <w:rPr>
          <w:iCs/>
          <w:i/>
        </w:rPr>
        <w:t xml:space="preserve"> </w:t>
      </w:r>
      <w:r>
        <w:rPr>
          <w:iCs/>
          <w:i/>
        </w:rPr>
        <w:t xml:space="preserve">for</w:t>
      </w:r>
      <w:r>
        <w:rPr>
          <w:iCs/>
          <w:i/>
        </w:rPr>
        <w:t xml:space="preserve"> </w:t>
      </w:r>
      <w:r>
        <w:rPr>
          <w:iCs/>
          <w:i/>
        </w:rPr>
        <w:t xml:space="preserve">‘</w:t>
      </w:r>
      <w:r>
        <w:rPr>
          <w:iCs/>
          <w:i/>
        </w:rPr>
        <w:t xml:space="preserve">user-generated content</w:t>
      </w:r>
      <w:r>
        <w:rPr>
          <w:iCs/>
          <w:i/>
        </w:rPr>
        <w:t xml:space="preserve">’</w:t>
      </w:r>
      <w:r>
        <w:rPr>
          <w:iCs/>
          <w:i/>
        </w:rPr>
        <w:t xml:space="preserve"> </w:t>
      </w:r>
      <w:r>
        <w:rPr>
          <w:iCs/>
          <w:i/>
        </w:rPr>
        <w:t xml:space="preserve">that justified their safe-harbour immunity in the first place.</w:t>
      </w:r>
      <w:r>
        <w:rPr>
          <w:iCs/>
          <w:i/>
        </w:rPr>
        <w:t xml:space="preserve">”</w:t>
      </w:r>
      <w:r>
        <w:t xml:space="preserve"> </w:t>
      </w:r>
      <w:r>
        <w:t xml:space="preserve">Politically the reaction was bipartisan — an executive order in May 2020, Biden’s call for s.230 to be</w:t>
      </w:r>
      <w:r>
        <w:t xml:space="preserve"> </w:t>
      </w:r>
      <w:r>
        <w:rPr>
          <w:iCs/>
          <w:i/>
        </w:rPr>
        <w:t xml:space="preserve">“</w:t>
      </w:r>
      <w:r>
        <w:rPr>
          <w:iCs/>
          <w:i/>
        </w:rPr>
        <w:t xml:space="preserve">revoked, immediately</w:t>
      </w:r>
      <w:r>
        <w:rPr>
          <w:iCs/>
          <w:i/>
        </w:rPr>
        <w:t xml:space="preserve">”</w:t>
      </w:r>
      <w:r>
        <w:t xml:space="preserve">, the Capitol violence of 6 January 2021 — and legislatively it produced</w:t>
      </w:r>
      <w:r>
        <w:t xml:space="preserve"> </w:t>
      </w:r>
      <w:r>
        <w:rPr>
          <w:bCs/>
          <w:b/>
        </w:rPr>
        <w:t xml:space="preserve">FOSTA</w:t>
      </w:r>
      <w:r>
        <w:t xml:space="preserve">, which carved sex trafficking and conduct that</w:t>
      </w:r>
      <w:r>
        <w:t xml:space="preserve"> </w:t>
      </w:r>
      <w:r>
        <w:rPr>
          <w:iCs/>
          <w:i/>
        </w:rPr>
        <w:t xml:space="preserve">“</w:t>
      </w:r>
      <w:r>
        <w:rPr>
          <w:iCs/>
          <w:i/>
        </w:rPr>
        <w:t xml:space="preserve">promotes or facilitates prostitution</w:t>
      </w:r>
      <w:r>
        <w:rPr>
          <w:iCs/>
          <w:i/>
        </w:rPr>
        <w:t xml:space="preserve">”</w:t>
      </w:r>
      <w:r>
        <w:t xml:space="preserve"> </w:t>
      </w:r>
      <w:r>
        <w:t xml:space="preserve">out of the immunity.</w:t>
      </w:r>
    </w:p>
    <w:bookmarkEnd w:id="30"/>
    <w:bookmarkStart w:id="31" w:name="the-models-and-where-india-sits"/>
    <w:p>
      <w:pPr>
        <w:pStyle w:val="Heading2"/>
      </w:pPr>
      <w:r>
        <w:t xml:space="preserve">The models, and where India sits</w:t>
      </w:r>
    </w:p>
    <w:p>
      <w:pPr>
        <w:pStyle w:val="FirstParagraph"/>
      </w:pPr>
      <w:r>
        <w:t xml:space="preserve">Three models exist.</w:t>
      </w:r>
      <w:r>
        <w:t xml:space="preserve"> </w:t>
      </w:r>
      <w:r>
        <w:rPr>
          <w:bCs/>
          <w:b/>
        </w:rPr>
        <w:t xml:space="preserve">Strict liability</w:t>
      </w:r>
      <w:r>
        <w:t xml:space="preserve">, found in China and Thailand, makes the intermediary unconditionally liable, requires advance monitoring and backs the duty with licence withdrawal and criminal penalties.</w:t>
      </w:r>
      <w:r>
        <w:t xml:space="preserve"> </w:t>
      </w:r>
      <w:r>
        <w:rPr>
          <w:bCs/>
          <w:b/>
        </w:rPr>
        <w:t xml:space="preserve">Broad immunity</w:t>
      </w:r>
      <w:r>
        <w:t xml:space="preserve">, the American model, expressly excludes any obligation to monitor and treats platforms as messengers rather than publishers.</w:t>
      </w:r>
      <w:r>
        <w:t xml:space="preserve"> </w:t>
      </w:r>
      <w:r>
        <w:rPr>
          <w:bCs/>
          <w:b/>
        </w:rPr>
        <w:t xml:space="preserve">India occupies the middle position of conditional safe harbour</w:t>
      </w:r>
      <w:r>
        <w:t xml:space="preserve">, under which immunity survives only if statutory requirements are observed.</w:t>
      </w:r>
    </w:p>
    <w:p>
      <w:pPr>
        <w:pStyle w:val="BodyText"/>
      </w:pPr>
      <w:r>
        <w:t xml:space="preserve">Within safe harbour the further distinction is between vertical and horizontal models. A</w:t>
      </w:r>
      <w:r>
        <w:t xml:space="preserve"> </w:t>
      </w:r>
      <w:r>
        <w:rPr>
          <w:bCs/>
          <w:b/>
        </w:rPr>
        <w:t xml:space="preserve">vertical</w:t>
      </w:r>
      <w:r>
        <w:t xml:space="preserve"> </w:t>
      </w:r>
      <w:r>
        <w:t xml:space="preserve">regime, such as Singapore’s, determines liability by the type of content — copyright, defamation, child pornography — and draws no distinction between hosting and transmitting. A</w:t>
      </w:r>
      <w:r>
        <w:t xml:space="preserve"> </w:t>
      </w:r>
      <w:r>
        <w:rPr>
          <w:bCs/>
          <w:b/>
        </w:rPr>
        <w:t xml:space="preserve">horizontal</w:t>
      </w:r>
      <w:r>
        <w:t xml:space="preserve"> </w:t>
      </w:r>
      <w:r>
        <w:t xml:space="preserve">regime determines liability by the function performed, exempting mere transmitters unconditionally while holding hosts to stricter standards.</w:t>
      </w:r>
      <w:r>
        <w:t xml:space="preserve"> </w:t>
      </w:r>
      <w:r>
        <w:rPr>
          <w:bCs/>
          <w:b/>
        </w:rPr>
        <w:t xml:space="preserve">India is horizontal</w:t>
      </w:r>
      <w:r>
        <w:t xml:space="preserve">, which is why s.79(2) is drafted around conduit, caching and hosting rather than around categories of unlawful content. What every regime shares is a duty to remove unlawful content on a legally sufficient trigger; the disagreement is about what counts as the trigger, not about whether one exists.</w:t>
      </w:r>
    </w:p>
    <w:p>
      <w:pPr>
        <w:pStyle w:val="BodyText"/>
      </w:pPr>
      <w:r>
        <w:t xml:space="preserve">The 2021 Rules layer four categories on this base. Every</w:t>
      </w:r>
      <w:r>
        <w:t xml:space="preserve"> </w:t>
      </w:r>
      <w:r>
        <w:rPr>
          <w:bCs/>
          <w:b/>
        </w:rPr>
        <w:t xml:space="preserve">intermediary</w:t>
      </w:r>
      <w:r>
        <w:t xml:space="preserve"> </w:t>
      </w:r>
      <w:r>
        <w:t xml:space="preserve">under</w:t>
      </w:r>
      <w:r>
        <w:t xml:space="preserve"> </w:t>
      </w:r>
      <w:r>
        <w:rPr>
          <w:bCs/>
          <w:b/>
        </w:rPr>
        <w:t xml:space="preserve">s.2(1)(w)</w:t>
      </w:r>
      <w:r>
        <w:t xml:space="preserve"> </w:t>
      </w:r>
      <w:r>
        <w:t xml:space="preserve">owes the Rule 3 duties. A</w:t>
      </w:r>
      <w:r>
        <w:t xml:space="preserve"> </w:t>
      </w:r>
      <w:r>
        <w:rPr>
          <w:bCs/>
          <w:b/>
        </w:rPr>
        <w:t xml:space="preserve">social media intermediary</w:t>
      </w:r>
      <w:r>
        <w:t xml:space="preserve"> </w:t>
      </w:r>
      <w:r>
        <w:t xml:space="preserve">under</w:t>
      </w:r>
      <w:r>
        <w:t xml:space="preserve"> </w:t>
      </w:r>
      <w:r>
        <w:rPr>
          <w:bCs/>
          <w:b/>
        </w:rPr>
        <w:t xml:space="preserve">Rule 2(w)</w:t>
      </w:r>
      <w:r>
        <w:t xml:space="preserve"> </w:t>
      </w:r>
      <w:r>
        <w:t xml:space="preserve">is one that primarily or solely enables online interaction between users. A</w:t>
      </w:r>
      <w:r>
        <w:t xml:space="preserve"> </w:t>
      </w:r>
      <w:r>
        <w:rPr>
          <w:bCs/>
          <w:b/>
        </w:rPr>
        <w:t xml:space="preserve">significant social media intermediary</w:t>
      </w:r>
      <w:r>
        <w:t xml:space="preserve"> </w:t>
      </w:r>
      <w:r>
        <w:t xml:space="preserve">under</w:t>
      </w:r>
      <w:r>
        <w:t xml:space="preserve"> </w:t>
      </w:r>
      <w:r>
        <w:rPr>
          <w:bCs/>
          <w:b/>
        </w:rPr>
        <w:t xml:space="preserve">Rule 2(v)</w:t>
      </w:r>
      <w:r>
        <w:t xml:space="preserve"> </w:t>
      </w:r>
      <w:r>
        <w:t xml:space="preserve">is one above a notified threshold, and</w:t>
      </w:r>
      <w:r>
        <w:t xml:space="preserve"> </w:t>
      </w:r>
      <w:r>
        <w:rPr>
          <w:bCs/>
          <w:b/>
        </w:rPr>
        <w:t xml:space="preserve">S.O. 942(E) dated 25 February 2021 fixed that threshold at fifty lakh registered users in India</w:t>
      </w:r>
      <w:r>
        <w:t xml:space="preserve">, which brings Rule 4 into play in addition to Rule 3. An</w:t>
      </w:r>
      <w:r>
        <w:t xml:space="preserve"> </w:t>
      </w:r>
      <w:r>
        <w:rPr>
          <w:bCs/>
          <w:b/>
        </w:rPr>
        <w:t xml:space="preserve">online game intermediary</w:t>
      </w:r>
      <w:r>
        <w:t xml:space="preserve"> </w:t>
      </w:r>
      <w:r>
        <w:t xml:space="preserve">under</w:t>
      </w:r>
      <w:r>
        <w:t xml:space="preserve"> </w:t>
      </w:r>
      <w:r>
        <w:rPr>
          <w:bCs/>
          <w:b/>
        </w:rPr>
        <w:t xml:space="preserve">Rule 2(qb)</w:t>
      </w:r>
      <w:r>
        <w:t xml:space="preserve"> </w:t>
      </w:r>
      <w:r>
        <w:t xml:space="preserve">enables access to online games. Publishers of news and of online curated content sit outside this scheme altogether and are governed by Part III.</w:t>
      </w:r>
    </w:p>
    <w:bookmarkEnd w:id="31"/>
    <w:bookmarkStart w:id="32" w:name="Xfa87ce4513b13d99dd73f08c4bc5bab9fecdaf6"/>
    <w:p>
      <w:pPr>
        <w:pStyle w:val="Heading2"/>
      </w:pPr>
      <w:r>
        <w:t xml:space="preserve">Section 79 — the structure of the exemption</w:t>
      </w:r>
    </w:p>
    <w:p>
      <w:pPr>
        <w:pStyle w:val="FirstParagraph"/>
      </w:pPr>
      <w:r>
        <w:t xml:space="preserve">The pre-2008 section protected only a</w:t>
      </w:r>
      <w:r>
        <w:t xml:space="preserve"> </w:t>
      </w:r>
      <w:r>
        <w:rPr>
          <w:iCs/>
          <w:i/>
        </w:rPr>
        <w:t xml:space="preserve">“</w:t>
      </w:r>
      <w:r>
        <w:rPr>
          <w:iCs/>
          <w:i/>
        </w:rPr>
        <w:t xml:space="preserve">network service provider</w:t>
      </w:r>
      <w:r>
        <w:rPr>
          <w:iCs/>
          <w:i/>
        </w:rPr>
        <w:t xml:space="preserve">”</w:t>
      </w:r>
      <w:r>
        <w:t xml:space="preserve">, only against liability</w:t>
      </w:r>
      <w:r>
        <w:t xml:space="preserve"> </w:t>
      </w:r>
      <w:r>
        <w:rPr>
          <w:iCs/>
          <w:i/>
        </w:rPr>
        <w:t xml:space="preserve">“</w:t>
      </w:r>
      <w:r>
        <w:rPr>
          <w:iCs/>
          <w:i/>
        </w:rPr>
        <w:t xml:space="preserve">under this Act, rules or regulations made thereunder</w:t>
      </w:r>
      <w:r>
        <w:rPr>
          <w:iCs/>
          <w:i/>
        </w:rPr>
        <w:t xml:space="preserve">”</w:t>
      </w:r>
      <w:r>
        <w:t xml:space="preserve">, and only if the provider itself proved absence of knowledge or the exercise of all due diligence. The 2008 Amendment reversed that structure.</w:t>
      </w:r>
      <w:r>
        <w:t xml:space="preserve"> </w:t>
      </w:r>
      <w:r>
        <w:rPr>
          <w:bCs/>
          <w:b/>
        </w:rPr>
        <w:t xml:space="preserve">Section 79(1)</w:t>
      </w:r>
      <w:r>
        <w:t xml:space="preserve"> </w:t>
      </w:r>
      <w:r>
        <w:t xml:space="preserve">now begins</w:t>
      </w:r>
      <w:r>
        <w:t xml:space="preserve"> </w:t>
      </w:r>
      <w:r>
        <w:rPr>
          <w:iCs/>
          <w:i/>
        </w:rPr>
        <w:t xml:space="preserve">“</w:t>
      </w:r>
      <w:r>
        <w:rPr>
          <w:iCs/>
          <w:i/>
        </w:rPr>
        <w:t xml:space="preserve">Notwithstanding anything contained in any law for the time being in force but subject to the provisions of sub-section (2) and (3),</w:t>
      </w:r>
      <w:r>
        <w:rPr>
          <w:iCs/>
          <w:i/>
        </w:rPr>
        <w:t xml:space="preserve">”</w:t>
      </w:r>
      <w:r>
        <w:t xml:space="preserve"> </w:t>
      </w:r>
      <w:r>
        <w:t xml:space="preserve">and declares that an intermediary shall not be liable for third-party information, data or communication links made available or hosted by it. The opening words override inconsistent liability rules in other statutes; the qualifying words make the override conditional. Safe harbour under Indian law is therefore conditional, never absolute, and the burden no longer rests on the intermediary but on the party seeking to bring the case within sub-section (3).</w:t>
      </w:r>
    </w:p>
    <w:p>
      <w:pPr>
        <w:pStyle w:val="BodyText"/>
      </w:pPr>
      <w:r>
        <w:rPr>
          <w:bCs/>
          <w:b/>
        </w:rPr>
        <w:t xml:space="preserve">Section 79(2)</w:t>
      </w:r>
      <w:r>
        <w:t xml:space="preserve"> </w:t>
      </w:r>
      <w:r>
        <w:t xml:space="preserve">sets out when the exemption applies. Clause</w:t>
      </w:r>
      <w:r>
        <w:t xml:space="preserve"> </w:t>
      </w:r>
      <w:r>
        <w:rPr>
          <w:bCs/>
          <w:b/>
        </w:rPr>
        <w:t xml:space="preserve">(a)</w:t>
      </w:r>
      <w:r>
        <w:t xml:space="preserve"> </w:t>
      </w:r>
      <w:r>
        <w:t xml:space="preserve">covers the intermediary whose function is limited to providing access to a communication system over which third-party information is transmitted or temporarily stored or hosted, embracing mere conduit, proxy caching and hosting. Clause</w:t>
      </w:r>
      <w:r>
        <w:t xml:space="preserve"> </w:t>
      </w:r>
      <w:r>
        <w:rPr>
          <w:bCs/>
          <w:b/>
        </w:rPr>
        <w:t xml:space="preserve">(b)</w:t>
      </w:r>
      <w:r>
        <w:t xml:space="preserve"> </w:t>
      </w:r>
      <w:r>
        <w:t xml:space="preserve">covers the passive facilitator, which must not initiate the transmission, must not select the receiver, and must not select or modify the information. Clause</w:t>
      </w:r>
      <w:r>
        <w:t xml:space="preserve"> </w:t>
      </w:r>
      <w:r>
        <w:rPr>
          <w:bCs/>
          <w:b/>
        </w:rPr>
        <w:t xml:space="preserve">(c)</w:t>
      </w:r>
      <w:r>
        <w:t xml:space="preserve"> </w:t>
      </w:r>
      <w:r>
        <w:t xml:space="preserve">requires observance of due diligence and of such guidelines as the Central Government may prescribe. The relationship between the three was settled by the Single Bench in</w:t>
      </w:r>
      <w:r>
        <w:t xml:space="preserve"> </w:t>
      </w:r>
      <w:r>
        <w:rPr>
          <w:iCs/>
          <w:i/>
          <w:bCs/>
          <w:b/>
        </w:rPr>
        <w:t xml:space="preserve">Super Cassettes Industries Ltd. v. MySpace Inc.</w:t>
      </w:r>
      <w:r>
        <w:t xml:space="preserve"> </w:t>
      </w:r>
      <w:r>
        <w:t xml:space="preserve">(Delhi HC, 2011):</w:t>
      </w:r>
      <w:r>
        <w:t xml:space="preserve"> </w:t>
      </w:r>
      <w:r>
        <w:rPr>
          <w:iCs/>
          <w:i/>
        </w:rPr>
        <w:t xml:space="preserve">“</w:t>
      </w:r>
      <w:r>
        <w:rPr>
          <w:iCs/>
          <w:i/>
        </w:rPr>
        <w:t xml:space="preserve">The use of the wordings</w:t>
      </w:r>
      <w:r>
        <w:rPr>
          <w:iCs/>
          <w:i/>
        </w:rPr>
        <w:t xml:space="preserve"> </w:t>
      </w:r>
      <w:r>
        <w:rPr>
          <w:iCs/>
          <w:i/>
        </w:rPr>
        <w:t xml:space="preserve">‘</w:t>
      </w:r>
      <w:r>
        <w:rPr>
          <w:iCs/>
          <w:i/>
        </w:rPr>
        <w:t xml:space="preserve">or</w:t>
      </w:r>
      <w:r>
        <w:rPr>
          <w:iCs/>
          <w:i/>
        </w:rPr>
        <w:t xml:space="preserve">’</w:t>
      </w:r>
      <w:r>
        <w:rPr>
          <w:iCs/>
          <w:i/>
        </w:rPr>
        <w:t xml:space="preserve"> </w:t>
      </w:r>
      <w:r>
        <w:rPr>
          <w:iCs/>
          <w:i/>
        </w:rPr>
        <w:t xml:space="preserve">between (a) and (b) makes them disjunctive, although (c) has to coexist with (a) or (b) whichever is applicable.</w:t>
      </w:r>
      <w:r>
        <w:rPr>
          <w:iCs/>
          <w:i/>
        </w:rPr>
        <w:t xml:space="preserve">”</w:t>
      </w:r>
      <w:r>
        <w:t xml:space="preserve"> </w:t>
      </w:r>
      <w:r>
        <w:t xml:space="preserve">The formula is therefore</w:t>
      </w:r>
      <w:r>
        <w:t xml:space="preserve"> </w:t>
      </w:r>
      <w:r>
        <w:rPr>
          <w:bCs/>
          <w:b/>
        </w:rPr>
        <w:t xml:space="preserve">[(a) or (b)] plus (c) always</w:t>
      </w:r>
      <w:r>
        <w:t xml:space="preserve">, and an intermediary that is perfectly passive still forfeits protection if it fails due diligence.</w:t>
      </w:r>
    </w:p>
    <w:p>
      <w:pPr>
        <w:pStyle w:val="BodyText"/>
      </w:pPr>
      <w:r>
        <w:rPr>
          <w:bCs/>
          <w:b/>
        </w:rPr>
        <w:t xml:space="preserve">Section 79(3)</w:t>
      </w:r>
      <w:r>
        <w:t xml:space="preserve"> </w:t>
      </w:r>
      <w:r>
        <w:t xml:space="preserve">removes the exemption in two situations. Under</w:t>
      </w:r>
      <w:r>
        <w:t xml:space="preserve"> </w:t>
      </w:r>
      <w:r>
        <w:rPr>
          <w:bCs/>
          <w:b/>
        </w:rPr>
        <w:t xml:space="preserve">(a)</w:t>
      </w:r>
      <w:r>
        <w:t xml:space="preserve"> </w:t>
      </w:r>
      <w:r>
        <w:t xml:space="preserve">the intermediary has conspired, abetted, aided or induced, whether by threats or promise or otherwise, in the commission of the unlawful act. Under</w:t>
      </w:r>
      <w:r>
        <w:t xml:space="preserve"> </w:t>
      </w:r>
      <w:r>
        <w:rPr>
          <w:bCs/>
          <w:b/>
        </w:rPr>
        <w:t xml:space="preserve">(b)</w:t>
      </w:r>
      <w:r>
        <w:t xml:space="preserve"> </w:t>
      </w:r>
      <w:r>
        <w:t xml:space="preserve">the intermediary, having received actual knowledge or been notified by the appropriate Government or its agency that material residing in or connected to a computer resource under its control is being used to commit an unlawful act, fails to remove or disable access expeditiously and without vitiating the evidence. Both elements of (b) are cumulative: knowledge without failure, or failure without knowledge, does not defeat the exemption.</w:t>
      </w:r>
    </w:p>
    <w:p>
      <w:pPr>
        <w:pStyle w:val="SourceCode"/>
      </w:pPr>
      <w:r>
        <w:rPr>
          <w:rStyle w:val="VerbatimChar"/>
        </w:rPr>
        <w:t xml:space="preserve">  ┌─ GATE 1 ─ INTERMEDIARY for this record?  s.2(1)(w)</w:t>
      </w:r>
      <w:r>
        <w:br/>
      </w:r>
      <w:r>
        <w:rPr>
          <w:rStyle w:val="VerbatimChar"/>
        </w:rPr>
        <w:t xml:space="preserve">  │           NO → s.79 never applies</w:t>
      </w:r>
      <w:r>
        <w:br/>
      </w:r>
      <w:r>
        <w:rPr>
          <w:rStyle w:val="VerbatimChar"/>
        </w:rPr>
        <w:t xml:space="preserve">  ▼ YES</w:t>
      </w:r>
      <w:r>
        <w:br/>
      </w:r>
      <w:r>
        <w:rPr>
          <w:rStyle w:val="VerbatimChar"/>
        </w:rPr>
        <w:t xml:space="preserve">  ┌─ GATE 2 ─ s.79(2)(a) conduit/caching/hosting  OR</w:t>
      </w:r>
      <w:r>
        <w:br/>
      </w:r>
      <w:r>
        <w:rPr>
          <w:rStyle w:val="VerbatimChar"/>
        </w:rPr>
        <w:t xml:space="preserve">  │           s.79(2)(b) passive: not initiate · not select receiver ·</w:t>
      </w:r>
      <w:r>
        <w:br/>
      </w:r>
      <w:r>
        <w:rPr>
          <w:rStyle w:val="VerbatimChar"/>
        </w:rPr>
        <w:t xml:space="preserve">  │                      not select or modify</w:t>
      </w:r>
      <w:r>
        <w:br/>
      </w:r>
      <w:r>
        <w:rPr>
          <w:rStyle w:val="VerbatimChar"/>
        </w:rPr>
        <w:t xml:space="preserve">  │           NO → LOST                        [Christian Louboutin]</w:t>
      </w:r>
      <w:r>
        <w:br/>
      </w:r>
      <w:r>
        <w:rPr>
          <w:rStyle w:val="VerbatimChar"/>
        </w:rPr>
        <w:t xml:space="preserve">  ▼ YES</w:t>
      </w:r>
      <w:r>
        <w:br/>
      </w:r>
      <w:r>
        <w:rPr>
          <w:rStyle w:val="VerbatimChar"/>
        </w:rPr>
        <w:t xml:space="preserve">  ┌─ GATE 3 ─ s.79(2)(c) DUE DILIGENCE — mandatory in both cases</w:t>
      </w:r>
      <w:r>
        <w:br/>
      </w:r>
      <w:r>
        <w:rPr>
          <w:rStyle w:val="VerbatimChar"/>
        </w:rPr>
        <w:t xml:space="preserve">  │           NO → LOST + Rule 7                      [MySpace SB]</w:t>
      </w:r>
      <w:r>
        <w:br/>
      </w:r>
      <w:r>
        <w:rPr>
          <w:rStyle w:val="VerbatimChar"/>
        </w:rPr>
        <w:t xml:space="preserve">  ▼ YES</w:t>
      </w:r>
      <w:r>
        <w:br/>
      </w:r>
      <w:r>
        <w:rPr>
          <w:rStyle w:val="VerbatimChar"/>
        </w:rPr>
        <w:t xml:space="preserve">  ┌─ GATE 4 ─ s.79(3)(a) conspired/abetted/aided/induced?</w:t>
      </w:r>
      <w:r>
        <w:br/>
      </w:r>
      <w:r>
        <w:rPr>
          <w:rStyle w:val="VerbatimChar"/>
        </w:rPr>
        <w:t xml:space="preserve">  │           YES → LOST                              [Sanjay Kedia]</w:t>
      </w:r>
      <w:r>
        <w:br/>
      </w:r>
      <w:r>
        <w:rPr>
          <w:rStyle w:val="VerbatimChar"/>
        </w:rPr>
        <w:t xml:space="preserve">  ▼ NO</w:t>
      </w:r>
      <w:r>
        <w:br/>
      </w:r>
      <w:r>
        <w:rPr>
          <w:rStyle w:val="VerbatimChar"/>
        </w:rPr>
        <w:t xml:space="preserve">  ┌─ GATE 5 ─ s.79(3)(b) ACTUAL KNOWLEDGE *and* failed to act?</w:t>
      </w:r>
      <w:r>
        <w:br/>
      </w:r>
      <w:r>
        <w:rPr>
          <w:rStyle w:val="VerbatimChar"/>
        </w:rPr>
        <w:t xml:space="preserve">  │           YES → LOST                          [Shreya Singhal]</w:t>
      </w:r>
      <w:r>
        <w:br/>
      </w:r>
      <w:r>
        <w:rPr>
          <w:rStyle w:val="VerbatimChar"/>
        </w:rPr>
        <w:t xml:space="preserve">  ▼ NO</w:t>
      </w:r>
      <w:r>
        <w:br/>
      </w:r>
      <w:r>
        <w:rPr>
          <w:rStyle w:val="VerbatimChar"/>
        </w:rPr>
        <w:t xml:space="preserve">        ✔ SAFE HARBOUR AVAILABLE</w:t>
      </w:r>
      <w:r>
        <w:br/>
      </w:r>
      <w:r>
        <w:br/>
      </w:r>
      <w:r>
        <w:rPr>
          <w:rStyle w:val="VerbatimChar"/>
        </w:rPr>
        <w:t xml:space="preserve">  Fail any gate → s.79(1) does not apply → RULE 7: liable under any law.</w:t>
      </w:r>
    </w:p>
    <w:bookmarkEnd w:id="32"/>
    <w:bookmarkStart w:id="33" w:name="actual-knowledge"/>
    <w:p>
      <w:pPr>
        <w:pStyle w:val="Heading2"/>
      </w:pPr>
      <w:r>
        <w:t xml:space="preserve">Actual knowledge</w:t>
      </w:r>
    </w:p>
    <w:p>
      <w:pPr>
        <w:pStyle w:val="FirstParagraph"/>
      </w:pPr>
      <w:r>
        <w:t xml:space="preserve">The whole of the case law turns on when an intermediary is fixed with knowledge. In</w:t>
      </w:r>
      <w:r>
        <w:t xml:space="preserve"> </w:t>
      </w:r>
      <w:r>
        <w:rPr>
          <w:iCs/>
          <w:i/>
          <w:bCs/>
          <w:b/>
        </w:rPr>
        <w:t xml:space="preserve">Shreya Singhal v. Union of India</w:t>
      </w:r>
      <w:r>
        <w:t xml:space="preserve">, AIR 2015 SC 1523, the Court upheld s.79 but</w:t>
      </w:r>
      <w:r>
        <w:t xml:space="preserve"> </w:t>
      </w:r>
      <w:r>
        <w:rPr>
          <w:bCs/>
          <w:b/>
        </w:rPr>
        <w:t xml:space="preserve">read down s.79(3)(b)</w:t>
      </w:r>
      <w:r>
        <w:t xml:space="preserve">, holding at</w:t>
      </w:r>
      <w:r>
        <w:t xml:space="preserve"> </w:t>
      </w:r>
      <w:r>
        <w:rPr>
          <w:bCs/>
          <w:b/>
        </w:rPr>
        <w:t xml:space="preserve">paragraph 119(c)</w:t>
      </w:r>
      <w:r>
        <w:t xml:space="preserve"> </w:t>
      </w:r>
      <w:r>
        <w:t xml:space="preserve">that the section means</w:t>
      </w:r>
      <w:r>
        <w:t xml:space="preserve"> </w:t>
      </w:r>
      <w:r>
        <w:rPr>
          <w:iCs/>
          <w:i/>
        </w:rPr>
        <w:t xml:space="preserve">“</w:t>
      </w:r>
      <w:r>
        <w:rPr>
          <w:iCs/>
          <w:i/>
        </w:rPr>
        <w:t xml:space="preserve">an intermediary upon receiving actual knowledge from a court order or on being notified by the appropriate government or its agency that unlawful acts relatable to Article 19(2) are going to be committed then fails to expeditiously remove or disable access to such material,</w:t>
      </w:r>
      <w:r>
        <w:rPr>
          <w:iCs/>
          <w:i/>
        </w:rPr>
        <w:t xml:space="preserve">”</w:t>
      </w:r>
      <w:r>
        <w:t xml:space="preserve"> </w:t>
      </w:r>
      <w:r>
        <w:t xml:space="preserve">and reading down</w:t>
      </w:r>
      <w:r>
        <w:t xml:space="preserve"> </w:t>
      </w:r>
      <w:r>
        <w:rPr>
          <w:bCs/>
          <w:b/>
        </w:rPr>
        <w:t xml:space="preserve">Rule 3(4) of the 2011 Rules</w:t>
      </w:r>
      <w:r>
        <w:t xml:space="preserve"> </w:t>
      </w:r>
      <w:r>
        <w:t xml:space="preserve">in the same manner. Before this, a private complaint could trigger the takedown duty, which meant that any private party could compel removal by mere allegation, that the intermediary would remove first and ask questions later, and that a commercial entity would become the adjudicator of legality. Confining actual knowledge to a court order or an authorised government notification returned that determination to courts and the State and tied it to the grounds in Article 19(2).</w:t>
      </w:r>
    </w:p>
    <w:p>
      <w:pPr>
        <w:pStyle w:val="BodyText"/>
      </w:pPr>
      <w:r>
        <w:t xml:space="preserve">The intellectual property cases worked out what a sufficient notice looks like. The Single Bench in</w:t>
      </w:r>
      <w:r>
        <w:t xml:space="preserve"> </w:t>
      </w:r>
      <w:r>
        <w:rPr>
          <w:iCs/>
          <w:i/>
        </w:rPr>
        <w:t xml:space="preserve">MySpace</w:t>
      </w:r>
      <w:r>
        <w:t xml:space="preserve"> </w:t>
      </w:r>
      <w:r>
        <w:t xml:space="preserve">had found secondary infringement under</w:t>
      </w:r>
      <w:r>
        <w:t xml:space="preserve"> </w:t>
      </w:r>
      <w:r>
        <w:rPr>
          <w:bCs/>
          <w:b/>
        </w:rPr>
        <w:t xml:space="preserve">s.51(a)(ii) of the Copyright Act 1957</w:t>
      </w:r>
      <w:r>
        <w:t xml:space="preserve"> </w:t>
      </w:r>
      <w:r>
        <w:t xml:space="preserve">on the footing that web space is a</w:t>
      </w:r>
      <w:r>
        <w:t xml:space="preserve"> </w:t>
      </w:r>
      <w:r>
        <w:t xml:space="preserve">“</w:t>
      </w:r>
      <w:r>
        <w:t xml:space="preserve">place</w:t>
      </w:r>
      <w:r>
        <w:t xml:space="preserve">”</w:t>
      </w:r>
      <w:r>
        <w:t xml:space="preserve"> </w:t>
      </w:r>
      <w:r>
        <w:t xml:space="preserve">and that advertising revenue supplied the element of profit, had rejected the no-knowledge defence because MySpace modified the format of content, and had held that</w:t>
      </w:r>
      <w:r>
        <w:t xml:space="preserve"> </w:t>
      </w:r>
      <w:r>
        <w:rPr>
          <w:bCs/>
          <w:b/>
        </w:rPr>
        <w:t xml:space="preserve">s.81</w:t>
      </w:r>
      <w:r>
        <w:t xml:space="preserve"> </w:t>
      </w:r>
      <w:r>
        <w:t xml:space="preserve">overrode s.79 so that rightsholders’ interests eroded intermediary immunity. The</w:t>
      </w:r>
      <w:r>
        <w:t xml:space="preserve"> </w:t>
      </w:r>
      <w:r>
        <w:rPr>
          <w:bCs/>
          <w:b/>
        </w:rPr>
        <w:t xml:space="preserve">Division Bench in 2016 set this aside</w:t>
      </w:r>
      <w:r>
        <w:t xml:space="preserve">. It held that liability for secondary infringement requires</w:t>
      </w:r>
      <w:r>
        <w:t xml:space="preserve"> </w:t>
      </w:r>
      <w:r>
        <w:rPr>
          <w:bCs/>
          <w:b/>
        </w:rPr>
        <w:t xml:space="preserve">actual knowledge and not mere awareness</w:t>
      </w:r>
      <w:r>
        <w:t xml:space="preserve">; that the proviso to s.81 does not oust the safe harbour, which cannot be denied in a copyright action; and that</w:t>
      </w:r>
      <w:r>
        <w:t xml:space="preserve"> </w:t>
      </w:r>
      <w:r>
        <w:rPr>
          <w:bCs/>
          <w:b/>
        </w:rPr>
        <w:t xml:space="preserve">ss.79 and 81 of the IT Act and s.51 of the Copyright Act must be read harmoniously</w:t>
      </w:r>
      <w:r>
        <w:t xml:space="preserve">. Operationally it directed the rightsholder to supply a</w:t>
      </w:r>
      <w:r>
        <w:t xml:space="preserve"> </w:t>
      </w:r>
      <w:r>
        <w:rPr>
          <w:bCs/>
          <w:b/>
        </w:rPr>
        <w:t xml:space="preserve">specific catalogue of infringing works identifying the URLs</w:t>
      </w:r>
      <w:r>
        <w:t xml:space="preserve">, upon which the content was to be removed</w:t>
      </w:r>
      <w:r>
        <w:t xml:space="preserve"> </w:t>
      </w:r>
      <w:r>
        <w:rPr>
          <w:bCs/>
          <w:b/>
        </w:rPr>
        <w:t xml:space="preserve">within thirty-six hours</w:t>
      </w:r>
      <w:r>
        <w:t xml:space="preserve">. Paragraph 57 states the sequence and the burden:</w:t>
      </w:r>
      <w:r>
        <w:t xml:space="preserve"> </w:t>
      </w:r>
      <w:r>
        <w:rPr>
          <w:iCs/>
          <w:i/>
        </w:rPr>
        <w:t xml:space="preserve">“</w:t>
      </w:r>
      <w:r>
        <w:rPr>
          <w:iCs/>
          <w:i/>
        </w:rPr>
        <w:t xml:space="preserve">If copyright owners, such as SCIL inform MySpace specifically about infringing works and despite such notice it does not takedown the content, then alone is safe harbor denied. However, it is for SCIL to show that despite giving specific information the appellant did not comply with its notice.</w:t>
      </w:r>
      <w:r>
        <w:rPr>
          <w:iCs/>
          <w:i/>
        </w:rPr>
        <w:t xml:space="preserve">”</w:t>
      </w:r>
    </w:p>
    <w:p>
      <w:pPr>
        <w:pStyle w:val="BodyText"/>
      </w:pPr>
      <w:r>
        <w:rPr>
          <w:iCs/>
          <w:i/>
          <w:bCs/>
          <w:b/>
        </w:rPr>
        <w:t xml:space="preserve">Kent RO Systems Ltd. v. Amit Kotak</w:t>
      </w:r>
      <w:r>
        <w:t xml:space="preserve"> </w:t>
      </w:r>
      <w:r>
        <w:t xml:space="preserve">(Delhi HC, 2017) completed the picture from the other side, refusing to compel intermediaries to screen intellectual property infringement</w:t>
      </w:r>
      <w:r>
        <w:t xml:space="preserve"> </w:t>
      </w:r>
      <w:r>
        <w:rPr>
          <w:iCs/>
          <w:i/>
        </w:rPr>
        <w:t xml:space="preserve">ex ante</w:t>
      </w:r>
      <w:r>
        <w:t xml:space="preserve">, holding that such a requirement would be</w:t>
      </w:r>
      <w:r>
        <w:t xml:space="preserve"> </w:t>
      </w:r>
      <w:r>
        <w:rPr>
          <w:iCs/>
          <w:i/>
        </w:rPr>
        <w:t xml:space="preserve">“</w:t>
      </w:r>
      <w:r>
        <w:rPr>
          <w:iCs/>
          <w:i/>
        </w:rPr>
        <w:t xml:space="preserve">an unreasonable interference with the rights of the intermediary to carry on its business</w:t>
      </w:r>
      <w:r>
        <w:rPr>
          <w:iCs/>
          <w:i/>
        </w:rPr>
        <w:t xml:space="preserve">”</w:t>
      </w:r>
      <w:r>
        <w:t xml:space="preserve"> </w:t>
      </w:r>
      <w:r>
        <w:t xml:space="preserve">and would convert the intermediary</w:t>
      </w:r>
      <w:r>
        <w:t xml:space="preserve"> </w:t>
      </w:r>
      <w:r>
        <w:rPr>
          <w:bCs/>
          <w:b/>
        </w:rPr>
        <w:t xml:space="preserve">from a facilitator into an adjudicator</w:t>
      </w:r>
      <w:r>
        <w:t xml:space="preserve">, while confirming that once specific infringing listings are brought to its attention the platform must remove them. There is accordingly no general duty to inspect and an unambiguous duty to respond.</w:t>
      </w:r>
    </w:p>
    <w:bookmarkEnd w:id="33"/>
    <w:bookmarkStart w:id="34" w:name="losing-the-exemption-by-participation"/>
    <w:p>
      <w:pPr>
        <w:pStyle w:val="Heading2"/>
      </w:pPr>
      <w:r>
        <w:t xml:space="preserve">Losing the exemption by participation</w:t>
      </w:r>
    </w:p>
    <w:p>
      <w:pPr>
        <w:pStyle w:val="FirstParagraph"/>
      </w:pPr>
      <w:r>
        <w:t xml:space="preserve">Section 79(3)(a) was applied in</w:t>
      </w:r>
      <w:r>
        <w:t xml:space="preserve"> </w:t>
      </w:r>
      <w:r>
        <w:rPr>
          <w:iCs/>
          <w:i/>
          <w:bCs/>
          <w:b/>
        </w:rPr>
        <w:t xml:space="preserve">Sanjay Kumar Kedia v. Narcotics Control Bureau</w:t>
      </w:r>
      <w:r>
        <w:t xml:space="preserve"> </w:t>
      </w:r>
      <w:r>
        <w:t xml:space="preserve">(SC, 2007), where the appellant’s companies designed, developed and hosted pharmaceutical websites through which large quantities of Phentermine and Butalbital were distributed in the United States. The Court held that the appellant and his associates were</w:t>
      </w:r>
      <w:r>
        <w:t xml:space="preserve"> </w:t>
      </w:r>
      <w:r>
        <w:rPr>
          <w:iCs/>
          <w:i/>
        </w:rPr>
        <w:t xml:space="preserve">“</w:t>
      </w:r>
      <w:r>
        <w:rPr>
          <w:iCs/>
          <w:i/>
        </w:rPr>
        <w:t xml:space="preserve">not innocent intermediaries or network service providers as defined under section 79… but the said business was only a</w:t>
      </w:r>
      <w:r>
        <w:rPr>
          <w:iCs/>
          <w:i/>
        </w:rPr>
        <w:t xml:space="preserve"> </w:t>
      </w:r>
      <w:r>
        <w:rPr>
          <w:bCs/>
          <w:b/>
          <w:iCs/>
          <w:i/>
        </w:rPr>
        <w:t xml:space="preserve">façade and camouflage for more sinister activity</w:t>
      </w:r>
      <w:r>
        <w:rPr>
          <w:iCs/>
          <w:i/>
        </w:rPr>
        <w:t xml:space="preserve">,</w:t>
      </w:r>
      <w:r>
        <w:rPr>
          <w:iCs/>
          <w:i/>
        </w:rPr>
        <w:t xml:space="preserve">”</w:t>
      </w:r>
      <w:r>
        <w:t xml:space="preserve"> </w:t>
      </w:r>
      <w:r>
        <w:t xml:space="preserve">so that s.79 granted no immunity. Carrying another person’s information supports protection; building and operating the apparatus of the offence does not.</w:t>
      </w:r>
    </w:p>
    <w:p>
      <w:pPr>
        <w:pStyle w:val="BodyText"/>
      </w:pPr>
      <w:r>
        <w:t xml:space="preserve">The commercial equivalent is</w:t>
      </w:r>
      <w:r>
        <w:t xml:space="preserve"> </w:t>
      </w:r>
      <w:r>
        <w:rPr>
          <w:iCs/>
          <w:i/>
          <w:bCs/>
          <w:b/>
        </w:rPr>
        <w:t xml:space="preserve">Christian Louboutin SAS v. Nakul Bajaj</w:t>
      </w:r>
      <w:r>
        <w:t xml:space="preserve"> </w:t>
      </w:r>
      <w:r>
        <w:t xml:space="preserve">(Delhi HC, 2018). Darveys.com sold Louboutin-branded goods without authorisation, used the founder’s name, images and meta-tags, and charged a membership fee. Holding that it could not be termed an intermediary entitled to s.79 protection, Prathiba M. Singh J. enumerated</w:t>
      </w:r>
      <w:r>
        <w:t xml:space="preserve"> </w:t>
      </w:r>
      <w:r>
        <w:rPr>
          <w:bCs/>
          <w:b/>
        </w:rPr>
        <w:t xml:space="preserve">twenty-six activities</w:t>
      </w:r>
      <w:r>
        <w:t xml:space="preserve"> </w:t>
      </w:r>
      <w:r>
        <w:t xml:space="preserve">performed by online marketplaces — identifying the seller, providing transport to the warehouse, uploading the product entry, creating the listing, guaranteeing authenticity, uploading reviews, advertising, packaging in branded boxes, transporting to the purchaser, accepting payment, employing the mark in meta-tags among them — and held at</w:t>
      </w:r>
      <w:r>
        <w:t xml:space="preserve"> </w:t>
      </w:r>
      <w:r>
        <w:rPr>
          <w:bCs/>
          <w:b/>
        </w:rPr>
        <w:t xml:space="preserve">paragraph 78</w:t>
      </w:r>
      <w:r>
        <w:t xml:space="preserve"> </w:t>
      </w:r>
      <w:r>
        <w:t xml:space="preserve">that</w:t>
      </w:r>
      <w:r>
        <w:t xml:space="preserve"> </w:t>
      </w:r>
      <w:r>
        <w:rPr>
          <w:iCs/>
          <w:i/>
        </w:rPr>
        <w:t xml:space="preserve">“</w:t>
      </w:r>
      <w:r>
        <w:rPr>
          <w:iCs/>
          <w:i/>
        </w:rPr>
        <w:t xml:space="preserve">When an e-commerce company claims exemption under Section 79 of the IT Act, it ought to ensure that it does not have an active participation in the selling process. The presence of any elements which shows active participation could deprive intermediaries of the exemption.</w:t>
      </w:r>
      <w:r>
        <w:rPr>
          <w:iCs/>
          <w:i/>
        </w:rPr>
        <w:t xml:space="preserve">”</w:t>
      </w:r>
      <w:r>
        <w:t xml:space="preserve"> </w:t>
      </w:r>
      <w:r>
        <w:t xml:space="preserve">The test is cumulative rather than mechanical: the more of the twenty-six a service performs, the closer it moves to being an active participant and losing the exemption.</w:t>
      </w:r>
    </w:p>
    <w:bookmarkEnd w:id="34"/>
    <w:bookmarkStart w:id="35" w:name="corporate-and-criminal-liability"/>
    <w:p>
      <w:pPr>
        <w:pStyle w:val="Heading2"/>
      </w:pPr>
      <w:r>
        <w:t xml:space="preserve">Corporate and criminal liability</w:t>
      </w:r>
    </w:p>
    <w:p>
      <w:pPr>
        <w:pStyle w:val="FirstParagraph"/>
      </w:pPr>
      <w:r>
        <w:t xml:space="preserve">The</w:t>
      </w:r>
      <w:r>
        <w:t xml:space="preserve"> </w:t>
      </w:r>
      <w:r>
        <w:rPr>
          <w:bCs/>
          <w:b/>
        </w:rPr>
        <w:t xml:space="preserve">Bazee.com</w:t>
      </w:r>
      <w:r>
        <w:t xml:space="preserve"> </w:t>
      </w:r>
      <w:r>
        <w:t xml:space="preserve">litigation concerned an obscene MMS clip listed for sale on an online marketplace. The charges were</w:t>
      </w:r>
      <w:r>
        <w:t xml:space="preserve"> </w:t>
      </w:r>
      <w:r>
        <w:rPr>
          <w:bCs/>
          <w:b/>
        </w:rPr>
        <w:t xml:space="preserve">s.292 IPC</w:t>
      </w:r>
      <w:r>
        <w:t xml:space="preserve"> </w:t>
      </w:r>
      <w:r>
        <w:t xml:space="preserve">(obscenity by traditional print media),</w:t>
      </w:r>
      <w:r>
        <w:t xml:space="preserve"> </w:t>
      </w:r>
      <w:r>
        <w:rPr>
          <w:bCs/>
          <w:b/>
        </w:rPr>
        <w:t xml:space="preserve">s.294 IPC</w:t>
      </w:r>
      <w:r>
        <w:t xml:space="preserve"> </w:t>
      </w:r>
      <w:r>
        <w:t xml:space="preserve">(obscene acts in public places) and</w:t>
      </w:r>
      <w:r>
        <w:t xml:space="preserve"> </w:t>
      </w:r>
      <w:r>
        <w:rPr>
          <w:bCs/>
          <w:b/>
        </w:rPr>
        <w:t xml:space="preserve">s.67 of the IT Act</w:t>
      </w:r>
      <w:r>
        <w:t xml:space="preserve"> </w:t>
      </w:r>
      <w:r>
        <w:t xml:space="preserve">read with</w:t>
      </w:r>
      <w:r>
        <w:t xml:space="preserve"> </w:t>
      </w:r>
      <w:r>
        <w:rPr>
          <w:bCs/>
          <w:b/>
        </w:rPr>
        <w:t xml:space="preserve">s.85</w:t>
      </w:r>
      <w:r>
        <w:t xml:space="preserve"> </w:t>
      </w:r>
      <w:r>
        <w:t xml:space="preserve">(offences by companies), and the legal question was whether a director could be criminally liable for offences attributable to a company when the company itself was not arraigned. The Delhi High Court discharged the petitioner under ss.292 and 294 on the footing that the IPC recognises no automatic director liability, but held that a case lay under s.67 read with s.85 — notably, s.79 did not figure in the arguments at all. The</w:t>
      </w:r>
      <w:r>
        <w:t xml:space="preserve"> </w:t>
      </w:r>
      <w:r>
        <w:rPr>
          <w:bCs/>
          <w:b/>
        </w:rPr>
        <w:t xml:space="preserve">Supreme Court in 2012 overturned that finding</w:t>
      </w:r>
      <w:r>
        <w:t xml:space="preserve">, holding that vicarious liability could not be fastened on Avnish Bajaj because the company was not an accused, since</w:t>
      </w:r>
      <w:r>
        <w:t xml:space="preserve"> </w:t>
      </w:r>
      <w:r>
        <w:rPr>
          <w:iCs/>
          <w:i/>
        </w:rPr>
        <w:t xml:space="preserve">“</w:t>
      </w:r>
      <w:r>
        <w:rPr>
          <w:iCs/>
          <w:i/>
        </w:rPr>
        <w:t xml:space="preserve">Commission of an offence by the company was an express condition precedent to attract the liability of others in charge of the company.</w:t>
      </w:r>
      <w:r>
        <w:rPr>
          <w:iCs/>
          <w:i/>
        </w:rPr>
        <w:t xml:space="preserve">”</w:t>
      </w:r>
    </w:p>
    <w:p>
      <w:pPr>
        <w:pStyle w:val="BodyText"/>
      </w:pPr>
      <w:r>
        <w:t xml:space="preserve">The sequel,</w:t>
      </w:r>
      <w:r>
        <w:t xml:space="preserve"> </w:t>
      </w:r>
      <w:r>
        <w:rPr>
          <w:iCs/>
          <w:i/>
          <w:bCs/>
          <w:b/>
        </w:rPr>
        <w:t xml:space="preserve">Sharat Babu Digumarti v. Government of NCT of Delhi</w:t>
      </w:r>
      <w:r>
        <w:t xml:space="preserve"> </w:t>
      </w:r>
      <w:r>
        <w:t xml:space="preserve">(2016), concerned another manager of the same website. After the trial court dropped the s.294 IPC and s.67 IT Act charges but framed one under s.292 IPC, and the High Court upheld it, the Supreme Court quashed the proceedings, holding that electronic forms of transmission are governed by the</w:t>
      </w:r>
      <w:r>
        <w:t xml:space="preserve"> </w:t>
      </w:r>
      <w:r>
        <w:rPr>
          <w:bCs/>
          <w:b/>
        </w:rPr>
        <w:t xml:space="preserve">IT Act as a special law</w:t>
      </w:r>
      <w:r>
        <w:t xml:space="preserve">, and that an offender discharged under the relevant IT Act provisions cannot thereafter be proceeded against under the IPC for the same offence. The practical consequence is that for conduct in electronic form the IT Act occupies the field to the exclusion of the general penal law.</w:t>
      </w:r>
    </w:p>
    <w:bookmarkEnd w:id="35"/>
    <w:bookmarkStart w:id="36" w:name="disclosure-foreign-servers-and-privacy"/>
    <w:p>
      <w:pPr>
        <w:pStyle w:val="Heading2"/>
      </w:pPr>
      <w:r>
        <w:t xml:space="preserve">Disclosure, foreign servers and privacy</w:t>
      </w:r>
    </w:p>
    <w:p>
      <w:pPr>
        <w:pStyle w:val="FirstParagraph"/>
      </w:pPr>
      <w:r>
        <w:rPr>
          <w:iCs/>
          <w:i/>
          <w:bCs/>
          <w:b/>
        </w:rPr>
        <w:t xml:space="preserve">Neetu Singh v. Telegram FZ LLC</w:t>
      </w:r>
      <w:r>
        <w:t xml:space="preserve">, CS (COMM) 282/2020 (Delhi HC, Prathiba M. Singh J.), is the leading Indian authority on compelling an offshore intermediary to identify wrongdoers. The plaintiffs’ video lectures and course material were being uploaded daily to Telegram channels and sold at discounted rates; channels taken down reappeared under names altered by prefixes and suffixes, so channel-level removal was futile and identity disclosure became the only effective remedy. Telegram resisted on the basis of privacy under</w:t>
      </w:r>
      <w:r>
        <w:t xml:space="preserve"> </w:t>
      </w:r>
      <w:r>
        <w:rPr>
          <w:iCs/>
          <w:i/>
        </w:rPr>
        <w:t xml:space="preserve">Puttaswamy</w:t>
      </w:r>
      <w:r>
        <w:t xml:space="preserve">, freedom of expression, its own privacy policy, the IT Rules 2021, and the location of its encrypted servers in Singapore under that country’s</w:t>
      </w:r>
      <w:r>
        <w:t xml:space="preserve"> </w:t>
      </w:r>
      <w:r>
        <w:rPr>
          <w:bCs/>
          <w:b/>
        </w:rPr>
        <w:t xml:space="preserve">Personal Data Protection Act 2012</w:t>
      </w:r>
      <w:r>
        <w:t xml:space="preserve">.</w:t>
      </w:r>
    </w:p>
    <w:p>
      <w:pPr>
        <w:pStyle w:val="BodyText"/>
      </w:pPr>
      <w:r>
        <w:t xml:space="preserve">The Court held that the plaintiffs’ course materials are</w:t>
      </w:r>
      <w:r>
        <w:t xml:space="preserve"> </w:t>
      </w:r>
      <w:r>
        <w:rPr>
          <w:bCs/>
          <w:b/>
        </w:rPr>
        <w:t xml:space="preserve">literary works under s.2(o)</w:t>
      </w:r>
      <w:r>
        <w:t xml:space="preserve"> </w:t>
      </w:r>
      <w:r>
        <w:t xml:space="preserve">and the compiled lectures</w:t>
      </w:r>
      <w:r>
        <w:t xml:space="preserve"> </w:t>
      </w:r>
      <w:r>
        <w:rPr>
          <w:bCs/>
          <w:b/>
        </w:rPr>
        <w:t xml:space="preserve">cinematograph films under s.2(f)</w:t>
      </w:r>
      <w:r>
        <w:t xml:space="preserve"> </w:t>
      </w:r>
      <w:r>
        <w:t xml:space="preserve">of the Copyright Act, so that</w:t>
      </w:r>
      <w:r>
        <w:t xml:space="preserve"> </w:t>
      </w:r>
      <w:r>
        <w:rPr>
          <w:bCs/>
          <w:b/>
        </w:rPr>
        <w:t xml:space="preserve">s.14</w:t>
      </w:r>
      <w:r>
        <w:t xml:space="preserve"> </w:t>
      </w:r>
      <w:r>
        <w:t xml:space="preserve">was infringed. On jurisdiction it held that</w:t>
      </w:r>
      <w:r>
        <w:t xml:space="preserve"> </w:t>
      </w:r>
      <w:r>
        <w:rPr>
          <w:iCs/>
          <w:i/>
        </w:rPr>
        <w:t xml:space="preserve">“</w:t>
      </w:r>
      <w:r>
        <w:rPr>
          <w:iCs/>
          <w:i/>
        </w:rPr>
        <w:t xml:space="preserve">Courts in India would be perfectly justified in directing Telegram, which runs its massive operations in India, to adhere to Indian law… Infringers cannot be permitted to seek shelter under Telegram’s policies merely on the ground that its physical server is in Singapore.</w:t>
      </w:r>
      <w:r>
        <w:rPr>
          <w:iCs/>
          <w:i/>
        </w:rPr>
        <w:t xml:space="preserve">”</w:t>
      </w:r>
      <w:r>
        <w:t xml:space="preserve"> </w:t>
      </w:r>
      <w:r>
        <w:t xml:space="preserve">On intermediary status it held that</w:t>
      </w:r>
      <w:r>
        <w:t xml:space="preserve"> </w:t>
      </w:r>
      <w:r>
        <w:rPr>
          <w:bCs/>
          <w:b/>
        </w:rPr>
        <w:t xml:space="preserve">s.79(3)(b)</w:t>
      </w:r>
      <w:r>
        <w:t xml:space="preserve"> </w:t>
      </w:r>
      <w:r>
        <w:t xml:space="preserve">required removal while preserving evidence and that Rule 3 forbids hosting infringing content, so intermediary protections could not be used to avoid those obligations. On privacy it held that</w:t>
      </w:r>
      <w:r>
        <w:t xml:space="preserve"> </w:t>
      </w:r>
      <w:r>
        <w:rPr>
          <w:iCs/>
          <w:i/>
        </w:rPr>
        <w:t xml:space="preserve">“</w:t>
      </w:r>
      <w:r>
        <w:rPr>
          <w:iCs/>
          <w:i/>
        </w:rPr>
        <w:t xml:space="preserve">The right to freedom of speech or the right to life including the right to privacy cannot be used by any person or entity, let alone an infringer, in order to escape the consequences of illegal actions,</w:t>
      </w:r>
      <w:r>
        <w:rPr>
          <w:iCs/>
          <w:i/>
        </w:rPr>
        <w:t xml:space="preserve">”</w:t>
      </w:r>
      <w:r>
        <w:t xml:space="preserve"> </w:t>
      </w:r>
      <w:r>
        <w:t xml:space="preserve">and applied</w:t>
      </w:r>
      <w:r>
        <w:t xml:space="preserve"> </w:t>
      </w:r>
      <w:r>
        <w:rPr>
          <w:iCs/>
          <w:i/>
        </w:rPr>
        <w:t xml:space="preserve">Puttaswamy</w:t>
      </w:r>
      <w:r>
        <w:t xml:space="preserve"> </w:t>
      </w:r>
      <w:r>
        <w:t xml:space="preserve">to hold that where a law exists to justify disclosure, where disclosure is needed given the nature of the encroachment, and where it is not disproportionate, privacy is no answer. Telegram was directed to disclose mobile numbers, IP addresses and email addresses of the relevant channels and devices</w:t>
      </w:r>
      <w:r>
        <w:t xml:space="preserve"> </w:t>
      </w:r>
      <w:r>
        <w:rPr>
          <w:bCs/>
          <w:b/>
        </w:rPr>
        <w:t xml:space="preserve">to the Court in a sealed cover</w:t>
      </w:r>
      <w:r>
        <w:t xml:space="preserve"> </w:t>
      </w:r>
      <w:r>
        <w:t xml:space="preserve">— the sealed cover itself being the device that kept the remedy proportionate.</w:t>
      </w:r>
    </w:p>
    <w:bookmarkEnd w:id="36"/>
    <w:bookmarkStart w:id="37" w:name="obligations-beyond-notice-and-takedown"/>
    <w:p>
      <w:pPr>
        <w:pStyle w:val="Heading2"/>
      </w:pPr>
      <w:r>
        <w:t xml:space="preserve">Obligations beyond notice and takedown</w:t>
      </w:r>
    </w:p>
    <w:p>
      <w:pPr>
        <w:pStyle w:val="FirstParagraph"/>
      </w:pPr>
      <w:r>
        <w:t xml:space="preserve">Four decisions extended intermediary duties past simple removal. In</w:t>
      </w:r>
      <w:r>
        <w:t xml:space="preserve"> </w:t>
      </w:r>
      <w:r>
        <w:rPr>
          <w:iCs/>
          <w:i/>
          <w:bCs/>
          <w:b/>
        </w:rPr>
        <w:t xml:space="preserve">Google v. Visakha Industries</w:t>
      </w:r>
      <w:r>
        <w:t xml:space="preserve">, arising from allegedly defamatory posts about asbestos on a Google group, the Andhra Pradesh High Court rejected Google’s contention that it was neither publisher nor endorser but merely a platform, because it had failed to remove the material; the Supreme Court held that</w:t>
      </w:r>
      <w:r>
        <w:t xml:space="preserve"> </w:t>
      </w:r>
      <w:r>
        <w:rPr>
          <w:iCs/>
          <w:i/>
        </w:rPr>
        <w:t xml:space="preserve">“</w:t>
      </w:r>
      <w:r>
        <w:rPr>
          <w:iCs/>
          <w:i/>
        </w:rPr>
        <w:t xml:space="preserve">there may be publication within the meaning of Section 499 of the IPC even in the case of an internet operator, if having the power and the right and the ability to remove a matter, upon being called upon to do so, there is a refusal to do so.</w:t>
      </w:r>
      <w:r>
        <w:rPr>
          <w:iCs/>
          <w:i/>
        </w:rPr>
        <w:t xml:space="preserve">”</w:t>
      </w:r>
      <w:r>
        <w:t xml:space="preserve"> </w:t>
      </w:r>
      <w:r>
        <w:t xml:space="preserve">Responsibility thus attaches not to authorship but to post-notice control over continued dissemination.</w:t>
      </w:r>
    </w:p>
    <w:p>
      <w:pPr>
        <w:pStyle w:val="BodyText"/>
      </w:pPr>
      <w:r>
        <w:t xml:space="preserve">In</w:t>
      </w:r>
      <w:r>
        <w:t xml:space="preserve"> </w:t>
      </w:r>
      <w:r>
        <w:rPr>
          <w:iCs/>
          <w:i/>
          <w:bCs/>
          <w:b/>
        </w:rPr>
        <w:t xml:space="preserve">The Registrar (Judicial), Madurai Bench of Madras HC v. The Secretary, Union Ministry of Communications</w:t>
      </w:r>
      <w:r>
        <w:t xml:space="preserve"> </w:t>
      </w:r>
      <w:r>
        <w:t xml:space="preserve">(2018), the Blue Whale Challenge matter taken up</w:t>
      </w:r>
      <w:r>
        <w:t xml:space="preserve"> </w:t>
      </w:r>
      <w:r>
        <w:rPr>
          <w:iCs/>
          <w:i/>
        </w:rPr>
        <w:t xml:space="preserve">suo motu</w:t>
      </w:r>
      <w:r>
        <w:t xml:space="preserve">, the Court reprimanded online services, holding that they</w:t>
      </w:r>
      <w:r>
        <w:t xml:space="preserve"> </w:t>
      </w:r>
      <w:r>
        <w:rPr>
          <w:iCs/>
          <w:i/>
        </w:rPr>
        <w:t xml:space="preserve">“</w:t>
      </w:r>
      <w:r>
        <w:rPr>
          <w:iCs/>
          <w:i/>
        </w:rPr>
        <w:t xml:space="preserve">cannot abdicate their duties and responsibilities under law,</w:t>
      </w:r>
      <w:r>
        <w:rPr>
          <w:iCs/>
          <w:i/>
        </w:rPr>
        <w:t xml:space="preserve">”</w:t>
      </w:r>
      <w:r>
        <w:t xml:space="preserve"> </w:t>
      </w:r>
      <w:r>
        <w:t xml:space="preserve">and directed the Central Government to bring</w:t>
      </w:r>
      <w:r>
        <w:t xml:space="preserve"> </w:t>
      </w:r>
      <w:r>
        <w:rPr>
          <w:bCs/>
          <w:b/>
        </w:rPr>
        <w:t xml:space="preserve">over-the-top services within a legal framework</w:t>
      </w:r>
      <w:r>
        <w:t xml:space="preserve"> </w:t>
      </w:r>
      <w:r>
        <w:t xml:space="preserve">obliging them to comply with Indian law and furnish information to law enforcement. That direction is a direct ancestor of Rule 3(1)(j) and Rule 4(1) of the 2021 Rules.</w:t>
      </w:r>
    </w:p>
    <w:p>
      <w:pPr>
        <w:pStyle w:val="BodyText"/>
      </w:pPr>
      <w:r>
        <w:rPr>
          <w:iCs/>
          <w:i/>
          <w:bCs/>
          <w:b/>
        </w:rPr>
        <w:t xml:space="preserve">Sabu Mathew George v. Union of India</w:t>
      </w:r>
      <w:r>
        <w:t xml:space="preserve"> </w:t>
      </w:r>
      <w:r>
        <w:t xml:space="preserve">(2018) went further still, directing Google, Microsoft and Yahoo to</w:t>
      </w:r>
      <w:r>
        <w:t xml:space="preserve"> </w:t>
      </w:r>
      <w:r>
        <w:rPr>
          <w:bCs/>
          <w:b/>
        </w:rPr>
        <w:t xml:space="preserve">auto-block</w:t>
      </w:r>
      <w:r>
        <w:t xml:space="preserve"> </w:t>
      </w:r>
      <w:r>
        <w:t xml:space="preserve">advertisements relating to pre-natal sex determination in violation of</w:t>
      </w:r>
      <w:r>
        <w:t xml:space="preserve"> </w:t>
      </w:r>
      <w:r>
        <w:rPr>
          <w:bCs/>
          <w:b/>
        </w:rPr>
        <w:t xml:space="preserve">s.22 of the PCPNDT Act 1994</w:t>
      </w:r>
      <w:r>
        <w:t xml:space="preserve">, requiring each to constitute an</w:t>
      </w:r>
      <w:r>
        <w:t xml:space="preserve"> </w:t>
      </w:r>
      <w:r>
        <w:rPr>
          <w:bCs/>
          <w:b/>
        </w:rPr>
        <w:t xml:space="preserve">expert in-house committee</w:t>
      </w:r>
      <w:r>
        <w:t xml:space="preserve"> </w:t>
      </w:r>
      <w:r>
        <w:t xml:space="preserve">to evaluate and delete violating content on its own understanding, directing the Central Government to constitute a</w:t>
      </w:r>
      <w:r>
        <w:t xml:space="preserve"> </w:t>
      </w:r>
      <w:r>
        <w:rPr>
          <w:bCs/>
          <w:b/>
        </w:rPr>
        <w:t xml:space="preserve">nodal agency</w:t>
      </w:r>
      <w:r>
        <w:t xml:space="preserve"> </w:t>
      </w:r>
      <w:r>
        <w:t xml:space="preserve">to convey actionable complaints, and requiring deletion</w:t>
      </w:r>
      <w:r>
        <w:t xml:space="preserve"> </w:t>
      </w:r>
      <w:r>
        <w:rPr>
          <w:bCs/>
          <w:b/>
        </w:rPr>
        <w:t xml:space="preserve">within thirty-six hours</w:t>
      </w:r>
      <w:r>
        <w:t xml:space="preserve"> </w:t>
      </w:r>
      <w:r>
        <w:t xml:space="preserve">with intimation to the agency. The proactive filtering it imposes sits uneasily with</w:t>
      </w:r>
      <w:r>
        <w:t xml:space="preserve"> </w:t>
      </w:r>
      <w:r>
        <w:rPr>
          <w:iCs/>
          <w:i/>
        </w:rPr>
        <w:t xml:space="preserve">Kent RO</w:t>
      </w:r>
      <w:r>
        <w:t xml:space="preserve"> </w:t>
      </w:r>
      <w:r>
        <w:t xml:space="preserve">and</w:t>
      </w:r>
      <w:r>
        <w:t xml:space="preserve"> </w:t>
      </w:r>
      <w:r>
        <w:rPr>
          <w:iCs/>
          <w:i/>
        </w:rPr>
        <w:t xml:space="preserve">MySpace</w:t>
      </w:r>
      <w:r>
        <w:t xml:space="preserve">, and is best explained by the specific statutory advertising prohibition it enforces and by the court’s continuing supervision.</w:t>
      </w:r>
    </w:p>
    <w:p>
      <w:pPr>
        <w:pStyle w:val="BodyText"/>
      </w:pPr>
      <w:r>
        <w:rPr>
          <w:iCs/>
          <w:i/>
          <w:bCs/>
          <w:b/>
        </w:rPr>
        <w:t xml:space="preserve">Kamlesh Vaswani v. Union of India</w:t>
      </w:r>
      <w:r>
        <w:t xml:space="preserve"> </w:t>
      </w:r>
      <w:r>
        <w:t xml:space="preserve">(2013) illustrates the limits of blunt technical control. The petition challenged</w:t>
      </w:r>
      <w:r>
        <w:t xml:space="preserve"> </w:t>
      </w:r>
      <w:r>
        <w:rPr>
          <w:bCs/>
          <w:b/>
        </w:rPr>
        <w:t xml:space="preserve">ss.66, 67, 69, 71, 72, 75, 79, 80 and 85</w:t>
      </w:r>
      <w:r>
        <w:t xml:space="preserve"> </w:t>
      </w:r>
      <w:r>
        <w:t xml:space="preserve">as unconstitutional for being inefficient against pornography and sought that watching pornographic videos be made a non-bailable cognizable offence. No blanket ban was ordered;</w:t>
      </w:r>
      <w:r>
        <w:t xml:space="preserve"> </w:t>
      </w:r>
      <w:r>
        <w:rPr>
          <w:bCs/>
          <w:b/>
        </w:rPr>
        <w:t xml:space="preserve">857 websites were blocked in August 2015 and all were unblocked within days</w:t>
      </w:r>
      <w:r>
        <w:t xml:space="preserve">, keyword filtering having proved incapable of separating obscene material from legitimate medical and scientific content without offending Article 19(1)(a).</w:t>
      </w:r>
    </w:p>
    <w:bookmarkEnd w:id="37"/>
    <w:bookmarkStart w:id="38" w:name="Xc80cba851adaa78d44131501919b9454a375756"/>
    <w:p>
      <w:pPr>
        <w:pStyle w:val="Heading2"/>
      </w:pPr>
      <w:r>
        <w:t xml:space="preserve">Blocking, and the limits of the Government’s route</w:t>
      </w:r>
    </w:p>
    <w:p>
      <w:pPr>
        <w:pStyle w:val="FirstParagraph"/>
      </w:pPr>
      <w:r>
        <w:t xml:space="preserve">The most contemporary confrontation concerns which statutory route the Government may use. In</w:t>
      </w:r>
      <w:r>
        <w:t xml:space="preserve"> </w:t>
      </w:r>
      <w:r>
        <w:rPr>
          <w:iCs/>
          <w:i/>
          <w:bCs/>
          <w:b/>
        </w:rPr>
        <w:t xml:space="preserve">X v. Union of India</w:t>
      </w:r>
      <w:r>
        <w:t xml:space="preserve"> </w:t>
      </w:r>
      <w:r>
        <w:t xml:space="preserve">(Karnataka HC, 2025) the petitioner challenged takedown orders issued under</w:t>
      </w:r>
      <w:r>
        <w:t xml:space="preserve"> </w:t>
      </w:r>
      <w:r>
        <w:rPr>
          <w:bCs/>
          <w:b/>
        </w:rPr>
        <w:t xml:space="preserve">s.79(3)(b)</w:t>
      </w:r>
      <w:r>
        <w:t xml:space="preserve">, the constitutionality of</w:t>
      </w:r>
      <w:r>
        <w:t xml:space="preserve"> </w:t>
      </w:r>
      <w:r>
        <w:rPr>
          <w:bCs/>
          <w:b/>
        </w:rPr>
        <w:t xml:space="preserve">Rule 3(1)(d)</w:t>
      </w:r>
      <w:r>
        <w:t xml:space="preserve">, and the</w:t>
      </w:r>
      <w:r>
        <w:t xml:space="preserve"> </w:t>
      </w:r>
      <w:r>
        <w:rPr>
          <w:bCs/>
          <w:b/>
        </w:rPr>
        <w:t xml:space="preserve">Sahyog Portal</w:t>
      </w:r>
      <w:r>
        <w:t xml:space="preserve"> </w:t>
      </w:r>
      <w:r>
        <w:t xml:space="preserve">as</w:t>
      </w:r>
      <w:r>
        <w:t xml:space="preserve"> </w:t>
      </w:r>
      <w:r>
        <w:rPr>
          <w:iCs/>
          <w:i/>
        </w:rPr>
        <w:t xml:space="preserve">ultra vires</w:t>
      </w:r>
      <w:r>
        <w:t xml:space="preserve">, arguing that only</w:t>
      </w:r>
      <w:r>
        <w:t xml:space="preserve"> </w:t>
      </w:r>
      <w:r>
        <w:rPr>
          <w:bCs/>
          <w:b/>
        </w:rPr>
        <w:t xml:space="preserve">s.69A</w:t>
      </w:r>
      <w:r>
        <w:t xml:space="preserve"> </w:t>
      </w:r>
      <w:r>
        <w:t xml:space="preserve">confers a blocking power and that it comes with the safeguards of the Blocking Rules 2009 — an opportunity of hearing, written reasons and review — whereas s.79(3)(b) confers no independent power and carries no procedure, so that routing takedowns through it bypasses the safeguards. The Court rejected the challenge, holding that the</w:t>
      </w:r>
      <w:r>
        <w:t xml:space="preserve"> </w:t>
      </w:r>
      <w:r>
        <w:rPr>
          <w:bCs/>
          <w:b/>
        </w:rPr>
        <w:t xml:space="preserve">Sahyog Portal is within the four corners of the law</w:t>
      </w:r>
      <w:r>
        <w:t xml:space="preserve"> </w:t>
      </w:r>
      <w:r>
        <w:t xml:space="preserve">and that under s.79(3)(b) an intermediary served with a lawful notification must comply or forfeit its immunity.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Section 69A</w:t>
            </w:r>
          </w:p>
        </w:tc>
        <w:tc>
          <w:tcPr/>
          <w:p>
            <w:pPr>
              <w:pStyle w:val="Compact"/>
              <w:jc w:val="left"/>
            </w:pPr>
            <w:r>
              <w:rPr>
                <w:bCs/>
                <w:b/>
              </w:rPr>
              <w:t xml:space="preserve">Section 79(3)(b)</w:t>
            </w:r>
          </w:p>
        </w:tc>
      </w:tr>
      <w:tr>
        <w:tc>
          <w:tcPr/>
          <w:p>
            <w:pPr>
              <w:pStyle w:val="Compact"/>
              <w:jc w:val="left"/>
            </w:pPr>
            <w:r>
              <w:t xml:space="preserve">Nature</w:t>
            </w:r>
          </w:p>
        </w:tc>
        <w:tc>
          <w:tcPr/>
          <w:p>
            <w:pPr>
              <w:pStyle w:val="Compact"/>
              <w:jc w:val="left"/>
            </w:pPr>
            <w:r>
              <w:t xml:space="preserve">A Government</w:t>
            </w:r>
            <w:r>
              <w:t xml:space="preserve"> </w:t>
            </w:r>
            <w:r>
              <w:rPr>
                <w:bCs/>
                <w:b/>
              </w:rPr>
              <w:t xml:space="preserve">power to block</w:t>
            </w:r>
          </w:p>
        </w:tc>
        <w:tc>
          <w:tcPr/>
          <w:p>
            <w:pPr>
              <w:pStyle w:val="Compact"/>
              <w:jc w:val="left"/>
            </w:pPr>
            <w:r>
              <w:t xml:space="preserve">A</w:t>
            </w:r>
            <w:r>
              <w:t xml:space="preserve"> </w:t>
            </w:r>
            <w:r>
              <w:rPr>
                <w:bCs/>
                <w:b/>
              </w:rPr>
              <w:t xml:space="preserve">condition on immunity</w:t>
            </w:r>
          </w:p>
        </w:tc>
      </w:tr>
      <w:tr>
        <w:tc>
          <w:tcPr/>
          <w:p>
            <w:pPr>
              <w:pStyle w:val="Compact"/>
              <w:jc w:val="left"/>
            </w:pPr>
            <w:r>
              <w:t xml:space="preserve">Grounds</w:t>
            </w:r>
          </w:p>
        </w:tc>
        <w:tc>
          <w:tcPr/>
          <w:p>
            <w:pPr>
              <w:pStyle w:val="Compact"/>
              <w:jc w:val="left"/>
            </w:pPr>
            <w:r>
              <w:t xml:space="preserve">Sovereignty, security of the State, public order and cognates</w:t>
            </w:r>
          </w:p>
        </w:tc>
        <w:tc>
          <w:tcPr/>
          <w:p>
            <w:pPr>
              <w:pStyle w:val="Compact"/>
              <w:jc w:val="left"/>
            </w:pPr>
            <w:r>
              <w:t xml:space="preserve">Violation of</w:t>
            </w:r>
            <w:r>
              <w:t xml:space="preserve"> </w:t>
            </w:r>
            <w:r>
              <w:rPr>
                <w:iCs/>
                <w:i/>
              </w:rPr>
              <w:t xml:space="preserve">“</w:t>
            </w:r>
            <w:r>
              <w:rPr>
                <w:iCs/>
                <w:i/>
              </w:rPr>
              <w:t xml:space="preserve">any law for the time being in force</w:t>
            </w:r>
            <w:r>
              <w:rPr>
                <w:iCs/>
                <w:i/>
              </w:rPr>
              <w:t xml:space="preserve">”</w:t>
            </w:r>
          </w:p>
        </w:tc>
      </w:tr>
      <w:tr>
        <w:tc>
          <w:tcPr/>
          <w:p>
            <w:pPr>
              <w:pStyle w:val="Compact"/>
              <w:jc w:val="left"/>
            </w:pPr>
            <w:r>
              <w:t xml:space="preserve">Procedure</w:t>
            </w:r>
          </w:p>
        </w:tc>
        <w:tc>
          <w:tcPr/>
          <w:p>
            <w:pPr>
              <w:pStyle w:val="Compact"/>
              <w:jc w:val="left"/>
            </w:pPr>
            <w:r>
              <w:t xml:space="preserve">Blocking Rules 2009 — hearing, written reasons, review committee</w:t>
            </w:r>
          </w:p>
        </w:tc>
        <w:tc>
          <w:tcPr/>
          <w:p>
            <w:pPr>
              <w:pStyle w:val="Compact"/>
              <w:jc w:val="left"/>
            </w:pPr>
            <w:r>
              <w:t xml:space="preserve">None</w:t>
            </w:r>
          </w:p>
        </w:tc>
      </w:tr>
      <w:tr>
        <w:tc>
          <w:tcPr/>
          <w:p>
            <w:pPr>
              <w:pStyle w:val="Compact"/>
              <w:jc w:val="left"/>
            </w:pPr>
            <w:r>
              <w:t xml:space="preserve">Confers blocking power</w:t>
            </w:r>
          </w:p>
        </w:tc>
        <w:tc>
          <w:tcPr/>
          <w:p>
            <w:pPr>
              <w:pStyle w:val="Compact"/>
              <w:jc w:val="left"/>
            </w:pPr>
            <w:r>
              <w:rPr>
                <w:bCs/>
                <w:b/>
              </w:rPr>
              <w:t xml:space="preserve">Yes</w:t>
            </w:r>
          </w:p>
        </w:tc>
        <w:tc>
          <w:tcPr/>
          <w:p>
            <w:pPr>
              <w:pStyle w:val="Compact"/>
              <w:jc w:val="left"/>
            </w:pPr>
            <w:r>
              <w:rPr>
                <w:bCs/>
                <w:b/>
              </w:rPr>
              <w:t xml:space="preserve">No</w:t>
            </w:r>
            <w:r>
              <w:t xml:space="preserve"> </w:t>
            </w:r>
            <w:r>
              <w:t xml:space="preserve">— but non-compliance forfeits s.79</w:t>
            </w:r>
          </w:p>
        </w:tc>
      </w:tr>
    </w:tbl>
    <w:p>
      <w:pPr>
        <w:pStyle w:val="BodyText"/>
      </w:pPr>
      <w:r>
        <w:rPr>
          <w:iCs/>
          <w:i/>
          <w:bCs/>
          <w:b/>
        </w:rPr>
        <w:t xml:space="preserve">Telegram v. Union of India</w:t>
      </w:r>
      <w:r>
        <w:t xml:space="preserve"> </w:t>
      </w:r>
      <w:r>
        <w:t xml:space="preserve">(Delhi HC, 2026) tested proportionality. Following NEET examination fraud the Government blocked the entire platform. Telegram argued that it had cooperated and removed</w:t>
      </w:r>
      <w:r>
        <w:t xml:space="preserve"> </w:t>
      </w:r>
      <w:r>
        <w:rPr>
          <w:bCs/>
          <w:b/>
        </w:rPr>
        <w:t xml:space="preserve">900 of 1,300 flagged URLs</w:t>
      </w:r>
      <w:r>
        <w:t xml:space="preserve">, that it moderated using artificial intelligence, human moderators and prompt enforcement, that a platform-wide ban was not the least restrictive method and burdened</w:t>
      </w:r>
      <w:r>
        <w:t xml:space="preserve"> </w:t>
      </w:r>
      <w:r>
        <w:rPr>
          <w:bCs/>
          <w:b/>
        </w:rPr>
        <w:t xml:space="preserve">150 million lawful users</w:t>
      </w:r>
      <w:r>
        <w:t xml:space="preserve">, and that s.69A permits blocking of specific</w:t>
      </w:r>
      <w:r>
        <w:t xml:space="preserve"> </w:t>
      </w:r>
      <w:r>
        <w:rPr>
          <w:iCs/>
          <w:i/>
        </w:rPr>
        <w:t xml:space="preserve">“</w:t>
      </w:r>
      <w:r>
        <w:rPr>
          <w:iCs/>
          <w:i/>
        </w:rPr>
        <w:t xml:space="preserve">information</w:t>
      </w:r>
      <w:r>
        <w:rPr>
          <w:iCs/>
          <w:i/>
        </w:rPr>
        <w:t xml:space="preserve">”</w:t>
      </w:r>
      <w:r>
        <w:t xml:space="preserve"> </w:t>
      </w:r>
      <w:r>
        <w:t xml:space="preserve">rather than whole platforms. The Court upheld the order, finding that sufficient reasons had been recorded in an emergency context, that the process conformed with s.69A and the Blocking Rules including interim order, opportunity to be heard and review, and that the</w:t>
      </w:r>
      <w:r>
        <w:t xml:space="preserve"> </w:t>
      </w:r>
      <w:r>
        <w:rPr>
          <w:bCs/>
          <w:b/>
        </w:rPr>
        <w:t xml:space="preserve">principle of proportionality</w:t>
      </w:r>
      <w:r>
        <w:t xml:space="preserve"> </w:t>
      </w:r>
      <w:r>
        <w:t xml:space="preserve">was satisfied. The test — a legitimate aim, a measure backed by law, a rational nexus between measure and object, and the least intrusive means available — derives from</w:t>
      </w:r>
      <w:r>
        <w:t xml:space="preserve"> </w:t>
      </w:r>
      <w:r>
        <w:rPr>
          <w:iCs/>
          <w:i/>
          <w:bCs/>
          <w:b/>
        </w:rPr>
        <w:t xml:space="preserve">K.S. Puttaswamy</w:t>
      </w:r>
      <w:r>
        <w:t xml:space="preserve"> </w:t>
      </w:r>
      <w:r>
        <w:t xml:space="preserve">and</w:t>
      </w:r>
      <w:r>
        <w:t xml:space="preserve"> </w:t>
      </w:r>
      <w:r>
        <w:rPr>
          <w:iCs/>
          <w:i/>
          <w:bCs/>
          <w:b/>
        </w:rPr>
        <w:t xml:space="preserve">Anuradha Bhasin</w:t>
      </w:r>
      <w:r>
        <w:t xml:space="preserve"> </w:t>
      </w:r>
      <w:r>
        <w:t xml:space="preserve">and should be run explicitly in any problem involving blocking, shutdown, takedown or disclosure. Step four is where most measures fail and is the point to attack first.</w:t>
      </w:r>
    </w:p>
    <w:bookmarkEnd w:id="38"/>
    <w:bookmarkStart w:id="39" w:name="the-2021-rules"/>
    <w:p>
      <w:pPr>
        <w:pStyle w:val="Heading2"/>
      </w:pPr>
      <w:r>
        <w:t xml:space="preserve">The 2021 Rules</w:t>
      </w:r>
    </w:p>
    <w:p>
      <w:pPr>
        <w:pStyle w:val="FirstParagraph"/>
      </w:pPr>
      <w:r>
        <w:t xml:space="preserve">Four institutional pressures produced the Rules. The Supreme Court in the</w:t>
      </w:r>
      <w:r>
        <w:t xml:space="preserve"> </w:t>
      </w:r>
      <w:r>
        <w:rPr>
          <w:iCs/>
          <w:i/>
        </w:rPr>
        <w:t xml:space="preserve">Prajjawala</w:t>
      </w:r>
      <w:r>
        <w:t xml:space="preserve"> </w:t>
      </w:r>
      <w:r>
        <w:rPr>
          <w:bCs/>
          <w:b/>
        </w:rPr>
        <w:t xml:space="preserve">suo motu</w:t>
      </w:r>
      <w:r>
        <w:t xml:space="preserve"> </w:t>
      </w:r>
      <w:r>
        <w:t xml:space="preserve">matter observed on</w:t>
      </w:r>
      <w:r>
        <w:t xml:space="preserve"> </w:t>
      </w:r>
      <w:r>
        <w:rPr>
          <w:bCs/>
          <w:b/>
        </w:rPr>
        <w:t xml:space="preserve">11 December 2018</w:t>
      </w:r>
      <w:r>
        <w:t xml:space="preserve"> </w:t>
      </w:r>
      <w:r>
        <w:t xml:space="preserve">that the Government might frame guidelines to eliminate child pornography and rape imagery on content-hosting platforms, and on</w:t>
      </w:r>
      <w:r>
        <w:t xml:space="preserve"> </w:t>
      </w:r>
      <w:r>
        <w:rPr>
          <w:bCs/>
          <w:b/>
        </w:rPr>
        <w:t xml:space="preserve">24 September 2019</w:t>
      </w:r>
      <w:r>
        <w:t xml:space="preserve"> </w:t>
      </w:r>
      <w:r>
        <w:t xml:space="preserve">directed MeitY to indicate a timeline for notification. A</w:t>
      </w:r>
      <w:r>
        <w:t xml:space="preserve"> </w:t>
      </w:r>
      <w:r>
        <w:rPr>
          <w:bCs/>
          <w:b/>
        </w:rPr>
        <w:t xml:space="preserve">Calling Attention Motion in the Rajya Sabha on 26 July 2018</w:t>
      </w:r>
      <w:r>
        <w:t xml:space="preserve"> </w:t>
      </w:r>
      <w:r>
        <w:t xml:space="preserve">on misuse of social media and fake news drew the Government’s resolve to make platforms accountable, and an</w:t>
      </w:r>
      <w:r>
        <w:t xml:space="preserve"> </w:t>
      </w:r>
      <w:r>
        <w:rPr>
          <w:bCs/>
          <w:b/>
        </w:rPr>
        <w:t xml:space="preserve">Ad-hoc Committee of the Rajya Sabha, whose report was laid on 3 February 2020</w:t>
      </w:r>
      <w:r>
        <w:t xml:space="preserve">, recommended enabling identification of the</w:t>
      </w:r>
      <w:r>
        <w:t xml:space="preserve"> </w:t>
      </w:r>
      <w:r>
        <w:rPr>
          <w:bCs/>
          <w:b/>
        </w:rPr>
        <w:t xml:space="preserve">first originator</w:t>
      </w:r>
      <w:r>
        <w:t xml:space="preserve"> </w:t>
      </w:r>
      <w:r>
        <w:t xml:space="preserve">of such content. Practically, the Rules also answered the problem that foreign intermediaries had no registered office or authorised person in India on whom notice could be served.</w:t>
      </w:r>
    </w:p>
    <w:p>
      <w:pPr>
        <w:pStyle w:val="BodyText"/>
      </w:pPr>
      <w:r>
        <w:rPr>
          <w:bCs/>
          <w:b/>
        </w:rPr>
        <w:t xml:space="preserve">Part II</w:t>
      </w:r>
      <w:r>
        <w:t xml:space="preserve">, administered by MeitY, is prescriptive.</w:t>
      </w:r>
      <w:r>
        <w:t xml:space="preserve"> </w:t>
      </w:r>
      <w:r>
        <w:rPr>
          <w:bCs/>
          <w:b/>
        </w:rPr>
        <w:t xml:space="preserve">Rule 3(1)</w:t>
      </w:r>
      <w:r>
        <w:t xml:space="preserve"> </w:t>
      </w:r>
      <w:r>
        <w:t xml:space="preserve">applies to every intermediary, social media intermediary, significant social media intermediary and online game intermediary. Clause (a) requires publication of rules, privacy policy and user agreement in English or a language of the Eighth Schedule. Clause (b) lists eleven categories of prohibited content, covering information belonging to another; obscene, paedophilic, privacy-invasive, gender-harassing, racially objectionable, money-laundering, gambling and enmity-promoting material; content harmful to a child; infringement of patent, trademark or copyright; deception as to origin and misinformation, together with the fact-check limb; impersonation; threats to the unity, integrity, defence, security or sovereignty of India, to friendly relations or to public order, incitement to a cognizable offence, and obstruction of investigation; software viruses; unverified online games and their advertisement; and any violation of law in force.</w:t>
      </w:r>
      <w:r>
        <w:t xml:space="preserve"> </w:t>
      </w:r>
      <w:r>
        <w:rPr>
          <w:bCs/>
          <w:b/>
        </w:rPr>
        <w:t xml:space="preserve">Clause (d)</w:t>
      </w:r>
      <w:r>
        <w:t xml:space="preserve"> </w:t>
      </w:r>
      <w:r>
        <w:t xml:space="preserve">fixes the takedown obligation on actual knowledge from a court order or government notification, now</w:t>
      </w:r>
      <w:r>
        <w:t xml:space="preserve"> </w:t>
      </w:r>
      <w:r>
        <w:rPr>
          <w:bCs/>
          <w:b/>
        </w:rPr>
        <w:t xml:space="preserve">three hours</w:t>
      </w:r>
      <w:r>
        <w:t xml:space="preserve"> </w:t>
      </w:r>
      <w:r>
        <w:t xml:space="preserve">under the 2026 amendment;</w:t>
      </w:r>
      <w:r>
        <w:t xml:space="preserve"> </w:t>
      </w:r>
      <w:r>
        <w:rPr>
          <w:bCs/>
          <w:b/>
        </w:rPr>
        <w:t xml:space="preserve">clause (g)</w:t>
      </w:r>
      <w:r>
        <w:t xml:space="preserve"> </w:t>
      </w:r>
      <w:r>
        <w:t xml:space="preserve">requires preservation of removed material and associated records for</w:t>
      </w:r>
      <w:r>
        <w:t xml:space="preserve"> </w:t>
      </w:r>
      <w:r>
        <w:rPr>
          <w:bCs/>
          <w:b/>
        </w:rPr>
        <w:t xml:space="preserve">one hundred and eighty days</w:t>
      </w:r>
      <w:r>
        <w:t xml:space="preserve">;</w:t>
      </w:r>
      <w:r>
        <w:t xml:space="preserve"> </w:t>
      </w:r>
      <w:r>
        <w:rPr>
          <w:bCs/>
          <w:b/>
        </w:rPr>
        <w:t xml:space="preserve">clause (j)</w:t>
      </w:r>
      <w:r>
        <w:t xml:space="preserve"> </w:t>
      </w:r>
      <w:r>
        <w:t xml:space="preserve">requires information or assistance to a lawfully authorised agency within</w:t>
      </w:r>
      <w:r>
        <w:t xml:space="preserve"> </w:t>
      </w:r>
      <w:r>
        <w:rPr>
          <w:bCs/>
          <w:b/>
        </w:rPr>
        <w:t xml:space="preserve">seventy-two hours</w:t>
      </w:r>
      <w:r>
        <w:t xml:space="preserve">, or twenty-four for an online game intermediary.</w:t>
      </w:r>
      <w:r>
        <w:t xml:space="preserve"> </w:t>
      </w:r>
      <w:r>
        <w:rPr>
          <w:bCs/>
          <w:b/>
        </w:rPr>
        <w:t xml:space="preserve">Rule 3(2)</w:t>
      </w:r>
      <w:r>
        <w:t xml:space="preserve"> </w:t>
      </w:r>
      <w:r>
        <w:t xml:space="preserve">requires a published Grievance Officer, acknowledgement within twenty-four hours and disposal now within</w:t>
      </w:r>
      <w:r>
        <w:t xml:space="preserve"> </w:t>
      </w:r>
      <w:r>
        <w:rPr>
          <w:bCs/>
          <w:b/>
        </w:rPr>
        <w:t xml:space="preserve">seven days</w:t>
      </w:r>
      <w:r>
        <w:t xml:space="preserve">, with sexual, nudity-related, morphed or impersonating content under</w:t>
      </w:r>
      <w:r>
        <w:t xml:space="preserve"> </w:t>
      </w:r>
      <w:r>
        <w:rPr>
          <w:bCs/>
          <w:b/>
        </w:rPr>
        <w:t xml:space="preserve">Rule 3(2)(b)</w:t>
      </w:r>
      <w:r>
        <w:t xml:space="preserve"> </w:t>
      </w:r>
      <w:r>
        <w:t xml:space="preserve">removed within</w:t>
      </w:r>
      <w:r>
        <w:t xml:space="preserve"> </w:t>
      </w:r>
      <w:r>
        <w:rPr>
          <w:bCs/>
          <w:b/>
        </w:rPr>
        <w:t xml:space="preserve">two hours</w:t>
      </w:r>
      <w:r>
        <w:t xml:space="preserve">.</w:t>
      </w:r>
      <w:r>
        <w:t xml:space="preserve"> </w:t>
      </w:r>
      <w:r>
        <w:rPr>
          <w:bCs/>
          <w:b/>
        </w:rPr>
        <w:t xml:space="preserve">Rule 3A</w:t>
      </w:r>
      <w:r>
        <w:t xml:space="preserve">, inserted in 2022, creates</w:t>
      </w:r>
      <w:r>
        <w:t xml:space="preserve"> </w:t>
      </w:r>
      <w:r>
        <w:rPr>
          <w:bCs/>
          <w:b/>
        </w:rPr>
        <w:t xml:space="preserve">Grievance Appellate Committees</w:t>
      </w:r>
      <w:r>
        <w:t xml:space="preserve">, with thirty days to appeal and thirty days to decide, operating through an online dispute resolution mechanism.</w:t>
      </w:r>
    </w:p>
    <w:p>
      <w:pPr>
        <w:pStyle w:val="BodyText"/>
      </w:pPr>
      <w:r>
        <w:rPr>
          <w:bCs/>
          <w:b/>
        </w:rPr>
        <w:t xml:space="preserve">Rule 4</w:t>
      </w:r>
      <w:r>
        <w:t xml:space="preserve"> </w:t>
      </w:r>
      <w:r>
        <w:t xml:space="preserve">adds obligations for significant social media intermediaries. A</w:t>
      </w:r>
      <w:r>
        <w:t xml:space="preserve"> </w:t>
      </w:r>
      <w:r>
        <w:rPr>
          <w:bCs/>
          <w:b/>
        </w:rPr>
        <w:t xml:space="preserve">Chief Compliance Officer</w:t>
      </w:r>
      <w:r>
        <w:t xml:space="preserve"> </w:t>
      </w:r>
      <w:r>
        <w:t xml:space="preserve">is responsible for compliance and personally liable where due diligence is not observed; a</w:t>
      </w:r>
      <w:r>
        <w:t xml:space="preserve"> </w:t>
      </w:r>
      <w:r>
        <w:rPr>
          <w:bCs/>
          <w:b/>
        </w:rPr>
        <w:t xml:space="preserve">Nodal Contact Person</w:t>
      </w:r>
      <w:r>
        <w:t xml:space="preserve"> </w:t>
      </w:r>
      <w:r>
        <w:t xml:space="preserve">coordinates with law enforcement round the clock; a</w:t>
      </w:r>
      <w:r>
        <w:t xml:space="preserve"> </w:t>
      </w:r>
      <w:r>
        <w:rPr>
          <w:bCs/>
          <w:b/>
        </w:rPr>
        <w:t xml:space="preserve">Resident Grievance Officer</w:t>
      </w:r>
      <w:r>
        <w:t xml:space="preserve"> </w:t>
      </w:r>
      <w:r>
        <w:t xml:space="preserve">discharges the Rule 3(2) functions — and all three must be</w:t>
      </w:r>
      <w:r>
        <w:t xml:space="preserve"> </w:t>
      </w:r>
      <w:r>
        <w:rPr>
          <w:bCs/>
          <w:b/>
        </w:rPr>
        <w:t xml:space="preserve">resident in India</w:t>
      </w:r>
      <w:r>
        <w:t xml:space="preserve">.</w:t>
      </w:r>
      <w:r>
        <w:t xml:space="preserve"> </w:t>
      </w:r>
      <w:r>
        <w:rPr>
          <w:bCs/>
          <w:b/>
        </w:rPr>
        <w:t xml:space="preserve">Rule 4(2)</w:t>
      </w:r>
      <w:r>
        <w:t xml:space="preserve"> </w:t>
      </w:r>
      <w:r>
        <w:t xml:space="preserve">requires a messaging service to enable identification of the</w:t>
      </w:r>
      <w:r>
        <w:t xml:space="preserve"> </w:t>
      </w:r>
      <w:r>
        <w:rPr>
          <w:bCs/>
          <w:b/>
        </w:rPr>
        <w:t xml:space="preserve">first originator</w:t>
      </w:r>
      <w:r>
        <w:t xml:space="preserve">, but only on a judicial order or an order under s.69 through the 2009 Interception Rules, and subject to four provisos: the offence must relate to the sovereignty and integrity of India, the security of the State, friendly relations, public order, incitement to those, or rape, sexually explicit material or child sexual abuse material, and be punishable with</w:t>
      </w:r>
      <w:r>
        <w:t xml:space="preserve"> </w:t>
      </w:r>
      <w:r>
        <w:rPr>
          <w:bCs/>
          <w:b/>
        </w:rPr>
        <w:t xml:space="preserve">imprisonment of not less than five years</w:t>
      </w:r>
      <w:r>
        <w:t xml:space="preserve">; no order may issue where</w:t>
      </w:r>
      <w:r>
        <w:t xml:space="preserve"> </w:t>
      </w:r>
      <w:r>
        <w:rPr>
          <w:bCs/>
          <w:b/>
        </w:rPr>
        <w:t xml:space="preserve">less intrusive means</w:t>
      </w:r>
      <w:r>
        <w:t xml:space="preserve"> </w:t>
      </w:r>
      <w:r>
        <w:t xml:space="preserve">would suffice; the</w:t>
      </w:r>
      <w:r>
        <w:t xml:space="preserve"> </w:t>
      </w:r>
      <w:r>
        <w:rPr>
          <w:bCs/>
          <w:b/>
        </w:rPr>
        <w:t xml:space="preserve">contents</w:t>
      </w:r>
      <w:r>
        <w:t xml:space="preserve"> </w:t>
      </w:r>
      <w:r>
        <w:t xml:space="preserve">of messages need not be disclosed; and where the first originator is outside India, the</w:t>
      </w:r>
      <w:r>
        <w:t xml:space="preserve"> </w:t>
      </w:r>
      <w:r>
        <w:rPr>
          <w:bCs/>
          <w:b/>
        </w:rPr>
        <w:t xml:space="preserve">first originator within India is deemed</w:t>
      </w:r>
      <w:r>
        <w:t xml:space="preserve"> </w:t>
      </w:r>
      <w:r>
        <w:t xml:space="preserve">to be the first originator. The justification is that a manipulated message that produces riot or lynching cannot be traced to its author; the objection is that traceability degrades encryption for all users, that the deeming provision may fix an innocent forwarder, and that the effect is chilling.</w:t>
      </w:r>
      <w:r>
        <w:t xml:space="preserve"> </w:t>
      </w:r>
      <w:r>
        <w:rPr>
          <w:bCs/>
          <w:b/>
        </w:rPr>
        <w:t xml:space="preserve">Rule 4(4)</w:t>
      </w:r>
      <w:r>
        <w:t xml:space="preserve"> </w:t>
      </w:r>
      <w:r>
        <w:t xml:space="preserve">requires endeavour to deploy automated tools to identify rape and child sexual abuse material and content identical to what was previously removed, but subject to proportionality and to</w:t>
      </w:r>
      <w:r>
        <w:t xml:space="preserve"> </w:t>
      </w:r>
      <w:r>
        <w:rPr>
          <w:bCs/>
          <w:b/>
        </w:rPr>
        <w:t xml:space="preserve">human oversight</w:t>
      </w:r>
      <w:r>
        <w:t xml:space="preserve"> </w:t>
      </w:r>
      <w:r>
        <w:t xml:space="preserve">with periodic review for accuracy, bias and privacy impact.</w:t>
      </w:r>
      <w:r>
        <w:t xml:space="preserve"> </w:t>
      </w:r>
      <w:r>
        <w:rPr>
          <w:bCs/>
          <w:b/>
        </w:rPr>
        <w:t xml:space="preserve">Rule 4(7)</w:t>
      </w:r>
      <w:r>
        <w:t xml:space="preserve"> </w:t>
      </w:r>
      <w:r>
        <w:t xml:space="preserve">provides for</w:t>
      </w:r>
      <w:r>
        <w:t xml:space="preserve"> </w:t>
      </w:r>
      <w:r>
        <w:rPr>
          <w:bCs/>
          <w:b/>
        </w:rPr>
        <w:t xml:space="preserve">voluntary</w:t>
      </w:r>
      <w:r>
        <w:t xml:space="preserve"> </w:t>
      </w:r>
      <w:r>
        <w:t xml:space="preserve">account verification with a visible mark, and</w:t>
      </w:r>
      <w:r>
        <w:t xml:space="preserve"> </w:t>
      </w:r>
      <w:r>
        <w:rPr>
          <w:bCs/>
          <w:b/>
        </w:rPr>
        <w:t xml:space="preserve">Rule 4(8)</w:t>
      </w:r>
      <w:r>
        <w:t xml:space="preserve"> </w:t>
      </w:r>
      <w:r>
        <w:t xml:space="preserve">requires, where an intermediary removes content of its own accord, prior notification with reasons, an adequate opportunity to dispute and seek reinstatement, and oversight by the Resident Grievance Officer.</w:t>
      </w:r>
    </w:p>
    <w:p>
      <w:pPr>
        <w:pStyle w:val="BodyText"/>
      </w:pPr>
      <w:r>
        <w:rPr>
          <w:bCs/>
          <w:b/>
        </w:rPr>
        <w:t xml:space="preserve">Rule 7</w:t>
      </w:r>
      <w:r>
        <w:t xml:space="preserve"> </w:t>
      </w:r>
      <w:r>
        <w:t xml:space="preserve">supplies the sanction: where an intermediary fails to observe the Rules,</w:t>
      </w:r>
      <w:r>
        <w:t xml:space="preserve"> </w:t>
      </w:r>
      <w:r>
        <w:rPr>
          <w:bCs/>
          <w:b/>
        </w:rPr>
        <w:t xml:space="preserve">s.79(1) shall not apply</w:t>
      </w:r>
      <w:r>
        <w:t xml:space="preserve"> </w:t>
      </w:r>
      <w:r>
        <w:t xml:space="preserve">and the intermediary is liable to punishment under any law in force. Every problem answer on intermediaries should end there.</w:t>
      </w:r>
    </w:p>
    <w:bookmarkEnd w:id="39"/>
    <w:bookmarkStart w:id="40" w:name="part-iii-the-code-of-ethics"/>
    <w:p>
      <w:pPr>
        <w:pStyle w:val="Heading2"/>
      </w:pPr>
      <w:r>
        <w:t xml:space="preserve">Part III — the Code of Ethics</w:t>
      </w:r>
    </w:p>
    <w:p>
      <w:pPr>
        <w:pStyle w:val="FirstParagraph"/>
      </w:pPr>
      <w:r>
        <w:t xml:space="preserve">Part III fills a gap. Print media answered to the Press Council, television to the Cable Television Networks (Regulation) Act 1995 and its Programme and Advertising Codes, while digital news and curated content answered to nothing.</w:t>
      </w:r>
      <w:r>
        <w:t xml:space="preserve"> </w:t>
      </w:r>
      <w:r>
        <w:rPr>
          <w:bCs/>
          <w:b/>
        </w:rPr>
        <w:t xml:space="preserve">Rule 8</w:t>
      </w:r>
      <w:r>
        <w:t xml:space="preserve"> </w:t>
      </w:r>
      <w:r>
        <w:t xml:space="preserve">brings within the Code publishers of news and current affairs content and publishers of online curated content, and the definitional structure produces a notable asymmetry:</w:t>
      </w:r>
      <w:r>
        <w:t xml:space="preserve"> </w:t>
      </w:r>
      <w:r>
        <w:rPr>
          <w:bCs/>
          <w:b/>
        </w:rPr>
        <w:t xml:space="preserve">Rule 2(1)(m)</w:t>
      </w:r>
      <w:r>
        <w:t xml:space="preserve"> </w:t>
      </w:r>
      <w:r>
        <w:t xml:space="preserve">covers news and analysis made available over the internet, while the same journalism published as</w:t>
      </w:r>
      <w:r>
        <w:t xml:space="preserve"> </w:t>
      </w:r>
      <w:r>
        <w:rPr>
          <w:iCs/>
          <w:i/>
        </w:rPr>
        <w:t xml:space="preserve">“</w:t>
      </w:r>
      <w:r>
        <w:rPr>
          <w:iCs/>
          <w:i/>
        </w:rPr>
        <w:t xml:space="preserve">loosely folded sheets with newsprint</w:t>
      </w:r>
      <w:r>
        <w:rPr>
          <w:iCs/>
          <w:i/>
        </w:rPr>
        <w:t xml:space="preserve">”</w:t>
      </w:r>
      <w:r>
        <w:t xml:space="preserve"> </w:t>
      </w:r>
      <w:r>
        <w:t xml:space="preserve">is a</w:t>
      </w:r>
      <w:r>
        <w:t xml:space="preserve"> </w:t>
      </w:r>
      <w:r>
        <w:rPr>
          <w:bCs/>
          <w:b/>
        </w:rPr>
        <w:t xml:space="preserve">newspaper</w:t>
      </w:r>
      <w:r>
        <w:t xml:space="preserve"> </w:t>
      </w:r>
      <w:r>
        <w:t xml:space="preserve">under</w:t>
      </w:r>
      <w:r>
        <w:t xml:space="preserve"> </w:t>
      </w:r>
      <w:r>
        <w:rPr>
          <w:bCs/>
          <w:b/>
        </w:rPr>
        <w:t xml:space="preserve">Rule 2(1)(n)</w:t>
      </w:r>
      <w:r>
        <w:t xml:space="preserve"> </w:t>
      </w:r>
      <w:r>
        <w:t xml:space="preserve">and falls outside the Rules entirely. That the same content is regulated differently by medium became a ground of challenge under Article 14 in</w:t>
      </w:r>
      <w:r>
        <w:t xml:space="preserve"> </w:t>
      </w:r>
      <w:r>
        <w:rPr>
          <w:iCs/>
          <w:i/>
        </w:rPr>
        <w:t xml:space="preserve">Kunal Kamra</w:t>
      </w:r>
      <w:r>
        <w:t xml:space="preserve">.</w:t>
      </w:r>
      <w:r>
        <w:t xml:space="preserve"> </w:t>
      </w:r>
      <w:r>
        <w:rPr>
          <w:bCs/>
          <w:b/>
        </w:rPr>
        <w:t xml:space="preserve">Rule 8(2)</w:t>
      </w:r>
      <w:r>
        <w:t xml:space="preserve"> </w:t>
      </w:r>
      <w:r>
        <w:t xml:space="preserve">extends the Part to publishers operating in India or conducting the</w:t>
      </w:r>
      <w:r>
        <w:t xml:space="preserve"> </w:t>
      </w:r>
      <w:r>
        <w:rPr>
          <w:bCs/>
          <w:b/>
        </w:rPr>
        <w:t xml:space="preserve">systematic business activity</w:t>
      </w:r>
      <w:r>
        <w:t xml:space="preserve"> </w:t>
      </w:r>
      <w:r>
        <w:t xml:space="preserve">of making content available in India, so that a foreign platform targeting Indian audiences is covered.</w:t>
      </w:r>
    </w:p>
    <w:p>
      <w:pPr>
        <w:pStyle w:val="BodyText"/>
      </w:pPr>
      <w:r>
        <w:t xml:space="preserve">The Code of Ethics in the Appendix binds news publishers to the Norms of Journalistic Conduct of the Press Council and the Programme Code under s.5 of the Cable Television Networks Act, and requires publishers of curated content to exercise</w:t>
      </w:r>
      <w:r>
        <w:t xml:space="preserve"> </w:t>
      </w:r>
      <w:r>
        <w:rPr>
          <w:bCs/>
          <w:b/>
        </w:rPr>
        <w:t xml:space="preserve">due caution and discretion</w:t>
      </w:r>
      <w:r>
        <w:t xml:space="preserve"> </w:t>
      </w:r>
      <w:r>
        <w:t xml:space="preserve">where content affects the sovereignty and integrity of India, jeopardises the security of the State, is detrimental to friendly relations with foreign countries, or is likely to incite violence or disturb public order, and to have regard to India’s multi-racial and multi-religious context. Curated content must be classified as</w:t>
      </w:r>
      <w:r>
        <w:t xml:space="preserve"> </w:t>
      </w:r>
      <w:r>
        <w:rPr>
          <w:bCs/>
          <w:b/>
        </w:rPr>
        <w:t xml:space="preserve">U, U/A 7+, U/A 13+, U/A 16+ or A</w:t>
      </w:r>
      <w:r>
        <w:t xml:space="preserve">, with the rating and a content descriptor displayed, access control including parental locks for U/A 13+ and above, and reliable age verification for A. Unlike film, which is certified externally by the CBFC and may be cut,</w:t>
      </w:r>
      <w:r>
        <w:t xml:space="preserve"> </w:t>
      </w:r>
      <w:r>
        <w:rPr>
          <w:bCs/>
          <w:b/>
        </w:rPr>
        <w:t xml:space="preserve">OTT publishers self-classify</w:t>
      </w:r>
      <w:r>
        <w:t xml:space="preserve">.</w:t>
      </w:r>
    </w:p>
    <w:p>
      <w:pPr>
        <w:pStyle w:val="BodyText"/>
      </w:pPr>
      <w:r>
        <w:t xml:space="preserve">Enforcement is through the</w:t>
      </w:r>
      <w:r>
        <w:t xml:space="preserve"> </w:t>
      </w:r>
      <w:r>
        <w:rPr>
          <w:bCs/>
          <w:b/>
        </w:rPr>
        <w:t xml:space="preserve">three-tier structure</w:t>
      </w:r>
      <w:r>
        <w:t xml:space="preserve"> </w:t>
      </w:r>
      <w:r>
        <w:t xml:space="preserve">in Rule 9.</w:t>
      </w:r>
      <w:r>
        <w:t xml:space="preserve"> </w:t>
      </w:r>
      <w:r>
        <w:rPr>
          <w:bCs/>
          <w:b/>
        </w:rPr>
        <w:t xml:space="preserve">Level I</w:t>
      </w:r>
      <w:r>
        <w:t xml:space="preserve"> </w:t>
      </w:r>
      <w:r>
        <w:t xml:space="preserve">under Rule 11 is self-regulation by the publisher through a Grievance Officer based in India who must decide within fifteen days.</w:t>
      </w:r>
      <w:r>
        <w:t xml:space="preserve"> </w:t>
      </w:r>
      <w:r>
        <w:rPr>
          <w:bCs/>
          <w:b/>
        </w:rPr>
        <w:t xml:space="preserve">Level II</w:t>
      </w:r>
      <w:r>
        <w:t xml:space="preserve"> </w:t>
      </w:r>
      <w:r>
        <w:t xml:space="preserve">under Rule 12 is a self-regulating body headed by a retired Supreme Court or High Court judge or an independent eminent person, with not more than six other members, registered with the Ministry within thirty days, which may warn, censure, admonish or reprimand, require an apology, require a warning card or disclaimer, or direct reclassification of the rating, editing of the synopsis or modification of the content descriptor and access controls.</w:t>
      </w:r>
      <w:r>
        <w:t xml:space="preserve"> </w:t>
      </w:r>
      <w:r>
        <w:rPr>
          <w:bCs/>
          <w:b/>
        </w:rPr>
        <w:t xml:space="preserve">Level III</w:t>
      </w:r>
      <w:r>
        <w:t xml:space="preserve"> </w:t>
      </w:r>
      <w:r>
        <w:t xml:space="preserve">under Rules 13 and 14 is oversight by the Ministry of Information and Broadcasting with an</w:t>
      </w:r>
      <w:r>
        <w:t xml:space="preserve"> </w:t>
      </w:r>
      <w:r>
        <w:rPr>
          <w:bCs/>
          <w:b/>
        </w:rPr>
        <w:t xml:space="preserve">Inter-Departmental Committee</w:t>
      </w:r>
      <w:r>
        <w:t xml:space="preserve">. Against that light-touch architecture stands</w:t>
      </w:r>
      <w:r>
        <w:t xml:space="preserve"> </w:t>
      </w:r>
      <w:r>
        <w:rPr>
          <w:bCs/>
          <w:b/>
        </w:rPr>
        <w:t xml:space="preserve">Rule 16</w:t>
      </w:r>
      <w:r>
        <w:t xml:space="preserve">, under which the Authorised Officer may, in a case of emergency for which no delay is acceptable, recommend blocking in writing to the Secretary, Ministry of Information and Broadcasting, who may issue an</w:t>
      </w:r>
      <w:r>
        <w:t xml:space="preserve"> </w:t>
      </w:r>
      <w:r>
        <w:rPr>
          <w:bCs/>
          <w:b/>
        </w:rPr>
        <w:t xml:space="preserve">interim blocking order without any hearing</w:t>
      </w:r>
      <w:r>
        <w:t xml:space="preserve">, the matter going to the Committee afterwards. The coexistence of self-regulation with an ex parte emergency override is the structural criticism of Part III.</w:t>
      </w:r>
    </w:p>
    <w:bookmarkEnd w:id="40"/>
    <w:bookmarkEnd w:id="41"/>
    <w:bookmarkStart w:id="50" w:name="module-3-cyber-speech"/>
    <w:p>
      <w:pPr>
        <w:pStyle w:val="Heading1"/>
      </w:pPr>
      <w:r>
        <w:t xml:space="preserve">MODULE 3 — CYBER-SPEECH</w:t>
      </w:r>
    </w:p>
    <w:bookmarkStart w:id="42" w:name="the-shift-that-created-the-problem"/>
    <w:p>
      <w:pPr>
        <w:pStyle w:val="Heading2"/>
      </w:pPr>
      <w:r>
        <w:t xml:space="preserve">The shift that created the problem</w:t>
      </w:r>
    </w:p>
    <w:p>
      <w:pPr>
        <w:pStyle w:val="FirstParagraph"/>
      </w:pPr>
      <w:r>
        <w:t xml:space="preserve">Web 1.0 was a publishing medium: a small number of identifiable owners published and everyone else read. Web 2.0 replaced publication with participation and turned the user into a</w:t>
      </w:r>
      <w:r>
        <w:t xml:space="preserve"> </w:t>
      </w:r>
      <w:r>
        <w:rPr>
          <w:bCs/>
          <w:b/>
        </w:rPr>
        <w:t xml:space="preserve">prosumer</w:t>
      </w:r>
      <w:r>
        <w:t xml:space="preserve">, simultaneously producer and consumer. Millions now speak instantly through privately operated infrastructure, and harmful speech, legal responsibility, platform governance and freedom of expression become inseparable questions. Anupam Chander captured the resulting governance vacuum in</w:t>
      </w:r>
      <w:r>
        <w:t xml:space="preserve"> </w:t>
      </w:r>
      <w:r>
        <w:rPr>
          <w:iCs/>
          <w:i/>
        </w:rPr>
        <w:t xml:space="preserve">“</w:t>
      </w:r>
      <w:r>
        <w:rPr>
          <w:iCs/>
          <w:i/>
        </w:rPr>
        <w:t xml:space="preserve">Facebookistan</w:t>
      </w:r>
      <w:r>
        <w:rPr>
          <w:iCs/>
          <w:i/>
        </w:rPr>
        <w:t xml:space="preserve">”</w:t>
      </w:r>
      <w:r>
        <w:t xml:space="preserve">:</w:t>
      </w:r>
      <w:r>
        <w:t xml:space="preserve"> </w:t>
      </w:r>
      <w:r>
        <w:rPr>
          <w:iCs/>
          <w:i/>
        </w:rPr>
        <w:t xml:space="preserve">“</w:t>
      </w:r>
      <w:r>
        <w:rPr>
          <w:iCs/>
          <w:i/>
        </w:rPr>
        <w:t xml:space="preserve">Who rules Facebookistan? Who makes the rules that govern the way a tenth of humanity connects on the Internet? The United States, France, China, or Mark Zuckerberg?</w:t>
      </w:r>
      <w:r>
        <w:rPr>
          <w:iCs/>
          <w:i/>
        </w:rPr>
        <w:t xml:space="preserve">”</w:t>
      </w:r>
      <w:r>
        <w:t xml:space="preserve"> </w:t>
      </w:r>
      <w:r>
        <w:t xml:space="preserve">His conclusion is that</w:t>
      </w:r>
      <w:r>
        <w:t xml:space="preserve"> </w:t>
      </w:r>
      <w:r>
        <w:rPr>
          <w:iCs/>
          <w:i/>
        </w:rPr>
        <w:t xml:space="preserve">“</w:t>
      </w:r>
      <w:r>
        <w:rPr>
          <w:iCs/>
          <w:i/>
        </w:rPr>
        <w:t xml:space="preserve">regulatory power is, de facto, dispersed across a wide array of international actors.</w:t>
      </w:r>
      <w:r>
        <w:rPr>
          <w:iCs/>
          <w:i/>
        </w:rPr>
        <w:t xml:space="preserve">”</w:t>
      </w:r>
      <w:r>
        <w:t xml:space="preserve"> </w:t>
      </w:r>
      <w:r>
        <w:t xml:space="preserve">The stakes were put concretely at a United States congressional hearing on online harms to children, where executives including Mark Zuckerberg were questioned and Zuckerberg turned to parents holding photographs of children who had died following sexual exploitation or harassment via social media and said,</w:t>
      </w:r>
      <w:r>
        <w:t xml:space="preserve"> </w:t>
      </w:r>
      <w:r>
        <w:rPr>
          <w:iCs/>
          <w:i/>
        </w:rPr>
        <w:t xml:space="preserve">“</w:t>
      </w:r>
      <w:r>
        <w:rPr>
          <w:iCs/>
          <w:i/>
        </w:rPr>
        <w:t xml:space="preserve">I’m sorry for everything you have all been through.</w:t>
      </w:r>
      <w:r>
        <w:rPr>
          <w:iCs/>
          <w:i/>
        </w:rPr>
        <w:t xml:space="preserve">”</w:t>
      </w:r>
      <w:r>
        <w:t xml:space="preserve"> </w:t>
      </w:r>
      <w:r>
        <w:t xml:space="preserve">The Indian equivalent is the notice reported on</w:t>
      </w:r>
      <w:r>
        <w:t xml:space="preserve"> </w:t>
      </w:r>
      <w:r>
        <w:rPr>
          <w:bCs/>
          <w:b/>
        </w:rPr>
        <w:t xml:space="preserve">6 July 2026</w:t>
      </w:r>
      <w:r>
        <w:t xml:space="preserve">, by which MeitY ordered Instagram to disable all advertisements and content promoting or facilitating access to child sexual exploitative and abuse material and demanded a detailed explanation within seven days.</w:t>
      </w:r>
    </w:p>
    <w:bookmarkEnd w:id="42"/>
    <w:bookmarkStart w:id="43" w:name="three-constitutional-traditions"/>
    <w:p>
      <w:pPr>
        <w:pStyle w:val="Heading2"/>
      </w:pPr>
      <w:r>
        <w:t xml:space="preserve">Three constitutional traditions</w:t>
      </w:r>
    </w:p>
    <w:p>
      <w:pPr>
        <w:pStyle w:val="FirstParagraph"/>
      </w:pPr>
      <w:r>
        <w:t xml:space="preserve">The</w:t>
      </w:r>
      <w:r>
        <w:t xml:space="preserve"> </w:t>
      </w:r>
      <w:r>
        <w:rPr>
          <w:bCs/>
          <w:b/>
        </w:rPr>
        <w:t xml:space="preserve">First Amendment</w:t>
      </w:r>
      <w:r>
        <w:t xml:space="preserve"> </w:t>
      </w:r>
      <w:r>
        <w:t xml:space="preserve">is absolute in form —</w:t>
      </w:r>
      <w:r>
        <w:t xml:space="preserve"> </w:t>
      </w:r>
      <w:r>
        <w:rPr>
          <w:iCs/>
          <w:i/>
        </w:rPr>
        <w:t xml:space="preserve">“</w:t>
      </w:r>
      <w:r>
        <w:rPr>
          <w:iCs/>
          <w:i/>
        </w:rPr>
        <w:t xml:space="preserve">Congress shall make no law… abridging the freedom of speech, or of the press</w:t>
      </w:r>
      <w:r>
        <w:rPr>
          <w:iCs/>
          <w:i/>
        </w:rPr>
        <w:t xml:space="preserve">”</w:t>
      </w:r>
      <w:r>
        <w:t xml:space="preserve"> </w:t>
      </w:r>
      <w:r>
        <w:t xml:space="preserve">— and lists no grounds of restriction. American doctrine treats speech as a marketplace of ideas in which the State is not the arbiter of good and bad speech; broadly only obscenity and intellectual property violations fall outside protection.</w:t>
      </w:r>
    </w:p>
    <w:p>
      <w:pPr>
        <w:pStyle w:val="BodyText"/>
      </w:pPr>
      <w:r>
        <w:rPr>
          <w:bCs/>
          <w:b/>
        </w:rPr>
        <w:t xml:space="preserve">Article 10 of the ECHR</w:t>
      </w:r>
      <w:r>
        <w:t xml:space="preserve"> </w:t>
      </w:r>
      <w:r>
        <w:t xml:space="preserve">takes the opposite structural approach. It protects the freedom to hold opinions and to receive and impart information</w:t>
      </w:r>
      <w:r>
        <w:t xml:space="preserve"> </w:t>
      </w:r>
      <w:r>
        <w:rPr>
          <w:iCs/>
          <w:i/>
        </w:rPr>
        <w:t xml:space="preserve">“</w:t>
      </w:r>
      <w:r>
        <w:rPr>
          <w:iCs/>
          <w:i/>
        </w:rPr>
        <w:t xml:space="preserve">regardless of frontiers,</w:t>
      </w:r>
      <w:r>
        <w:rPr>
          <w:iCs/>
          <w:i/>
        </w:rPr>
        <w:t xml:space="preserve">”</w:t>
      </w:r>
      <w:r>
        <w:t xml:space="preserve"> </w:t>
      </w:r>
      <w:r>
        <w:t xml:space="preserve">but states expressly that the exercise of the freedom</w:t>
      </w:r>
      <w:r>
        <w:t xml:space="preserve"> </w:t>
      </w:r>
      <w:r>
        <w:rPr>
          <w:iCs/>
          <w:i/>
        </w:rPr>
        <w:t xml:space="preserve">“</w:t>
      </w:r>
      <w:r>
        <w:rPr>
          <w:iCs/>
          <w:i/>
        </w:rPr>
        <w:t xml:space="preserve">carries with it duties and responsibilities</w:t>
      </w:r>
      <w:r>
        <w:rPr>
          <w:iCs/>
          <w:i/>
        </w:rPr>
        <w:t xml:space="preserve">”</w:t>
      </w:r>
      <w:r>
        <w:t xml:space="preserve"> </w:t>
      </w:r>
      <w:r>
        <w:t xml:space="preserve">and may be restricted where the restriction is</w:t>
      </w:r>
      <w:r>
        <w:t xml:space="preserve"> </w:t>
      </w:r>
      <w:r>
        <w:rPr>
          <w:bCs/>
          <w:b/>
        </w:rPr>
        <w:t xml:space="preserve">prescribed by law</w:t>
      </w:r>
      <w:r>
        <w:t xml:space="preserve"> </w:t>
      </w:r>
      <w:r>
        <w:t xml:space="preserve">and</w:t>
      </w:r>
      <w:r>
        <w:t xml:space="preserve"> </w:t>
      </w:r>
      <w:r>
        <w:rPr>
          <w:bCs/>
          <w:b/>
        </w:rPr>
        <w:t xml:space="preserve">necessary in a democratic society</w:t>
      </w:r>
      <w:r>
        <w:t xml:space="preserve">, in the interests of national security, territorial integrity or public safety, the prevention of disorder or crime, the protection of health or morals, the protection of the reputation or rights of others, preventing disclosure of information received in confidence, or maintaining the authority and impartiality of the judiciary.</w:t>
      </w:r>
    </w:p>
    <w:p>
      <w:pPr>
        <w:pStyle w:val="BodyText"/>
      </w:pPr>
      <w:r>
        <w:t xml:space="preserve">India follows the European structure.</w:t>
      </w:r>
      <w:r>
        <w:t xml:space="preserve"> </w:t>
      </w:r>
      <w:r>
        <w:rPr>
          <w:bCs/>
          <w:b/>
        </w:rPr>
        <w:t xml:space="preserve">Article 19(1)(a)</w:t>
      </w:r>
      <w:r>
        <w:t xml:space="preserve"> </w:t>
      </w:r>
      <w:r>
        <w:t xml:space="preserve">protects speech and expression, and</w:t>
      </w:r>
      <w:r>
        <w:t xml:space="preserve"> </w:t>
      </w:r>
      <w:r>
        <w:rPr>
          <w:bCs/>
          <w:b/>
        </w:rPr>
        <w:t xml:space="preserve">Article 19(2)</w:t>
      </w:r>
      <w:r>
        <w:t xml:space="preserve"> </w:t>
      </w:r>
      <w:r>
        <w:t xml:space="preserve">permits reasonable restrictions on eight grounds and eight only: the</w:t>
      </w:r>
      <w:r>
        <w:t xml:space="preserve"> </w:t>
      </w:r>
      <w:r>
        <w:rPr>
          <w:bCs/>
          <w:b/>
        </w:rPr>
        <w:t xml:space="preserve">sovereignty and integrity of India, the security of the State, friendly relations with foreign States, public order, decency or morality, contempt of court, defamation, and incitement to an offence</w:t>
      </w:r>
      <w:r>
        <w:t xml:space="preserve">. Those eight grounds reappear almost verbatim in Rule 3(1)(d) of the 2021 Rules, and the fact that</w:t>
      </w:r>
      <w:r>
        <w:t xml:space="preserve"> </w:t>
      </w:r>
      <w:r>
        <w:rPr>
          <w:bCs/>
          <w:b/>
        </w:rPr>
        <w:t xml:space="preserve">falsity is not among them</w:t>
      </w:r>
      <w:r>
        <w:t xml:space="preserve"> </w:t>
      </w:r>
      <w:r>
        <w:t xml:space="preserve">is the decisive point in</w:t>
      </w:r>
      <w:r>
        <w:t xml:space="preserve"> </w:t>
      </w:r>
      <w:r>
        <w:rPr>
          <w:iCs/>
          <w:i/>
        </w:rPr>
        <w:t xml:space="preserve">Kunal Kamra</w:t>
      </w:r>
      <w:r>
        <w:t xml:space="preserve">.</w:t>
      </w:r>
    </w:p>
    <w:p>
      <w:pPr>
        <w:pStyle w:val="BodyText"/>
      </w:pPr>
      <w:r>
        <w:t xml:space="preserve">The conflict of standards was dramatised in</w:t>
      </w:r>
      <w:r>
        <w:t xml:space="preserve"> </w:t>
      </w:r>
      <w:r>
        <w:rPr>
          <w:iCs/>
          <w:i/>
          <w:bCs/>
          <w:b/>
        </w:rPr>
        <w:t xml:space="preserve">LICRA v. Yahoo! Inc. and Yahoo France</w:t>
      </w:r>
      <w:r>
        <w:t xml:space="preserve"> </w:t>
      </w:r>
      <w:r>
        <w:t xml:space="preserve">(2000). Yahoo’s American auction site offered Nazi memorabilia and Yahoo France provided links and access; the sale of such objects is criminal under French law. The Paris tribunal held that access by French users was an offence and ordered Yahoo Inc. </w:t>
      </w:r>
      <w:r>
        <w:rPr>
          <w:iCs/>
          <w:i/>
        </w:rPr>
        <w:t xml:space="preserve">“</w:t>
      </w:r>
      <w:r>
        <w:rPr>
          <w:iCs/>
          <w:i/>
        </w:rPr>
        <w:t xml:space="preserve">to take such measures as may be necessary to prevent the exhibition or sale on its Yahoo.com site of Nazi objects throughout the territory of France,</w:t>
      </w:r>
      <w:r>
        <w:rPr>
          <w:iCs/>
          <w:i/>
        </w:rPr>
        <w:t xml:space="preserve">”</w:t>
      </w:r>
      <w:r>
        <w:t xml:space="preserve"> </w:t>
      </w:r>
      <w:r>
        <w:t xml:space="preserve">and Yahoo France to warn users of the risk of viewing sites contravening French law. Yahoo’s two defences — that the court was not competent, and that compliance was technologically impossible — were both rejected, the second</w:t>
      </w:r>
      <w:r>
        <w:t xml:space="preserve"> </w:t>
      </w:r>
      <w:r>
        <w:rPr>
          <w:bCs/>
          <w:b/>
        </w:rPr>
        <w:t xml:space="preserve">on the basis of expert witnesses’ reports</w:t>
      </w:r>
      <w:r>
        <w:t xml:space="preserve">, and the tribunal imposed a three-month deadline backed by a penalty of</w:t>
      </w:r>
      <w:r>
        <w:t xml:space="preserve"> </w:t>
      </w:r>
      <w:r>
        <w:rPr>
          <w:bCs/>
          <w:b/>
        </w:rPr>
        <w:t xml:space="preserve">100,000 francs per day</w:t>
      </w:r>
      <w:r>
        <w:t xml:space="preserve">. Yahoo eventually complied. It also sued LICRA and UEJF in the</w:t>
      </w:r>
      <w:r>
        <w:t xml:space="preserve"> </w:t>
      </w:r>
      <w:r>
        <w:rPr>
          <w:bCs/>
          <w:b/>
        </w:rPr>
        <w:t xml:space="preserve">US District Court for the Northern District of California</w:t>
      </w:r>
      <w:r>
        <w:t xml:space="preserve">, arguing the French order breached the First Amendment and was unenforceable; the District Court upheld the claim, but the</w:t>
      </w:r>
      <w:r>
        <w:t xml:space="preserve"> </w:t>
      </w:r>
      <w:r>
        <w:rPr>
          <w:bCs/>
          <w:b/>
        </w:rPr>
        <w:t xml:space="preserve">Court of Appeals reversed in 2004 on the ground that the District Court lacked jurisdiction over the French organisations</w:t>
      </w:r>
      <w:r>
        <w:t xml:space="preserve"> </w:t>
      </w:r>
      <w:r>
        <w:t xml:space="preserve">— a jurisdictional reversal, not an endorsement of the French restriction.</w:t>
      </w:r>
    </w:p>
    <w:bookmarkEnd w:id="43"/>
    <w:bookmarkStart w:id="44" w:name="hate-speech"/>
    <w:p>
      <w:pPr>
        <w:pStyle w:val="Heading2"/>
      </w:pPr>
      <w:r>
        <w:t xml:space="preserve">Hate speech</w:t>
      </w:r>
    </w:p>
    <w:p>
      <w:pPr>
        <w:pStyle w:val="FirstParagraph"/>
      </w:pPr>
      <w:r>
        <w:t xml:space="preserve">The</w:t>
      </w:r>
      <w:r>
        <w:t xml:space="preserve"> </w:t>
      </w:r>
      <w:r>
        <w:rPr>
          <w:bCs/>
          <w:b/>
        </w:rPr>
        <w:t xml:space="preserve">UN Strategy and Plan of Action on Hate Speech</w:t>
      </w:r>
      <w:r>
        <w:t xml:space="preserve"> </w:t>
      </w:r>
      <w:r>
        <w:t xml:space="preserve">defines hate speech as communication that attacks or discriminates against individuals or groups based on identity factors such as religion, ethnicity or gender, while acknowledging that</w:t>
      </w:r>
      <w:r>
        <w:t xml:space="preserve"> </w:t>
      </w:r>
      <w:r>
        <w:rPr>
          <w:bCs/>
          <w:b/>
        </w:rPr>
        <w:t xml:space="preserve">a universal legal definition is still under discussion</w:t>
      </w:r>
      <w:r>
        <w:t xml:space="preserve"> </w:t>
      </w:r>
      <w:r>
        <w:t xml:space="preserve">and that none exists in international human rights law. Three attributes are settled: hate speech may take</w:t>
      </w:r>
      <w:r>
        <w:t xml:space="preserve"> </w:t>
      </w:r>
      <w:r>
        <w:rPr>
          <w:bCs/>
          <w:b/>
        </w:rPr>
        <w:t xml:space="preserve">any form</w:t>
      </w:r>
      <w:r>
        <w:t xml:space="preserve"> </w:t>
      </w:r>
      <w:r>
        <w:t xml:space="preserve">of expression, including images, cartoons, memes, objects, gestures and symbols, offline or online; it is</w:t>
      </w:r>
      <w:r>
        <w:t xml:space="preserve"> </w:t>
      </w:r>
      <w:r>
        <w:rPr>
          <w:bCs/>
          <w:b/>
        </w:rPr>
        <w:t xml:space="preserve">discriminatory or pejorative</w:t>
      </w:r>
      <w:r>
        <w:t xml:space="preserve"> </w:t>
      </w:r>
      <w:r>
        <w:t xml:space="preserve">in character; and it targets</w:t>
      </w:r>
      <w:r>
        <w:t xml:space="preserve"> </w:t>
      </w:r>
      <w:r>
        <w:rPr>
          <w:bCs/>
          <w:b/>
        </w:rPr>
        <w:t xml:space="preserve">real or perceived identity factors</w:t>
      </w:r>
      <w:r>
        <w:t xml:space="preserve">, extending beyond religion, ethnicity, nationality, race, colour, descent and gender to language, social origin, disability, health status and sexual orientation. The Plan of Action emphasises partnerships with technology and social media companies, particularly the use of artificial intelligence, and</w:t>
      </w:r>
      <w:r>
        <w:t xml:space="preserve"> </w:t>
      </w:r>
      <w:r>
        <w:rPr>
          <w:bCs/>
          <w:b/>
        </w:rPr>
        <w:t xml:space="preserve">18 June</w:t>
      </w:r>
      <w:r>
        <w:t xml:space="preserve"> </w:t>
      </w:r>
      <w:r>
        <w:t xml:space="preserve">is observed as the International Day for Countering Hate Speech.</w:t>
      </w:r>
    </w:p>
    <w:p>
      <w:pPr>
        <w:pStyle w:val="BodyText"/>
      </w:pPr>
      <w:r>
        <w:t xml:space="preserve">India has no single hate speech offence.</w:t>
      </w:r>
      <w:r>
        <w:t xml:space="preserve"> </w:t>
      </w:r>
      <w:r>
        <w:rPr>
          <w:iCs/>
          <w:i/>
          <w:bCs/>
          <w:b/>
        </w:rPr>
        <w:t xml:space="preserve">Pravasi Bhalai Sangathan v. Union of India</w:t>
      </w:r>
      <w:r>
        <w:t xml:space="preserve">, AIR 2014 SC 1591, a public interest litigation seeking directions to restrain inflammatory speeches by politicians and religious leaders, produced a</w:t>
      </w:r>
      <w:r>
        <w:t xml:space="preserve"> </w:t>
      </w:r>
      <w:r>
        <w:rPr>
          <w:bCs/>
          <w:b/>
        </w:rPr>
        <w:t xml:space="preserve">refusal by a bench headed by Chauhan J. to frame guidelines</w:t>
      </w:r>
      <w:r>
        <w:t xml:space="preserve">, and a</w:t>
      </w:r>
      <w:r>
        <w:t xml:space="preserve"> </w:t>
      </w:r>
      <w:r>
        <w:rPr>
          <w:bCs/>
          <w:b/>
        </w:rPr>
        <w:t xml:space="preserve">reference to the Law Commission</w:t>
      </w:r>
      <w:r>
        <w:t xml:space="preserve"> </w:t>
      </w:r>
      <w:r>
        <w:t xml:space="preserve">for recommendations to the Centre. In the course of the judgment the Court surveyed the statutory landscape and found it dispersed across nine statutes: the</w:t>
      </w:r>
      <w:r>
        <w:t xml:space="preserve"> </w:t>
      </w:r>
      <w:r>
        <w:rPr>
          <w:bCs/>
          <w:b/>
        </w:rPr>
        <w:t xml:space="preserve">Indian Penal Code</w:t>
      </w:r>
      <w:r>
        <w:t xml:space="preserve"> </w:t>
      </w:r>
      <w:r>
        <w:t xml:space="preserve">(ss.124A, 153A, 153B, 295-A, 298, 505(1) and 505(2)); the</w:t>
      </w:r>
      <w:r>
        <w:t xml:space="preserve"> </w:t>
      </w:r>
      <w:r>
        <w:rPr>
          <w:bCs/>
          <w:b/>
        </w:rPr>
        <w:t xml:space="preserve">Representation of People Act 1951</w:t>
      </w:r>
      <w:r>
        <w:t xml:space="preserve"> </w:t>
      </w:r>
      <w:r>
        <w:t xml:space="preserve">(ss.8, 123(3A), 125); the</w:t>
      </w:r>
      <w:r>
        <w:t xml:space="preserve"> </w:t>
      </w:r>
      <w:r>
        <w:rPr>
          <w:bCs/>
          <w:b/>
        </w:rPr>
        <w:t xml:space="preserve">IT Act and the 2011 Intermediaries Guidelines Rules</w:t>
      </w:r>
      <w:r>
        <w:t xml:space="preserve"> </w:t>
      </w:r>
      <w:r>
        <w:t xml:space="preserve">(ss.66A, 69, 69A and Rules 3(2)(b) and 3(2)(i)); the</w:t>
      </w:r>
      <w:r>
        <w:t xml:space="preserve"> </w:t>
      </w:r>
      <w:r>
        <w:rPr>
          <w:bCs/>
          <w:b/>
        </w:rPr>
        <w:t xml:space="preserve">Code of Criminal Procedure</w:t>
      </w:r>
      <w:r>
        <w:t xml:space="preserve"> </w:t>
      </w:r>
      <w:r>
        <w:t xml:space="preserve">(ss.95, 107, 144, 151, 160); the</w:t>
      </w:r>
      <w:r>
        <w:t xml:space="preserve"> </w:t>
      </w:r>
      <w:r>
        <w:rPr>
          <w:bCs/>
          <w:b/>
        </w:rPr>
        <w:t xml:space="preserve">Unlawful Activities (Prevention) Act 1967</w:t>
      </w:r>
      <w:r>
        <w:t xml:space="preserve"> </w:t>
      </w:r>
      <w:r>
        <w:t xml:space="preserve">(ss.2(f), 10, 11, 12); the</w:t>
      </w:r>
      <w:r>
        <w:t xml:space="preserve"> </w:t>
      </w:r>
      <w:r>
        <w:rPr>
          <w:bCs/>
          <w:b/>
        </w:rPr>
        <w:t xml:space="preserve">Protection of Civil Rights Act 1955</w:t>
      </w:r>
      <w:r>
        <w:t xml:space="preserve"> </w:t>
      </w:r>
      <w:r>
        <w:t xml:space="preserve">(s.7); the</w:t>
      </w:r>
      <w:r>
        <w:t xml:space="preserve"> </w:t>
      </w:r>
      <w:r>
        <w:rPr>
          <w:bCs/>
          <w:b/>
        </w:rPr>
        <w:t xml:space="preserve">Religious Institutions (Prevention of Misuse) Act 1980</w:t>
      </w:r>
      <w:r>
        <w:t xml:space="preserve"> </w:t>
      </w:r>
      <w:r>
        <w:t xml:space="preserve">(ss.3 and 6); the</w:t>
      </w:r>
      <w:r>
        <w:t xml:space="preserve"> </w:t>
      </w:r>
      <w:r>
        <w:rPr>
          <w:bCs/>
          <w:b/>
        </w:rPr>
        <w:t xml:space="preserve">Cable Television Networks (Regulation) Act 1995</w:t>
      </w:r>
      <w:r>
        <w:t xml:space="preserve"> </w:t>
      </w:r>
      <w:r>
        <w:t xml:space="preserve">and its Rules; and the</w:t>
      </w:r>
      <w:r>
        <w:t xml:space="preserve"> </w:t>
      </w:r>
      <w:r>
        <w:rPr>
          <w:bCs/>
          <w:b/>
        </w:rPr>
        <w:t xml:space="preserve">Cinematograph Act 1952</w:t>
      </w:r>
      <w:r>
        <w:t xml:space="preserve"> </w:t>
      </w:r>
      <w:r>
        <w:t xml:space="preserve">(ss.4, 5B, 7).</w:t>
      </w:r>
    </w:p>
    <w:p>
      <w:pPr>
        <w:pStyle w:val="BodyText"/>
      </w:pPr>
      <w:r>
        <w:t xml:space="preserve">That fragmentation drove</w:t>
      </w:r>
      <w:r>
        <w:t xml:space="preserve"> </w:t>
      </w:r>
      <w:r>
        <w:rPr>
          <w:iCs/>
          <w:i/>
          <w:bCs/>
          <w:b/>
        </w:rPr>
        <w:t xml:space="preserve">Campaign Against Hate Speech v. State of Karnataka</w:t>
      </w:r>
      <w:r>
        <w:t xml:space="preserve"> </w:t>
      </w:r>
      <w:r>
        <w:t xml:space="preserve">(Karnataka HC, 2020), in which action was sought against media houses for content linking the Covid-19 outbreak to particular communities. The Court declined to act on three grounds: that it would be improper to supply a definition of hate speech in the absence of</w:t>
      </w:r>
      <w:r>
        <w:t xml:space="preserve"> </w:t>
      </w:r>
      <w:r>
        <w:rPr>
          <w:iCs/>
          <w:i/>
        </w:rPr>
        <w:t xml:space="preserve">“</w:t>
      </w:r>
      <w:r>
        <w:rPr>
          <w:iCs/>
          <w:i/>
        </w:rPr>
        <w:t xml:space="preserve">any specific legislation and precise legislative definition given by Parliament</w:t>
      </w:r>
      <w:r>
        <w:rPr>
          <w:iCs/>
          <w:i/>
        </w:rPr>
        <w:t xml:space="preserve">”</w:t>
      </w:r>
      <w:r>
        <w:t xml:space="preserve">; that Article 19(1)(a) includes the freedom of the press and it was for Parliament to determine reasonable restrictions under Article 19(2); and that since Parliament had neither legislated on nor defined hate speech,</w:t>
      </w:r>
      <w:r>
        <w:t xml:space="preserve"> </w:t>
      </w:r>
      <w:r>
        <w:rPr>
          <w:bCs/>
          <w:b/>
        </w:rPr>
        <w:t xml:space="preserve">the Court could not issue directions under Article 226</w:t>
      </w:r>
      <w:r>
        <w:t xml:space="preserve"> </w:t>
      </w:r>
      <w:r>
        <w:t xml:space="preserve">on the basis of its social impact.</w:t>
      </w:r>
    </w:p>
    <w:bookmarkEnd w:id="44"/>
    <w:bookmarkStart w:id="45" w:name="section-66a-and-shreya-singhal"/>
    <w:p>
      <w:pPr>
        <w:pStyle w:val="Heading2"/>
      </w:pPr>
      <w:r>
        <w:t xml:space="preserve">Section 66A and</w:t>
      </w:r>
      <w:r>
        <w:t xml:space="preserve"> </w:t>
      </w:r>
      <w:r>
        <w:rPr>
          <w:iCs/>
          <w:i/>
        </w:rPr>
        <w:t xml:space="preserve">Shreya Singhal</w:t>
      </w:r>
    </w:p>
    <w:p>
      <w:pPr>
        <w:pStyle w:val="FirstParagraph"/>
      </w:pPr>
      <w:r>
        <w:t xml:space="preserve">Section 66A punished three kinds of message sent through a computer resource or communication device: information that was</w:t>
      </w:r>
      <w:r>
        <w:t xml:space="preserve"> </w:t>
      </w:r>
      <w:r>
        <w:rPr>
          <w:bCs/>
          <w:b/>
        </w:rPr>
        <w:t xml:space="preserve">grossly offensive or menacing</w:t>
      </w:r>
      <w:r>
        <w:t xml:space="preserve">, which in practice reached obscenity, morphing of images, defamation, cyber-bullying and stalking; information</w:t>
      </w:r>
      <w:r>
        <w:t xml:space="preserve"> </w:t>
      </w:r>
      <w:r>
        <w:rPr>
          <w:bCs/>
          <w:b/>
        </w:rPr>
        <w:t xml:space="preserve">known to be false</w:t>
      </w:r>
      <w:r>
        <w:t xml:space="preserve"> </w:t>
      </w:r>
      <w:r>
        <w:t xml:space="preserve">and sent persistently to cause annoyance, inconvenience, danger, obstruction, insult, injury, criminal intimidation, enmity, hatred or ill will, which reached criminal intimidation, extortion, public mischief and mob lynching through fake news; and electronic mail sent to cause annoyance or inconvenience or to mislead about origin, which reached spam. It was, in short, the only provision that reached cyber-bullying, trolling, spam, stalking, morphing and fake news.</w:t>
      </w:r>
    </w:p>
    <w:p>
      <w:pPr>
        <w:pStyle w:val="BodyText"/>
      </w:pPr>
      <w:r>
        <w:rPr>
          <w:iCs/>
          <w:i/>
          <w:bCs/>
          <w:b/>
        </w:rPr>
        <w:t xml:space="preserve">Shreya Singhal v. Union of India</w:t>
      </w:r>
      <w:r>
        <w:t xml:space="preserve">, AIR 2015 SC 1523, struck it down on four grounds that build on one another. First, the section</w:t>
      </w:r>
      <w:r>
        <w:t xml:space="preserve"> </w:t>
      </w:r>
      <w:r>
        <w:rPr>
          <w:bCs/>
          <w:b/>
        </w:rPr>
        <w:t xml:space="preserve">established no proximate relationship</w:t>
      </w:r>
      <w:r>
        <w:t xml:space="preserve"> </w:t>
      </w:r>
      <w:r>
        <w:t xml:space="preserve">between the restriction and any ground in Article 19(2). Second, it drew</w:t>
      </w:r>
      <w:r>
        <w:t xml:space="preserve"> </w:t>
      </w:r>
      <w:r>
        <w:rPr>
          <w:bCs/>
          <w:b/>
        </w:rPr>
        <w:t xml:space="preserve">no line between discussion, advocacy and incitement</w:t>
      </w:r>
      <w:r>
        <w:t xml:space="preserve">, and the Court held that</w:t>
      </w:r>
      <w:r>
        <w:t xml:space="preserve"> </w:t>
      </w:r>
      <w:r>
        <w:rPr>
          <w:iCs/>
          <w:i/>
        </w:rPr>
        <w:t xml:space="preserve">“</w:t>
      </w:r>
      <w:r>
        <w:rPr>
          <w:iCs/>
          <w:i/>
        </w:rPr>
        <w:t xml:space="preserve">a speech can only be limited on grounds of the exceptions mentioned in Article 19(2) when it reaches the threshold of incitement. All other forms of speech, even if offensive or unpopular, have to be protected under Article 19(1)(a).</w:t>
      </w:r>
      <w:r>
        <w:rPr>
          <w:iCs/>
          <w:i/>
        </w:rPr>
        <w:t xml:space="preserve">”</w:t>
      </w:r>
      <w:r>
        <w:t xml:space="preserve"> </w:t>
      </w:r>
      <w:r>
        <w:t xml:space="preserve">Third, it was</w:t>
      </w:r>
      <w:r>
        <w:t xml:space="preserve"> </w:t>
      </w:r>
      <w:r>
        <w:rPr>
          <w:bCs/>
          <w:b/>
        </w:rPr>
        <w:t xml:space="preserve">unconstitutionally vague</w:t>
      </w:r>
      <w:r>
        <w:t xml:space="preserve">:</w:t>
      </w:r>
      <w:r>
        <w:t xml:space="preserve"> </w:t>
      </w:r>
      <w:r>
        <w:rPr>
          <w:iCs/>
          <w:i/>
        </w:rPr>
        <w:t xml:space="preserve">“</w:t>
      </w:r>
      <w:r>
        <w:rPr>
          <w:iCs/>
          <w:i/>
        </w:rPr>
        <w:t xml:space="preserve">What may be offensive to one may not be offensive to another… Even the expression</w:t>
      </w:r>
      <w:r>
        <w:rPr>
          <w:iCs/>
          <w:i/>
        </w:rPr>
        <w:t xml:space="preserve"> </w:t>
      </w:r>
      <w:r>
        <w:rPr>
          <w:iCs/>
          <w:i/>
        </w:rPr>
        <w:t xml:space="preserve">‘</w:t>
      </w:r>
      <w:r>
        <w:rPr>
          <w:iCs/>
          <w:i/>
        </w:rPr>
        <w:t xml:space="preserve">persistently</w:t>
      </w:r>
      <w:r>
        <w:rPr>
          <w:iCs/>
          <w:i/>
        </w:rPr>
        <w:t xml:space="preserve">’</w:t>
      </w:r>
      <w:r>
        <w:rPr>
          <w:iCs/>
          <w:i/>
        </w:rPr>
        <w:t xml:space="preserve"> </w:t>
      </w:r>
      <w:r>
        <w:rPr>
          <w:iCs/>
          <w:i/>
        </w:rPr>
        <w:t xml:space="preserve">is completely imprecise — suppose a message is sent thrice, can it be said that it was sent</w:t>
      </w:r>
      <w:r>
        <w:rPr>
          <w:iCs/>
          <w:i/>
        </w:rPr>
        <w:t xml:space="preserve"> </w:t>
      </w:r>
      <w:r>
        <w:rPr>
          <w:iCs/>
          <w:i/>
        </w:rPr>
        <w:t xml:space="preserve">‘</w:t>
      </w:r>
      <w:r>
        <w:rPr>
          <w:iCs/>
          <w:i/>
        </w:rPr>
        <w:t xml:space="preserve">persistently</w:t>
      </w:r>
      <w:r>
        <w:rPr>
          <w:iCs/>
          <w:i/>
        </w:rPr>
        <w:t xml:space="preserve">’</w:t>
      </w:r>
      <w:r>
        <w:rPr>
          <w:iCs/>
          <w:i/>
        </w:rPr>
        <w:t xml:space="preserve">? Does a message have to be sent (say) at least eight times, before it can be said that such message is</w:t>
      </w:r>
      <w:r>
        <w:rPr>
          <w:iCs/>
          <w:i/>
        </w:rPr>
        <w:t xml:space="preserve"> </w:t>
      </w:r>
      <w:r>
        <w:rPr>
          <w:iCs/>
          <w:i/>
        </w:rPr>
        <w:t xml:space="preserve">‘</w:t>
      </w:r>
      <w:r>
        <w:rPr>
          <w:iCs/>
          <w:i/>
        </w:rPr>
        <w:t xml:space="preserve">persistently</w:t>
      </w:r>
      <w:r>
        <w:rPr>
          <w:iCs/>
          <w:i/>
        </w:rPr>
        <w:t xml:space="preserve">’</w:t>
      </w:r>
      <w:r>
        <w:rPr>
          <w:iCs/>
          <w:i/>
        </w:rPr>
        <w:t xml:space="preserve"> </w:t>
      </w:r>
      <w:r>
        <w:rPr>
          <w:iCs/>
          <w:i/>
        </w:rPr>
        <w:t xml:space="preserve">sent? There is no demarcating line conveyed by any of these expressions — and that is what renders the Section unconstitutionally vague.</w:t>
      </w:r>
      <w:r>
        <w:rPr>
          <w:iCs/>
          <w:i/>
        </w:rPr>
        <w:t xml:space="preserve">”</w:t>
      </w:r>
      <w:r>
        <w:t xml:space="preserve"> </w:t>
      </w:r>
      <w:r>
        <w:t xml:space="preserve">Fourth, vagueness produced a</w:t>
      </w:r>
      <w:r>
        <w:t xml:space="preserve"> </w:t>
      </w:r>
      <w:r>
        <w:rPr>
          <w:bCs/>
          <w:b/>
        </w:rPr>
        <w:t xml:space="preserve">chilling effect</w:t>
      </w:r>
      <w:r>
        <w:t xml:space="preserve"> </w:t>
      </w:r>
      <w:r>
        <w:t xml:space="preserve">and, on the facts of the case itself, actual misuse. The first two grounds concern scope, the third concerns certainty and the fourth is the consequence — the same four-step chain can be deployed against the SGI Rules in Module 5.</w:t>
      </w:r>
    </w:p>
    <w:p>
      <w:pPr>
        <w:pStyle w:val="BodyText"/>
      </w:pPr>
      <w:r>
        <w:t xml:space="preserve">The judgment did three other things. It</w:t>
      </w:r>
      <w:r>
        <w:t xml:space="preserve"> </w:t>
      </w:r>
      <w:r>
        <w:rPr>
          <w:bCs/>
          <w:b/>
        </w:rPr>
        <w:t xml:space="preserve">upheld s.69A and the Blocking Rules 2009</w:t>
      </w:r>
      <w:r>
        <w:t xml:space="preserve"> </w:t>
      </w:r>
      <w:r>
        <w:t xml:space="preserve">as containing adequate procedural safeguards. It</w:t>
      </w:r>
      <w:r>
        <w:t xml:space="preserve"> </w:t>
      </w:r>
      <w:r>
        <w:rPr>
          <w:bCs/>
          <w:b/>
        </w:rPr>
        <w:t xml:space="preserve">read down s.79(3)(b)</w:t>
      </w:r>
      <w:r>
        <w:t xml:space="preserve">, and with it Rule 3(4) of the 2011 Rules, as already described. The unifying idea across all four holdings is that the State — a court or an authorised agency — decides what comes down, not a private complainant and not the platform.</w:t>
      </w:r>
    </w:p>
    <w:bookmarkEnd w:id="45"/>
    <w:bookmarkStart w:id="46" w:name="the-vacuum-debate"/>
    <w:p>
      <w:pPr>
        <w:pStyle w:val="Heading2"/>
      </w:pPr>
      <w:r>
        <w:t xml:space="preserve">The vacuum debate</w:t>
      </w:r>
    </w:p>
    <w:p>
      <w:pPr>
        <w:pStyle w:val="FirstParagraph"/>
      </w:pPr>
      <w:r>
        <w:t xml:space="preserve">The criticism of</w:t>
      </w:r>
      <w:r>
        <w:t xml:space="preserve"> </w:t>
      </w:r>
      <w:r>
        <w:rPr>
          <w:iCs/>
          <w:i/>
        </w:rPr>
        <w:t xml:space="preserve">Shreya Singhal</w:t>
      </w:r>
      <w:r>
        <w:t xml:space="preserve"> </w:t>
      </w:r>
      <w:r>
        <w:t xml:space="preserve">is that the Court struck down the entire provision rather than severing the unconstitutional parts, throwing the baby out with the bathwater: the legitimate need to address serious digital harms went with the unconstitutional vagueness. In India</w:t>
      </w:r>
      <w:r>
        <w:t xml:space="preserve"> </w:t>
      </w:r>
      <w:r>
        <w:rPr>
          <w:bCs/>
          <w:b/>
        </w:rPr>
        <w:t xml:space="preserve">cyber bullying and trolling, online gender harassment, smishing and vishing</w:t>
      </w:r>
      <w:r>
        <w:t xml:space="preserve"> </w:t>
      </w:r>
      <w:r>
        <w:t xml:space="preserve">have become rampant and no provision reaches them. An expert committee constituted by the Centre recommended amending the Indian Penal Code, the Code of Criminal Procedure and the IT Act to introduce stringent provisions specifying punishment for hate speech and the use of cyberspace to spread hatred and incitement. Press reporting recorded that a replacement had already been drafted and was being vetted by the Home Ministry, that security agencies claimed an inability to control incitement of terror and law-and-order problems on social media, that the new provision would be made</w:t>
      </w:r>
      <w:r>
        <w:t xml:space="preserve"> </w:t>
      </w:r>
      <w:r>
        <w:rPr>
          <w:iCs/>
          <w:i/>
        </w:rPr>
        <w:t xml:space="preserve">“</w:t>
      </w:r>
      <w:r>
        <w:rPr>
          <w:iCs/>
          <w:i/>
        </w:rPr>
        <w:t xml:space="preserve">very specific to terror and serious law &amp; order issues</w:t>
      </w:r>
      <w:r>
        <w:rPr>
          <w:iCs/>
          <w:i/>
        </w:rPr>
        <w:t xml:space="preserve">”</w:t>
      </w:r>
      <w:r>
        <w:t xml:space="preserve"> </w:t>
      </w:r>
      <w:r>
        <w:t xml:space="preserve">and</w:t>
      </w:r>
      <w:r>
        <w:t xml:space="preserve"> </w:t>
      </w:r>
      <w:r>
        <w:rPr>
          <w:iCs/>
          <w:i/>
        </w:rPr>
        <w:t xml:space="preserve">“</w:t>
      </w:r>
      <w:r>
        <w:rPr>
          <w:iCs/>
          <w:i/>
        </w:rPr>
        <w:t xml:space="preserve">will not arm govt with sweeping powers,</w:t>
      </w:r>
      <w:r>
        <w:rPr>
          <w:iCs/>
          <w:i/>
        </w:rPr>
        <w:t xml:space="preserve">”</w:t>
      </w:r>
      <w:r>
        <w:t xml:space="preserve"> </w:t>
      </w:r>
      <w:r>
        <w:t xml:space="preserve">that industry, academia and civil society were expected to oppose it on the footing that existing provisions suffice, and that the</w:t>
      </w:r>
      <w:r>
        <w:t xml:space="preserve"> </w:t>
      </w:r>
      <w:r>
        <w:rPr>
          <w:bCs/>
          <w:b/>
        </w:rPr>
        <w:t xml:space="preserve">Parliamentary Standing Committee on Home</w:t>
      </w:r>
      <w:r>
        <w:t xml:space="preserve"> </w:t>
      </w:r>
      <w:r>
        <w:t xml:space="preserve">had reported that removal of s.66A had</w:t>
      </w:r>
      <w:r>
        <w:t xml:space="preserve"> </w:t>
      </w:r>
      <w:r>
        <w:rPr>
          <w:bCs/>
          <w:b/>
        </w:rPr>
        <w:t xml:space="preserve">left a void</w:t>
      </w:r>
      <w:r>
        <w:t xml:space="preserve">. Consultations nevertheless failed, no common position emerged, and no replacement was enacted.</w:t>
      </w:r>
    </w:p>
    <w:p>
      <w:pPr>
        <w:pStyle w:val="BodyText"/>
      </w:pPr>
      <w:r>
        <w:t xml:space="preserve">Whether a vacuum exists at all was answered in 2026.</w:t>
      </w:r>
      <w:r>
        <w:t xml:space="preserve"> </w:t>
      </w:r>
      <w:r>
        <w:rPr>
          <w:iCs/>
          <w:i/>
          <w:bCs/>
          <w:b/>
        </w:rPr>
        <w:t xml:space="preserve">Ashwini Kumar Upadhyay v. Union of India</w:t>
      </w:r>
      <w:r>
        <w:t xml:space="preserve">, Writ Petition (C) No. 943 of 2021, decided by</w:t>
      </w:r>
      <w:r>
        <w:t xml:space="preserve"> </w:t>
      </w:r>
      <w:r>
        <w:rPr>
          <w:bCs/>
          <w:b/>
        </w:rPr>
        <w:t xml:space="preserve">Vikram Nath and Sandeep Mehta JJ.</w:t>
      </w:r>
      <w:r>
        <w:t xml:space="preserve">, clubbed petitions filed between 2020 and 2025 by the Peace Party of India, Firoz Iqbal Khan (challenging the</w:t>
      </w:r>
      <w:r>
        <w:t xml:space="preserve"> </w:t>
      </w:r>
      <w:r>
        <w:rPr>
          <w:iCs/>
          <w:i/>
        </w:rPr>
        <w:t xml:space="preserve">“</w:t>
      </w:r>
      <w:r>
        <w:rPr>
          <w:iCs/>
          <w:i/>
        </w:rPr>
        <w:t xml:space="preserve">Bindas Bol</w:t>
      </w:r>
      <w:r>
        <w:rPr>
          <w:iCs/>
          <w:i/>
        </w:rPr>
        <w:t xml:space="preserve">”</w:t>
      </w:r>
      <w:r>
        <w:t xml:space="preserve"> </w:t>
      </w:r>
      <w:r>
        <w:t xml:space="preserve">programme of Sudarshan News), Ashwini Kumar Upadhyay, Jamiat Ulama-i-Hind, Qurban Ali, Shaheen Abdulla and Cholayil Sashidharan — significantly, from both directions, some alleging hate speech against Muslims and one against Hindus. The core question was whether the Supreme Court may create new criminal offences through judicial directions where Parliament has not.</w:t>
      </w:r>
    </w:p>
    <w:p>
      <w:pPr>
        <w:pStyle w:val="BodyText"/>
      </w:pPr>
      <w:r>
        <w:t xml:space="preserve">On the first issue the Court invoked Montesquieu and the separation of powers, observing that</w:t>
      </w:r>
      <w:r>
        <w:t xml:space="preserve"> </w:t>
      </w:r>
      <w:r>
        <w:rPr>
          <w:iCs/>
          <w:i/>
        </w:rPr>
        <w:t xml:space="preserve">“</w:t>
      </w:r>
      <w:r>
        <w:rPr>
          <w:iCs/>
          <w:i/>
        </w:rPr>
        <w:t xml:space="preserve">while exercise of powers by the legislature and executive is subject to judicial restraint, the only check on our own exercise of power is the self-imposed discipline of judicial restraint,</w:t>
      </w:r>
      <w:r>
        <w:rPr>
          <w:iCs/>
          <w:i/>
        </w:rPr>
        <w:t xml:space="preserve">”</w:t>
      </w:r>
      <w:r>
        <w:t xml:space="preserve"> </w:t>
      </w:r>
      <w:r>
        <w:t xml:space="preserve">and held plainly that</w:t>
      </w:r>
      <w:r>
        <w:t xml:space="preserve"> </w:t>
      </w:r>
      <w:r>
        <w:rPr>
          <w:iCs/>
          <w:i/>
        </w:rPr>
        <w:t xml:space="preserve">“</w:t>
      </w:r>
      <w:r>
        <w:rPr>
          <w:iCs/>
          <w:i/>
        </w:rPr>
        <w:t xml:space="preserve">the courts neither create offences nor do they introduce or legislate punishments. It is the duty of the legislature.</w:t>
      </w:r>
      <w:r>
        <w:rPr>
          <w:iCs/>
          <w:i/>
        </w:rPr>
        <w:t xml:space="preserve">”</w:t>
      </w:r>
      <w:r>
        <w:t xml:space="preserve"> </w:t>
      </w:r>
      <w:r>
        <w:rPr>
          <w:iCs/>
          <w:i/>
          <w:bCs/>
          <w:b/>
        </w:rPr>
        <w:t xml:space="preserve">Vishaka v. State of Rajasthan</w:t>
      </w:r>
      <w:r>
        <w:t xml:space="preserve"> </w:t>
      </w:r>
      <w:r>
        <w:t xml:space="preserve">was distinguished on the footing that there the Court had relied on an international convention, CEDAW, in a situation of genuine legislative vacuum, whereas here</w:t>
      </w:r>
      <w:r>
        <w:t xml:space="preserve"> </w:t>
      </w:r>
      <w:r>
        <w:rPr>
          <w:iCs/>
          <w:i/>
        </w:rPr>
        <w:t xml:space="preserve">“</w:t>
      </w:r>
      <w:r>
        <w:rPr>
          <w:iCs/>
          <w:i/>
        </w:rPr>
        <w:t xml:space="preserve">the legislature has enacted the law and provided the punishment… There is no constitutional silence or abeyance.</w:t>
      </w:r>
      <w:r>
        <w:rPr>
          <w:iCs/>
          <w:i/>
        </w:rPr>
        <w:t xml:space="preserve">”</w:t>
      </w:r>
      <w:r>
        <w:t xml:space="preserve"> </w:t>
      </w:r>
      <w:r>
        <w:t xml:space="preserve">The Court added that it</w:t>
      </w:r>
      <w:r>
        <w:t xml:space="preserve"> </w:t>
      </w:r>
      <w:r>
        <w:rPr>
          <w:iCs/>
          <w:i/>
        </w:rPr>
        <w:t xml:space="preserve">“</w:t>
      </w:r>
      <w:r>
        <w:rPr>
          <w:iCs/>
          <w:i/>
        </w:rPr>
        <w:t xml:space="preserve">cannot provide a higher punishment. It can only suggest to the legislature,</w:t>
      </w:r>
      <w:r>
        <w:rPr>
          <w:iCs/>
          <w:i/>
        </w:rPr>
        <w:t xml:space="preserve">”</w:t>
      </w:r>
      <w:r>
        <w:t xml:space="preserve"> </w:t>
      </w:r>
      <w:r>
        <w:t xml:space="preserve">and that no mandamus lies directing the legislature to enact a law within a stipulated timeframe.</w:t>
      </w:r>
    </w:p>
    <w:p>
      <w:pPr>
        <w:pStyle w:val="BodyText"/>
      </w:pPr>
      <w:r>
        <w:t xml:space="preserve">On the second issue the Court held the vacuum claim</w:t>
      </w:r>
      <w:r>
        <w:t xml:space="preserve"> </w:t>
      </w:r>
      <w:r>
        <w:rPr>
          <w:bCs/>
          <w:b/>
        </w:rPr>
        <w:t xml:space="preserve">“</w:t>
      </w:r>
      <w:r>
        <w:rPr>
          <w:bCs/>
          <w:b/>
        </w:rPr>
        <w:t xml:space="preserve">misconceived</w:t>
      </w:r>
      <w:r>
        <w:rPr>
          <w:bCs/>
          <w:b/>
        </w:rPr>
        <w:t xml:space="preserve">”</w:t>
      </w:r>
      <w:r>
        <w:t xml:space="preserve">, stating that</w:t>
      </w:r>
      <w:r>
        <w:t xml:space="preserve"> </w:t>
      </w:r>
      <w:r>
        <w:rPr>
          <w:iCs/>
          <w:i/>
        </w:rPr>
        <w:t xml:space="preserve">“</w:t>
      </w:r>
      <w:r>
        <w:rPr>
          <w:iCs/>
          <w:i/>
        </w:rPr>
        <w:t xml:space="preserve">the mere occurrence of incidents of hate speech cannot lead to the conclusion that the law is silent on the subject. More often than not, the difficulty lies in the effective enforcement and application of the existing statutory framework.</w:t>
      </w:r>
      <w:r>
        <w:rPr>
          <w:iCs/>
          <w:i/>
        </w:rPr>
        <w:t xml:space="preserve">”</w:t>
      </w:r>
      <w:r>
        <w:t xml:space="preserve"> </w:t>
      </w:r>
      <w:r>
        <w:t xml:space="preserve">It surveyed the framework identified in the</w:t>
      </w:r>
      <w:r>
        <w:t xml:space="preserve"> </w:t>
      </w:r>
      <w:r>
        <w:rPr>
          <w:bCs/>
          <w:b/>
        </w:rPr>
        <w:t xml:space="preserve">Law Commission’s 267th Report on Hate Speech (2017)</w:t>
      </w:r>
      <w:r>
        <w:t xml:space="preserve"> </w:t>
      </w:r>
      <w:r>
        <w:t xml:space="preserve">by Dr. Justice B.S. Chauhan, covering the IPC, the Representation of the People Act, the Protection of Civil Rights Act, the Religious Institutions (Prevention of Misuse) Act, the Cable Television Network Regulation Act, the Cinematograph Act and the Criminal Procedure Code, and specifically</w:t>
      </w:r>
      <w:r>
        <w:t xml:space="preserve"> </w:t>
      </w:r>
      <w:r>
        <w:rPr>
          <w:bCs/>
          <w:b/>
        </w:rPr>
        <w:t xml:space="preserve">ss.153A, 153B, 295A, 298 and 505</w:t>
      </w:r>
      <w:r>
        <w:t xml:space="preserve"> </w:t>
      </w:r>
      <w:r>
        <w:t xml:space="preserve">of the Penal Code, concluding that the field was not unoccupied and that a conscious legislative effort to regulate speech threatening communal harmony was already in place. Once no vacuum exists, it held,</w:t>
      </w:r>
      <w:r>
        <w:t xml:space="preserve"> </w:t>
      </w:r>
      <w:r>
        <w:rPr>
          <w:bCs/>
          <w:b/>
        </w:rPr>
        <w:t xml:space="preserve">judicial restraint assumes considerable significance</w:t>
      </w:r>
      <w:r>
        <w:t xml:space="preserve">.</w:t>
      </w:r>
    </w:p>
    <w:p>
      <w:pPr>
        <w:pStyle w:val="BodyText"/>
      </w:pPr>
      <w:r>
        <w:t xml:space="preserve">On the third issue the Court relied on</w:t>
      </w:r>
      <w:r>
        <w:t xml:space="preserve"> </w:t>
      </w:r>
      <w:r>
        <w:rPr>
          <w:iCs/>
          <w:i/>
          <w:bCs/>
          <w:b/>
        </w:rPr>
        <w:t xml:space="preserve">Lalita Kumari v. Government of Uttar Pradesh</w:t>
      </w:r>
      <w:r>
        <w:t xml:space="preserve">, which conclusively held that the statutory scheme leaves the police no discretion and</w:t>
      </w:r>
      <w:r>
        <w:t xml:space="preserve"> </w:t>
      </w:r>
      <w:r>
        <w:rPr>
          <w:bCs/>
          <w:b/>
        </w:rPr>
        <w:t xml:space="preserve">mandates registration of an FIR</w:t>
      </w:r>
      <w:r>
        <w:t xml:space="preserve">, and on</w:t>
      </w:r>
      <w:r>
        <w:t xml:space="preserve"> </w:t>
      </w:r>
      <w:r>
        <w:rPr>
          <w:bCs/>
          <w:b/>
        </w:rPr>
        <w:t xml:space="preserve">s.156(3) CrPC</w:t>
      </w:r>
      <w:r>
        <w:t xml:space="preserve">, under which a Magistrate may direct and monitor an investigation that has not been conducted properly. Its function, it said, is</w:t>
      </w:r>
      <w:r>
        <w:t xml:space="preserve"> </w:t>
      </w:r>
      <w:r>
        <w:rPr>
          <w:iCs/>
          <w:i/>
        </w:rPr>
        <w:t xml:space="preserve">“</w:t>
      </w:r>
      <w:r>
        <w:rPr>
          <w:iCs/>
          <w:i/>
        </w:rPr>
        <w:t xml:space="preserve">not to create new offences or construct parallel regulatory regimes, but to ensure faithful implementation of the remedies already envisaged under law.</w:t>
      </w:r>
      <w:r>
        <w:rPr>
          <w:iCs/>
          <w:i/>
        </w:rPr>
        <w:t xml:space="preserve">”</w:t>
      </w:r>
      <w:r>
        <w:t xml:space="preserve"> </w:t>
      </w:r>
      <w:r>
        <w:t xml:space="preserve">On the fourth issue it declined a</w:t>
      </w:r>
      <w:r>
        <w:t xml:space="preserve"> </w:t>
      </w:r>
      <w:r>
        <w:rPr>
          <w:bCs/>
          <w:b/>
        </w:rPr>
        <w:t xml:space="preserve">continuing mandamus</w:t>
      </w:r>
      <w:r>
        <w:t xml:space="preserve">, citing</w:t>
      </w:r>
      <w:r>
        <w:t xml:space="preserve"> </w:t>
      </w:r>
      <w:r>
        <w:rPr>
          <w:iCs/>
          <w:i/>
          <w:bCs/>
          <w:b/>
        </w:rPr>
        <w:t xml:space="preserve">Union of India v. S.B. Vohra</w:t>
      </w:r>
      <w:r>
        <w:t xml:space="preserve"> </w:t>
      </w:r>
      <w:r>
        <w:t xml:space="preserve">for the proposition that mandamus lies where a legal right and a corresponding unperformed public duty exist and no equally efficacious remedy is available, holding that intervention is warranted only on a demonstrated failure, and that continuous national monitoring would amount to</w:t>
      </w:r>
      <w:r>
        <w:t xml:space="preserve"> </w:t>
      </w:r>
      <w:r>
        <w:rPr>
          <w:bCs/>
          <w:b/>
        </w:rPr>
        <w:t xml:space="preserve">“</w:t>
      </w:r>
      <w:r>
        <w:rPr>
          <w:bCs/>
          <w:b/>
        </w:rPr>
        <w:t xml:space="preserve">micro-management</w:t>
      </w:r>
      <w:r>
        <w:rPr>
          <w:bCs/>
          <w:b/>
        </w:rPr>
        <w:t xml:space="preserve">”</w:t>
      </w:r>
      <w:r>
        <w:t xml:space="preserve"> </w:t>
      </w:r>
      <w:r>
        <w:t xml:space="preserve">of executive functions, impractical and constitutionally inappropriate, as</w:t>
      </w:r>
      <w:r>
        <w:t xml:space="preserve"> </w:t>
      </w:r>
      <w:r>
        <w:rPr>
          <w:iCs/>
          <w:i/>
          <w:bCs/>
          <w:b/>
        </w:rPr>
        <w:t xml:space="preserve">National Federation of Indian Women</w:t>
      </w:r>
      <w:r>
        <w:t xml:space="preserve"> </w:t>
      </w:r>
      <w:r>
        <w:t xml:space="preserve">confirmed.</w:t>
      </w:r>
    </w:p>
    <w:p>
      <w:pPr>
        <w:pStyle w:val="BodyText"/>
      </w:pPr>
      <w:r>
        <w:t xml:space="preserve">The Court nevertheless condemned the conduct in the strongest terms:</w:t>
      </w:r>
      <w:r>
        <w:t xml:space="preserve"> </w:t>
      </w:r>
      <w:r>
        <w:rPr>
          <w:iCs/>
          <w:i/>
        </w:rPr>
        <w:t xml:space="preserve">“</w:t>
      </w:r>
      <w:r>
        <w:rPr>
          <w:iCs/>
          <w:i/>
        </w:rPr>
        <w:t xml:space="preserve">Hate speech is thus not merely a deviation from acceptable discourse; it is fundamentally antithetical to the constitutional value of fraternity and strikes at the moral fabric of our Republic… The land historically known as Bharata has, across centuries, been a refuge for diverse communities fleeing persecution, offering not merely shelter but acceptance and assimilation.</w:t>
      </w:r>
      <w:r>
        <w:rPr>
          <w:iCs/>
          <w:i/>
        </w:rPr>
        <w:t xml:space="preserve">”</w:t>
      </w:r>
      <w:r>
        <w:t xml:space="preserve"> </w:t>
      </w:r>
      <w:r>
        <w:t xml:space="preserve">The ruling is accordingly one of</w:t>
      </w:r>
      <w:r>
        <w:t xml:space="preserve"> </w:t>
      </w:r>
      <w:r>
        <w:rPr>
          <w:bCs/>
          <w:b/>
        </w:rPr>
        <w:t xml:space="preserve">institutional restraint rather than expansion of rights</w:t>
      </w:r>
      <w:r>
        <w:t xml:space="preserve">: it neither widened nor narrowed the substantive right, and declined to legislate where Parliament had acted but enforcement had been inconsistent.</w:t>
      </w:r>
    </w:p>
    <w:bookmarkEnd w:id="46"/>
    <w:bookmarkStart w:id="47" w:name="recent-controversies"/>
    <w:p>
      <w:pPr>
        <w:pStyle w:val="Heading2"/>
      </w:pPr>
      <w:r>
        <w:t xml:space="preserve">Recent controversies</w:t>
      </w:r>
    </w:p>
    <w:p>
      <w:pPr>
        <w:pStyle w:val="FirstParagraph"/>
      </w:pPr>
      <w:r>
        <w:t xml:space="preserve">Four episodes illustrate the current pressure on online speech.</w:t>
      </w:r>
      <w:r>
        <w:t xml:space="preserve"> </w:t>
      </w:r>
      <w:r>
        <w:rPr>
          <w:bCs/>
          <w:b/>
        </w:rPr>
        <w:t xml:space="preserve">Justice Shekhar Kumar Yadav</w:t>
      </w:r>
      <w:r>
        <w:t xml:space="preserve">, a sitting judge of the Allahabad High Court, addressed a Vishwa Hindu Parishad gathering and, while ostensibly speaking on the Uniform Civil Code, appeared to endorse majoritarian rule using phrases such as</w:t>
      </w:r>
      <w:r>
        <w:t xml:space="preserve"> </w:t>
      </w:r>
      <w:r>
        <w:rPr>
          <w:iCs/>
          <w:i/>
        </w:rPr>
        <w:t xml:space="preserve">‘</w:t>
      </w:r>
      <w:r>
        <w:rPr>
          <w:iCs/>
          <w:i/>
        </w:rPr>
        <w:t xml:space="preserve">humaari Gita, aapki Quran</w:t>
      </w:r>
      <w:r>
        <w:rPr>
          <w:iCs/>
          <w:i/>
        </w:rPr>
        <w:t xml:space="preserve">’</w:t>
      </w:r>
      <w:r>
        <w:t xml:space="preserve"> </w:t>
      </w:r>
      <w:r>
        <w:t xml:space="preserve">together with a derogatory word; he appeared before the</w:t>
      </w:r>
      <w:r>
        <w:t xml:space="preserve"> </w:t>
      </w:r>
      <w:r>
        <w:rPr>
          <w:bCs/>
          <w:b/>
        </w:rPr>
        <w:t xml:space="preserve">Supreme Court Collegium on 17 December 2024</w:t>
      </w:r>
      <w:r>
        <w:t xml:space="preserve">, which described the remarks as</w:t>
      </w:r>
      <w:r>
        <w:t xml:space="preserve"> </w:t>
      </w:r>
      <w:r>
        <w:rPr>
          <w:iCs/>
          <w:i/>
        </w:rPr>
        <w:t xml:space="preserve">“</w:t>
      </w:r>
      <w:r>
        <w:rPr>
          <w:iCs/>
          <w:i/>
        </w:rPr>
        <w:t xml:space="preserve">avoidable,</w:t>
      </w:r>
      <w:r>
        <w:rPr>
          <w:iCs/>
          <w:i/>
        </w:rPr>
        <w:t xml:space="preserve">”</w:t>
      </w:r>
      <w:r>
        <w:t xml:space="preserve"> </w:t>
      </w:r>
      <w:r>
        <w:t xml:space="preserve">and on</w:t>
      </w:r>
      <w:r>
        <w:t xml:space="preserve"> </w:t>
      </w:r>
      <w:r>
        <w:rPr>
          <w:bCs/>
          <w:b/>
        </w:rPr>
        <w:t xml:space="preserve">1 February 2025</w:t>
      </w:r>
      <w:r>
        <w:t xml:space="preserve">, a day after his retirement, an in-house inquiry initiated by CJI Sanjiv Khanna was confirmed — probably the first recorded instance of a judge in India facing a disciplinary trial for hate speech.</w:t>
      </w:r>
    </w:p>
    <w:p>
      <w:pPr>
        <w:pStyle w:val="BodyText"/>
      </w:pPr>
      <w:r>
        <w:t xml:space="preserve">In the</w:t>
      </w:r>
      <w:r>
        <w:t xml:space="preserve"> </w:t>
      </w:r>
      <w:r>
        <w:rPr>
          <w:bCs/>
          <w:b/>
        </w:rPr>
        <w:t xml:space="preserve">Wajahat Khan and Sharmishta Panoli</w:t>
      </w:r>
      <w:r>
        <w:t xml:space="preserve"> </w:t>
      </w:r>
      <w:r>
        <w:t xml:space="preserve">matter, Nagarathna J. made three observations worth reproducing. On digital persistence:</w:t>
      </w:r>
      <w:r>
        <w:t xml:space="preserve"> </w:t>
      </w:r>
      <w:r>
        <w:rPr>
          <w:iCs/>
          <w:i/>
        </w:rPr>
        <w:t xml:space="preserve">“</w:t>
      </w:r>
      <w:r>
        <w:rPr>
          <w:iCs/>
          <w:i/>
        </w:rPr>
        <w:t xml:space="preserve">There is no question of taking it down, because once it is posted, it is out there. Freedom of speech and expression is a very, very important freedom and a fundamental right. But if there is abuse of that freedom, it leads to litigation and clogs courts.</w:t>
      </w:r>
      <w:r>
        <w:rPr>
          <w:iCs/>
          <w:i/>
        </w:rPr>
        <w:t xml:space="preserve">”</w:t>
      </w:r>
      <w:r>
        <w:t xml:space="preserve"> </w:t>
      </w:r>
      <w:r>
        <w:t xml:space="preserve">On restraint:</w:t>
      </w:r>
      <w:r>
        <w:t xml:space="preserve"> </w:t>
      </w:r>
      <w:r>
        <w:rPr>
          <w:iCs/>
          <w:i/>
        </w:rPr>
        <w:t xml:space="preserve">“</w:t>
      </w:r>
      <w:r>
        <w:rPr>
          <w:iCs/>
          <w:i/>
        </w:rPr>
        <w:t xml:space="preserve">Instead of the State having to regulate, why can’t the citizens have restraints themselves? Citizens must know the value of freedom of speech and expression. If they don’t, then the State will step in – and who wants the State to step in? Nobody wants the State to step in.</w:t>
      </w:r>
      <w:r>
        <w:rPr>
          <w:iCs/>
          <w:i/>
        </w:rPr>
        <w:t xml:space="preserve">”</w:t>
      </w:r>
      <w:r>
        <w:t xml:space="preserve"> </w:t>
      </w:r>
      <w:r>
        <w:t xml:space="preserve">And on manner as distinct from opinion:</w:t>
      </w:r>
      <w:r>
        <w:t xml:space="preserve"> </w:t>
      </w:r>
      <w:r>
        <w:rPr>
          <w:iCs/>
          <w:i/>
        </w:rPr>
        <w:t xml:space="preserve">“</w:t>
      </w:r>
      <w:r>
        <w:rPr>
          <w:iCs/>
          <w:i/>
        </w:rPr>
        <w:t xml:space="preserve">Having an opinion is one thing, but to say that in a particular way is an abuse… there should be fraternity between the citizens – then all this hate will come down.</w:t>
      </w:r>
      <w:r>
        <w:rPr>
          <w:iCs/>
          <w:i/>
        </w:rPr>
        <w:t xml:space="preserve">”</w:t>
      </w:r>
    </w:p>
    <w:p>
      <w:pPr>
        <w:pStyle w:val="BodyText"/>
      </w:pPr>
      <w:r>
        <w:t xml:space="preserve">The prosecution of</w:t>
      </w:r>
      <w:r>
        <w:t xml:space="preserve"> </w:t>
      </w:r>
      <w:r>
        <w:rPr>
          <w:bCs/>
          <w:b/>
        </w:rPr>
        <w:t xml:space="preserve">Imran Pratapgarhi</w:t>
      </w:r>
      <w:r>
        <w:t xml:space="preserve"> </w:t>
      </w:r>
      <w:r>
        <w:t xml:space="preserve">over a poem that</w:t>
      </w:r>
      <w:r>
        <w:t xml:space="preserve"> </w:t>
      </w:r>
      <w:r>
        <w:rPr>
          <w:iCs/>
          <w:i/>
        </w:rPr>
        <w:t xml:space="preserve">“</w:t>
      </w:r>
      <w:r>
        <w:rPr>
          <w:iCs/>
          <w:i/>
        </w:rPr>
        <w:t xml:space="preserve">plainly translates to the suffering of injustice with love</w:t>
      </w:r>
      <w:r>
        <w:rPr>
          <w:iCs/>
          <w:i/>
        </w:rPr>
        <w:t xml:space="preserve">”</w:t>
      </w:r>
      <w:r>
        <w:t xml:space="preserve"> </w:t>
      </w:r>
      <w:r>
        <w:t xml:space="preserve">drew a sharp response from Oka J., who referred to a tendency to stifle art and poetry, observed that</w:t>
      </w:r>
      <w:r>
        <w:t xml:space="preserve"> </w:t>
      </w:r>
      <w:r>
        <w:rPr>
          <w:iCs/>
          <w:i/>
        </w:rPr>
        <w:t xml:space="preserve">“</w:t>
      </w:r>
      <w:r>
        <w:rPr>
          <w:iCs/>
          <w:i/>
        </w:rPr>
        <w:t xml:space="preserve">nobody has any respect for creativity. If you read this poem plainly, it says that even if we suffer injustice, we will suffer it with love,</w:t>
      </w:r>
      <w:r>
        <w:rPr>
          <w:iCs/>
          <w:i/>
        </w:rPr>
        <w:t xml:space="preserve">”</w:t>
      </w:r>
      <w:r>
        <w:t xml:space="preserve"> </w:t>
      </w:r>
      <w:r>
        <w:t xml:space="preserve">treated registration of the FIR as a serious act, and held that</w:t>
      </w:r>
      <w:r>
        <w:t xml:space="preserve"> </w:t>
      </w:r>
      <w:r>
        <w:rPr>
          <w:iCs/>
          <w:i/>
        </w:rPr>
        <w:t xml:space="preserve">“</w:t>
      </w:r>
      <w:r>
        <w:rPr>
          <w:iCs/>
          <w:i/>
        </w:rPr>
        <w:t xml:space="preserve">some sensibility has to be shown by the police. They should at least have read the poem and understood… That is respect for free speech and expression.</w:t>
      </w:r>
      <w:r>
        <w:rPr>
          <w:iCs/>
          <w:i/>
        </w:rPr>
        <w:t xml:space="preserve">”</w:t>
      </w:r>
      <w:r>
        <w:t xml:space="preserve"> </w:t>
      </w:r>
      <w:r>
        <w:t xml:space="preserve">The case is the practical application of the discussion–advocacy–incitement distinction.</w:t>
      </w:r>
    </w:p>
    <w:p>
      <w:pPr>
        <w:pStyle w:val="BodyText"/>
      </w:pPr>
      <w:r>
        <w:t xml:space="preserve">In the</w:t>
      </w:r>
      <w:r>
        <w:t xml:space="preserve"> </w:t>
      </w:r>
      <w:r>
        <w:rPr>
          <w:bCs/>
          <w:b/>
        </w:rPr>
        <w:t xml:space="preserve">Mahmudabad</w:t>
      </w:r>
      <w:r>
        <w:t xml:space="preserve"> </w:t>
      </w:r>
      <w:r>
        <w:t xml:space="preserve">case, an Ashoka University professor was arrested over online posts concerning Operation Sindoor. The Supreme Court granted bail but attached conditions</w:t>
      </w:r>
      <w:r>
        <w:t xml:space="preserve"> </w:t>
      </w:r>
      <w:r>
        <w:rPr>
          <w:bCs/>
          <w:b/>
        </w:rPr>
        <w:t xml:space="preserve">gagging him</w:t>
      </w:r>
      <w:r>
        <w:t xml:space="preserve"> </w:t>
      </w:r>
      <w:r>
        <w:t xml:space="preserve">from making online posts, articles or oral speech relating to the military operation, and tasked a</w:t>
      </w:r>
      <w:r>
        <w:t xml:space="preserve"> </w:t>
      </w:r>
      <w:r>
        <w:rPr>
          <w:bCs/>
          <w:b/>
        </w:rPr>
        <w:t xml:space="preserve">Special Investigation Team with interpreting the</w:t>
      </w:r>
      <w:r>
        <w:rPr>
          <w:bCs/>
          <w:b/>
        </w:rPr>
        <w:t xml:space="preserve"> </w:t>
      </w:r>
      <w:r>
        <w:rPr>
          <w:bCs/>
          <w:b/>
        </w:rPr>
        <w:t xml:space="preserve">“</w:t>
      </w:r>
      <w:r>
        <w:rPr>
          <w:bCs/>
          <w:b/>
        </w:rPr>
        <w:t xml:space="preserve">hidden meaning</w:t>
      </w:r>
      <w:r>
        <w:rPr>
          <w:bCs/>
          <w:b/>
        </w:rPr>
        <w:t xml:space="preserve">”</w:t>
      </w:r>
      <w:r>
        <w:t xml:space="preserve"> </w:t>
      </w:r>
      <w:r>
        <w:t xml:space="preserve">behind his posts — an exercise in identifying</w:t>
      </w:r>
      <w:r>
        <w:t xml:space="preserve"> </w:t>
      </w:r>
      <w:r>
        <w:rPr>
          <w:bCs/>
          <w:b/>
        </w:rPr>
        <w:t xml:space="preserve">dog whistling</w:t>
      </w:r>
      <w:r>
        <w:t xml:space="preserve">, communication that appears ordinary to a general audience while carrying a coded message to a particular one. Pratap Bhanu Mehta wrote in the</w:t>
      </w:r>
      <w:r>
        <w:t xml:space="preserve"> </w:t>
      </w:r>
      <w:r>
        <w:rPr>
          <w:iCs/>
          <w:i/>
        </w:rPr>
        <w:t xml:space="preserve">Indian Express</w:t>
      </w:r>
      <w:r>
        <w:t xml:space="preserve"> </w:t>
      </w:r>
      <w:r>
        <w:t xml:space="preserve">that the order could</w:t>
      </w:r>
      <w:r>
        <w:t xml:space="preserve"> </w:t>
      </w:r>
      <w:r>
        <w:rPr>
          <w:iCs/>
          <w:i/>
        </w:rPr>
        <w:t xml:space="preserve">“</w:t>
      </w:r>
      <w:r>
        <w:rPr>
          <w:iCs/>
          <w:i/>
        </w:rPr>
        <w:t xml:space="preserve">send a chill down the spine of those who care for constitutional values</w:t>
      </w:r>
      <w:r>
        <w:rPr>
          <w:iCs/>
          <w:i/>
        </w:rPr>
        <w:t xml:space="preserve">”</w:t>
      </w:r>
      <w:r>
        <w:t xml:space="preserve"> </w:t>
      </w:r>
      <w:r>
        <w:t xml:space="preserve">and that the Court had embarked on a</w:t>
      </w:r>
      <w:r>
        <w:t xml:space="preserve"> </w:t>
      </w:r>
      <w:r>
        <w:rPr>
          <w:iCs/>
          <w:i/>
        </w:rPr>
        <w:t xml:space="preserve">“</w:t>
      </w:r>
      <w:r>
        <w:rPr>
          <w:iCs/>
          <w:i/>
        </w:rPr>
        <w:t xml:space="preserve">disturbing course-reversal</w:t>
      </w:r>
      <w:r>
        <w:rPr>
          <w:iCs/>
          <w:i/>
        </w:rPr>
        <w:t xml:space="preserve">”</w:t>
      </w:r>
      <w:r>
        <w:t xml:space="preserve"> </w:t>
      </w:r>
      <w:r>
        <w:t xml:space="preserve">from its tradition of expanding free speech; those are his assessments and not holdings of the Court.</w:t>
      </w:r>
    </w:p>
    <w:bookmarkEnd w:id="47"/>
    <w:bookmarkStart w:id="48" w:name="fake-news"/>
    <w:p>
      <w:pPr>
        <w:pStyle w:val="Heading2"/>
      </w:pPr>
      <w:r>
        <w:t xml:space="preserve">Fake news</w:t>
      </w:r>
    </w:p>
    <w:p>
      <w:pPr>
        <w:pStyle w:val="FirstParagraph"/>
      </w:pPr>
      <w:r>
        <w:t xml:space="preserve">Society has shifted from consuming news through broadcast television and newspapers to consuming it on social media. The internet, the</w:t>
      </w:r>
      <w:r>
        <w:t xml:space="preserve"> </w:t>
      </w:r>
      <w:r>
        <w:rPr>
          <w:iCs/>
          <w:i/>
        </w:rPr>
        <w:t xml:space="preserve">“</w:t>
      </w:r>
      <w:r>
        <w:rPr>
          <w:iCs/>
          <w:i/>
        </w:rPr>
        <w:t xml:space="preserve">network of the networks,</w:t>
      </w:r>
      <w:r>
        <w:rPr>
          <w:iCs/>
          <w:i/>
        </w:rPr>
        <w:t xml:space="preserve">”</w:t>
      </w:r>
      <w:r>
        <w:t xml:space="preserve"> </w:t>
      </w:r>
      <w:r>
        <w:t xml:space="preserve">lets users replicate and remix images, text and video, and makes it very difficult to determine where a particular image, video, idea or meme originated. The resulting malaise of disinformation threatens democratic processes, national security and the social fabric, and can undermine trust in the digital society itself. The threat assumed a pernicious character during the</w:t>
      </w:r>
      <w:r>
        <w:t xml:space="preserve"> </w:t>
      </w:r>
      <w:r>
        <w:rPr>
          <w:bCs/>
          <w:b/>
        </w:rPr>
        <w:t xml:space="preserve">2019 general elections</w:t>
      </w:r>
      <w:r>
        <w:t xml:space="preserve"> </w:t>
      </w:r>
      <w:r>
        <w:t xml:space="preserve">and the</w:t>
      </w:r>
      <w:r>
        <w:t xml:space="preserve"> </w:t>
      </w:r>
      <w:r>
        <w:rPr>
          <w:bCs/>
          <w:b/>
        </w:rPr>
        <w:t xml:space="preserve">Haryana and Maharashtra assembly elections</w:t>
      </w:r>
      <w:r>
        <w:t xml:space="preserve">, during COVID-19, and in several incidents of mob lynching.</w:t>
      </w:r>
    </w:p>
    <w:p>
      <w:pPr>
        <w:pStyle w:val="BodyText"/>
      </w:pPr>
      <w:r>
        <w:t xml:space="preserve">The vocabulary matters because</w:t>
      </w:r>
      <w:r>
        <w:t xml:space="preserve"> </w:t>
      </w:r>
      <w:r>
        <w:t xml:space="preserve">“</w:t>
      </w:r>
      <w:r>
        <w:t xml:space="preserve">fake news</w:t>
      </w:r>
      <w:r>
        <w:t xml:space="preserve">”</w:t>
      </w:r>
      <w:r>
        <w:t xml:space="preserve"> </w:t>
      </w:r>
      <w:r>
        <w:t xml:space="preserve">collapses distinct phenomena. Claire Wardle’s framework in</w:t>
      </w:r>
      <w:r>
        <w:t xml:space="preserve"> </w:t>
      </w:r>
      <w:r>
        <w:rPr>
          <w:iCs/>
          <w:i/>
        </w:rPr>
        <w:t xml:space="preserve">“</w:t>
      </w:r>
      <w:r>
        <w:rPr>
          <w:iCs/>
          <w:i/>
        </w:rPr>
        <w:t xml:space="preserve">Understanding Information Disorder</w:t>
      </w:r>
      <w:r>
        <w:rPr>
          <w:iCs/>
          <w:i/>
        </w:rPr>
        <w:t xml:space="preserve">”</w:t>
      </w:r>
      <w:r>
        <w:t xml:space="preserve"> </w:t>
      </w:r>
      <w:r>
        <w:t xml:space="preserve">(FirstDraft, 2019) separates them on two axes, falseness and intent to harm.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rPr>
                <w:bCs/>
                <w:b/>
              </w:rPr>
              <w:t xml:space="preserve">Misinformation</w:t>
            </w:r>
          </w:p>
        </w:tc>
        <w:tc>
          <w:tcPr/>
          <w:p>
            <w:pPr>
              <w:pStyle w:val="Compact"/>
              <w:jc w:val="left"/>
            </w:pPr>
            <w:r>
              <w:rPr>
                <w:bCs/>
                <w:b/>
              </w:rPr>
              <w:t xml:space="preserve">Disinformation</w:t>
            </w:r>
          </w:p>
        </w:tc>
        <w:tc>
          <w:tcPr/>
          <w:p>
            <w:pPr>
              <w:pStyle w:val="Compact"/>
              <w:jc w:val="left"/>
            </w:pPr>
            <w:r>
              <w:rPr>
                <w:bCs/>
                <w:b/>
              </w:rPr>
              <w:t xml:space="preserve">Malinformation</w:t>
            </w:r>
          </w:p>
        </w:tc>
      </w:tr>
      <w:tr>
        <w:tc>
          <w:tcPr/>
          <w:p>
            <w:pPr>
              <w:pStyle w:val="Compact"/>
              <w:jc w:val="left"/>
            </w:pPr>
            <w:r>
              <w:t xml:space="preserve">False?</w:t>
            </w:r>
          </w:p>
        </w:tc>
        <w:tc>
          <w:tcPr/>
          <w:p>
            <w:pPr>
              <w:pStyle w:val="Compact"/>
              <w:jc w:val="left"/>
            </w:pPr>
            <w:r>
              <w:t xml:space="preserve">Yes</w:t>
            </w:r>
          </w:p>
        </w:tc>
        <w:tc>
          <w:tcPr/>
          <w:p>
            <w:pPr>
              <w:pStyle w:val="Compact"/>
              <w:jc w:val="left"/>
            </w:pPr>
            <w:r>
              <w:t xml:space="preserve">Yes</w:t>
            </w:r>
          </w:p>
        </w:tc>
        <w:tc>
          <w:tcPr/>
          <w:p>
            <w:pPr>
              <w:pStyle w:val="Compact"/>
              <w:jc w:val="left"/>
            </w:pPr>
            <w:r>
              <w:rPr>
                <w:bCs/>
                <w:b/>
              </w:rPr>
              <w:t xml:space="preserve">No — it is true</w:t>
            </w:r>
          </w:p>
        </w:tc>
      </w:tr>
      <w:tr>
        <w:tc>
          <w:tcPr/>
          <w:p>
            <w:pPr>
              <w:pStyle w:val="Compact"/>
              <w:jc w:val="left"/>
            </w:pPr>
            <w:r>
              <w:t xml:space="preserve">Intent to harm?</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Typical instance</w:t>
            </w:r>
          </w:p>
        </w:tc>
        <w:tc>
          <w:tcPr/>
          <w:p>
            <w:pPr>
              <w:pStyle w:val="Compact"/>
              <w:jc w:val="left"/>
            </w:pPr>
            <w:r>
              <w:t xml:space="preserve">Inaccurate captions, dates, statistics, translations; satire taken seriously</w:t>
            </w:r>
          </w:p>
        </w:tc>
        <w:tc>
          <w:tcPr/>
          <w:p>
            <w:pPr>
              <w:pStyle w:val="Compact"/>
              <w:jc w:val="left"/>
            </w:pPr>
            <w:r>
              <w:t xml:space="preserve">Fabricated or deliberately manipulated audio and visual content; intentionally created conspiracy theories or rumours</w:t>
            </w:r>
          </w:p>
        </w:tc>
        <w:tc>
          <w:tcPr/>
          <w:p>
            <w:pPr>
              <w:pStyle w:val="Compact"/>
              <w:jc w:val="left"/>
            </w:pPr>
            <w:r>
              <w:t xml:space="preserve">Deliberate publication of private information for personal rather than public interest, such as revenge porn; deliberate change of the context, date or time of genuine content</w:t>
            </w:r>
          </w:p>
        </w:tc>
      </w:tr>
    </w:tbl>
    <w:p>
      <w:pPr>
        <w:pStyle w:val="BodyText"/>
      </w:pPr>
      <w:r>
        <w:t xml:space="preserve">Intent is what separates the first two, so the same item can be disinformation in the hands of its creator and misinformation in the hands of someone who forwards it innocently; malinformation is true material weaponised.</w:t>
      </w:r>
    </w:p>
    <w:p>
      <w:pPr>
        <w:pStyle w:val="BodyText"/>
      </w:pPr>
      <w:r>
        <w:t xml:space="preserve">The Indian regulatory response to election disinformation has been co-regulatory. In</w:t>
      </w:r>
      <w:r>
        <w:t xml:space="preserve"> </w:t>
      </w:r>
      <w:r>
        <w:rPr>
          <w:bCs/>
          <w:b/>
        </w:rPr>
        <w:t xml:space="preserve">March 2019</w:t>
      </w:r>
      <w:r>
        <w:t xml:space="preserve"> </w:t>
      </w:r>
      <w:r>
        <w:t xml:space="preserve">the social media platforms and the</w:t>
      </w:r>
      <w:r>
        <w:t xml:space="preserve"> </w:t>
      </w:r>
      <w:r>
        <w:rPr>
          <w:bCs/>
          <w:b/>
        </w:rPr>
        <w:t xml:space="preserve">Internet and Mobile Association of India</w:t>
      </w:r>
      <w:r>
        <w:t xml:space="preserve"> </w:t>
      </w:r>
      <w:r>
        <w:t xml:space="preserve">submitted a</w:t>
      </w:r>
      <w:r>
        <w:t xml:space="preserve"> </w:t>
      </w:r>
      <w:r>
        <w:rPr>
          <w:bCs/>
          <w:b/>
        </w:rPr>
        <w:t xml:space="preserve">“</w:t>
      </w:r>
      <w:r>
        <w:rPr>
          <w:bCs/>
          <w:b/>
        </w:rPr>
        <w:t xml:space="preserve">Voluntary Code of Ethics for the General Elections 2019</w:t>
      </w:r>
      <w:r>
        <w:rPr>
          <w:bCs/>
          <w:b/>
        </w:rPr>
        <w:t xml:space="preserve">”</w:t>
      </w:r>
      <w:r>
        <w:t xml:space="preserve"> </w:t>
      </w:r>
      <w:r>
        <w:t xml:space="preserve">to the Election Commission, extended in</w:t>
      </w:r>
      <w:r>
        <w:t xml:space="preserve"> </w:t>
      </w:r>
      <w:r>
        <w:rPr>
          <w:bCs/>
          <w:b/>
        </w:rPr>
        <w:t xml:space="preserve">September 2019</w:t>
      </w:r>
      <w:r>
        <w:t xml:space="preserve"> </w:t>
      </w:r>
      <w:r>
        <w:t xml:space="preserve">to the Haryana and Maharashtra assembly elections and all future elections. Its five commitments are voluntary information, education and communication campaigns to build awareness of electoral law; a high-priority dedicated grievance redressal channel for cases reported by the Commission; a notification mechanism by which the Commission can report potential violations of</w:t>
      </w:r>
      <w:r>
        <w:t xml:space="preserve"> </w:t>
      </w:r>
      <w:r>
        <w:rPr>
          <w:bCs/>
          <w:b/>
        </w:rPr>
        <w:t xml:space="preserve">s.126 of the Representation of the People Act 1951</w:t>
      </w:r>
      <w:r>
        <w:t xml:space="preserve">; pre-certification of all political advertisements by the</w:t>
      </w:r>
      <w:r>
        <w:t xml:space="preserve"> </w:t>
      </w:r>
      <w:r>
        <w:rPr>
          <w:bCs/>
          <w:b/>
        </w:rPr>
        <w:t xml:space="preserve">Media Certification and Monitoring Committees</w:t>
      </w:r>
      <w:r>
        <w:t xml:space="preserve"> </w:t>
      </w:r>
      <w:r>
        <w:t xml:space="preserve">as directed by the Supreme Court; and transparency in paid political advertisements through the platforms’ existing labelling and disclosure technology.</w:t>
      </w:r>
    </w:p>
    <w:p>
      <w:pPr>
        <w:pStyle w:val="BodyText"/>
      </w:pPr>
      <w:r>
        <w:t xml:space="preserve">In an emergency the response has been statutory rather than voluntary.</w:t>
      </w:r>
      <w:r>
        <w:t xml:space="preserve"> </w:t>
      </w:r>
      <w:r>
        <w:rPr>
          <w:iCs/>
          <w:i/>
          <w:bCs/>
          <w:b/>
        </w:rPr>
        <w:t xml:space="preserve">Alak Alok Srivastava v. Union of India</w:t>
      </w:r>
      <w:r>
        <w:t xml:space="preserve">, W.P. 468/2020, decided</w:t>
      </w:r>
      <w:r>
        <w:t xml:space="preserve"> </w:t>
      </w:r>
      <w:r>
        <w:rPr>
          <w:bCs/>
          <w:b/>
        </w:rPr>
        <w:t xml:space="preserve">31 March 2020</w:t>
      </w:r>
      <w:r>
        <w:t xml:space="preserve">, arose from the nationwide movement of migrant labourers driven by panic created by fake news, which multiplied the Government’s difficulties in imposing the lockdown and in which some lost their lives. Quoting the WHO Director-General —</w:t>
      </w:r>
      <w:r>
        <w:t xml:space="preserve"> </w:t>
      </w:r>
      <w:r>
        <w:rPr>
          <w:iCs/>
          <w:i/>
        </w:rPr>
        <w:t xml:space="preserve">“</w:t>
      </w:r>
      <w:r>
        <w:rPr>
          <w:iCs/>
          <w:i/>
        </w:rPr>
        <w:t xml:space="preserve">We are not just fighting an epidemic; we are fighting an infodemic. Fake news spreads faster and more easily than this virus, and is just as dangerous</w:t>
      </w:r>
      <w:r>
        <w:rPr>
          <w:iCs/>
          <w:i/>
        </w:rPr>
        <w:t xml:space="preserve">”</w:t>
      </w:r>
      <w:r>
        <w:t xml:space="preserve"> </w:t>
      </w:r>
      <w:r>
        <w:t xml:space="preserve">— the Court prodded print, electronic and social media to</w:t>
      </w:r>
      <w:r>
        <w:t xml:space="preserve"> </w:t>
      </w:r>
      <w:r>
        <w:rPr>
          <w:bCs/>
          <w:b/>
        </w:rPr>
        <w:t xml:space="preserve">verify news before dissemination</w:t>
      </w:r>
      <w:r>
        <w:t xml:space="preserve"> </w:t>
      </w:r>
      <w:r>
        <w:t xml:space="preserve">and to publish the</w:t>
      </w:r>
      <w:r>
        <w:t xml:space="preserve"> </w:t>
      </w:r>
      <w:r>
        <w:rPr>
          <w:bCs/>
          <w:b/>
        </w:rPr>
        <w:t xml:space="preserve">official version</w:t>
      </w:r>
      <w:r>
        <w:t xml:space="preserve"> </w:t>
      </w:r>
      <w:r>
        <w:t xml:space="preserve">of corona-related developments, invoked</w:t>
      </w:r>
      <w:r>
        <w:t xml:space="preserve"> </w:t>
      </w:r>
      <w:r>
        <w:rPr>
          <w:bCs/>
          <w:b/>
        </w:rPr>
        <w:t xml:space="preserve">s.54 of the Disaster Management Act 2005</w:t>
      </w:r>
      <w:r>
        <w:t xml:space="preserve"> </w:t>
      </w:r>
      <w:r>
        <w:t xml:space="preserve">to punish those who make or circulate such information, and directed the Government to start an official portal for daily updates. The model is instructive: an authoritative official source, a verification norm, and the use of existing law — not a new judicially created offence of fake news.</w:t>
      </w:r>
    </w:p>
    <w:bookmarkEnd w:id="48"/>
    <w:bookmarkStart w:id="49" w:name="kunal-kamra-and-the-fact-check-unit"/>
    <w:p>
      <w:pPr>
        <w:pStyle w:val="Heading2"/>
      </w:pPr>
      <w:r>
        <w:rPr>
          <w:iCs/>
          <w:i/>
        </w:rPr>
        <w:t xml:space="preserve">Kunal Kamra</w:t>
      </w:r>
      <w:r>
        <w:t xml:space="preserve"> </w:t>
      </w:r>
      <w:r>
        <w:t xml:space="preserve">and the Fact Check Unit</w:t>
      </w:r>
    </w:p>
    <w:p>
      <w:pPr>
        <w:pStyle w:val="FirstParagraph"/>
      </w:pPr>
      <w:r>
        <w:t xml:space="preserve">The</w:t>
      </w:r>
      <w:r>
        <w:t xml:space="preserve"> </w:t>
      </w:r>
      <w:r>
        <w:rPr>
          <w:bCs/>
          <w:b/>
        </w:rPr>
        <w:t xml:space="preserve">IT Amendment Rules 2023</w:t>
      </w:r>
      <w:r>
        <w:t xml:space="preserve"> </w:t>
      </w:r>
      <w:r>
        <w:t xml:space="preserve">inserted</w:t>
      </w:r>
      <w:r>
        <w:t xml:space="preserve"> </w:t>
      </w:r>
      <w:r>
        <w:rPr>
          <w:bCs/>
          <w:b/>
        </w:rPr>
        <w:t xml:space="preserve">Rule 3(1)(b)(v)</w:t>
      </w:r>
      <w:r>
        <w:t xml:space="preserve">, empowering the Central Government to establish a</w:t>
      </w:r>
      <w:r>
        <w:t xml:space="preserve"> </w:t>
      </w:r>
      <w:r>
        <w:rPr>
          <w:bCs/>
          <w:b/>
        </w:rPr>
        <w:t xml:space="preserve">Fact-Checking Unit</w:t>
      </w:r>
      <w:r>
        <w:t xml:space="preserve"> </w:t>
      </w:r>
      <w:r>
        <w:t xml:space="preserve">to verify online content relating to the</w:t>
      </w:r>
      <w:r>
        <w:t xml:space="preserve"> </w:t>
      </w:r>
      <w:r>
        <w:rPr>
          <w:iCs/>
          <w:i/>
        </w:rPr>
        <w:t xml:space="preserve">“</w:t>
      </w:r>
      <w:r>
        <w:rPr>
          <w:iCs/>
          <w:i/>
        </w:rPr>
        <w:t xml:space="preserve">business of the Government of India</w:t>
      </w:r>
      <w:r>
        <w:rPr>
          <w:iCs/>
          <w:i/>
        </w:rPr>
        <w:t xml:space="preserve">”</w:t>
      </w:r>
      <w:r>
        <w:t xml:space="preserve"> </w:t>
      </w:r>
      <w:r>
        <w:t xml:space="preserve">and label it false, fake or misleading. The challenge in</w:t>
      </w:r>
      <w:r>
        <w:t xml:space="preserve"> </w:t>
      </w:r>
      <w:r>
        <w:rPr>
          <w:iCs/>
          <w:i/>
          <w:bCs/>
          <w:b/>
        </w:rPr>
        <w:t xml:space="preserve">Kunal Kamra v. Union of India</w:t>
      </w:r>
      <w:r>
        <w:t xml:space="preserve"> </w:t>
      </w:r>
      <w:r>
        <w:t xml:space="preserve">(Bombay High Court, 2024 — the slides carry the heading</w:t>
      </w:r>
      <w:r>
        <w:t xml:space="preserve"> </w:t>
      </w:r>
      <w:r>
        <w:t xml:space="preserve">“</w:t>
      </w:r>
      <w:r>
        <w:t xml:space="preserve">Supreme Court on Fake News</w:t>
      </w:r>
      <w:r>
        <w:t xml:space="preserve">”</w:t>
      </w:r>
      <w:r>
        <w:t xml:space="preserve">, but the decision is of the Bombay High Court) rested on</w:t>
      </w:r>
      <w:r>
        <w:t xml:space="preserve"> </w:t>
      </w:r>
      <w:r>
        <w:rPr>
          <w:bCs/>
          <w:b/>
        </w:rPr>
        <w:t xml:space="preserve">Article 14</w:t>
      </w:r>
      <w:r>
        <w:t xml:space="preserve">, because the rule applied to digital media and not to print; on</w:t>
      </w:r>
      <w:r>
        <w:t xml:space="preserve"> </w:t>
      </w:r>
      <w:r>
        <w:rPr>
          <w:bCs/>
          <w:b/>
        </w:rPr>
        <w:t xml:space="preserve">Article 19(1)(a)</w:t>
      </w:r>
      <w:r>
        <w:t xml:space="preserve">; on</w:t>
      </w:r>
      <w:r>
        <w:t xml:space="preserve"> </w:t>
      </w:r>
      <w:r>
        <w:rPr>
          <w:bCs/>
          <w:b/>
        </w:rPr>
        <w:t xml:space="preserve">Article 19(1)(g)</w:t>
      </w:r>
      <w:r>
        <w:t xml:space="preserve">, since it affected the profession and business of digital publishers; and on the rule being</w:t>
      </w:r>
      <w:r>
        <w:t xml:space="preserve"> </w:t>
      </w:r>
      <w:r>
        <w:rPr>
          <w:iCs/>
          <w:i/>
        </w:rPr>
        <w:t xml:space="preserve">ultra vires</w:t>
      </w:r>
      <w:r>
        <w:t xml:space="preserve"> </w:t>
      </w:r>
      <w:r>
        <w:rPr>
          <w:bCs/>
          <w:b/>
        </w:rPr>
        <w:t xml:space="preserve">ss.79 and 87</w:t>
      </w:r>
      <w:r>
        <w:t xml:space="preserve">, since it used the safe-harbour mechanism to shape speech and exceeded the rule-making power. Substantively the petitioners argued that it created censorship by making the Government the sole arbiter of truth about its own affairs, and that the undefined terms</w:t>
      </w:r>
      <w:r>
        <w:t xml:space="preserve"> </w:t>
      </w:r>
      <w:r>
        <w:rPr>
          <w:iCs/>
          <w:i/>
        </w:rPr>
        <w:t xml:space="preserve">“</w:t>
      </w:r>
      <w:r>
        <w:rPr>
          <w:iCs/>
          <w:i/>
        </w:rPr>
        <w:t xml:space="preserve">fake,</w:t>
      </w:r>
      <w:r>
        <w:rPr>
          <w:iCs/>
          <w:i/>
        </w:rPr>
        <w:t xml:space="preserve">”</w:t>
      </w:r>
      <w:r>
        <w:rPr>
          <w:iCs/>
          <w:i/>
        </w:rPr>
        <w:t xml:space="preserve"> </w:t>
      </w:r>
      <w:r>
        <w:rPr>
          <w:iCs/>
          <w:i/>
        </w:rPr>
        <w:t xml:space="preserve">“</w:t>
      </w:r>
      <w:r>
        <w:rPr>
          <w:iCs/>
          <w:i/>
        </w:rPr>
        <w:t xml:space="preserve">false</w:t>
      </w:r>
      <w:r>
        <w:rPr>
          <w:iCs/>
          <w:i/>
        </w:rPr>
        <w:t xml:space="preserve">”</w:t>
      </w:r>
      <w:r>
        <w:t xml:space="preserve"> </w:t>
      </w:r>
      <w:r>
        <w:t xml:space="preserve">and</w:t>
      </w:r>
      <w:r>
        <w:t xml:space="preserve"> </w:t>
      </w:r>
      <w:r>
        <w:rPr>
          <w:iCs/>
          <w:i/>
        </w:rPr>
        <w:t xml:space="preserve">“</w:t>
      </w:r>
      <w:r>
        <w:rPr>
          <w:iCs/>
          <w:i/>
        </w:rPr>
        <w:t xml:space="preserve">misleading</w:t>
      </w:r>
      <w:r>
        <w:rPr>
          <w:iCs/>
          <w:i/>
        </w:rPr>
        <w:t xml:space="preserve">”</w:t>
      </w:r>
      <w:r>
        <w:t xml:space="preserve"> </w:t>
      </w:r>
      <w:r>
        <w:t xml:space="preserve">were overbroad and could be turned against dissent and criticism.</w:t>
      </w:r>
    </w:p>
    <w:p>
      <w:pPr>
        <w:pStyle w:val="BodyText"/>
      </w:pPr>
      <w:r>
        <w:rPr>
          <w:bCs/>
          <w:b/>
        </w:rPr>
        <w:t xml:space="preserve">Gokhale J. upheld</w:t>
      </w:r>
      <w:r>
        <w:t xml:space="preserve"> </w:t>
      </w:r>
      <w:r>
        <w:t xml:space="preserve">the rule. Intermediaries, she held, lose safe harbour only if they ignore procedures consistent with Article 19(2), relying on</w:t>
      </w:r>
      <w:r>
        <w:t xml:space="preserve"> </w:t>
      </w:r>
      <w:r>
        <w:rPr>
          <w:iCs/>
          <w:i/>
        </w:rPr>
        <w:t xml:space="preserve">Shreya Singhal</w:t>
      </w:r>
      <w:r>
        <w:t xml:space="preserve"> </w:t>
      </w:r>
      <w:r>
        <w:t xml:space="preserve">and</w:t>
      </w:r>
      <w:r>
        <w:t xml:space="preserve"> </w:t>
      </w:r>
      <w:r>
        <w:rPr>
          <w:iCs/>
          <w:i/>
        </w:rPr>
        <w:t xml:space="preserve">P. Krishnamurthy</w:t>
      </w:r>
      <w:r>
        <w:t xml:space="preserve">; the Fact Check Unit was tasked only with</w:t>
      </w:r>
      <w:r>
        <w:t xml:space="preserve"> </w:t>
      </w:r>
      <w:r>
        <w:rPr>
          <w:bCs/>
          <w:b/>
        </w:rPr>
        <w:t xml:space="preserve">identifying</w:t>
      </w:r>
      <w:r>
        <w:t xml:space="preserve"> </w:t>
      </w:r>
      <w:r>
        <w:t xml:space="preserve">potentially false information and was</w:t>
      </w:r>
      <w:r>
        <w:t xml:space="preserve"> </w:t>
      </w:r>
      <w:r>
        <w:rPr>
          <w:bCs/>
          <w:b/>
        </w:rPr>
        <w:t xml:space="preserve">not the final authority</w:t>
      </w:r>
      <w:r>
        <w:t xml:space="preserve">, courts retaining the ultimate power to decide validity, so due process was not compromised; and bias had to be</w:t>
      </w:r>
      <w:r>
        <w:t xml:space="preserve"> </w:t>
      </w:r>
      <w:r>
        <w:rPr>
          <w:bCs/>
          <w:b/>
        </w:rPr>
        <w:t xml:space="preserve">specifically demonstrated, not presumed</w:t>
      </w:r>
      <w:r>
        <w:t xml:space="preserve"> </w:t>
      </w:r>
      <w:r>
        <w:t xml:space="preserve">from the mere fact of government appointment.</w:t>
      </w:r>
    </w:p>
    <w:p>
      <w:pPr>
        <w:pStyle w:val="BodyText"/>
      </w:pPr>
      <w:r>
        <w:rPr>
          <w:bCs/>
          <w:b/>
        </w:rPr>
        <w:t xml:space="preserve">Patel J. would have struck it down</w:t>
      </w:r>
      <w:r>
        <w:t xml:space="preserve">, holding that Article 19(1)(a) protects speech online as it does offline, that restrictions must fall strictly within Article 19(2) and satisfy proportionality, and that the rule forced intermediaries to censor content about the Government flagged by the Unit,</w:t>
      </w:r>
      <w:r>
        <w:t xml:space="preserve"> </w:t>
      </w:r>
      <w:r>
        <w:rPr>
          <w:bCs/>
          <w:b/>
        </w:rPr>
        <w:t xml:space="preserve">effectively outsourcing censorship</w:t>
      </w:r>
      <w:r>
        <w:t xml:space="preserve"> </w:t>
      </w:r>
      <w:r>
        <w:t xml:space="preserve">and stripping citizens of space for dissent or satire.</w:t>
      </w:r>
    </w:p>
    <w:p>
      <w:pPr>
        <w:pStyle w:val="BodyText"/>
      </w:pPr>
      <w:r>
        <w:t xml:space="preserve">The split went to a third judge, and</w:t>
      </w:r>
      <w:r>
        <w:t xml:space="preserve"> </w:t>
      </w:r>
      <w:r>
        <w:rPr>
          <w:bCs/>
          <w:b/>
        </w:rPr>
        <w:t xml:space="preserve">Chandurkar J.’s tie-breaking opinion agreed with Patel J., so the rule was held unconstitutional.</w:t>
      </w:r>
      <w:r>
        <w:t xml:space="preserve"> </w:t>
      </w:r>
      <w:r>
        <w:t xml:space="preserve">He relied on</w:t>
      </w:r>
      <w:r>
        <w:t xml:space="preserve"> </w:t>
      </w:r>
      <w:r>
        <w:rPr>
          <w:iCs/>
          <w:i/>
        </w:rPr>
        <w:t xml:space="preserve">Shreya Singhal</w:t>
      </w:r>
      <w:r>
        <w:t xml:space="preserve"> </w:t>
      </w:r>
      <w:r>
        <w:t xml:space="preserve">and on</w:t>
      </w:r>
      <w:r>
        <w:t xml:space="preserve"> </w:t>
      </w:r>
      <w:r>
        <w:rPr>
          <w:iCs/>
          <w:i/>
          <w:bCs/>
          <w:b/>
        </w:rPr>
        <w:t xml:space="preserve">Kaushal Kishor v. State of Uttar Pradesh</w:t>
      </w:r>
      <w:r>
        <w:t xml:space="preserve"> </w:t>
      </w:r>
      <w:r>
        <w:t xml:space="preserve">for the proposition that</w:t>
      </w:r>
      <w:r>
        <w:t xml:space="preserve"> </w:t>
      </w:r>
      <w:r>
        <w:rPr>
          <w:iCs/>
          <w:i/>
        </w:rPr>
        <w:t xml:space="preserve">“</w:t>
      </w:r>
      <w:r>
        <w:rPr>
          <w:iCs/>
          <w:i/>
        </w:rPr>
        <w:t xml:space="preserve">restrictions placed must be justifiable under a law competent under clause (2) of Article 19,</w:t>
      </w:r>
      <w:r>
        <w:rPr>
          <w:iCs/>
          <w:i/>
        </w:rPr>
        <w:t xml:space="preserve">”</w:t>
      </w:r>
      <w:r>
        <w:t xml:space="preserve"> </w:t>
      </w:r>
      <w:r>
        <w:t xml:space="preserve">and held that</w:t>
      </w:r>
      <w:r>
        <w:t xml:space="preserve"> </w:t>
      </w:r>
      <w:r>
        <w:rPr>
          <w:bCs/>
          <w:b/>
        </w:rPr>
        <w:t xml:space="preserve">censoring information merely because it was false or misleading was impermissible</w:t>
      </w:r>
      <w:r>
        <w:t xml:space="preserve"> </w:t>
      </w:r>
      <w:r>
        <w:t xml:space="preserve">— Article 19(2) contains no free-standing exception for falsity. Under Article 14 the rule was discriminatory because it allowed the Government to be</w:t>
      </w:r>
      <w:r>
        <w:t xml:space="preserve"> </w:t>
      </w:r>
      <w:r>
        <w:rPr>
          <w:bCs/>
          <w:b/>
        </w:rPr>
        <w:t xml:space="preserve">arbiter of truth in its own cause</w:t>
      </w:r>
      <w:r>
        <w:t xml:space="preserve">. And the undefined terms conferred</w:t>
      </w:r>
      <w:r>
        <w:t xml:space="preserve"> </w:t>
      </w:r>
      <w:r>
        <w:rPr>
          <w:bCs/>
          <w:b/>
        </w:rPr>
        <w:t xml:space="preserve">unguided discretion</w:t>
      </w:r>
      <w:r>
        <w:t xml:space="preserve">, creating a genuine risk of self-censorship, a danger recognised in</w:t>
      </w:r>
      <w:r>
        <w:t xml:space="preserve"> </w:t>
      </w:r>
      <w:r>
        <w:rPr>
          <w:iCs/>
          <w:i/>
        </w:rPr>
        <w:t xml:space="preserve">Shreya Singhal</w:t>
      </w:r>
      <w:r>
        <w:t xml:space="preserve"> </w:t>
      </w:r>
      <w:r>
        <w:t xml:space="preserve">and in</w:t>
      </w:r>
      <w:r>
        <w:t xml:space="preserve"> </w:t>
      </w:r>
      <w:r>
        <w:rPr>
          <w:iCs/>
          <w:i/>
          <w:bCs/>
          <w:b/>
        </w:rPr>
        <w:t xml:space="preserve">Anuradha Bhasin</w:t>
      </w:r>
      <w:r>
        <w:t xml:space="preserve">, from which he quoted that</w:t>
      </w:r>
      <w:r>
        <w:t xml:space="preserve"> </w:t>
      </w:r>
      <w:r>
        <w:rPr>
          <w:iCs/>
          <w:i/>
        </w:rPr>
        <w:t xml:space="preserve">“</w:t>
      </w:r>
      <w:r>
        <w:rPr>
          <w:iCs/>
          <w:i/>
        </w:rPr>
        <w:t xml:space="preserve">the freedom of speech and expression through the medium of internet was an integral part of Article 19(1)(a) and any restriction on the same ought to be in accordance with Article 19(2).</w:t>
      </w:r>
      <w:r>
        <w:rPr>
          <w:iCs/>
          <w:i/>
        </w:rPr>
        <w:t xml:space="preserve">”</w:t>
      </w:r>
    </w:p>
    <w:p>
      <w:pPr>
        <w:pStyle w:val="BodyText"/>
      </w:pPr>
      <w:r>
        <w:t xml:space="preserve">Three consequences follow. It is the first successful constitutional challenge to a provision of the 2021–2023 Rules and shows that the</w:t>
      </w:r>
      <w:r>
        <w:t xml:space="preserve"> </w:t>
      </w:r>
      <w:r>
        <w:rPr>
          <w:iCs/>
          <w:i/>
        </w:rPr>
        <w:t xml:space="preserve">ultra vires</w:t>
      </w:r>
      <w:r>
        <w:t xml:space="preserve"> </w:t>
      </w:r>
      <w:r>
        <w:t xml:space="preserve">argument works. It establishes that</w:t>
      </w:r>
      <w:r>
        <w:t xml:space="preserve"> </w:t>
      </w:r>
      <w:r>
        <w:rPr>
          <w:bCs/>
          <w:b/>
        </w:rPr>
        <w:t xml:space="preserve">falsity alone is not a ground of restriction</w:t>
      </w:r>
      <w:r>
        <w:t xml:space="preserve">, which constrains every future fake-news regulation including the 2026 SGI Rules. And it names the mechanism of</w:t>
      </w:r>
      <w:r>
        <w:t xml:space="preserve"> </w:t>
      </w:r>
      <w:r>
        <w:rPr>
          <w:bCs/>
          <w:b/>
        </w:rPr>
        <w:t xml:space="preserve">collateral or outsourced censorship</w:t>
      </w:r>
      <w:r>
        <w:t xml:space="preserve">, by which the conditionality of s.79 is used to induce private platforms to suppress speech the Government dislikes.</w:t>
      </w:r>
    </w:p>
    <w:bookmarkEnd w:id="49"/>
    <w:bookmarkEnd w:id="50"/>
    <w:bookmarkStart w:id="56" w:name="module-4-cybersecurity"/>
    <w:p>
      <w:pPr>
        <w:pStyle w:val="Heading1"/>
      </w:pPr>
      <w:r>
        <w:t xml:space="preserve">MODULE 4 — CYBERSECURITY</w:t>
      </w:r>
    </w:p>
    <w:bookmarkStart w:id="51" w:name="the-threat-picture"/>
    <w:p>
      <w:pPr>
        <w:pStyle w:val="Heading2"/>
      </w:pPr>
      <w:r>
        <w:t xml:space="preserve">The threat picture</w:t>
      </w:r>
    </w:p>
    <w:p>
      <w:pPr>
        <w:pStyle w:val="FirstParagraph"/>
      </w:pPr>
      <w:r>
        <w:t xml:space="preserve">The empirical case is made by four incidents. The</w:t>
      </w:r>
      <w:r>
        <w:t xml:space="preserve"> </w:t>
      </w:r>
      <w:r>
        <w:rPr>
          <w:bCs/>
          <w:b/>
        </w:rPr>
        <w:t xml:space="preserve">AIIMS Delhi</w:t>
      </w:r>
      <w:r>
        <w:t xml:space="preserve"> </w:t>
      </w:r>
      <w:r>
        <w:t xml:space="preserve">attack of November 2022 was reported to the Rajya Sabha as having affected</w:t>
      </w:r>
      <w:r>
        <w:t xml:space="preserve"> </w:t>
      </w:r>
      <w:r>
        <w:rPr>
          <w:bCs/>
          <w:b/>
        </w:rPr>
        <w:t xml:space="preserve">five servers with approximately 1.3 TB of data encrypted</w:t>
      </w:r>
      <w:r>
        <w:t xml:space="preserve">; media reports citing investigators claimed that records of</w:t>
      </w:r>
      <w:r>
        <w:t xml:space="preserve"> </w:t>
      </w:r>
      <w:r>
        <w:rPr>
          <w:bCs/>
          <w:b/>
        </w:rPr>
        <w:t xml:space="preserve">three to four crore patients</w:t>
      </w:r>
      <w:r>
        <w:t xml:space="preserve"> </w:t>
      </w:r>
      <w:r>
        <w:t xml:space="preserve">were compromised; the probe traced the attack to China; and</w:t>
      </w:r>
      <w:r>
        <w:t xml:space="preserve"> </w:t>
      </w:r>
      <w:r>
        <w:rPr>
          <w:bCs/>
          <w:b/>
        </w:rPr>
        <w:t xml:space="preserve">a second attack followed in June 2023</w:t>
      </w:r>
      <w:r>
        <w:t xml:space="preserve">. The distinction between the parliamentary figure and the media figure should be preserved in any answer. The</w:t>
      </w:r>
      <w:r>
        <w:t xml:space="preserve"> </w:t>
      </w:r>
      <w:r>
        <w:rPr>
          <w:bCs/>
          <w:b/>
        </w:rPr>
        <w:t xml:space="preserve">power grid</w:t>
      </w:r>
      <w:r>
        <w:t xml:space="preserve"> </w:t>
      </w:r>
      <w:r>
        <w:t xml:space="preserve">episode was reported by the New York Times under the headline</w:t>
      </w:r>
      <w:r>
        <w:t xml:space="preserve"> </w:t>
      </w:r>
      <w:r>
        <w:rPr>
          <w:iCs/>
          <w:i/>
        </w:rPr>
        <w:t xml:space="preserve">“</w:t>
      </w:r>
      <w:r>
        <w:rPr>
          <w:iCs/>
          <w:i/>
        </w:rPr>
        <w:t xml:space="preserve">China Appears to Warn India: Push Too Hard and the Lights Could Go Out,</w:t>
      </w:r>
      <w:r>
        <w:rPr>
          <w:iCs/>
          <w:i/>
        </w:rPr>
        <w:t xml:space="preserve">”</w:t>
      </w:r>
      <w:r>
        <w:t xml:space="preserve"> </w:t>
      </w:r>
      <w:r>
        <w:t xml:space="preserve">recording that malware began to flow into the Indian electric grid as border skirmishing increased and that a blackout hit Mumbai. During</w:t>
      </w:r>
      <w:r>
        <w:t xml:space="preserve"> </w:t>
      </w:r>
      <w:r>
        <w:rPr>
          <w:bCs/>
          <w:b/>
        </w:rPr>
        <w:t xml:space="preserve">Operation Sindoor</w:t>
      </w:r>
      <w:r>
        <w:t xml:space="preserve">, Manohar Lal Khattar stated on 12 June 2025 that</w:t>
      </w:r>
      <w:r>
        <w:t xml:space="preserve"> </w:t>
      </w:r>
      <w:r>
        <w:rPr>
          <w:bCs/>
          <w:b/>
        </w:rPr>
        <w:t xml:space="preserve">two lakh cyber attacks</w:t>
      </w:r>
      <w:r>
        <w:t xml:space="preserve"> </w:t>
      </w:r>
      <w:r>
        <w:t xml:space="preserve">were directed at India’s power system, continuing for eight to ten days, and reporting indicated that six nations targeted critical infrastructure, defence public sector undertakings and financial platforms with malware, phishing and denial-of-service attacks. On</w:t>
      </w:r>
      <w:r>
        <w:t xml:space="preserve"> </w:t>
      </w:r>
      <w:r>
        <w:rPr>
          <w:bCs/>
          <w:b/>
        </w:rPr>
        <w:t xml:space="preserve">7 August 2025</w:t>
      </w:r>
      <w:r>
        <w:t xml:space="preserve"> </w:t>
      </w:r>
      <w:r>
        <w:t xml:space="preserve">the Chief of Defence Staff released the declassified</w:t>
      </w:r>
      <w:r>
        <w:t xml:space="preserve"> </w:t>
      </w:r>
      <w:r>
        <w:rPr>
          <w:bCs/>
          <w:b/>
        </w:rPr>
        <w:t xml:space="preserve">Joint Doctrine for Cyberspace Operations</w:t>
      </w:r>
      <w:r>
        <w:t xml:space="preserve">, integrating offensive and defensive cyber capabilities across the three Services. Comparatively, after the United States India was the country most affected by targeted attacks between 2015 and 2017, with 133 against 303, and accounted for 8.9 per cent of ransomware detections.</w:t>
      </w:r>
    </w:p>
    <w:p>
      <w:pPr>
        <w:pStyle w:val="BodyText"/>
      </w:pPr>
      <w:r>
        <w:t xml:space="preserve">Against that, India achieved</w:t>
      </w:r>
      <w:r>
        <w:t xml:space="preserve"> </w:t>
      </w:r>
      <w:r>
        <w:rPr>
          <w:bCs/>
          <w:b/>
        </w:rPr>
        <w:t xml:space="preserve">Tier 1 status in the ITU’s Global Cybersecurity Index 2024</w:t>
      </w:r>
      <w:r>
        <w:t xml:space="preserve"> </w:t>
      </w:r>
      <w:r>
        <w:t xml:space="preserve">with a score of</w:t>
      </w:r>
      <w:r>
        <w:t xml:space="preserve"> </w:t>
      </w:r>
      <w:r>
        <w:rPr>
          <w:bCs/>
          <w:b/>
        </w:rPr>
        <w:t xml:space="preserve">98.49 out of 100</w:t>
      </w:r>
      <w:r>
        <w:t xml:space="preserve">, announced by PIB on 20 September 2024. The Index assesses five pillars —</w:t>
      </w:r>
      <w:r>
        <w:t xml:space="preserve"> </w:t>
      </w:r>
      <w:r>
        <w:rPr>
          <w:bCs/>
          <w:b/>
        </w:rPr>
        <w:t xml:space="preserve">Legal</w:t>
      </w:r>
      <w:r>
        <w:t xml:space="preserve"> </w:t>
      </w:r>
      <w:r>
        <w:t xml:space="preserve">(cybercriminal legislation, regulation, training),</w:t>
      </w:r>
      <w:r>
        <w:t xml:space="preserve"> </w:t>
      </w:r>
      <w:r>
        <w:rPr>
          <w:bCs/>
          <w:b/>
        </w:rPr>
        <w:t xml:space="preserve">Technical</w:t>
      </w:r>
      <w:r>
        <w:t xml:space="preserve"> </w:t>
      </w:r>
      <w:r>
        <w:t xml:space="preserve">(national, government and sectoral CIRTs, standards for organisations and professionals, child online protection),</w:t>
      </w:r>
      <w:r>
        <w:t xml:space="preserve"> </w:t>
      </w:r>
      <w:r>
        <w:rPr>
          <w:bCs/>
          <w:b/>
        </w:rPr>
        <w:t xml:space="preserve">Organizational</w:t>
      </w:r>
      <w:r>
        <w:t xml:space="preserve"> </w:t>
      </w:r>
      <w:r>
        <w:t xml:space="preserve">(strategy, responsible agency, metrics),</w:t>
      </w:r>
      <w:r>
        <w:t xml:space="preserve"> </w:t>
      </w:r>
      <w:r>
        <w:rPr>
          <w:bCs/>
          <w:b/>
        </w:rPr>
        <w:t xml:space="preserve">Capacity Building</w:t>
      </w:r>
      <w:r>
        <w:t xml:space="preserve"> </w:t>
      </w:r>
      <w:r>
        <w:t xml:space="preserve">(standardisation bodies, good practices, research, awareness, training, curricula, incentives, home-grown industry) and</w:t>
      </w:r>
      <w:r>
        <w:t xml:space="preserve"> </w:t>
      </w:r>
      <w:r>
        <w:rPr>
          <w:bCs/>
          <w:b/>
        </w:rPr>
        <w:t xml:space="preserve">Cooperation</w:t>
      </w:r>
      <w:r>
        <w:t xml:space="preserve"> </w:t>
      </w:r>
      <w:r>
        <w:t xml:space="preserve">(intra-state, multilateral, international fora, public-private and inter-agency partnerships). The structure makes the point that legislation alone is insufficient.</w:t>
      </w:r>
    </w:p>
    <w:p>
      <w:pPr>
        <w:pStyle w:val="BodyText"/>
      </w:pPr>
      <w:r>
        <w:t xml:space="preserve">Conceptually, cybersecurity encompasses</w:t>
      </w:r>
      <w:r>
        <w:t xml:space="preserve"> </w:t>
      </w:r>
      <w:r>
        <w:rPr>
          <w:bCs/>
          <w:b/>
        </w:rPr>
        <w:t xml:space="preserve">information security</w:t>
      </w:r>
      <w:r>
        <w:t xml:space="preserve">, protecting information in any form;</w:t>
      </w:r>
      <w:r>
        <w:t xml:space="preserve"> </w:t>
      </w:r>
      <w:r>
        <w:rPr>
          <w:bCs/>
          <w:b/>
        </w:rPr>
        <w:t xml:space="preserve">IT security</w:t>
      </w:r>
      <w:r>
        <w:t xml:space="preserve">, protecting computing and information-technology systems;</w:t>
      </w:r>
      <w:r>
        <w:t xml:space="preserve"> </w:t>
      </w:r>
      <w:r>
        <w:rPr>
          <w:bCs/>
          <w:b/>
        </w:rPr>
        <w:t xml:space="preserve">OT security</w:t>
      </w:r>
      <w:r>
        <w:t xml:space="preserve">, protecting operational technology that controls physical equipment and industrial processes; and</w:t>
      </w:r>
      <w:r>
        <w:t xml:space="preserve"> </w:t>
      </w:r>
      <w:r>
        <w:rPr>
          <w:bCs/>
          <w:b/>
        </w:rPr>
        <w:t xml:space="preserve">offensive security</w:t>
      </w:r>
      <w:r>
        <w:t xml:space="preserve">, authorised adversarial techniques used to discover and test weaknesses. It covers information, system and network security, extends to</w:t>
      </w:r>
      <w:r>
        <w:t xml:space="preserve"> </w:t>
      </w:r>
      <w:r>
        <w:rPr>
          <w:bCs/>
          <w:b/>
        </w:rPr>
        <w:t xml:space="preserve">cyber-physical systems</w:t>
      </w:r>
      <w:r>
        <w:t xml:space="preserve"> </w:t>
      </w:r>
      <w:r>
        <w:t xml:space="preserve">that integrate computation with physical processes so that a cyber incident can cause physical harm, and its framework comprises policy principles, legal instruments and institutions.</w:t>
      </w:r>
    </w:p>
    <w:p>
      <w:pPr>
        <w:pStyle w:val="BodyText"/>
      </w:pPr>
      <w:r>
        <w:t xml:space="preserve">Internationally, cyber-power has been described as the</w:t>
      </w:r>
      <w:r>
        <w:t xml:space="preserve"> </w:t>
      </w:r>
      <w:r>
        <w:rPr>
          <w:iCs/>
          <w:i/>
        </w:rPr>
        <w:t xml:space="preserve">“</w:t>
      </w:r>
      <w:r>
        <w:rPr>
          <w:iCs/>
          <w:i/>
        </w:rPr>
        <w:t xml:space="preserve">perfect weapon: cheap, hard to see coming, hard to trace,</w:t>
      </w:r>
      <w:r>
        <w:rPr>
          <w:iCs/>
          <w:i/>
        </w:rPr>
        <w:t xml:space="preserve">”</w:t>
      </w:r>
      <w:r>
        <w:t xml:space="preserve"> </w:t>
      </w:r>
      <w:r>
        <w:t xml:space="preserve">the standing example being</w:t>
      </w:r>
      <w:r>
        <w:t xml:space="preserve"> </w:t>
      </w:r>
      <w:r>
        <w:rPr>
          <w:bCs/>
          <w:b/>
        </w:rPr>
        <w:t xml:space="preserve">Stuxnet</w:t>
      </w:r>
      <w:r>
        <w:t xml:space="preserve">. The</w:t>
      </w:r>
      <w:r>
        <w:t xml:space="preserve"> </w:t>
      </w:r>
      <w:r>
        <w:rPr>
          <w:iCs/>
          <w:i/>
          <w:bCs/>
          <w:b/>
        </w:rPr>
        <w:t xml:space="preserve">Tallinn Manual 2.0 on the International Law applicable to Cyber Operations</w:t>
      </w:r>
      <w:r>
        <w:t xml:space="preserve">, prepared by an international group of experts convened by the</w:t>
      </w:r>
      <w:r>
        <w:t xml:space="preserve"> </w:t>
      </w:r>
      <w:r>
        <w:rPr>
          <w:bCs/>
          <w:b/>
        </w:rPr>
        <w:t xml:space="preserve">NATO Cooperative Cyber Defence Centre of Excellence</w:t>
      </w:r>
      <w:r>
        <w:t xml:space="preserve">, is an expert study of how existing international law applies; it is</w:t>
      </w:r>
      <w:r>
        <w:t xml:space="preserve"> </w:t>
      </w:r>
      <w:r>
        <w:rPr>
          <w:bCs/>
          <w:b/>
        </w:rPr>
        <w:t xml:space="preserve">not a treaty and States lack consensus on it</w:t>
      </w:r>
      <w:r>
        <w:t xml:space="preserve">. Two UN processes ran in parallel on responsible State behaviour: the</w:t>
      </w:r>
      <w:r>
        <w:t xml:space="preserve"> </w:t>
      </w:r>
      <w:r>
        <w:rPr>
          <w:bCs/>
          <w:b/>
        </w:rPr>
        <w:t xml:space="preserve">Group of Governmental Experts (2019–2021)</w:t>
      </w:r>
      <w:r>
        <w:t xml:space="preserve">, composed of</w:t>
      </w:r>
      <w:r>
        <w:t xml:space="preserve"> </w:t>
      </w:r>
      <w:r>
        <w:rPr>
          <w:bCs/>
          <w:b/>
        </w:rPr>
        <w:t xml:space="preserve">25 selected Member States</w:t>
      </w:r>
      <w:r>
        <w:t xml:space="preserve"> </w:t>
      </w:r>
      <w:r>
        <w:t xml:space="preserve">under Resolution</w:t>
      </w:r>
      <w:r>
        <w:t xml:space="preserve"> </w:t>
      </w:r>
      <w:r>
        <w:rPr>
          <w:bCs/>
          <w:b/>
        </w:rPr>
        <w:t xml:space="preserve">A/RES/73/266</w:t>
      </w:r>
      <w:r>
        <w:t xml:space="preserve">, reporting to the 76th General Assembly session; and the</w:t>
      </w:r>
      <w:r>
        <w:t xml:space="preserve"> </w:t>
      </w:r>
      <w:r>
        <w:rPr>
          <w:bCs/>
          <w:b/>
        </w:rPr>
        <w:t xml:space="preserve">Open-Ended Working Group (2019–2020)</w:t>
      </w:r>
      <w:r>
        <w:t xml:space="preserve">, open to</w:t>
      </w:r>
      <w:r>
        <w:t xml:space="preserve"> </w:t>
      </w:r>
      <w:r>
        <w:rPr>
          <w:bCs/>
          <w:b/>
        </w:rPr>
        <w:t xml:space="preserve">all interested Member States</w:t>
      </w:r>
      <w:r>
        <w:t xml:space="preserve"> </w:t>
      </w:r>
      <w:r>
        <w:t xml:space="preserve">under Resolution</w:t>
      </w:r>
      <w:r>
        <w:t xml:space="preserve"> </w:t>
      </w:r>
      <w:r>
        <w:rPr>
          <w:bCs/>
          <w:b/>
        </w:rPr>
        <w:t xml:space="preserve">A/RES/73/27</w:t>
      </w:r>
      <w:r>
        <w:t xml:space="preserve">, reporting to the 75th session</w:t>
      </w:r>
      <w:r>
        <w:t xml:space="preserve"> </w:t>
      </w:r>
      <w:r>
        <w:rPr>
          <w:bCs/>
          <w:b/>
        </w:rPr>
        <w:t xml:space="preserve">on a consensus basis</w:t>
      </w:r>
      <w:r>
        <w:t xml:space="preserve"> </w:t>
      </w:r>
      <w:r>
        <w:t xml:space="preserve">and additionally addressing existing and potential threats and regular institutional dialogue within the UN. Both covered norms, rules and principles, confidence building measures and capacity building, and the application of international law to cyberspace.</w:t>
      </w:r>
    </w:p>
    <w:bookmarkEnd w:id="51"/>
    <w:bookmarkStart w:id="52" w:name="the-statutory-definition"/>
    <w:p>
      <w:pPr>
        <w:pStyle w:val="Heading2"/>
      </w:pPr>
      <w:r>
        <w:t xml:space="preserve">The statutory definition</w:t>
      </w:r>
    </w:p>
    <w:p>
      <w:pPr>
        <w:pStyle w:val="FirstParagraph"/>
      </w:pPr>
      <w:r>
        <w:rPr>
          <w:bCs/>
          <w:b/>
        </w:rPr>
        <w:t xml:space="preserve">Section 2(1)(nb)</w:t>
      </w:r>
      <w:r>
        <w:t xml:space="preserve"> </w:t>
      </w:r>
      <w:r>
        <w:t xml:space="preserve">defines cyber security as protecting information, equipment, devices, computer, computer resource, communication device and information stored therein from unauthorised access, use, disclosure, disruption, modification or destruction — India being one of relatively few countries with a statutory definition. The listed harms map onto the</w:t>
      </w:r>
      <w:r>
        <w:t xml:space="preserve"> </w:t>
      </w:r>
      <w:r>
        <w:rPr>
          <w:bCs/>
          <w:b/>
        </w:rPr>
        <w:t xml:space="preserve">CIA triad</w:t>
      </w:r>
      <w:r>
        <w:t xml:space="preserve">: unauthorised access, use and disclosure threaten</w:t>
      </w:r>
      <w:r>
        <w:t xml:space="preserve"> </w:t>
      </w:r>
      <w:r>
        <w:rPr>
          <w:bCs/>
          <w:b/>
        </w:rPr>
        <w:t xml:space="preserve">confidentiality</w:t>
      </w:r>
      <w:r>
        <w:t xml:space="preserve">; modification and destruction threaten</w:t>
      </w:r>
      <w:r>
        <w:t xml:space="preserve"> </w:t>
      </w:r>
      <w:r>
        <w:rPr>
          <w:bCs/>
          <w:b/>
        </w:rPr>
        <w:t xml:space="preserve">integrity</w:t>
      </w:r>
      <w:r>
        <w:t xml:space="preserve">; disruption and destruction threaten</w:t>
      </w:r>
      <w:r>
        <w:t xml:space="preserve"> </w:t>
      </w:r>
      <w:r>
        <w:rPr>
          <w:bCs/>
          <w:b/>
        </w:rPr>
        <w:t xml:space="preserve">availability</w:t>
      </w:r>
      <w:r>
        <w:t xml:space="preserve">. The AIIMS attack is the standard illustration because it engaged all three simultaneously — patient data exposed, 1.3 TB encrypted, and outpatient services suspended.</w:t>
      </w:r>
    </w:p>
    <w:p>
      <w:pPr>
        <w:pStyle w:val="BodyText"/>
      </w:pPr>
      <w:r>
        <w:t xml:space="preserve">The</w:t>
      </w:r>
      <w:r>
        <w:t xml:space="preserve"> </w:t>
      </w:r>
      <w:r>
        <w:rPr>
          <w:bCs/>
          <w:b/>
        </w:rPr>
        <w:t xml:space="preserve">National Cyber Security Policy 2013</w:t>
      </w:r>
      <w:r>
        <w:t xml:space="preserve"> </w:t>
      </w:r>
      <w:r>
        <w:t xml:space="preserve">remains the operative policy. Its core objective is to</w:t>
      </w:r>
      <w:r>
        <w:t xml:space="preserve"> </w:t>
      </w:r>
      <w:r>
        <w:rPr>
          <w:iCs/>
          <w:i/>
        </w:rPr>
        <w:t xml:space="preserve">“</w:t>
      </w:r>
      <w:r>
        <w:rPr>
          <w:iCs/>
          <w:i/>
        </w:rPr>
        <w:t xml:space="preserve">protect information as well as information infrastructure, reduce vulnerabilities, build capabilities to prevent and respond to cyber threats and minimize damage from cyber incidents.</w:t>
      </w:r>
      <w:r>
        <w:rPr>
          <w:iCs/>
          <w:i/>
        </w:rPr>
        <w:t xml:space="preserve">”</w:t>
      </w:r>
      <w:r>
        <w:t xml:space="preserve"> </w:t>
      </w:r>
      <w:r>
        <w:t xml:space="preserve">It rests on the protection of critical information infrastructure; on the</w:t>
      </w:r>
      <w:r>
        <w:t xml:space="preserve"> </w:t>
      </w:r>
      <w:r>
        <w:rPr>
          <w:bCs/>
          <w:b/>
        </w:rPr>
        <w:t xml:space="preserve">three P’s — product, process and personnel</w:t>
      </w:r>
      <w:r>
        <w:t xml:space="preserve">, described as the basic building blocks of any cybersecurity system, meaning respectively the hardware and servers that must meet standards and be audited, the software and repeatable procedures, and trained human resource; on promoting global best practices in information security through standards such as</w:t>
      </w:r>
      <w:r>
        <w:t xml:space="preserve"> </w:t>
      </w:r>
      <w:r>
        <w:rPr>
          <w:bCs/>
          <w:b/>
        </w:rPr>
        <w:t xml:space="preserve">ISO/IEC</w:t>
      </w:r>
      <w:r>
        <w:t xml:space="preserve">; on the creation of a workforce of</w:t>
      </w:r>
      <w:r>
        <w:t xml:space="preserve"> </w:t>
      </w:r>
      <w:r>
        <w:rPr>
          <w:bCs/>
          <w:b/>
        </w:rPr>
        <w:t xml:space="preserve">five lakh cyber-security professionals within five years</w:t>
      </w:r>
      <w:r>
        <w:t xml:space="preserve">, which is a policy target and not a reported achievement; and on strengthening the regulatory framework, with periodic review and harmonisation with international frameworks including internet governance.</w:t>
      </w:r>
    </w:p>
    <w:bookmarkEnd w:id="52"/>
    <w:bookmarkStart w:id="53" w:name="X6385043032d432d8a261bd7c590f91bd89029a9"/>
    <w:p>
      <w:pPr>
        <w:pStyle w:val="Heading2"/>
      </w:pPr>
      <w:r>
        <w:t xml:space="preserve">Protected systems and critical information infrastructure</w:t>
      </w:r>
    </w:p>
    <w:p>
      <w:pPr>
        <w:pStyle w:val="FirstParagraph"/>
      </w:pPr>
      <w:r>
        <w:rPr>
          <w:bCs/>
          <w:b/>
        </w:rPr>
        <w:t xml:space="preserve">Section 70(1)</w:t>
      </w:r>
      <w:r>
        <w:t xml:space="preserve"> </w:t>
      </w:r>
      <w:r>
        <w:t xml:space="preserve">empowers the appropriate Government, by notification in the Official Gazette, to declare any computer resource which directly or indirectly affects the facility of critical information infrastructure to be a</w:t>
      </w:r>
      <w:r>
        <w:t xml:space="preserve"> </w:t>
      </w:r>
      <w:r>
        <w:rPr>
          <w:bCs/>
          <w:b/>
        </w:rPr>
        <w:t xml:space="preserve">protected system</w:t>
      </w:r>
      <w:r>
        <w:t xml:space="preserve">. The Explanation defines</w:t>
      </w:r>
      <w:r>
        <w:t xml:space="preserve"> </w:t>
      </w:r>
      <w:r>
        <w:rPr>
          <w:bCs/>
          <w:b/>
        </w:rPr>
        <w:t xml:space="preserve">critical information infrastructure</w:t>
      </w:r>
      <w:r>
        <w:t xml:space="preserve"> </w:t>
      </w:r>
      <w:r>
        <w:t xml:space="preserve">as a computer resource</w:t>
      </w:r>
      <w:r>
        <w:t xml:space="preserve"> </w:t>
      </w:r>
      <w:r>
        <w:rPr>
          <w:iCs/>
          <w:i/>
        </w:rPr>
        <w:t xml:space="preserve">“</w:t>
      </w:r>
      <w:r>
        <w:rPr>
          <w:iCs/>
          <w:i/>
        </w:rPr>
        <w:t xml:space="preserve">the incapacitation or destruction of which shall have a debilitating impact on national security, economy, public health or safety.</w:t>
      </w:r>
      <w:r>
        <w:rPr>
          <w:iCs/>
          <w:i/>
        </w:rPr>
        <w:t xml:space="preserve">”</w:t>
      </w:r>
      <w:r>
        <w:t xml:space="preserve"> </w:t>
      </w:r>
      <w:r>
        <w:t xml:space="preserve">The test is therefore consequence, not size or sophistication.</w:t>
      </w:r>
      <w:r>
        <w:t xml:space="preserve"> </w:t>
      </w:r>
      <w:r>
        <w:rPr>
          <w:bCs/>
          <w:b/>
        </w:rPr>
        <w:t xml:space="preserve">Section 70(2)</w:t>
      </w:r>
      <w:r>
        <w:t xml:space="preserve"> </w:t>
      </w:r>
      <w:r>
        <w:t xml:space="preserve">authorises the Government to designate the persons who may access such systems,</w:t>
      </w:r>
      <w:r>
        <w:t xml:space="preserve"> </w:t>
      </w:r>
      <w:r>
        <w:rPr>
          <w:bCs/>
          <w:b/>
        </w:rPr>
        <w:t xml:space="preserve">s.70(3)</w:t>
      </w:r>
      <w:r>
        <w:t xml:space="preserve"> </w:t>
      </w:r>
      <w:r>
        <w:t xml:space="preserve">punishes securing access</w:t>
      </w:r>
      <w:r>
        <w:t xml:space="preserve"> </w:t>
      </w:r>
      <w:r>
        <w:rPr>
          <w:bCs/>
          <w:b/>
        </w:rPr>
        <w:t xml:space="preserve">or attempting to secure access</w:t>
      </w:r>
      <w:r>
        <w:t xml:space="preserve"> </w:t>
      </w:r>
      <w:r>
        <w:t xml:space="preserve">in contravention with imprisonment up to</w:t>
      </w:r>
      <w:r>
        <w:t xml:space="preserve"> </w:t>
      </w:r>
      <w:r>
        <w:rPr>
          <w:bCs/>
          <w:b/>
        </w:rPr>
        <w:t xml:space="preserve">ten years</w:t>
      </w:r>
      <w:r>
        <w:t xml:space="preserve"> </w:t>
      </w:r>
      <w:r>
        <w:t xml:space="preserve">and fine, and</w:t>
      </w:r>
      <w:r>
        <w:t xml:space="preserve"> </w:t>
      </w:r>
      <w:r>
        <w:rPr>
          <w:bCs/>
          <w:b/>
        </w:rPr>
        <w:t xml:space="preserve">s.70(4)</w:t>
      </w:r>
      <w:r>
        <w:t xml:space="preserve"> </w:t>
      </w:r>
      <w:r>
        <w:t xml:space="preserve">requires the Central Government to prescribe information security practices and procedures.</w:t>
      </w:r>
    </w:p>
    <w:p>
      <w:pPr>
        <w:pStyle w:val="BodyText"/>
      </w:pPr>
      <w:r>
        <w:t xml:space="preserve">Critical information infrastructure is the backbone of transport, power, energy, telecom, public sector undertakings and banking and finance, and because of cross-sectoral interconnection through shared ICT systems, the breakdown of one produces</w:t>
      </w:r>
      <w:r>
        <w:t xml:space="preserve"> </w:t>
      </w:r>
      <w:r>
        <w:rPr>
          <w:bCs/>
          <w:b/>
        </w:rPr>
        <w:t xml:space="preserve">ripple effects</w:t>
      </w:r>
      <w:r>
        <w:t xml:space="preserve"> </w:t>
      </w:r>
      <w:r>
        <w:t xml:space="preserve">on others and the possibility of</w:t>
      </w:r>
      <w:r>
        <w:t xml:space="preserve"> </w:t>
      </w:r>
      <w:r>
        <w:rPr>
          <w:bCs/>
          <w:b/>
        </w:rPr>
        <w:t xml:space="preserve">cascading disasters</w:t>
      </w:r>
      <w:r>
        <w:t xml:space="preserve">. NCIIPC identifies six critical sectors:</w:t>
      </w:r>
      <w:r>
        <w:t xml:space="preserve"> </w:t>
      </w:r>
      <w:r>
        <w:rPr>
          <w:bCs/>
          <w:b/>
        </w:rPr>
        <w:t xml:space="preserve">transport; power and energy; telecom; government; banking, financial services and insurance; and strategic and public enterprises</w:t>
      </w:r>
      <w:r>
        <w:t xml:space="preserve">. The worked example of notification is</w:t>
      </w:r>
      <w:r>
        <w:t xml:space="preserve"> </w:t>
      </w:r>
      <w:r>
        <w:rPr>
          <w:bCs/>
          <w:b/>
        </w:rPr>
        <w:t xml:space="preserve">G.S.R. 993(E) of 11 December 2015</w:t>
      </w:r>
      <w:r>
        <w:t xml:space="preserve">, declaring UIDAI’s</w:t>
      </w:r>
      <w:r>
        <w:t xml:space="preserve"> </w:t>
      </w:r>
      <w:r>
        <w:rPr>
          <w:bCs/>
          <w:b/>
        </w:rPr>
        <w:t xml:space="preserve">Central Identities Data Repository</w:t>
      </w:r>
      <w:r>
        <w:t xml:space="preserve">, its information assets, logistics infrastructure and dependencies to be a protected system, and listing four categories of authorised personnel with role-based access — designated UIDAI officers and support staff, team members of the contracted Managed Service Provider, other authorised third-party vendors and partners, and UIDAI authorised business partners.</w:t>
      </w:r>
    </w:p>
    <w:bookmarkEnd w:id="53"/>
    <w:bookmarkStart w:id="54" w:name="the-two-institutions"/>
    <w:p>
      <w:pPr>
        <w:pStyle w:val="Heading2"/>
      </w:pPr>
      <w:r>
        <w:t xml:space="preserve">The two institutions</w:t>
      </w:r>
    </w:p>
    <w:p>
      <w:pPr>
        <w:pStyle w:val="FirstParagraph"/>
      </w:pPr>
      <w:r>
        <w:rPr>
          <w:bCs/>
          <w:b/>
        </w:rPr>
        <w:t xml:space="preserve">Section 70A</w:t>
      </w:r>
      <w:r>
        <w:t xml:space="preserve"> </w:t>
      </w:r>
      <w:r>
        <w:t xml:space="preserve">designates a national nodal agency for critical information infrastructure protection, and the</w:t>
      </w:r>
      <w:r>
        <w:t xml:space="preserve"> </w:t>
      </w:r>
      <w:r>
        <w:rPr>
          <w:bCs/>
          <w:b/>
        </w:rPr>
        <w:t xml:space="preserve">IT (NCIIPC and Manner of Performing Functions and Duties) Rules 2013</w:t>
      </w:r>
      <w:r>
        <w:t xml:space="preserve"> </w:t>
      </w:r>
      <w:r>
        <w:t xml:space="preserve">name that agency as the</w:t>
      </w:r>
      <w:r>
        <w:t xml:space="preserve"> </w:t>
      </w:r>
      <w:r>
        <w:rPr>
          <w:bCs/>
          <w:b/>
        </w:rPr>
        <w:t xml:space="preserve">National Critical Information Infrastructure Protection Centre</w:t>
      </w:r>
      <w:r>
        <w:t xml:space="preserve">, placing it under the</w:t>
      </w:r>
      <w:r>
        <w:t xml:space="preserve"> </w:t>
      </w:r>
      <w:r>
        <w:rPr>
          <w:bCs/>
          <w:b/>
        </w:rPr>
        <w:t xml:space="preserve">National Technical Research Organisation</w:t>
      </w:r>
      <w:r>
        <w:t xml:space="preserve">, requiring it to function on a twenty-four hour basis on all days including gazetted holidays, and defining its constituency as notified Indian critical information infrastructure</w:t>
      </w:r>
      <w:r>
        <w:t xml:space="preserve"> </w:t>
      </w:r>
      <w:r>
        <w:rPr>
          <w:bCs/>
          <w:b/>
        </w:rPr>
        <w:t xml:space="preserve">excluding that notified under the Ministry of Defence</w:t>
      </w:r>
      <w:r>
        <w:t xml:space="preserve">. Its functions include protecting notified protected systems, protecting critical information infrastructure from cyber-terrorist attack and from being a target in cyber-warfare, and</w:t>
      </w:r>
      <w:r>
        <w:t xml:space="preserve"> </w:t>
      </w:r>
      <w:r>
        <w:rPr>
          <w:bCs/>
          <w:b/>
        </w:rPr>
        <w:t xml:space="preserve">identifying</w:t>
      </w:r>
      <w:r>
        <w:t xml:space="preserve"> </w:t>
      </w:r>
      <w:r>
        <w:t xml:space="preserve">critical information infrastructure used in businesses and industrial processes. Rule 4(5) is significant in problem questions: the</w:t>
      </w:r>
      <w:r>
        <w:t xml:space="preserve"> </w:t>
      </w:r>
      <w:r>
        <w:rPr>
          <w:bCs/>
          <w:b/>
        </w:rPr>
        <w:t xml:space="preserve">basic responsibility for protecting critical information infrastructure lies with the agency running it</w:t>
      </w:r>
      <w:r>
        <w:t xml:space="preserve">, not with NCIIPC. Rule 5 governs coordination and prioritisation and connects to the powers under s.69B. Identification proceeds on four criteria — the</w:t>
      </w:r>
      <w:r>
        <w:t xml:space="preserve"> </w:t>
      </w:r>
      <w:r>
        <w:rPr>
          <w:bCs/>
          <w:b/>
        </w:rPr>
        <w:t xml:space="preserve">size and economic value</w:t>
      </w:r>
      <w:r>
        <w:t xml:space="preserve"> </w:t>
      </w:r>
      <w:r>
        <w:t xml:space="preserve">of the business or industrial process, the</w:t>
      </w:r>
      <w:r>
        <w:t xml:space="preserve"> </w:t>
      </w:r>
      <w:r>
        <w:rPr>
          <w:bCs/>
          <w:b/>
        </w:rPr>
        <w:t xml:space="preserve">criticality of the process</w:t>
      </w:r>
      <w:r>
        <w:t xml:space="preserve">, the</w:t>
      </w:r>
      <w:r>
        <w:t xml:space="preserve"> </w:t>
      </w:r>
      <w:r>
        <w:rPr>
          <w:bCs/>
          <w:b/>
        </w:rPr>
        <w:t xml:space="preserve">duration of non-availability</w:t>
      </w:r>
      <w:r>
        <w:t xml:space="preserve"> </w:t>
      </w:r>
      <w:r>
        <w:t xml:space="preserve">of the computer resource, and the</w:t>
      </w:r>
      <w:r>
        <w:t xml:space="preserve"> </w:t>
      </w:r>
      <w:r>
        <w:rPr>
          <w:bCs/>
          <w:b/>
        </w:rPr>
        <w:t xml:space="preserve">level of dependency of other critical sectors</w:t>
      </w:r>
      <w:r>
        <w:t xml:space="preserve">.</w:t>
      </w:r>
    </w:p>
    <w:p>
      <w:pPr>
        <w:pStyle w:val="BodyText"/>
      </w:pPr>
      <w:r>
        <w:t xml:space="preserve">Once a system is notified, the</w:t>
      </w:r>
      <w:r>
        <w:t xml:space="preserve"> </w:t>
      </w:r>
      <w:r>
        <w:rPr>
          <w:bCs/>
          <w:b/>
        </w:rPr>
        <w:t xml:space="preserve">IT (Information Security Practices and Procedures for Protected System) Rules 2018</w:t>
      </w:r>
      <w:r>
        <w:t xml:space="preserve">, made under s.70(4), are triggered. The organisation must constitute an</w:t>
      </w:r>
      <w:r>
        <w:t xml:space="preserve"> </w:t>
      </w:r>
      <w:r>
        <w:rPr>
          <w:bCs/>
          <w:b/>
        </w:rPr>
        <w:t xml:space="preserve">Information Security Steering Committee</w:t>
      </w:r>
      <w:r>
        <w:t xml:space="preserve">, appoint a</w:t>
      </w:r>
      <w:r>
        <w:t xml:space="preserve"> </w:t>
      </w:r>
      <w:r>
        <w:rPr>
          <w:bCs/>
          <w:b/>
        </w:rPr>
        <w:t xml:space="preserve">Chief Information Security Officer</w:t>
      </w:r>
      <w:r>
        <w:t xml:space="preserve">, implement an</w:t>
      </w:r>
      <w:r>
        <w:t xml:space="preserve"> </w:t>
      </w:r>
      <w:r>
        <w:rPr>
          <w:bCs/>
          <w:b/>
        </w:rPr>
        <w:t xml:space="preserve">Information Security Management System</w:t>
      </w:r>
      <w:r>
        <w:t xml:space="preserve">, maintain</w:t>
      </w:r>
      <w:r>
        <w:t xml:space="preserve"> </w:t>
      </w:r>
      <w:r>
        <w:rPr>
          <w:bCs/>
          <w:b/>
        </w:rPr>
        <w:t xml:space="preserve">documented network architecture</w:t>
      </w:r>
      <w:r>
        <w:t xml:space="preserve">, prepare a</w:t>
      </w:r>
      <w:r>
        <w:t xml:space="preserve"> </w:t>
      </w:r>
      <w:r>
        <w:rPr>
          <w:bCs/>
          <w:b/>
        </w:rPr>
        <w:t xml:space="preserve">Cyber Crisis Management Plan</w:t>
      </w:r>
      <w:r>
        <w:t xml:space="preserve">, keep an</w:t>
      </w:r>
      <w:r>
        <w:t xml:space="preserve"> </w:t>
      </w:r>
      <w:r>
        <w:rPr>
          <w:bCs/>
          <w:b/>
        </w:rPr>
        <w:t xml:space="preserve">inventory of hardware and software</w:t>
      </w:r>
      <w:r>
        <w:t xml:space="preserve">, document</w:t>
      </w:r>
      <w:r>
        <w:t xml:space="preserve"> </w:t>
      </w:r>
      <w:r>
        <w:rPr>
          <w:bCs/>
          <w:b/>
        </w:rPr>
        <w:t xml:space="preserve">service level agreements</w:t>
      </w:r>
      <w:r>
        <w:t xml:space="preserve">, and conduct periodic</w:t>
      </w:r>
      <w:r>
        <w:t xml:space="preserve"> </w:t>
      </w:r>
      <w:r>
        <w:rPr>
          <w:bCs/>
          <w:b/>
        </w:rPr>
        <w:t xml:space="preserve">vulnerability, threat and risk assessment</w:t>
      </w:r>
      <w:r>
        <w:t xml:space="preserve">.</w:t>
      </w:r>
    </w:p>
    <w:p>
      <w:pPr>
        <w:pStyle w:val="BodyText"/>
      </w:pPr>
      <w:r>
        <w:rPr>
          <w:bCs/>
          <w:b/>
        </w:rPr>
        <w:t xml:space="preserve">Section 70B</w:t>
      </w:r>
      <w:r>
        <w:t xml:space="preserve"> </w:t>
      </w:r>
      <w:r>
        <w:t xml:space="preserve">establishes the</w:t>
      </w:r>
      <w:r>
        <w:t xml:space="preserve"> </w:t>
      </w:r>
      <w:r>
        <w:rPr>
          <w:bCs/>
          <w:b/>
        </w:rPr>
        <w:t xml:space="preserve">Indian Computer Emergency Response Team</w:t>
      </w:r>
      <w:r>
        <w:t xml:space="preserve"> </w:t>
      </w:r>
      <w:r>
        <w:t xml:space="preserve">as the national agency for cyber security, and unlike s.70A it names the body in the statute and lists its functions in</w:t>
      </w:r>
      <w:r>
        <w:t xml:space="preserve"> </w:t>
      </w:r>
      <w:r>
        <w:rPr>
          <w:bCs/>
          <w:b/>
        </w:rPr>
        <w:t xml:space="preserve">s.70B(4)</w:t>
      </w:r>
      <w:r>
        <w:t xml:space="preserve">: collection, analysis and dissemination of information on cyber incidents; forecast and alerts of cyber security incidents; emergency measures for handling cyber security incidents; coordination of incident response activities; issuing guidelines, advisories, vulnerability notes and whitepapers on information security practices, procedures, prevention, response and reporting; and such other functions as may be prescribed. Under the</w:t>
      </w:r>
      <w:r>
        <w:t xml:space="preserve"> </w:t>
      </w:r>
      <w:r>
        <w:rPr>
          <w:bCs/>
          <w:b/>
        </w:rPr>
        <w:t xml:space="preserve">CERT-In Rules 2013</w:t>
      </w:r>
      <w:r>
        <w:t xml:space="preserve"> </w:t>
      </w:r>
      <w:r>
        <w:t xml:space="preserve">its constituency is the</w:t>
      </w:r>
      <w:r>
        <w:t xml:space="preserve"> </w:t>
      </w:r>
      <w:r>
        <w:rPr>
          <w:bCs/>
          <w:b/>
        </w:rPr>
        <w:t xml:space="preserve">“</w:t>
      </w:r>
      <w:r>
        <w:rPr>
          <w:bCs/>
          <w:b/>
        </w:rPr>
        <w:t xml:space="preserve">Indian cyber community</w:t>
      </w:r>
      <w:r>
        <w:rPr>
          <w:bCs/>
          <w:b/>
        </w:rPr>
        <w:t xml:space="preserve">”</w:t>
      </w:r>
      <w:r>
        <w:t xml:space="preserve">, and it deals with cyber security generally and non-critical sectors in particular, working with internet service providers and key networks, other CERTs and CSIRTs and vendors, law enforcement agencies, the media, home users, the government sector, critical information infrastructure and the corporate sector.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NCIIPC</w:t>
            </w:r>
          </w:p>
        </w:tc>
        <w:tc>
          <w:tcPr/>
          <w:p>
            <w:pPr>
              <w:pStyle w:val="Compact"/>
              <w:jc w:val="left"/>
            </w:pPr>
            <w:r>
              <w:rPr>
                <w:bCs/>
                <w:b/>
              </w:rPr>
              <w:t xml:space="preserve">CERT-In</w:t>
            </w:r>
          </w:p>
        </w:tc>
      </w:tr>
      <w:tr>
        <w:tc>
          <w:tcPr/>
          <w:p>
            <w:pPr>
              <w:pStyle w:val="Compact"/>
              <w:jc w:val="left"/>
            </w:pPr>
            <w:r>
              <w:t xml:space="preserve">Provision</w:t>
            </w:r>
          </w:p>
        </w:tc>
        <w:tc>
          <w:tcPr/>
          <w:p>
            <w:pPr>
              <w:pStyle w:val="Compact"/>
              <w:jc w:val="left"/>
            </w:pPr>
            <w:r>
              <w:rPr>
                <w:bCs/>
                <w:b/>
              </w:rPr>
              <w:t xml:space="preserve">s.70A</w:t>
            </w:r>
          </w:p>
        </w:tc>
        <w:tc>
          <w:tcPr/>
          <w:p>
            <w:pPr>
              <w:pStyle w:val="Compact"/>
              <w:jc w:val="left"/>
            </w:pPr>
            <w:r>
              <w:rPr>
                <w:bCs/>
                <w:b/>
              </w:rPr>
              <w:t xml:space="preserve">s.70B</w:t>
            </w:r>
          </w:p>
        </w:tc>
      </w:tr>
      <w:tr>
        <w:tc>
          <w:tcPr/>
          <w:p>
            <w:pPr>
              <w:pStyle w:val="Compact"/>
              <w:jc w:val="left"/>
            </w:pPr>
            <w:r>
              <w:t xml:space="preserve">Named in the Act</w:t>
            </w:r>
          </w:p>
        </w:tc>
        <w:tc>
          <w:tcPr/>
          <w:p>
            <w:pPr>
              <w:pStyle w:val="Compact"/>
              <w:jc w:val="left"/>
            </w:pPr>
            <w:r>
              <w:rPr>
                <w:bCs/>
                <w:b/>
              </w:rPr>
              <w:t xml:space="preserve">No</w:t>
            </w:r>
            <w:r>
              <w:t xml:space="preserve"> </w:t>
            </w:r>
            <w:r>
              <w:t xml:space="preserve">— named in the 2013 Rules</w:t>
            </w:r>
          </w:p>
        </w:tc>
        <w:tc>
          <w:tcPr/>
          <w:p>
            <w:pPr>
              <w:pStyle w:val="Compact"/>
              <w:jc w:val="left"/>
            </w:pPr>
            <w:r>
              <w:rPr>
                <w:bCs/>
                <w:b/>
              </w:rPr>
              <w:t xml:space="preserve">Yes</w:t>
            </w:r>
          </w:p>
        </w:tc>
      </w:tr>
      <w:tr>
        <w:tc>
          <w:tcPr/>
          <w:p>
            <w:pPr>
              <w:pStyle w:val="Compact"/>
              <w:jc w:val="left"/>
            </w:pPr>
            <w:r>
              <w:t xml:space="preserve">Sector</w:t>
            </w:r>
          </w:p>
        </w:tc>
        <w:tc>
          <w:tcPr/>
          <w:p>
            <w:pPr>
              <w:pStyle w:val="Compact"/>
              <w:jc w:val="left"/>
            </w:pPr>
            <w:r>
              <w:rPr>
                <w:bCs/>
                <w:b/>
              </w:rPr>
              <w:t xml:space="preserve">Critical</w:t>
            </w:r>
          </w:p>
        </w:tc>
        <w:tc>
          <w:tcPr/>
          <w:p>
            <w:pPr>
              <w:pStyle w:val="Compact"/>
              <w:jc w:val="left"/>
            </w:pPr>
            <w:r>
              <w:t xml:space="preserve">Non-critical and general</w:t>
            </w:r>
          </w:p>
        </w:tc>
      </w:tr>
      <w:tr>
        <w:tc>
          <w:tcPr/>
          <w:p>
            <w:pPr>
              <w:pStyle w:val="Compact"/>
              <w:jc w:val="left"/>
            </w:pPr>
            <w:r>
              <w:t xml:space="preserve">Parent body</w:t>
            </w:r>
          </w:p>
        </w:tc>
        <w:tc>
          <w:tcPr/>
          <w:p>
            <w:pPr>
              <w:pStyle w:val="Compact"/>
              <w:jc w:val="left"/>
            </w:pPr>
            <w:r>
              <w:t xml:space="preserve">Unit of the</w:t>
            </w:r>
            <w:r>
              <w:t xml:space="preserve"> </w:t>
            </w:r>
            <w:r>
              <w:rPr>
                <w:bCs/>
                <w:b/>
              </w:rPr>
              <w:t xml:space="preserve">NTRO</w:t>
            </w:r>
          </w:p>
        </w:tc>
        <w:tc>
          <w:tcPr/>
          <w:p>
            <w:pPr>
              <w:pStyle w:val="Compact"/>
              <w:jc w:val="left"/>
            </w:pPr>
            <w:r>
              <w:t xml:space="preserve">Department of Electronics and IT</w:t>
            </w:r>
          </w:p>
        </w:tc>
      </w:tr>
      <w:tr>
        <w:tc>
          <w:tcPr/>
          <w:p>
            <w:pPr>
              <w:pStyle w:val="Compact"/>
              <w:jc w:val="left"/>
            </w:pPr>
            <w:r>
              <w:t xml:space="preserve">Constituency</w:t>
            </w:r>
          </w:p>
        </w:tc>
        <w:tc>
          <w:tcPr/>
          <w:p>
            <w:pPr>
              <w:pStyle w:val="Compact"/>
              <w:jc w:val="left"/>
            </w:pPr>
            <w:r>
              <w:t xml:space="preserve">Notified Indian CII,</w:t>
            </w:r>
            <w:r>
              <w:t xml:space="preserve"> </w:t>
            </w:r>
            <w:r>
              <w:rPr>
                <w:bCs/>
                <w:b/>
              </w:rPr>
              <w:t xml:space="preserve">excluding Ministry of Defence</w:t>
            </w:r>
          </w:p>
        </w:tc>
        <w:tc>
          <w:tcPr/>
          <w:p>
            <w:pPr>
              <w:pStyle w:val="Compact"/>
              <w:jc w:val="left"/>
            </w:pPr>
            <w:r>
              <w:t xml:space="preserve">The</w:t>
            </w:r>
            <w:r>
              <w:t xml:space="preserve"> </w:t>
            </w:r>
            <w:r>
              <w:rPr>
                <w:bCs/>
                <w:b/>
              </w:rPr>
              <w:t xml:space="preserve">“</w:t>
            </w:r>
            <w:r>
              <w:rPr>
                <w:bCs/>
                <w:b/>
              </w:rPr>
              <w:t xml:space="preserve">Indian cyber community</w:t>
            </w:r>
            <w:r>
              <w:rPr>
                <w:bCs/>
                <w:b/>
              </w:rPr>
              <w:t xml:space="preserve">”</w:t>
            </w:r>
          </w:p>
        </w:tc>
      </w:tr>
      <w:tr>
        <w:tc>
          <w:tcPr/>
          <w:p>
            <w:pPr>
              <w:pStyle w:val="Compact"/>
              <w:jc w:val="left"/>
            </w:pPr>
            <w:r>
              <w:t xml:space="preserve">Function</w:t>
            </w:r>
          </w:p>
        </w:tc>
        <w:tc>
          <w:tcPr/>
          <w:p>
            <w:pPr>
              <w:pStyle w:val="Compact"/>
              <w:jc w:val="left"/>
            </w:pPr>
            <w:r>
              <w:rPr>
                <w:bCs/>
                <w:b/>
              </w:rPr>
              <w:t xml:space="preserve">Protection</w:t>
            </w:r>
          </w:p>
        </w:tc>
        <w:tc>
          <w:tcPr/>
          <w:p>
            <w:pPr>
              <w:pStyle w:val="Compact"/>
              <w:jc w:val="left"/>
            </w:pPr>
            <w:r>
              <w:rPr>
                <w:bCs/>
                <w:b/>
              </w:rPr>
              <w:t xml:space="preserve">Incident response</w:t>
            </w:r>
          </w:p>
        </w:tc>
      </w:tr>
      <w:tr>
        <w:tc>
          <w:tcPr/>
          <w:p>
            <w:pPr>
              <w:pStyle w:val="Compact"/>
              <w:jc w:val="left"/>
            </w:pPr>
            <w:r>
              <w:t xml:space="preserve">Functions located in</w:t>
            </w:r>
          </w:p>
        </w:tc>
        <w:tc>
          <w:tcPr/>
          <w:p>
            <w:pPr>
              <w:pStyle w:val="Compact"/>
              <w:jc w:val="left"/>
            </w:pPr>
            <w:r>
              <w:t xml:space="preserve">The 2013 Rules</w:t>
            </w:r>
          </w:p>
        </w:tc>
        <w:tc>
          <w:tcPr/>
          <w:p>
            <w:pPr>
              <w:pStyle w:val="Compact"/>
              <w:jc w:val="left"/>
            </w:pPr>
            <w:r>
              <w:rPr>
                <w:bCs/>
                <w:b/>
              </w:rPr>
              <w:t xml:space="preserve">s.70B(4)</w:t>
            </w:r>
          </w:p>
        </w:tc>
      </w:tr>
    </w:tbl>
    <w:p>
      <w:pPr>
        <w:pStyle w:val="BodyText"/>
      </w:pPr>
      <w:r>
        <w:t xml:space="preserve">Their functions nevertheless overlap, and the critical–non-critical division is a way of understanding mandates rather than a watertight compartment; saying so earns the mark.</w:t>
      </w:r>
    </w:p>
    <w:bookmarkEnd w:id="54"/>
    <w:bookmarkStart w:id="55" w:name="the-cert-in-directions-2022"/>
    <w:p>
      <w:pPr>
        <w:pStyle w:val="Heading2"/>
      </w:pPr>
      <w:r>
        <w:t xml:space="preserve">The CERT-In Directions 2022</w:t>
      </w:r>
    </w:p>
    <w:p>
      <w:pPr>
        <w:pStyle w:val="FirstParagraph"/>
      </w:pPr>
      <w:r>
        <w:t xml:space="preserve">The core features of a virtual private network are user security and privacy through an encrypted connection that conceals the internet protocol address and keeps the user unidentifiable. Against that, paragraph (iv) of the Directions requires</w:t>
      </w:r>
      <w:r>
        <w:t xml:space="preserve"> </w:t>
      </w:r>
      <w:r>
        <w:rPr>
          <w:bCs/>
          <w:b/>
        </w:rPr>
        <w:t xml:space="preserve">all service providers, intermediaries, data centres, body corporate and Government organisations</w:t>
      </w:r>
      <w:r>
        <w:t xml:space="preserve"> </w:t>
      </w:r>
      <w:r>
        <w:t xml:space="preserve">to mandatorily enable logs of all their ICT systems and maintain them securely for a</w:t>
      </w:r>
      <w:r>
        <w:t xml:space="preserve"> </w:t>
      </w:r>
      <w:r>
        <w:rPr>
          <w:bCs/>
          <w:b/>
        </w:rPr>
        <w:t xml:space="preserve">rolling period of 180 days within the Indian jurisdiction</w:t>
      </w:r>
      <w:r>
        <w:t xml:space="preserve">, to be provided to CERT-In on incident reporting or direction. Paragraph (v) requires</w:t>
      </w:r>
      <w:r>
        <w:t xml:space="preserve"> </w:t>
      </w:r>
      <w:r>
        <w:rPr>
          <w:bCs/>
          <w:b/>
        </w:rPr>
        <w:t xml:space="preserve">data centres, virtual private server providers, cloud service providers and VPN service providers</w:t>
      </w:r>
      <w:r>
        <w:t xml:space="preserve"> </w:t>
      </w:r>
      <w:r>
        <w:t xml:space="preserve">to register and maintain, for</w:t>
      </w:r>
      <w:r>
        <w:t xml:space="preserve"> </w:t>
      </w:r>
      <w:r>
        <w:rPr>
          <w:bCs/>
          <w:b/>
        </w:rPr>
        <w:t xml:space="preserve">five years</w:t>
      </w:r>
      <w:r>
        <w:t xml:space="preserve"> </w:t>
      </w:r>
      <w:r>
        <w:t xml:space="preserve">or longer, validated names of subscribers, the period of hire including dates, the IP addresses allotted and in use, the email address, IP address and time stamp used at registration, the purpose of hiring, validated addresses and contact numbers, and the ownership pattern of subscribers.</w:t>
      </w:r>
    </w:p>
    <w:p>
      <w:pPr>
        <w:pStyle w:val="BodyText"/>
      </w:pPr>
      <w:r>
        <w:t xml:space="preserve">The tension is unavoidable: a VPN exists to render the user unidentifiable, and the Directions require its provider to collect and retain for five years exactly the information that identifies the user. The policy conflict is between privacy-enhancing network tools on one side and incident investigation and accountability on the other.</w:t>
      </w:r>
    </w:p>
    <w:p>
      <w:pPr>
        <w:pStyle w:val="BodyText"/>
      </w:pPr>
      <w:r>
        <w:t xml:space="preserve">The concluding position of the course is that the Indian cybersecurity landscape must adapt and prove its resilience against complex, futuristic threats; that all stakeholders must be brought together without a rigid dichotomy between public and private sectors; that not all risks can be addressed by governments and industry, so citizens must protect themselves; and that users should demand and adopt cyber-secure products and make cyber-smart decisions. The mnemonic offered is</w:t>
      </w:r>
      <w:r>
        <w:t xml:space="preserve"> </w:t>
      </w:r>
      <w:r>
        <w:rPr>
          <w:bCs/>
          <w:b/>
        </w:rPr>
        <w:t xml:space="preserve">A — assume nothing, B — believe nobody, C — check everything</w:t>
      </w:r>
      <w:r>
        <w:t xml:space="preserve">.</w:t>
      </w:r>
    </w:p>
    <w:bookmarkEnd w:id="55"/>
    <w:bookmarkEnd w:id="56"/>
    <w:bookmarkStart w:id="62" w:name="X721ab749ddbc351b7628eedee5435c18efc2cc9"/>
    <w:p>
      <w:pPr>
        <w:pStyle w:val="Heading1"/>
      </w:pPr>
      <w:r>
        <w:t xml:space="preserve">MODULE 5 — SYNTHETICALLY GENERATED INFORMATION</w:t>
      </w:r>
    </w:p>
    <w:bookmarkStart w:id="57" w:name="why-the-2026-rules-were-made"/>
    <w:p>
      <w:pPr>
        <w:pStyle w:val="Heading2"/>
      </w:pPr>
      <w:r>
        <w:t xml:space="preserve">Why the 2026 Rules were made</w:t>
      </w:r>
    </w:p>
    <w:p>
      <w:pPr>
        <w:pStyle w:val="FirstParagraph"/>
      </w:pPr>
      <w:r>
        <w:t xml:space="preserve">Generative artificial intelligence has made synthetic content creation cheap and accessible, and increased internet and social media usage has accelerated its spread; such systems now generate highly realistic manipulated audio, video and text from minimal user input. The distinction between authentic and AI-generated content is increasingly difficult to identify, and traditional legal frameworks premised on</w:t>
      </w:r>
      <w:r>
        <w:t xml:space="preserve"> </w:t>
      </w:r>
      <w:r>
        <w:rPr>
          <w:bCs/>
          <w:b/>
        </w:rPr>
        <w:t xml:space="preserve">human authorship</w:t>
      </w:r>
      <w:r>
        <w:t xml:space="preserve"> </w:t>
      </w:r>
      <w:r>
        <w:t xml:space="preserve">and</w:t>
      </w:r>
      <w:r>
        <w:t xml:space="preserve"> </w:t>
      </w:r>
      <w:r>
        <w:rPr>
          <w:bCs/>
          <w:b/>
        </w:rPr>
        <w:t xml:space="preserve">traceability</w:t>
      </w:r>
      <w:r>
        <w:t xml:space="preserve"> </w:t>
      </w:r>
      <w:r>
        <w:t xml:space="preserve">have become inadequate. The harms are fraud, impersonation, misinformation, electoral manipulation and the erosion of public trust, the last being systemic: repeated exposure to convincing fakes makes audiences distrust genuine evidence as well. Existing law under the IT Act 2000 and the Bharatiya Nyaya Sanhita 2023 addresses these harms only in a fragmented and reactive manner, and the absence of clear legal categorisation creates regulatory ambiguity and enforcement difficulty. The organising thesis of the amendment is that it</w:t>
      </w:r>
      <w:r>
        <w:t xml:space="preserve"> </w:t>
      </w:r>
      <w:r>
        <w:rPr>
          <w:bCs/>
          <w:b/>
        </w:rPr>
        <w:t xml:space="preserve">shifts governance from reactive liability-based regulation to technology-embedded regulation</w:t>
      </w:r>
      <w:r>
        <w:t xml:space="preserve"> </w:t>
      </w:r>
      <w:r>
        <w:t xml:space="preserve">— the duty is built into the platform’s systems through declarations, labels, metadata and detection rather than imposed after harm has occurred.</w:t>
      </w:r>
    </w:p>
    <w:bookmarkEnd w:id="57"/>
    <w:bookmarkStart w:id="58" w:name="Xec23d90e53f47057a7466f813f28a25e7f35749"/>
    <w:p>
      <w:pPr>
        <w:pStyle w:val="Heading2"/>
      </w:pPr>
      <w:r>
        <w:t xml:space="preserve">What counts as synthetically generated information</w:t>
      </w:r>
    </w:p>
    <w:p>
      <w:pPr>
        <w:pStyle w:val="FirstParagraph"/>
      </w:pPr>
      <w:r>
        <w:rPr>
          <w:bCs/>
          <w:b/>
        </w:rPr>
        <w:t xml:space="preserve">Rule 2(1)(ca)</w:t>
      </w:r>
      <w:r>
        <w:t xml:space="preserve"> </w:t>
      </w:r>
      <w:r>
        <w:t xml:space="preserve">defines audio, visual or audio-visual information as any audio, image, photograph, graphic, video, moving visual recording, sound recording or any other such content, with or without accompanying audio, whether created, generated, modified or altered through any computer resource.</w:t>
      </w:r>
      <w:r>
        <w:t xml:space="preserve"> </w:t>
      </w:r>
      <w:r>
        <w:rPr>
          <w:bCs/>
          <w:b/>
        </w:rPr>
        <w:t xml:space="preserve">Rule 2(1)(wa)</w:t>
      </w:r>
      <w:r>
        <w:t xml:space="preserve"> </w:t>
      </w:r>
      <w:r>
        <w:t xml:space="preserve">then defines</w:t>
      </w:r>
      <w:r>
        <w:t xml:space="preserve"> </w:t>
      </w:r>
      <w:r>
        <w:rPr>
          <w:bCs/>
          <w:b/>
        </w:rPr>
        <w:t xml:space="preserve">synthetically generated information</w:t>
      </w:r>
      <w:r>
        <w:t xml:space="preserve"> </w:t>
      </w:r>
      <w:r>
        <w:t xml:space="preserve">as such information which is</w:t>
      </w:r>
      <w:r>
        <w:t xml:space="preserve"> </w:t>
      </w:r>
      <w:r>
        <w:rPr>
          <w:iCs/>
          <w:i/>
        </w:rPr>
        <w:t xml:space="preserve">“</w:t>
      </w:r>
      <w:r>
        <w:rPr>
          <w:iCs/>
          <w:i/>
        </w:rPr>
        <w:t xml:space="preserve">artificially or algorithmically created, generated, modified or altered using a computer resource, in a manner that such information appears to be real, authentic or true and depicts or portrays any individual or event in a manner that is, or is likely to be perceived as, indistinguishable from a natural person or real-world event.</w:t>
      </w:r>
      <w:r>
        <w:rPr>
          <w:iCs/>
          <w:i/>
        </w:rPr>
        <w:t xml:space="preserve">”</w:t>
      </w:r>
    </w:p>
    <w:p>
      <w:pPr>
        <w:pStyle w:val="BodyText"/>
      </w:pPr>
      <w:r>
        <w:t xml:space="preserve">Three elements are cumulative: the</w:t>
      </w:r>
      <w:r>
        <w:t xml:space="preserve"> </w:t>
      </w:r>
      <w:r>
        <w:rPr>
          <w:bCs/>
          <w:b/>
        </w:rPr>
        <w:t xml:space="preserve">media</w:t>
      </w:r>
      <w:r>
        <w:t xml:space="preserve"> </w:t>
      </w:r>
      <w:r>
        <w:t xml:space="preserve">element, that it is audio, visual or audio-visual; the</w:t>
      </w:r>
      <w:r>
        <w:t xml:space="preserve"> </w:t>
      </w:r>
      <w:r>
        <w:rPr>
          <w:bCs/>
          <w:b/>
        </w:rPr>
        <w:t xml:space="preserve">technical</w:t>
      </w:r>
      <w:r>
        <w:t xml:space="preserve"> </w:t>
      </w:r>
      <w:r>
        <w:t xml:space="preserve">element, that it was artificially or algorithmically created, generated, modified or altered using a computer resource, which makes the definition technology-neutral rather than confined to generative AI; and the</w:t>
      </w:r>
      <w:r>
        <w:t xml:space="preserve"> </w:t>
      </w:r>
      <w:r>
        <w:rPr>
          <w:bCs/>
          <w:b/>
        </w:rPr>
        <w:t xml:space="preserve">perception</w:t>
      </w:r>
      <w:r>
        <w:t xml:space="preserve"> </w:t>
      </w:r>
      <w:r>
        <w:t xml:space="preserve">element, that it appears real and is or is likely to be perceived as indistinguishable from reality. A proviso removes three categories, each conditional on good faith: routine editing or enhancement</w:t>
      </w:r>
      <w:r>
        <w:t xml:space="preserve"> </w:t>
      </w:r>
      <w:r>
        <w:rPr>
          <w:bCs/>
          <w:b/>
        </w:rPr>
        <w:t xml:space="preserve">without misrepresentation</w:t>
      </w:r>
      <w:r>
        <w:t xml:space="preserve">; routine creation or preparation of documents</w:t>
      </w:r>
      <w:r>
        <w:t xml:space="preserve"> </w:t>
      </w:r>
      <w:r>
        <w:rPr>
          <w:bCs/>
          <w:b/>
        </w:rPr>
        <w:t xml:space="preserve">without false documents or records</w:t>
      </w:r>
      <w:r>
        <w:t xml:space="preserve">; and the use of tools solely for accessibility, clarity, translation or searchability</w:t>
      </w:r>
      <w:r>
        <w:t xml:space="preserve"> </w:t>
      </w:r>
      <w:r>
        <w:rPr>
          <w:bCs/>
          <w:b/>
        </w:rPr>
        <w:t xml:space="preserve">without manipulating a material part</w:t>
      </w:r>
      <w:r>
        <w:t xml:space="preserve">. Colour correction falls outside; a face swap does not.</w:t>
      </w:r>
    </w:p>
    <w:p>
      <w:pPr>
        <w:pStyle w:val="BodyText"/>
      </w:pPr>
      <w:r>
        <w:rPr>
          <w:bCs/>
          <w:b/>
        </w:rPr>
        <w:t xml:space="preserve">Rules 2(1A) and 2(1B)</w:t>
      </w:r>
      <w:r>
        <w:t xml:space="preserve"> </w:t>
      </w:r>
      <w:r>
        <w:t xml:space="preserve">bring synthetically generated information within the scope of the 2021 Rules and the s.79 framework, permitting intermediaries to use reasonable technical measures including automated tools to detect, label, remove or disable access to it, and clarifying that such measures, when compliant,</w:t>
      </w:r>
      <w:r>
        <w:t xml:space="preserve"> </w:t>
      </w:r>
      <w:r>
        <w:rPr>
          <w:bCs/>
          <w:b/>
        </w:rPr>
        <w:t xml:space="preserve">do not by themselves amount to</w:t>
      </w:r>
      <w:r>
        <w:rPr>
          <w:bCs/>
          <w:b/>
        </w:rPr>
        <w:t xml:space="preserve"> </w:t>
      </w:r>
      <w:r>
        <w:rPr>
          <w:bCs/>
          <w:b/>
        </w:rPr>
        <w:t xml:space="preserve">“</w:t>
      </w:r>
      <w:r>
        <w:rPr>
          <w:bCs/>
          <w:b/>
        </w:rPr>
        <w:t xml:space="preserve">selecting or modifying</w:t>
      </w:r>
      <w:r>
        <w:rPr>
          <w:bCs/>
          <w:b/>
        </w:rPr>
        <w:t xml:space="preserve">”</w:t>
      </w:r>
      <w:r>
        <w:rPr>
          <w:bCs/>
          <w:b/>
        </w:rPr>
        <w:t xml:space="preserve"> </w:t>
      </w:r>
      <w:r>
        <w:rPr>
          <w:bCs/>
          <w:b/>
        </w:rPr>
        <w:t xml:space="preserve">content under s.79(2)(a)–(b)</w:t>
      </w:r>
      <w:r>
        <w:t xml:space="preserve">. That clarification resolves a genuine contradiction: s.79(2)(b) requires the intermediary not to select or modify, while the new Rules require it to detect and label, so without the clarification compliance would itself destroy the safe harbour.</w:t>
      </w:r>
    </w:p>
    <w:bookmarkEnd w:id="58"/>
    <w:bookmarkStart w:id="59" w:name="the-obligations"/>
    <w:p>
      <w:pPr>
        <w:pStyle w:val="Heading2"/>
      </w:pPr>
      <w:r>
        <w:t xml:space="preserve">The obligations</w:t>
      </w:r>
    </w:p>
    <w:p>
      <w:pPr>
        <w:pStyle w:val="FirstParagraph"/>
      </w:pPr>
      <w:r>
        <w:rPr>
          <w:bCs/>
          <w:b/>
        </w:rPr>
        <w:t xml:space="preserve">Rule 3(1)(c)</w:t>
      </w:r>
      <w:r>
        <w:t xml:space="preserve"> </w:t>
      </w:r>
      <w:r>
        <w:t xml:space="preserve">requires intermediaries to inform users</w:t>
      </w:r>
      <w:r>
        <w:t xml:space="preserve"> </w:t>
      </w:r>
      <w:r>
        <w:rPr>
          <w:bCs/>
          <w:b/>
        </w:rPr>
        <w:t xml:space="preserve">every three months</w:t>
      </w:r>
      <w:r>
        <w:t xml:space="preserve">, in a simple, clear and effective manner, of the consequences of violating platform rules, of suspension or termination of access, of exposure to civil and criminal liability, and of mandatory reporting obligations.</w:t>
      </w:r>
      <w:r>
        <w:t xml:space="preserve"> </w:t>
      </w:r>
      <w:r>
        <w:rPr>
          <w:bCs/>
          <w:b/>
        </w:rPr>
        <w:t xml:space="preserve">Rule 3(1)(ca)</w:t>
      </w:r>
      <w:r>
        <w:t xml:space="preserve"> </w:t>
      </w:r>
      <w:r>
        <w:t xml:space="preserve">requires platforms that enable synthetically generated information to inform users clearly of the legal risks of creating or sharing unlawful synthetic content, and lists the enforcement actions available: immediate removal or disabling; suspension or permanent termination of accounts</w:t>
      </w:r>
      <w:r>
        <w:t xml:space="preserve"> </w:t>
      </w:r>
      <w:r>
        <w:rPr>
          <w:bCs/>
          <w:b/>
        </w:rPr>
        <w:t xml:space="preserve">with evidence preservation</w:t>
      </w:r>
      <w:r>
        <w:t xml:space="preserve">; disclosure of the violating user’s identity to the victim</w:t>
      </w:r>
      <w:r>
        <w:t xml:space="preserve"> </w:t>
      </w:r>
      <w:r>
        <w:rPr>
          <w:bCs/>
          <w:b/>
        </w:rPr>
        <w:t xml:space="preserve">“</w:t>
      </w:r>
      <w:r>
        <w:rPr>
          <w:bCs/>
          <w:b/>
        </w:rPr>
        <w:t xml:space="preserve">as per law</w:t>
      </w:r>
      <w:r>
        <w:rPr>
          <w:bCs/>
          <w:b/>
        </w:rPr>
        <w:t xml:space="preserve">”</w:t>
      </w:r>
      <w:r>
        <w:t xml:space="preserve">; and mandatory reporting to authorities</w:t>
      </w:r>
      <w:r>
        <w:t xml:space="preserve"> </w:t>
      </w:r>
      <w:r>
        <w:rPr>
          <w:bCs/>
          <w:b/>
        </w:rPr>
        <w:t xml:space="preserve">“</w:t>
      </w:r>
      <w:r>
        <w:rPr>
          <w:bCs/>
          <w:b/>
        </w:rPr>
        <w:t xml:space="preserve">where legally required</w:t>
      </w:r>
      <w:r>
        <w:rPr>
          <w:bCs/>
          <w:b/>
        </w:rPr>
        <w:t xml:space="preserve">”</w:t>
      </w:r>
      <w:r>
        <w:t xml:space="preserve">. Those two qualifications matter, because they require an independent legal basis rather than conferring an open licence to expose users.</w:t>
      </w:r>
      <w:r>
        <w:t xml:space="preserve"> </w:t>
      </w:r>
      <w:r>
        <w:rPr>
          <w:bCs/>
          <w:b/>
        </w:rPr>
        <w:t xml:space="preserve">Rule 3(1)(cb)</w:t>
      </w:r>
      <w:r>
        <w:t xml:space="preserve"> </w:t>
      </w:r>
      <w:r>
        <w:t xml:space="preserve">requires prompt and appropriate action on becoming aware of unlawful synthetic content.</w:t>
      </w:r>
    </w:p>
    <w:p>
      <w:pPr>
        <w:pStyle w:val="BodyText"/>
      </w:pPr>
      <w:r>
        <w:rPr>
          <w:bCs/>
          <w:b/>
        </w:rPr>
        <w:t xml:space="preserve">Rule 3(3)(a)</w:t>
      </w:r>
      <w:r>
        <w:t xml:space="preserve"> </w:t>
      </w:r>
      <w:r>
        <w:t xml:space="preserve">governs lawful synthetic content, requiring clear and prominent identification as such together with</w:t>
      </w:r>
      <w:r>
        <w:t xml:space="preserve"> </w:t>
      </w:r>
      <w:r>
        <w:rPr>
          <w:bCs/>
          <w:b/>
        </w:rPr>
        <w:t xml:space="preserve">permanent metadata or technical provenance including unique identifiers</w:t>
      </w:r>
      <w:r>
        <w:t xml:space="preserve"> </w:t>
      </w:r>
      <w:r>
        <w:t xml:space="preserve">enabling traceability and authentication, and</w:t>
      </w:r>
      <w:r>
        <w:t xml:space="preserve"> </w:t>
      </w:r>
      <w:r>
        <w:rPr>
          <w:bCs/>
          <w:b/>
        </w:rPr>
        <w:t xml:space="preserve">Rule 3(3)(b)</w:t>
      </w:r>
      <w:r>
        <w:t xml:space="preserve"> </w:t>
      </w:r>
      <w:r>
        <w:t xml:space="preserve">requires the intermediary to prevent modification, suppression or removal of those labels, metadata and identifiers. The headline point is that</w:t>
      </w:r>
      <w:r>
        <w:t xml:space="preserve"> </w:t>
      </w:r>
      <w:r>
        <w:rPr>
          <w:bCs/>
          <w:b/>
        </w:rPr>
        <w:t xml:space="preserve">lawful synthetic content is not prohibited; it must be labelled</w:t>
      </w:r>
      <w:r>
        <w:t xml:space="preserve">, and only unlawful synthetic content must be removed.</w:t>
      </w:r>
    </w:p>
    <w:p>
      <w:pPr>
        <w:pStyle w:val="BodyText"/>
      </w:pPr>
      <w:r>
        <w:rPr>
          <w:bCs/>
          <w:b/>
        </w:rPr>
        <w:t xml:space="preserve">Rule 4(1A)</w:t>
      </w:r>
      <w:r>
        <w:t xml:space="preserve"> </w:t>
      </w:r>
      <w:r>
        <w:t xml:space="preserve">imposes the heaviest obligations on significant social media intermediaries. A user must</w:t>
      </w:r>
      <w:r>
        <w:t xml:space="preserve"> </w:t>
      </w:r>
      <w:r>
        <w:rPr>
          <w:bCs/>
          <w:b/>
        </w:rPr>
        <w:t xml:space="preserve">declare</w:t>
      </w:r>
      <w:r>
        <w:t xml:space="preserve"> </w:t>
      </w:r>
      <w:r>
        <w:t xml:space="preserve">whether content is synthetically generated</w:t>
      </w:r>
      <w:r>
        <w:t xml:space="preserve"> </w:t>
      </w:r>
      <w:r>
        <w:rPr>
          <w:bCs/>
          <w:b/>
        </w:rPr>
        <w:t xml:space="preserve">before publication</w:t>
      </w:r>
      <w:r>
        <w:t xml:space="preserve">; the intermediary must deploy</w:t>
      </w:r>
      <w:r>
        <w:t xml:space="preserve"> </w:t>
      </w:r>
      <w:r>
        <w:rPr>
          <w:bCs/>
          <w:b/>
        </w:rPr>
        <w:t xml:space="preserve">technical measures to verify</w:t>
      </w:r>
      <w:r>
        <w:t xml:space="preserve"> </w:t>
      </w:r>
      <w:r>
        <w:t xml:space="preserve">that declaration; content so declared must be</w:t>
      </w:r>
      <w:r>
        <w:t xml:space="preserve"> </w:t>
      </w:r>
      <w:r>
        <w:rPr>
          <w:bCs/>
          <w:b/>
        </w:rPr>
        <w:t xml:space="preserve">clearly and prominently labelled</w:t>
      </w:r>
      <w:r>
        <w:t xml:space="preserve">; and synthetically generated information</w:t>
      </w:r>
      <w:r>
        <w:t xml:space="preserve"> </w:t>
      </w:r>
      <w:r>
        <w:rPr>
          <w:bCs/>
          <w:b/>
        </w:rPr>
        <w:t xml:space="preserve">cannot be published without both a declaration and a label</w:t>
      </w:r>
      <w:r>
        <w:t xml:space="preserve">. The intermediary must take reasonable and appropriate technical measures both to verify declarations and to prevent unlabelled synthetic content from being published. The two-control structure means the platform may not rely on the user’s word alone, and the word</w:t>
      </w:r>
      <w:r>
        <w:t xml:space="preserve"> </w:t>
      </w:r>
      <w:r>
        <w:rPr>
          <w:bCs/>
          <w:b/>
        </w:rPr>
        <w:t xml:space="preserve">pre-publication</w:t>
      </w:r>
      <w:r>
        <w:t xml:space="preserve"> </w:t>
      </w:r>
      <w:r>
        <w:t xml:space="preserve">is what converts the scheme into a prior-restraint problem.</w:t>
      </w:r>
    </w:p>
    <w:p>
      <w:pPr>
        <w:pStyle w:val="BodyText"/>
      </w:pPr>
      <w:r>
        <w:t xml:space="preserve">The 2026 amendments also compress the clocks. Government takedown orders under</w:t>
      </w:r>
      <w:r>
        <w:t xml:space="preserve"> </w:t>
      </w:r>
      <w:r>
        <w:rPr>
          <w:bCs/>
          <w:b/>
        </w:rPr>
        <w:t xml:space="preserve">Rule 3(1)(d)</w:t>
      </w:r>
      <w:r>
        <w:t xml:space="preserve"> </w:t>
      </w:r>
      <w:r>
        <w:t xml:space="preserve">fall from thirty-six hours to</w:t>
      </w:r>
      <w:r>
        <w:t xml:space="preserve"> </w:t>
      </w:r>
      <w:r>
        <w:rPr>
          <w:bCs/>
          <w:b/>
        </w:rPr>
        <w:t xml:space="preserve">three hours</w:t>
      </w:r>
      <w:r>
        <w:t xml:space="preserve">; grievance resolution under</w:t>
      </w:r>
      <w:r>
        <w:t xml:space="preserve"> </w:t>
      </w:r>
      <w:r>
        <w:rPr>
          <w:bCs/>
          <w:b/>
        </w:rPr>
        <w:t xml:space="preserve">Rule 3(2)(a)(i)</w:t>
      </w:r>
      <w:r>
        <w:t xml:space="preserve"> </w:t>
      </w:r>
      <w:r>
        <w:t xml:space="preserve">from fifteen days to</w:t>
      </w:r>
      <w:r>
        <w:t xml:space="preserve"> </w:t>
      </w:r>
      <w:r>
        <w:rPr>
          <w:bCs/>
          <w:b/>
        </w:rPr>
        <w:t xml:space="preserve">seven days</w:t>
      </w:r>
      <w:r>
        <w:t xml:space="preserve">; sensitive content under</w:t>
      </w:r>
      <w:r>
        <w:t xml:space="preserve"> </w:t>
      </w:r>
      <w:r>
        <w:rPr>
          <w:bCs/>
          <w:b/>
        </w:rPr>
        <w:t xml:space="preserve">Rule 3(2)(a)</w:t>
      </w:r>
      <w:r>
        <w:t xml:space="preserve"> </w:t>
      </w:r>
      <w:r>
        <w:t xml:space="preserve">from seventy-two hours to</w:t>
      </w:r>
      <w:r>
        <w:t xml:space="preserve"> </w:t>
      </w:r>
      <w:r>
        <w:rPr>
          <w:bCs/>
          <w:b/>
        </w:rPr>
        <w:t xml:space="preserve">thirty-six hours</w:t>
      </w:r>
      <w:r>
        <w:t xml:space="preserve">; and content involving nudity, sexual acts, exposure of private body parts, or impersonation including morphed images under</w:t>
      </w:r>
      <w:r>
        <w:t xml:space="preserve"> </w:t>
      </w:r>
      <w:r>
        <w:rPr>
          <w:bCs/>
          <w:b/>
        </w:rPr>
        <w:t xml:space="preserve">Rule 3(2)(b)</w:t>
      </w:r>
      <w:r>
        <w:t xml:space="preserve"> </w:t>
      </w:r>
      <w:r>
        <w:t xml:space="preserve">from twenty-four hours to</w:t>
      </w:r>
      <w:r>
        <w:t xml:space="preserve"> </w:t>
      </w:r>
      <w:r>
        <w:rPr>
          <w:bCs/>
          <w:b/>
        </w:rPr>
        <w:t xml:space="preserve">two hours</w:t>
      </w:r>
      <w:r>
        <w:t xml:space="preserve">. Shorter periods reduce continuing harm but leave less time to verify the facts, the legal authority, the context and the exceptions.</w:t>
      </w:r>
    </w:p>
    <w:bookmarkEnd w:id="59"/>
    <w:bookmarkStart w:id="60" w:name="the-constitutional-objections"/>
    <w:p>
      <w:pPr>
        <w:pStyle w:val="Heading2"/>
      </w:pPr>
      <w:r>
        <w:t xml:space="preserve">The constitutional objections</w:t>
      </w:r>
    </w:p>
    <w:p>
      <w:pPr>
        <w:pStyle w:val="FirstParagraph"/>
      </w:pPr>
      <w:r>
        <w:t xml:space="preserve">Three lines of attack are available, and they should be presented in this order.</w:t>
      </w:r>
    </w:p>
    <w:p>
      <w:pPr>
        <w:pStyle w:val="BodyText"/>
      </w:pPr>
      <w:r>
        <w:t xml:space="preserve">The first is</w:t>
      </w:r>
      <w:r>
        <w:t xml:space="preserve"> </w:t>
      </w:r>
      <w:r>
        <w:rPr>
          <w:bCs/>
          <w:b/>
        </w:rPr>
        <w:t xml:space="preserve">prior restraint</w:t>
      </w:r>
      <w:r>
        <w:t xml:space="preserve">. Because the scheme requires declaration and verification before upload, it operates as pre-censorship, which</w:t>
      </w:r>
      <w:r>
        <w:t xml:space="preserve"> </w:t>
      </w:r>
      <w:r>
        <w:rPr>
          <w:iCs/>
          <w:i/>
          <w:bCs/>
          <w:b/>
        </w:rPr>
        <w:t xml:space="preserve">Brij Bhushan v. State of Delhi</w:t>
      </w:r>
      <w:r>
        <w:t xml:space="preserve"> </w:t>
      </w:r>
      <w:r>
        <w:t xml:space="preserve">and</w:t>
      </w:r>
      <w:r>
        <w:t xml:space="preserve"> </w:t>
      </w:r>
      <w:r>
        <w:rPr>
          <w:iCs/>
          <w:i/>
          <w:bCs/>
          <w:b/>
        </w:rPr>
        <w:t xml:space="preserve">Romesh Thappar v. State of Madras</w:t>
      </w:r>
      <w:r>
        <w:t xml:space="preserve"> </w:t>
      </w:r>
      <w:r>
        <w:t xml:space="preserve">resisted in favour of post-publication accountability. It makes</w:t>
      </w:r>
      <w:r>
        <w:t xml:space="preserve"> </w:t>
      </w:r>
      <w:r>
        <w:rPr>
          <w:bCs/>
          <w:b/>
        </w:rPr>
        <w:t xml:space="preserve">intermediaries the gatekeepers</w:t>
      </w:r>
      <w:r>
        <w:t xml:space="preserve">, shifting the decision from courts to private platforms, and creates a</w:t>
      </w:r>
      <w:r>
        <w:t xml:space="preserve"> </w:t>
      </w:r>
      <w:r>
        <w:rPr>
          <w:bCs/>
          <w:b/>
        </w:rPr>
        <w:t xml:space="preserve">collateral censorship</w:t>
      </w:r>
      <w:r>
        <w:t xml:space="preserve"> </w:t>
      </w:r>
      <w:r>
        <w:t xml:space="preserve">risk because platforms over-censor to avoid liability. On proportionality it fails at the</w:t>
      </w:r>
      <w:r>
        <w:t xml:space="preserve"> </w:t>
      </w:r>
      <w:r>
        <w:rPr>
          <w:bCs/>
          <w:b/>
        </w:rPr>
        <w:t xml:space="preserve">least restrictive means</w:t>
      </w:r>
      <w:r>
        <w:t xml:space="preserve"> </w:t>
      </w:r>
      <w:r>
        <w:t xml:space="preserve">stage, since alternatives exist, and at the</w:t>
      </w:r>
      <w:r>
        <w:t xml:space="preserve"> </w:t>
      </w:r>
      <w:r>
        <w:rPr>
          <w:bCs/>
          <w:b/>
        </w:rPr>
        <w:t xml:space="preserve">balancing</w:t>
      </w:r>
      <w:r>
        <w:t xml:space="preserve"> </w:t>
      </w:r>
      <w:r>
        <w:t xml:space="preserve">stage, since the harm to expression outweighs the benefit. The result is a</w:t>
      </w:r>
      <w:r>
        <w:t xml:space="preserve"> </w:t>
      </w:r>
      <w:r>
        <w:rPr>
          <w:bCs/>
          <w:b/>
        </w:rPr>
        <w:t xml:space="preserve">de facto prior restraint combined with privatised censorship</w:t>
      </w:r>
      <w:r>
        <w:t xml:space="preserve">.</w:t>
      </w:r>
    </w:p>
    <w:p>
      <w:pPr>
        <w:pStyle w:val="BodyText"/>
      </w:pPr>
      <w:r>
        <w:t xml:space="preserve">The second is</w:t>
      </w:r>
      <w:r>
        <w:t xml:space="preserve"> </w:t>
      </w:r>
      <w:r>
        <w:rPr>
          <w:bCs/>
          <w:b/>
        </w:rPr>
        <w:t xml:space="preserve">overbreadth and vagueness</w:t>
      </w:r>
      <w:r>
        <w:t xml:space="preserve">. The rule regulates excessive speech and its standards are unclear, producing arbitrary enforcement. The expressions</w:t>
      </w:r>
      <w:r>
        <w:t xml:space="preserve"> </w:t>
      </w:r>
      <w:r>
        <w:rPr>
          <w:bCs/>
          <w:b/>
        </w:rPr>
        <w:t xml:space="preserve">“</w:t>
      </w:r>
      <w:r>
        <w:rPr>
          <w:bCs/>
          <w:b/>
        </w:rPr>
        <w:t xml:space="preserve">appears real</w:t>
      </w:r>
      <w:r>
        <w:rPr>
          <w:bCs/>
          <w:b/>
        </w:rPr>
        <w:t xml:space="preserve">”</w:t>
      </w:r>
      <w:r>
        <w:t xml:space="preserve"> </w:t>
      </w:r>
      <w:r>
        <w:t xml:space="preserve">and</w:t>
      </w:r>
      <w:r>
        <w:t xml:space="preserve"> </w:t>
      </w:r>
      <w:r>
        <w:rPr>
          <w:bCs/>
          <w:b/>
        </w:rPr>
        <w:t xml:space="preserve">“</w:t>
      </w:r>
      <w:r>
        <w:rPr>
          <w:bCs/>
          <w:b/>
        </w:rPr>
        <w:t xml:space="preserve">likely to be perceived</w:t>
      </w:r>
      <w:r>
        <w:rPr>
          <w:bCs/>
          <w:b/>
        </w:rPr>
        <w:t xml:space="preserve">”</w:t>
      </w:r>
      <w:r>
        <w:t xml:space="preserve"> </w:t>
      </w:r>
      <w:r>
        <w:t xml:space="preserve">are subjective, requiring judgments about appearance and audience perception rather than fact, and the parallel with</w:t>
      </w:r>
      <w:r>
        <w:t xml:space="preserve"> </w:t>
      </w:r>
      <w:r>
        <w:rPr>
          <w:iCs/>
          <w:i/>
        </w:rPr>
        <w:t xml:space="preserve">Shreya Singhal</w:t>
      </w:r>
      <w:r>
        <w:t xml:space="preserve"> </w:t>
      </w:r>
      <w:r>
        <w:t xml:space="preserve">is exact — what appears real to one viewer may not to another, and there is no demarcating line conveyed by such expressions. Enforcement through automated tools is inconsistent and error-prone, and the outcome is over-removal of lawful content and a strong chilling effect.</w:t>
      </w:r>
    </w:p>
    <w:p>
      <w:pPr>
        <w:pStyle w:val="BodyText"/>
      </w:pPr>
      <w:r>
        <w:t xml:space="preserve">The third is</w:t>
      </w:r>
      <w:r>
        <w:t xml:space="preserve"> </w:t>
      </w:r>
      <w:r>
        <w:rPr>
          <w:bCs/>
          <w:b/>
        </w:rPr>
        <w:t xml:space="preserve">privacy</w:t>
      </w:r>
      <w:r>
        <w:t xml:space="preserve">. The right under Article 21 recognised in</w:t>
      </w:r>
      <w:r>
        <w:t xml:space="preserve"> </w:t>
      </w:r>
      <w:r>
        <w:rPr>
          <w:iCs/>
          <w:i/>
          <w:bCs/>
          <w:b/>
        </w:rPr>
        <w:t xml:space="preserve">K.S. Puttaswamy</w:t>
      </w:r>
      <w:r>
        <w:t xml:space="preserve"> </w:t>
      </w:r>
      <w:r>
        <w:t xml:space="preserve">is engaged by identity disclosure without judicial oversight. The aim — protecting victims of deepfakes, impersonation and non-consensual intimate imagery — is legitimate, but the risks are misuse, harassment, retaliation and suppression of legitimate speech, and the scheme lacks procedural safeguards and independent review, threatening informational privacy and due process. The contrast with Rule 4(2), which is drafted with four provisos precisely to survive proportionality review, is instructive.</w:t>
      </w:r>
    </w:p>
    <w:bookmarkEnd w:id="60"/>
    <w:bookmarkStart w:id="61" w:name="the-practical-objections"/>
    <w:p>
      <w:pPr>
        <w:pStyle w:val="Heading2"/>
      </w:pPr>
      <w:r>
        <w:t xml:space="preserve">The practical objections</w:t>
      </w:r>
    </w:p>
    <w:p>
      <w:pPr>
        <w:pStyle w:val="FirstParagraph"/>
      </w:pPr>
      <w:r>
        <w:t xml:space="preserve">Detection is inherently uncertain because deepfakes evolve through adaptive machine-learning models, producing an arms race in which improvements in detection are met by adaptation and evasion.</w:t>
      </w:r>
      <w:r>
        <w:t xml:space="preserve"> </w:t>
      </w:r>
      <w:r>
        <w:rPr>
          <w:bCs/>
          <w:b/>
        </w:rPr>
        <w:t xml:space="preserve">False positives</w:t>
      </w:r>
      <w:r>
        <w:t xml:space="preserve"> </w:t>
      </w:r>
      <w:r>
        <w:t xml:space="preserve">flag lawful content including satire, parody and journalism;</w:t>
      </w:r>
      <w:r>
        <w:t xml:space="preserve"> </w:t>
      </w:r>
      <w:r>
        <w:rPr>
          <w:bCs/>
          <w:b/>
        </w:rPr>
        <w:t xml:space="preserve">false negatives</w:t>
      </w:r>
      <w:r>
        <w:t xml:space="preserve"> </w:t>
      </w:r>
      <w:r>
        <w:t xml:space="preserve">allow harmful deepfakes through; and reducing one error type increases the other. There are no clear rules on handling errors, notifying users, or appeal and correction. Metadata and watermarks</w:t>
      </w:r>
      <w:r>
        <w:t xml:space="preserve"> </w:t>
      </w:r>
      <w:r>
        <w:rPr>
          <w:bCs/>
          <w:b/>
        </w:rPr>
        <w:t xml:space="preserve">degrade through compression, editing and reformatting</w:t>
      </w:r>
      <w:r>
        <w:t xml:space="preserve">, which contradicts the requirement in Rule 3(3)(a) that provenance be</w:t>
      </w:r>
      <w:r>
        <w:t xml:space="preserve"> </w:t>
      </w:r>
      <w:r>
        <w:rPr>
          <w:bCs/>
          <w:b/>
        </w:rPr>
        <w:t xml:space="preserve">permanent</w:t>
      </w:r>
      <w:r>
        <w:t xml:space="preserve">. Operationally, the volume of user-generated content defeats individual expert review; classification is context-sensitive and requires intent analysis and the separation of harm from satire, which automated tools cannot reliably perform; human moderation raises cost and complexity; India’s multilingual and culturally diverse content creates a risk of misinterpretation; and the shortened deadlines leave little scope for contextual evaluation. The behavioural outcome is risk-averse moderation and the over-removal of lawful speech.</w:t>
      </w:r>
    </w:p>
    <w:p>
      <w:pPr>
        <w:pStyle w:val="BodyText"/>
      </w:pPr>
      <w:r>
        <w:t xml:space="preserve">The way forward proposed is fivefold:</w:t>
      </w:r>
      <w:r>
        <w:t xml:space="preserve"> </w:t>
      </w:r>
      <w:r>
        <w:rPr>
          <w:bCs/>
          <w:b/>
        </w:rPr>
        <w:t xml:space="preserve">technology-driven compliance</w:t>
      </w:r>
      <w:r>
        <w:t xml:space="preserve"> </w:t>
      </w:r>
      <w:r>
        <w:t xml:space="preserve">through advanced detection tools and content-authenticity standards, though this sits awkwardly with the demonstrated degradation of metadata; an</w:t>
      </w:r>
      <w:r>
        <w:t xml:space="preserve"> </w:t>
      </w:r>
      <w:r>
        <w:rPr>
          <w:bCs/>
          <w:b/>
        </w:rPr>
        <w:t xml:space="preserve">increasing role for courts</w:t>
      </w:r>
      <w:r>
        <w:t xml:space="preserve"> </w:t>
      </w:r>
      <w:r>
        <w:t xml:space="preserve">in clarifying the boundary between creative expression and harmful manipulation and protecting satire, parody and artistic freedom;</w:t>
      </w:r>
      <w:r>
        <w:t xml:space="preserve"> </w:t>
      </w:r>
      <w:r>
        <w:rPr>
          <w:bCs/>
          <w:b/>
        </w:rPr>
        <w:t xml:space="preserve">global cooperation</w:t>
      </w:r>
      <w:r>
        <w:t xml:space="preserve">, since AI-generated content crosses borders and traceability and authenticity standards require regulatory consistency;</w:t>
      </w:r>
      <w:r>
        <w:t xml:space="preserve"> </w:t>
      </w:r>
      <w:r>
        <w:rPr>
          <w:bCs/>
          <w:b/>
        </w:rPr>
        <w:t xml:space="preserve">public awareness and digital literacy</w:t>
      </w:r>
      <w:r>
        <w:t xml:space="preserve">, since regulation alone cannot tackle misinformation; and a transition towards a</w:t>
      </w:r>
      <w:r>
        <w:t xml:space="preserve"> </w:t>
      </w:r>
      <w:r>
        <w:rPr>
          <w:bCs/>
          <w:b/>
        </w:rPr>
        <w:t xml:space="preserve">comprehensive digital law</w:t>
      </w:r>
      <w:r>
        <w:t xml:space="preserve">, the current amendments being an interim measure pending a broader Digital India Act addressing platform governance, digital rights and emerging technologies.</w:t>
      </w:r>
    </w:p>
    <w:bookmarkEnd w:id="61"/>
    <w:bookmarkEnd w:id="62"/>
    <w:bookmarkStart w:id="65" w:name="part-5-the-two-tutorial-case-studies"/>
    <w:p>
      <w:pPr>
        <w:pStyle w:val="Heading1"/>
      </w:pPr>
      <w:r>
        <w:t xml:space="preserve">PART 5 — THE TWO TUTORIAL CASE STUDIES</w:t>
      </w:r>
    </w:p>
    <w:bookmarkStart w:id="63" w:name="Xcac3b11f84b2af0d97d730e1759d5c2e9c80d0c"/>
    <w:p>
      <w:pPr>
        <w:pStyle w:val="Heading2"/>
      </w:pPr>
      <w:r>
        <w:t xml:space="preserve">C1 —</w:t>
      </w:r>
      <w:r>
        <w:t xml:space="preserve"> </w:t>
      </w:r>
      <w:r>
        <w:rPr>
          <w:iCs/>
          <w:i/>
        </w:rPr>
        <w:t xml:space="preserve">Neetu Singh &amp; Anr. v. Telegram FZ LLC &amp; Ors.</w:t>
      </w:r>
    </w:p>
    <w:p>
      <w:pPr>
        <w:pStyle w:val="FirstParagraph"/>
      </w:pPr>
      <w:r>
        <w:rPr>
          <w:bCs/>
          <w:b/>
        </w:rPr>
        <w:t xml:space="preserve">CS (COMM) 282/2020 · Delhi High Court · Prathiba M. Singh J.</w:t>
      </w:r>
      <w:r>
        <w:t xml:space="preserve"> </w:t>
      </w:r>
      <w:r>
        <w:t xml:space="preserve">The plaintiffs were</w:t>
      </w:r>
      <w:r>
        <w:t xml:space="preserve"> </w:t>
      </w:r>
      <w:r>
        <w:rPr>
          <w:bCs/>
          <w:b/>
        </w:rPr>
        <w:t xml:space="preserve">Ms. Neetu Singh</w:t>
      </w:r>
      <w:r>
        <w:t xml:space="preserve"> </w:t>
      </w:r>
      <w:r>
        <w:t xml:space="preserve">and</w:t>
      </w:r>
      <w:r>
        <w:t xml:space="preserve"> </w:t>
      </w:r>
      <w:r>
        <w:rPr>
          <w:bCs/>
          <w:b/>
        </w:rPr>
        <w:t xml:space="preserve">K.D. Campus Pvt. Ltd.</w:t>
      </w:r>
      <w:r>
        <w:t xml:space="preserve">; the defendants</w:t>
      </w:r>
      <w:r>
        <w:t xml:space="preserve"> </w:t>
      </w:r>
      <w:r>
        <w:rPr>
          <w:bCs/>
          <w:b/>
        </w:rPr>
        <w:t xml:space="preserve">Telegram FZ LLC</w:t>
      </w:r>
      <w:r>
        <w:t xml:space="preserve"> </w:t>
      </w:r>
      <w:r>
        <w:t xml:space="preserve">and unknown persons. The authorities relied on were</w:t>
      </w:r>
      <w:r>
        <w:t xml:space="preserve"> </w:t>
      </w:r>
      <w:r>
        <w:rPr>
          <w:iCs/>
          <w:i/>
        </w:rPr>
        <w:t xml:space="preserve">K.S. Puttaswamy</w:t>
      </w:r>
      <w:r>
        <w:t xml:space="preserve"> </w:t>
      </w:r>
      <w:r>
        <w:t xml:space="preserve">(2017) 10 SCC 1,</w:t>
      </w:r>
      <w:r>
        <w:t xml:space="preserve"> </w:t>
      </w:r>
      <w:r>
        <w:rPr>
          <w:iCs/>
          <w:i/>
        </w:rPr>
        <w:t xml:space="preserve">MySpace Inc. v. Super Cassettes Industries Ltd.</w:t>
      </w:r>
      <w:r>
        <w:t xml:space="preserve"> </w:t>
      </w:r>
      <w:r>
        <w:t xml:space="preserve">(2016),</w:t>
      </w:r>
      <w:r>
        <w:t xml:space="preserve"> </w:t>
      </w:r>
      <w:r>
        <w:rPr>
          <w:bCs/>
          <w:b/>
        </w:rPr>
        <w:t xml:space="preserve">ss.69, 72A, 79 and 81</w:t>
      </w:r>
      <w:r>
        <w:t xml:space="preserve"> </w:t>
      </w:r>
      <w:r>
        <w:t xml:space="preserve">of the IT Act, the</w:t>
      </w:r>
      <w:r>
        <w:t xml:space="preserve"> </w:t>
      </w:r>
      <w:r>
        <w:rPr>
          <w:bCs/>
          <w:b/>
        </w:rPr>
        <w:t xml:space="preserve">IT Rules 2021</w:t>
      </w:r>
      <w:r>
        <w:t xml:space="preserve">,</w:t>
      </w:r>
      <w:r>
        <w:t xml:space="preserve"> </w:t>
      </w:r>
      <w:r>
        <w:rPr>
          <w:bCs/>
          <w:b/>
        </w:rPr>
        <w:t xml:space="preserve">ss.2(f), 2(ff), 2(o), 2(m), 2(t), 2(hh), 14, 53A, 55, 58, 62(2) and 63</w:t>
      </w:r>
      <w:r>
        <w:t xml:space="preserve"> </w:t>
      </w:r>
      <w:r>
        <w:t xml:space="preserve">of the Copyright Act 1957, and the</w:t>
      </w:r>
      <w:r>
        <w:t xml:space="preserve"> </w:t>
      </w:r>
      <w:r>
        <w:rPr>
          <w:bCs/>
          <w:b/>
        </w:rPr>
        <w:t xml:space="preserve">Personal Data Protection Act 2012 of Singapore</w:t>
      </w:r>
      <w:r>
        <w:t xml:space="preserve">.</w:t>
      </w:r>
    </w:p>
    <w:p>
      <w:pPr>
        <w:pStyle w:val="BodyText"/>
      </w:pPr>
      <w:r>
        <w:t xml:space="preserve">The plaintiffs’ video lectures, books and educational materials were being shared without authorisation on Telegram channels and made available to students at discounted rates. Some channels were removed on request, but new ones were repeatedly created, often with minor modifications such as added prefixes or suffixes, so that channel-level takedown was futile. They sued for a permanent injunction, damages and costs, and sought</w:t>
      </w:r>
      <w:r>
        <w:t xml:space="preserve"> </w:t>
      </w:r>
      <w:r>
        <w:rPr>
          <w:bCs/>
          <w:b/>
        </w:rPr>
        <w:t xml:space="preserve">disclosure of the identity and personal information of the persons operating the channels</w:t>
      </w:r>
      <w:r>
        <w:t xml:space="preserve">. Telegram refused, contending that its existing suspension procedure adequately protected the plaintiffs, that</w:t>
      </w:r>
      <w:r>
        <w:t xml:space="preserve"> </w:t>
      </w:r>
      <w:r>
        <w:rPr>
          <w:iCs/>
          <w:i/>
        </w:rPr>
        <w:t xml:space="preserve">Puttaswamy</w:t>
      </w:r>
      <w:r>
        <w:t xml:space="preserve"> </w:t>
      </w:r>
      <w:r>
        <w:t xml:space="preserve">barred compelled disclosure of user information absent specific legal authority, that disclosure would violate freedom of expression and its own privacy policy, that Rule 3(1)(d) and the proviso to Rule 4(2) applied, and that its servers holding encrypted data were in Singapore so that any decryption or disclosure was governed by the Singapore PDPA and was in any event not possible.</w:t>
      </w:r>
    </w:p>
    <w:p>
      <w:pPr>
        <w:pStyle w:val="BodyText"/>
      </w:pPr>
      <w:r>
        <w:t xml:space="preserve">The core legal question was</w:t>
      </w:r>
      <w:r>
        <w:t xml:space="preserve"> </w:t>
      </w:r>
      <w:r>
        <w:rPr>
          <w:bCs/>
          <w:b/>
        </w:rPr>
        <w:t xml:space="preserve">whether Telegram can be directed to disclose the identity of the creators of the infringing channels which unauthorizedly and illegally disseminate the plaintiffs’ copyrighted works</w:t>
      </w:r>
      <w:r>
        <w:t xml:space="preserve">.</w:t>
      </w:r>
    </w:p>
    <w:p>
      <w:pPr>
        <w:pStyle w:val="BodyText"/>
      </w:pPr>
      <w:r>
        <w:t xml:space="preserve">The Court’s analysis moved through four steps. On</w:t>
      </w:r>
      <w:r>
        <w:t xml:space="preserve"> </w:t>
      </w:r>
      <w:r>
        <w:rPr>
          <w:bCs/>
          <w:b/>
        </w:rPr>
        <w:t xml:space="preserve">jurisdiction</w:t>
      </w:r>
      <w:r>
        <w:t xml:space="preserve">, because the infringement was substantially concentrated in Delhi and the content was specifically relevant to India as material for Indian competitive examinations, jurisdiction could not be excluded merely because the servers were abroad — infringers</w:t>
      </w:r>
      <w:r>
        <w:t xml:space="preserve"> </w:t>
      </w:r>
      <w:r>
        <w:rPr>
          <w:iCs/>
          <w:i/>
        </w:rPr>
        <w:t xml:space="preserve">“</w:t>
      </w:r>
      <w:r>
        <w:rPr>
          <w:iCs/>
          <w:i/>
        </w:rPr>
        <w:t xml:space="preserve">cannot be permitted to seek shelter under Telegram’s policies merely on the ground that its physical server is in Singapore.</w:t>
      </w:r>
      <w:r>
        <w:rPr>
          <w:iCs/>
          <w:i/>
        </w:rPr>
        <w:t xml:space="preserve">”</w:t>
      </w:r>
      <w:r>
        <w:t xml:space="preserve"> </w:t>
      </w:r>
      <w:r>
        <w:t xml:space="preserve">On</w:t>
      </w:r>
      <w:r>
        <w:t xml:space="preserve"> </w:t>
      </w:r>
      <w:r>
        <w:rPr>
          <w:bCs/>
          <w:b/>
        </w:rPr>
        <w:t xml:space="preserve">copyright</w:t>
      </w:r>
      <w:r>
        <w:t xml:space="preserve">, the course materials are literary works under</w:t>
      </w:r>
      <w:r>
        <w:t xml:space="preserve"> </w:t>
      </w:r>
      <w:r>
        <w:rPr>
          <w:bCs/>
          <w:b/>
        </w:rPr>
        <w:t xml:space="preserve">s.2(o)</w:t>
      </w:r>
      <w:r>
        <w:t xml:space="preserve">, the compiled lectures cinematograph films under</w:t>
      </w:r>
      <w:r>
        <w:t xml:space="preserve"> </w:t>
      </w:r>
      <w:r>
        <w:rPr>
          <w:bCs/>
          <w:b/>
        </w:rPr>
        <w:t xml:space="preserve">s.2(f)</w:t>
      </w:r>
      <w:r>
        <w:t xml:space="preserve">, and</w:t>
      </w:r>
      <w:r>
        <w:t xml:space="preserve"> </w:t>
      </w:r>
      <w:r>
        <w:rPr>
          <w:bCs/>
          <w:b/>
        </w:rPr>
        <w:t xml:space="preserve">s.14</w:t>
      </w:r>
      <w:r>
        <w:t xml:space="preserve"> </w:t>
      </w:r>
      <w:r>
        <w:t xml:space="preserve">confers exclusive rights including electronic reproduction and distribution, so the dissemination was infringement attracting civil and criminal remedies. On</w:t>
      </w:r>
      <w:r>
        <w:t xml:space="preserve"> </w:t>
      </w:r>
      <w:r>
        <w:rPr>
          <w:bCs/>
          <w:b/>
        </w:rPr>
        <w:t xml:space="preserve">intermediary liability</w:t>
      </w:r>
      <w:r>
        <w:t xml:space="preserve">,</w:t>
      </w:r>
      <w:r>
        <w:t xml:space="preserve"> </w:t>
      </w:r>
      <w:r>
        <w:rPr>
          <w:bCs/>
          <w:b/>
        </w:rPr>
        <w:t xml:space="preserve">s.79(3)(b)</w:t>
      </w:r>
      <w:r>
        <w:t xml:space="preserve"> </w:t>
      </w:r>
      <w:r>
        <w:t xml:space="preserve">required removal and disabling while preserving evidence and Rule 3 prohibits hosting content that infringes copyright, so intermediary protections could not be used to avoid those obligations. On</w:t>
      </w:r>
      <w:r>
        <w:t xml:space="preserve"> </w:t>
      </w:r>
      <w:r>
        <w:rPr>
          <w:bCs/>
          <w:b/>
        </w:rPr>
        <w:t xml:space="preserve">privacy</w:t>
      </w:r>
      <w:r>
        <w:t xml:space="preserve">, the Court held that the rights to free speech and to life including privacy</w:t>
      </w:r>
      <w:r>
        <w:t xml:space="preserve"> </w:t>
      </w:r>
      <w:r>
        <w:rPr>
          <w:iCs/>
          <w:i/>
        </w:rPr>
        <w:t xml:space="preserve">“</w:t>
      </w:r>
      <w:r>
        <w:rPr>
          <w:iCs/>
          <w:i/>
        </w:rPr>
        <w:t xml:space="preserve">cannot be used by any person or entity, let alone an infringer, in order to escape the consequences of illegal actions,</w:t>
      </w:r>
      <w:r>
        <w:rPr>
          <w:iCs/>
          <w:i/>
        </w:rPr>
        <w:t xml:space="preserve">”</w:t>
      </w:r>
      <w:r>
        <w:t xml:space="preserve"> </w:t>
      </w:r>
      <w:r>
        <w:t xml:space="preserve">and that on the ratio of</w:t>
      </w:r>
      <w:r>
        <w:t xml:space="preserve"> </w:t>
      </w:r>
      <w:r>
        <w:rPr>
          <w:iCs/>
          <w:i/>
        </w:rPr>
        <w:t xml:space="preserve">Puttaswamy</w:t>
      </w:r>
      <w:r>
        <w:t xml:space="preserve">, where</w:t>
      </w:r>
      <w:r>
        <w:t xml:space="preserve"> </w:t>
      </w:r>
      <w:r>
        <w:rPr>
          <w:bCs/>
          <w:b/>
        </w:rPr>
        <w:t xml:space="preserve">a law exists to justify disclosure</w:t>
      </w:r>
      <w:r>
        <w:t xml:space="preserve">, where</w:t>
      </w:r>
      <w:r>
        <w:t xml:space="preserve"> </w:t>
      </w:r>
      <w:r>
        <w:rPr>
          <w:bCs/>
          <w:b/>
        </w:rPr>
        <w:t xml:space="preserve">disclosure is needed</w:t>
      </w:r>
      <w:r>
        <w:t xml:space="preserve"> </w:t>
      </w:r>
      <w:r>
        <w:t xml:space="preserve">given the nature of the encroachment, and where it is</w:t>
      </w:r>
      <w:r>
        <w:t xml:space="preserve"> </w:t>
      </w:r>
      <w:r>
        <w:rPr>
          <w:bCs/>
          <w:b/>
        </w:rPr>
        <w:t xml:space="preserve">not disproportionate</w:t>
      </w:r>
      <w:r>
        <w:t xml:space="preserve">, privacy is no ground for withholding — particularly where an express statutory provision requires disclosure and the Copyright Act permits infringing copies to be taken into custody.</w:t>
      </w:r>
    </w:p>
    <w:p>
      <w:pPr>
        <w:pStyle w:val="BodyText"/>
      </w:pPr>
      <w:r>
        <w:t xml:space="preserve">The Court accordingly directed Telegram to</w:t>
      </w:r>
      <w:r>
        <w:t xml:space="preserve"> </w:t>
      </w:r>
      <w:r>
        <w:rPr>
          <w:bCs/>
          <w:b/>
        </w:rPr>
        <w:t xml:space="preserve">disclose the mobile numbers, IP addresses and email addresses of the channels and devices involved, to the Court in a sealed cover</w:t>
      </w:r>
      <w:r>
        <w:t xml:space="preserve">. The sealed cover is itself the proportionality device. The significance of the decision is that it extends established principles from the physical to the digital domain and holds that those engaged in unlawful activity cannot invoke privacy and free speech within the digital sphere.</w:t>
      </w:r>
    </w:p>
    <w:bookmarkEnd w:id="63"/>
    <w:bookmarkStart w:id="64" w:name="X8b3e4d56910de90614ceb357cf1e34cfc24b7a3"/>
    <w:p>
      <w:pPr>
        <w:pStyle w:val="Heading2"/>
      </w:pPr>
      <w:r>
        <w:t xml:space="preserve">C2 —</w:t>
      </w:r>
      <w:r>
        <w:t xml:space="preserve"> </w:t>
      </w:r>
      <w:r>
        <w:rPr>
          <w:iCs/>
          <w:i/>
        </w:rPr>
        <w:t xml:space="preserve">Ashwini Kumar Upadhyay v. Union of India &amp; Ors.</w:t>
      </w:r>
    </w:p>
    <w:p>
      <w:pPr>
        <w:pStyle w:val="FirstParagraph"/>
      </w:pPr>
      <w:r>
        <w:rPr>
          <w:bCs/>
          <w:b/>
        </w:rPr>
        <w:t xml:space="preserve">Writ Petition (C) No. 943 of 2021 · Supreme Court · Vikram Nath and Sandeep Mehta JJ.</w:t>
      </w:r>
      <w:r>
        <w:t xml:space="preserve"> </w:t>
      </w:r>
      <w:r>
        <w:t xml:space="preserve">The authorities relied on were</w:t>
      </w:r>
      <w:r>
        <w:t xml:space="preserve"> </w:t>
      </w:r>
      <w:r>
        <w:rPr>
          <w:bCs/>
          <w:b/>
        </w:rPr>
        <w:t xml:space="preserve">Articles 14, 19 and 21</w:t>
      </w:r>
      <w:r>
        <w:t xml:space="preserve">, the Indian Penal Code,</w:t>
      </w:r>
      <w:r>
        <w:t xml:space="preserve"> </w:t>
      </w:r>
      <w:r>
        <w:rPr>
          <w:iCs/>
          <w:i/>
        </w:rPr>
        <w:t xml:space="preserve">Kesavananda Bharati</w:t>
      </w:r>
      <w:r>
        <w:t xml:space="preserve">,</w:t>
      </w:r>
      <w:r>
        <w:t xml:space="preserve"> </w:t>
      </w:r>
      <w:r>
        <w:rPr>
          <w:iCs/>
          <w:i/>
        </w:rPr>
        <w:t xml:space="preserve">Vishaka v. State of Rajasthan</w:t>
      </w:r>
      <w:r>
        <w:t xml:space="preserve"> </w:t>
      </w:r>
      <w:r>
        <w:t xml:space="preserve">(1997) 6 SCC 241,</w:t>
      </w:r>
      <w:r>
        <w:t xml:space="preserve"> </w:t>
      </w:r>
      <w:r>
        <w:rPr>
          <w:iCs/>
          <w:i/>
        </w:rPr>
        <w:t xml:space="preserve">Tehseen Poonawalla</w:t>
      </w:r>
      <w:r>
        <w:t xml:space="preserve"> </w:t>
      </w:r>
      <w:r>
        <w:t xml:space="preserve">(2018) 6 SCC 72,</w:t>
      </w:r>
      <w:r>
        <w:t xml:space="preserve"> </w:t>
      </w:r>
      <w:r>
        <w:rPr>
          <w:iCs/>
          <w:i/>
        </w:rPr>
        <w:t xml:space="preserve">Devgan v. Union of India</w:t>
      </w:r>
      <w:r>
        <w:t xml:space="preserve"> </w:t>
      </w:r>
      <w:r>
        <w:t xml:space="preserve">(2020),</w:t>
      </w:r>
      <w:r>
        <w:t xml:space="preserve"> </w:t>
      </w:r>
      <w:r>
        <w:rPr>
          <w:iCs/>
          <w:i/>
        </w:rPr>
        <w:t xml:space="preserve">Pravasi Bhalai Sangathan</w:t>
      </w:r>
      <w:r>
        <w:t xml:space="preserve"> </w:t>
      </w:r>
      <w:r>
        <w:t xml:space="preserve">(2014),</w:t>
      </w:r>
      <w:r>
        <w:t xml:space="preserve"> </w:t>
      </w:r>
      <w:r>
        <w:rPr>
          <w:iCs/>
          <w:i/>
        </w:rPr>
        <w:t xml:space="preserve">Lalita Kumari</w:t>
      </w:r>
      <w:r>
        <w:t xml:space="preserve"> </w:t>
      </w:r>
      <w:r>
        <w:t xml:space="preserve">and</w:t>
      </w:r>
      <w:r>
        <w:t xml:space="preserve"> </w:t>
      </w:r>
      <w:r>
        <w:rPr>
          <w:iCs/>
          <w:i/>
        </w:rPr>
        <w:t xml:space="preserve">Union of India v. S.B. Vohra</w:t>
      </w:r>
      <w:r>
        <w:t xml:space="preserve">.</w:t>
      </w:r>
    </w:p>
    <w:p>
      <w:pPr>
        <w:pStyle w:val="BodyText"/>
      </w:pPr>
      <w:r>
        <w:t xml:space="preserve">The substance of the judgment is set out in Module 3. For the tutorial the structure matters: seven sets of petitions filed between 2020 and 2025, arising largely from the Covid-19 period and the Nizamuddin Markaz episode, brought by the Peace Party of India, Firoz Iqbal Khan, Ashwini Kumar Upadhyay, Jamiat Ulama-i-Hind, Qurban Ali, Shaheen Abdulla and Cholayil Sashidharan, clubbed because they raised substantially similar legal questions, and resolved through four issues — whether the Court may create or expand criminal offences (</w:t>
      </w:r>
      <w:r>
        <w:rPr>
          <w:bCs/>
          <w:b/>
        </w:rPr>
        <w:t xml:space="preserve">no</w:t>
      </w:r>
      <w:r>
        <w:t xml:space="preserve">), whether the substantive criminal law is sufficient or the field unoccupied (</w:t>
      </w:r>
      <w:r>
        <w:rPr>
          <w:bCs/>
          <w:b/>
        </w:rPr>
        <w:t xml:space="preserve">sufficient; the field is occupied</w:t>
      </w:r>
      <w:r>
        <w:t xml:space="preserve">), whether procedural law affords adequate remedies for non-registration of FIRs (</w:t>
      </w:r>
      <w:r>
        <w:rPr>
          <w:bCs/>
          <w:b/>
        </w:rPr>
        <w:t xml:space="preserve">yes</w:t>
      </w:r>
      <w:r>
        <w:t xml:space="preserve">), and whether a continuing mandamus should issue (</w:t>
      </w:r>
      <w:r>
        <w:rPr>
          <w:bCs/>
          <w:b/>
        </w:rPr>
        <w:t xml:space="preserve">no</w:t>
      </w:r>
      <w:r>
        <w:t xml:space="preserve">). The characterisation to write is that the ruling is one of</w:t>
      </w:r>
      <w:r>
        <w:t xml:space="preserve"> </w:t>
      </w:r>
      <w:r>
        <w:rPr>
          <w:bCs/>
          <w:b/>
        </w:rPr>
        <w:t xml:space="preserve">institutional restraint rather than expansion of rights</w:t>
      </w:r>
      <w:r>
        <w:t xml:space="preserve">: the Court neither widened nor restricted free expression, and declined to legislate where Parliament had acted but enforcement had been inconsistent.</w:t>
      </w:r>
    </w:p>
    <w:bookmarkEnd w:id="64"/>
    <w:bookmarkEnd w:id="65"/>
    <w:bookmarkStart w:id="66" w:name="part-6-twenty-problem-questions"/>
    <w:p>
      <w:pPr>
        <w:pStyle w:val="Heading1"/>
      </w:pPr>
      <w:r>
        <w:t xml:space="preserve">PART 6 — TWENTY PROBLEM QUESTIONS</w:t>
      </w:r>
    </w:p>
    <w:p>
      <w:pPr>
        <w:pStyle w:val="FirstParagraph"/>
      </w:pPr>
      <w:r>
        <w:t xml:space="preserve">Answer structure for</w:t>
      </w:r>
      <w:r>
        <w:t xml:space="preserve"> </w:t>
      </w:r>
      <w:r>
        <w:rPr>
          <w:bCs/>
          <w:b/>
        </w:rPr>
        <w:t xml:space="preserve">five marks</w:t>
      </w:r>
      <w:r>
        <w:t xml:space="preserve"> </w:t>
      </w:r>
      <w:r>
        <w:t xml:space="preserve">— issue in one sentence, the provision with its key words, one case with its ratio in a line, then application and conclusion, in roughly 150 to 200 words. For</w:t>
      </w:r>
      <w:r>
        <w:t xml:space="preserve"> </w:t>
      </w:r>
      <w:r>
        <w:rPr>
          <w:bCs/>
          <w:b/>
        </w:rPr>
        <w:t xml:space="preserve">ten marks</w:t>
      </w:r>
      <w:r>
        <w:t xml:space="preserve"> </w:t>
      </w:r>
      <w:r>
        <w:t xml:space="preserve">— issue, the provision broken into elements, element-by-element application, two or three cases applied or distinguished, the counter-argument, and the conclusion with the remedy, in roughly 350 to 450 words.</w:t>
      </w:r>
    </w:p>
    <w:p>
      <w:pPr>
        <w:pStyle w:val="BodyText"/>
      </w:pPr>
      <w:r>
        <w:rPr>
          <w:bCs/>
          <w:b/>
        </w:rPr>
        <w:t xml:space="preserve">Q1 [10] — E-commerce safe harbour.</w:t>
      </w:r>
      <w:r>
        <w:t xml:space="preserve"> </w:t>
      </w:r>
      <w:r>
        <w:rPr>
          <w:iCs/>
          <w:i/>
        </w:rPr>
        <w:t xml:space="preserve">ShopLux, an online marketplace with 80 lakh Indian users, onboards sellers, photographs and lists products, warehouses them, packs them in ShopLux boxes, guarantees authenticity, uses brand names in meta-tags, and handles payment and delivery. A luxury brand emails that</w:t>
      </w:r>
      <w:r>
        <w:rPr>
          <w:iCs/>
          <w:i/>
        </w:rPr>
        <w:t xml:space="preserve"> </w:t>
      </w:r>
      <w:r>
        <w:rPr>
          <w:iCs/>
          <w:i/>
        </w:rPr>
        <w:t xml:space="preserve">“</w:t>
      </w:r>
      <w:r>
        <w:rPr>
          <w:iCs/>
          <w:i/>
        </w:rPr>
        <w:t xml:space="preserve">counterfeits of our products are being sold on your platform.</w:t>
      </w:r>
      <w:r>
        <w:rPr>
          <w:iCs/>
          <w:i/>
        </w:rPr>
        <w:t xml:space="preserve">”</w:t>
      </w:r>
      <w:r>
        <w:rPr>
          <w:iCs/>
          <w:i/>
        </w:rPr>
        <w:t xml:space="preserve"> </w:t>
      </w:r>
      <w:r>
        <w:rPr>
          <w:iCs/>
          <w:i/>
        </w:rPr>
        <w:t xml:space="preserve">ShopLux does nothing. Advise the brand.</w:t>
      </w:r>
    </w:p>
    <w:p>
      <w:pPr>
        <w:pStyle w:val="BodyText"/>
      </w:pPr>
      <w:r>
        <w:t xml:space="preserve">Classify: an intermediary under s.2(1)(w), and above the</w:t>
      </w:r>
      <w:r>
        <w:t xml:space="preserve"> </w:t>
      </w:r>
      <w:r>
        <w:rPr>
          <w:bCs/>
          <w:b/>
        </w:rPr>
        <w:t xml:space="preserve">50 lakh</w:t>
      </w:r>
      <w:r>
        <w:t xml:space="preserve"> </w:t>
      </w:r>
      <w:r>
        <w:t xml:space="preserve">threshold of S.O. 942(E), so Rule 4 also applies. Gate 2 of s.79(2) fails — its function is not limited to providing access and it is not passive, since it selects sellers and modifies listings. Apply</w:t>
      </w:r>
      <w:r>
        <w:t xml:space="preserve"> </w:t>
      </w:r>
      <w:r>
        <w:rPr>
          <w:iCs/>
          <w:i/>
        </w:rPr>
        <w:t xml:space="preserve">Christian Louboutin</w:t>
      </w:r>
      <w:r>
        <w:t xml:space="preserve">: at least eight of the twenty-six activities are present, so under paragraph 78 there is active participation in the selling process and</w:t>
      </w:r>
      <w:r>
        <w:t xml:space="preserve"> </w:t>
      </w:r>
      <w:r>
        <w:rPr>
          <w:bCs/>
          <w:b/>
        </w:rPr>
        <w:t xml:space="preserve">safe harbour is lost independently of any notice</w:t>
      </w:r>
      <w:r>
        <w:t xml:space="preserve">. The notice is nevertheless defective under</w:t>
      </w:r>
      <w:r>
        <w:t xml:space="preserve"> </w:t>
      </w:r>
      <w:r>
        <w:rPr>
          <w:iCs/>
          <w:i/>
        </w:rPr>
        <w:t xml:space="preserve">MySpace</w:t>
      </w:r>
      <w:r>
        <w:t xml:space="preserve"> </w:t>
      </w:r>
      <w:r>
        <w:t xml:space="preserve">(DB): actual knowledge requires a</w:t>
      </w:r>
      <w:r>
        <w:t xml:space="preserve"> </w:t>
      </w:r>
      <w:r>
        <w:rPr>
          <w:bCs/>
          <w:b/>
        </w:rPr>
        <w:t xml:space="preserve">URL-specific catalogue</w:t>
      </w:r>
      <w:r>
        <w:t xml:space="preserve">, and paragraph 57 places the burden on the rightsholder;</w:t>
      </w:r>
      <w:r>
        <w:t xml:space="preserve"> </w:t>
      </w:r>
      <w:r>
        <w:rPr>
          <w:iCs/>
          <w:i/>
        </w:rPr>
        <w:t xml:space="preserve">Kent RO</w:t>
      </w:r>
      <w:r>
        <w:t xml:space="preserve"> </w:t>
      </w:r>
      <w:r>
        <w:t xml:space="preserve">confirms there is no duty to pre-screen. Advise the brand to serve a URL-specific notice, after which failure engages s.79(3)(b) and Rule 3(1)(b)(iv), and</w:t>
      </w:r>
      <w:r>
        <w:t xml:space="preserve"> </w:t>
      </w:r>
      <w:r>
        <w:rPr>
          <w:bCs/>
          <w:b/>
        </w:rPr>
        <w:t xml:space="preserve">Rule 7</w:t>
      </w:r>
      <w:r>
        <w:t xml:space="preserve"> </w:t>
      </w:r>
      <w:r>
        <w:t xml:space="preserve">removes s.79(1) entirely. Removed material must be preserved for</w:t>
      </w:r>
      <w:r>
        <w:t xml:space="preserve"> </w:t>
      </w:r>
      <w:r>
        <w:rPr>
          <w:bCs/>
          <w:b/>
        </w:rPr>
        <w:t xml:space="preserve">180 days</w:t>
      </w:r>
      <w:r>
        <w:t xml:space="preserve"> </w:t>
      </w:r>
      <w:r>
        <w:t xml:space="preserve">under Rule 3(1)(g). The Trade Marks Act applies alongside, the proviso to s.81 preserving it.</w:t>
      </w:r>
    </w:p>
    <w:p>
      <w:pPr>
        <w:pStyle w:val="BodyText"/>
      </w:pPr>
      <w:r>
        <w:rPr>
          <w:bCs/>
          <w:b/>
        </w:rPr>
        <w:t xml:space="preserve">Q2 [10] — Actual knowledge and a private complaint.</w:t>
      </w:r>
      <w:r>
        <w:t xml:space="preserve"> </w:t>
      </w:r>
      <w:r>
        <w:rPr>
          <w:iCs/>
          <w:i/>
        </w:rPr>
        <w:t xml:space="preserve">An individual emails a platform alleging a post is defamatory and demands removal in 24 hours. The platform does nothing. He sues for loss of safe harbour. Advise the platform.</w:t>
      </w:r>
    </w:p>
    <w:p>
      <w:pPr>
        <w:pStyle w:val="BodyText"/>
      </w:pPr>
      <w:r>
        <w:t xml:space="preserve">Section 79(3)(b) requires actual knowledge</w:t>
      </w:r>
      <w:r>
        <w:t xml:space="preserve"> </w:t>
      </w:r>
      <w:r>
        <w:rPr>
          <w:bCs/>
          <w:b/>
        </w:rPr>
        <w:t xml:space="preserve">and</w:t>
      </w:r>
      <w:r>
        <w:t xml:space="preserve"> </w:t>
      </w:r>
      <w:r>
        <w:t xml:space="preserve">failure to act.</w:t>
      </w:r>
      <w:r>
        <w:t xml:space="preserve"> </w:t>
      </w:r>
      <w:r>
        <w:rPr>
          <w:iCs/>
          <w:i/>
        </w:rPr>
        <w:t xml:space="preserve">Shreya Singhal</w:t>
      </w:r>
      <w:r>
        <w:t xml:space="preserve">, paragraph 119(c), reads the provision down so that actual knowledge arises only from a</w:t>
      </w:r>
      <w:r>
        <w:t xml:space="preserve"> </w:t>
      </w:r>
      <w:r>
        <w:rPr>
          <w:bCs/>
          <w:b/>
        </w:rPr>
        <w:t xml:space="preserve">court order</w:t>
      </w:r>
      <w:r>
        <w:t xml:space="preserve"> </w:t>
      </w:r>
      <w:r>
        <w:t xml:space="preserve">or a</w:t>
      </w:r>
      <w:r>
        <w:t xml:space="preserve"> </w:t>
      </w:r>
      <w:r>
        <w:rPr>
          <w:bCs/>
          <w:b/>
        </w:rPr>
        <w:t xml:space="preserve">notification by the appropriate Government or its agency</w:t>
      </w:r>
      <w:r>
        <w:t xml:space="preserve"> </w:t>
      </w:r>
      <w:r>
        <w:t xml:space="preserve">relating to an Article 19(2) ground. The rationale is that a private complaint would allow removal by mere allegation and turn the platform into an adjudicator. The email is neither, so</w:t>
      </w:r>
      <w:r>
        <w:t xml:space="preserve"> </w:t>
      </w:r>
      <w:r>
        <w:rPr>
          <w:bCs/>
          <w:b/>
        </w:rPr>
        <w:t xml:space="preserve">no actual knowledge arose</w:t>
      </w:r>
      <w:r>
        <w:t xml:space="preserve"> </w:t>
      </w:r>
      <w:r>
        <w:t xml:space="preserve">and safe harbour survives provided s.79(2)(a) or (b) and (c) are satisfied. The complainant must obtain a court order, upon which the clock under Rule 3(1)(d) runs for</w:t>
      </w:r>
      <w:r>
        <w:t xml:space="preserve"> </w:t>
      </w:r>
      <w:r>
        <w:rPr>
          <w:bCs/>
          <w:b/>
        </w:rPr>
        <w:t xml:space="preserve">three hours</w:t>
      </w:r>
      <w:r>
        <w:t xml:space="preserve">.</w:t>
      </w:r>
    </w:p>
    <w:p>
      <w:pPr>
        <w:pStyle w:val="BodyText"/>
      </w:pPr>
      <w:r>
        <w:rPr>
          <w:bCs/>
          <w:b/>
        </w:rPr>
        <w:t xml:space="preserve">Q3 [10] — Extra-territorial jurisdiction.</w:t>
      </w:r>
      <w:r>
        <w:t xml:space="preserve"> </w:t>
      </w:r>
      <w:r>
        <w:rPr>
          <w:iCs/>
          <w:i/>
        </w:rPr>
        <w:t xml:space="preserve">A foreign national in Country X who has never visited India hacks an Indian bank’s Mumbai servers and steals customer data, and argues Indian law does not apply.</w:t>
      </w:r>
    </w:p>
    <w:p>
      <w:pPr>
        <w:pStyle w:val="BodyText"/>
      </w:pPr>
      <w:r>
        <w:t xml:space="preserve">Section 1(2) applies the Act to offences and contraventions committed outside India, making it a long-arm statute; s.75(1) makes nationality irrelevant; s.75(2) supplies the nexus, requiring only that the conduct involve a computer, computer system or network</w:t>
      </w:r>
      <w:r>
        <w:t xml:space="preserve"> </w:t>
      </w:r>
      <w:r>
        <w:rPr>
          <w:bCs/>
          <w:b/>
        </w:rPr>
        <w:t xml:space="preserve">located in India</w:t>
      </w:r>
      <w:r>
        <w:t xml:space="preserve">, which is satisfied. Liability lies under</w:t>
      </w:r>
      <w:r>
        <w:t xml:space="preserve"> </w:t>
      </w:r>
      <w:r>
        <w:rPr>
          <w:bCs/>
          <w:b/>
        </w:rPr>
        <w:t xml:space="preserve">s.43</w:t>
      </w:r>
      <w:r>
        <w:t xml:space="preserve"> </w:t>
      </w:r>
      <w:r>
        <w:t xml:space="preserve">as a contravention attracting compensation and under</w:t>
      </w:r>
      <w:r>
        <w:t xml:space="preserve"> </w:t>
      </w:r>
      <w:r>
        <w:rPr>
          <w:bCs/>
          <w:b/>
        </w:rPr>
        <w:t xml:space="preserve">s.66</w:t>
      </w:r>
      <w:r>
        <w:t xml:space="preserve"> </w:t>
      </w:r>
      <w:r>
        <w:t xml:space="preserve">if the acts were done dishonestly or fraudulently; if the bank’s systems are a notified protected system,</w:t>
      </w:r>
      <w:r>
        <w:t xml:space="preserve"> </w:t>
      </w:r>
      <w:r>
        <w:rPr>
          <w:bCs/>
          <w:b/>
        </w:rPr>
        <w:t xml:space="preserve">s.70(3)</w:t>
      </w:r>
      <w:r>
        <w:t xml:space="preserve"> </w:t>
      </w:r>
      <w:r>
        <w:t xml:space="preserve">applies with imprisonment up to ten years. Enforcement may require extradition or mutual legal assistance, but jurisdiction exists.</w:t>
      </w:r>
    </w:p>
    <w:p>
      <w:pPr>
        <w:pStyle w:val="BodyText"/>
      </w:pPr>
      <w:r>
        <w:rPr>
          <w:bCs/>
          <w:b/>
        </w:rPr>
        <w:t xml:space="preserve">Q4 [5] — The First Schedule.</w:t>
      </w:r>
      <w:r>
        <w:t xml:space="preserve"> </w:t>
      </w:r>
      <w:r>
        <w:rPr>
          <w:iCs/>
          <w:i/>
        </w:rPr>
        <w:t xml:space="preserve">A man executes his will as a PDF, signs it with a digital signature and emails it to his son.</w:t>
      </w:r>
    </w:p>
    <w:p>
      <w:pPr>
        <w:pStyle w:val="BodyText"/>
      </w:pPr>
      <w:r>
        <w:t xml:space="preserve">Section 1(4) excludes the documents in the First Schedule, entry 4 of which is a</w:t>
      </w:r>
      <w:r>
        <w:t xml:space="preserve"> </w:t>
      </w:r>
      <w:r>
        <w:rPr>
          <w:bCs/>
          <w:b/>
        </w:rPr>
        <w:t xml:space="preserve">will</w:t>
      </w:r>
      <w:r>
        <w:t xml:space="preserve"> </w:t>
      </w:r>
      <w:r>
        <w:t xml:space="preserve">as defined in s.2(h) of the Indian Succession Act 1925, including any other testamentary disposition. The IT Act therefore does not apply and ss.3 to 10 confer no recognition; validity depends entirely on the Succession Act, which requires attestation by two witnesses. The exclusion reflects heightened formality and fraud risk, and is not permanent — the proviso to s.1(4) permits amendment by notification laid before Parliament.</w:t>
      </w:r>
    </w:p>
    <w:p>
      <w:pPr>
        <w:pStyle w:val="BodyText"/>
      </w:pPr>
      <w:r>
        <w:rPr>
          <w:bCs/>
          <w:b/>
        </w:rPr>
        <w:t xml:space="preserve">Q5 [5] — Is a smart device a computer?</w:t>
      </w:r>
      <w:r>
        <w:t xml:space="preserve"> </w:t>
      </w:r>
      <w:r>
        <w:rPr>
          <w:iCs/>
          <w:i/>
        </w:rPr>
        <w:t xml:space="preserve">B enters A’s house uninvited and operates A’s fuzzy-logic washing machine, whose sensors transmit to an on-board receiver that processes readings and adjusts water and electricity.</w:t>
      </w:r>
    </w:p>
    <w:p>
      <w:pPr>
        <w:pStyle w:val="BodyText"/>
      </w:pPr>
      <w:r>
        <w:t xml:space="preserve">Under s.2(1)(i) fuzzy logic supplies the</w:t>
      </w:r>
      <w:r>
        <w:t xml:space="preserve"> </w:t>
      </w:r>
      <w:r>
        <w:rPr>
          <w:bCs/>
          <w:b/>
        </w:rPr>
        <w:t xml:space="preserve">logical</w:t>
      </w:r>
      <w:r>
        <w:t xml:space="preserve"> </w:t>
      </w:r>
      <w:r>
        <w:t xml:space="preserve">function, the calculation of water and electricity the</w:t>
      </w:r>
      <w:r>
        <w:t xml:space="preserve"> </w:t>
      </w:r>
      <w:r>
        <w:rPr>
          <w:bCs/>
          <w:b/>
        </w:rPr>
        <w:t xml:space="preserve">arithmetic</w:t>
      </w:r>
      <w:r>
        <w:t xml:space="preserve"> </w:t>
      </w:r>
      <w:r>
        <w:t xml:space="preserve">function, the retention of readings the</w:t>
      </w:r>
      <w:r>
        <w:t xml:space="preserve"> </w:t>
      </w:r>
      <w:r>
        <w:rPr>
          <w:bCs/>
          <w:b/>
        </w:rPr>
        <w:t xml:space="preserve">memory</w:t>
      </w:r>
      <w:r>
        <w:t xml:space="preserve"> </w:t>
      </w:r>
      <w:r>
        <w:t xml:space="preserve">function, with sensors as input, controls as output and the receiver as processing; the appliance qualifies, at least as a computer system under s.2(1)(l).</w:t>
      </w:r>
      <w:r>
        <w:t xml:space="preserve"> </w:t>
      </w:r>
      <w:r>
        <w:rPr>
          <w:iCs/>
          <w:i/>
        </w:rPr>
        <w:t xml:space="preserve">Diebold</w:t>
      </w:r>
      <w:r>
        <w:t xml:space="preserve"> </w:t>
      </w:r>
      <w:r>
        <w:t xml:space="preserve">is distinguishable because there the processing occurred on a remote server whereas here it is on board. The operative provision is</w:t>
      </w:r>
      <w:r>
        <w:t xml:space="preserve"> </w:t>
      </w:r>
      <w:r>
        <w:rPr>
          <w:bCs/>
          <w:b/>
        </w:rPr>
        <w:t xml:space="preserve">s.43(a)</w:t>
      </w:r>
      <w:r>
        <w:t xml:space="preserve">, access without the owner’s permission, attracting compensation;</w:t>
      </w:r>
      <w:r>
        <w:t xml:space="preserve"> </w:t>
      </w:r>
      <w:r>
        <w:rPr>
          <w:bCs/>
          <w:b/>
        </w:rPr>
        <w:t xml:space="preserve">s.66</w:t>
      </w:r>
      <w:r>
        <w:t xml:space="preserve"> </w:t>
      </w:r>
      <w:r>
        <w:t xml:space="preserve">additionally requires dishonest or fraudulent intention, which is doubtful. A’s stronger remedies are trespass and s.43.</w:t>
      </w:r>
    </w:p>
    <w:p>
      <w:pPr>
        <w:pStyle w:val="BodyText"/>
      </w:pPr>
      <w:r>
        <w:rPr>
          <w:bCs/>
          <w:b/>
        </w:rPr>
        <w:t xml:space="preserve">Q6 [10] — A government fact-check unit.</w:t>
      </w:r>
      <w:r>
        <w:t xml:space="preserve"> </w:t>
      </w:r>
      <w:r>
        <w:rPr>
          <w:iCs/>
          <w:i/>
        </w:rPr>
        <w:t xml:space="preserve">A State creates a</w:t>
      </w:r>
      <w:r>
        <w:rPr>
          <w:iCs/>
          <w:i/>
        </w:rPr>
        <w:t xml:space="preserve"> </w:t>
      </w:r>
      <w:r>
        <w:rPr>
          <w:iCs/>
          <w:i/>
        </w:rPr>
        <w:t xml:space="preserve">“</w:t>
      </w:r>
      <w:r>
        <w:rPr>
          <w:iCs/>
          <w:i/>
        </w:rPr>
        <w:t xml:space="preserve">Verification Cell</w:t>
      </w:r>
      <w:r>
        <w:rPr>
          <w:iCs/>
          <w:i/>
        </w:rPr>
        <w:t xml:space="preserve">”</w:t>
      </w:r>
      <w:r>
        <w:rPr>
          <w:iCs/>
          <w:i/>
        </w:rPr>
        <w:t xml:space="preserve"> </w:t>
      </w:r>
      <w:r>
        <w:rPr>
          <w:iCs/>
          <w:i/>
        </w:rPr>
        <w:t xml:space="preserve">and directs platforms to remove within three hours any post it labels</w:t>
      </w:r>
      <w:r>
        <w:rPr>
          <w:iCs/>
          <w:i/>
        </w:rPr>
        <w:t xml:space="preserve"> </w:t>
      </w:r>
      <w:r>
        <w:rPr>
          <w:iCs/>
          <w:i/>
        </w:rPr>
        <w:t xml:space="preserve">“</w:t>
      </w:r>
      <w:r>
        <w:rPr>
          <w:iCs/>
          <w:i/>
        </w:rPr>
        <w:t xml:space="preserve">misleading</w:t>
      </w:r>
      <w:r>
        <w:rPr>
          <w:iCs/>
          <w:i/>
        </w:rPr>
        <w:t xml:space="preserve">”</w:t>
      </w:r>
      <w:r>
        <w:rPr>
          <w:iCs/>
          <w:i/>
        </w:rPr>
        <w:t xml:space="preserve"> </w:t>
      </w:r>
      <w:r>
        <w:rPr>
          <w:iCs/>
          <w:i/>
        </w:rPr>
        <w:t xml:space="preserve">about flood relief. A journalist’s critical post is removed.</w:t>
      </w:r>
    </w:p>
    <w:p>
      <w:pPr>
        <w:pStyle w:val="BodyText"/>
      </w:pPr>
      <w:r>
        <w:t xml:space="preserve">The post is protected by Article 19(1)(a), and per</w:t>
      </w:r>
      <w:r>
        <w:t xml:space="preserve"> </w:t>
      </w:r>
      <w:r>
        <w:rPr>
          <w:iCs/>
          <w:i/>
        </w:rPr>
        <w:t xml:space="preserve">Anuradha Bhasin</w:t>
      </w:r>
      <w:r>
        <w:t xml:space="preserve"> </w:t>
      </w:r>
      <w:r>
        <w:t xml:space="preserve">speech through the internet is integral to it. Article 19(2) permits restriction on eight grounds and</w:t>
      </w:r>
      <w:r>
        <w:t xml:space="preserve"> </w:t>
      </w:r>
      <w:r>
        <w:rPr>
          <w:bCs/>
          <w:b/>
        </w:rPr>
        <w:t xml:space="preserve">“</w:t>
      </w:r>
      <w:r>
        <w:rPr>
          <w:bCs/>
          <w:b/>
        </w:rPr>
        <w:t xml:space="preserve">misleading</w:t>
      </w:r>
      <w:r>
        <w:rPr>
          <w:bCs/>
          <w:b/>
        </w:rPr>
        <w:t xml:space="preserve">”</w:t>
      </w:r>
      <w:r>
        <w:rPr>
          <w:bCs/>
          <w:b/>
        </w:rPr>
        <w:t xml:space="preserve"> </w:t>
      </w:r>
      <w:r>
        <w:rPr>
          <w:bCs/>
          <w:b/>
        </w:rPr>
        <w:t xml:space="preserve">is not among them</w:t>
      </w:r>
      <w:r>
        <w:t xml:space="preserve">;</w:t>
      </w:r>
      <w:r>
        <w:t xml:space="preserve"> </w:t>
      </w:r>
      <w:r>
        <w:rPr>
          <w:iCs/>
          <w:i/>
        </w:rPr>
        <w:t xml:space="preserve">Kunal Kamra</w:t>
      </w:r>
      <w:r>
        <w:t xml:space="preserve">, per Chandurkar J., holds that censoring information merely because it is false or misleading is impermissible. Under Article 14 the State is</w:t>
      </w:r>
      <w:r>
        <w:t xml:space="preserve"> </w:t>
      </w:r>
      <w:r>
        <w:rPr>
          <w:bCs/>
          <w:b/>
        </w:rPr>
        <w:t xml:space="preserve">arbiter of truth in its own cause</w:t>
      </w:r>
      <w:r>
        <w:t xml:space="preserve">. The term is undefined, conferring</w:t>
      </w:r>
      <w:r>
        <w:t xml:space="preserve"> </w:t>
      </w:r>
      <w:r>
        <w:rPr>
          <w:bCs/>
          <w:b/>
        </w:rPr>
        <w:t xml:space="preserve">unguided discretion</w:t>
      </w:r>
      <w:r>
        <w:t xml:space="preserve">, and the</w:t>
      </w:r>
      <w:r>
        <w:t xml:space="preserve"> </w:t>
      </w:r>
      <w:r>
        <w:rPr>
          <w:iCs/>
          <w:i/>
        </w:rPr>
        <w:t xml:space="preserve">Shreya Singhal</w:t>
      </w:r>
      <w:r>
        <w:t xml:space="preserve"> </w:t>
      </w:r>
      <w:r>
        <w:t xml:space="preserve">vagueness formula applies directly. On the merits the speech is discussion or advocacy, not incitement. Proportionality fails at least restrictive means, an official portal and correction notices being available as directed in</w:t>
      </w:r>
      <w:r>
        <w:t xml:space="preserve"> </w:t>
      </w:r>
      <w:r>
        <w:rPr>
          <w:iCs/>
          <w:i/>
        </w:rPr>
        <w:t xml:space="preserve">Alak Alok Srivastava</w:t>
      </w:r>
      <w:r>
        <w:t xml:space="preserve">. Rule 4(8) additionally entitles the journalist to prior notice, reasons and an opportunity to dispute.</w:t>
      </w:r>
    </w:p>
    <w:p>
      <w:pPr>
        <w:pStyle w:val="BodyText"/>
      </w:pPr>
      <w:r>
        <w:rPr>
          <w:bCs/>
          <w:b/>
        </w:rPr>
        <w:t xml:space="preserve">Q7 [10] — Protected systems.</w:t>
      </w:r>
      <w:r>
        <w:t xml:space="preserve"> </w:t>
      </w:r>
      <w:r>
        <w:rPr>
          <w:iCs/>
          <w:i/>
        </w:rPr>
        <w:t xml:space="preserve">A private company runs the software controlling a city water supply. A contractor’s employee whose access was revoked logs in with retained credentials and alters chemical dosing. The company has no CISO and no documented network architecture.</w:t>
      </w:r>
    </w:p>
    <w:p>
      <w:pPr>
        <w:pStyle w:val="BodyText"/>
      </w:pPr>
      <w:r>
        <w:t xml:space="preserve">The system is critical information infrastructure on the Explanation to s.70, satisfying the public health and safety limb, and the four NCIIPC criteria all point the same way. If it has been</w:t>
      </w:r>
      <w:r>
        <w:t xml:space="preserve"> </w:t>
      </w:r>
      <w:r>
        <w:rPr>
          <w:bCs/>
          <w:b/>
        </w:rPr>
        <w:t xml:space="preserve">notified as a protected system</w:t>
      </w:r>
      <w:r>
        <w:t xml:space="preserve"> </w:t>
      </w:r>
      <w:r>
        <w:t xml:space="preserve">under s.70(1), as UIDAI’s CIDR was by G.S.R. 993(E), then s.70(3) applies — up to</w:t>
      </w:r>
      <w:r>
        <w:t xml:space="preserve"> </w:t>
      </w:r>
      <w:r>
        <w:rPr>
          <w:bCs/>
          <w:b/>
        </w:rPr>
        <w:t xml:space="preserve">ten years</w:t>
      </w:r>
      <w:r>
        <w:t xml:space="preserve">, and attempt suffices — and the ex-contractor falls outside the authorised persons designated under s.70(2). If it has not been notified, liability lies under s.43 and s.66, with s.66F arguable given the threat to public health. The company is independently exposed: notification triggers the</w:t>
      </w:r>
      <w:r>
        <w:t xml:space="preserve"> </w:t>
      </w:r>
      <w:r>
        <w:rPr>
          <w:bCs/>
          <w:b/>
        </w:rPr>
        <w:t xml:space="preserve">2018 Rules</w:t>
      </w:r>
      <w:r>
        <w:t xml:space="preserve">, and the absence of a CISO and of documented network architecture is a breach. NCIIPC under s.70A is the nodal agency, but Rule 4(5) places the basic responsibility on the agency running the infrastructure; CERT-In responds under s.70B(4) and its 2022 Directions require</w:t>
      </w:r>
      <w:r>
        <w:t xml:space="preserve"> </w:t>
      </w:r>
      <w:r>
        <w:rPr>
          <w:bCs/>
          <w:b/>
        </w:rPr>
        <w:t xml:space="preserve">180 days</w:t>
      </w:r>
      <w:r>
        <w:t xml:space="preserve"> </w:t>
      </w:r>
      <w:r>
        <w:t xml:space="preserve">of logs within Indian jurisdiction. The root failure is access control, the</w:t>
      </w:r>
      <w:r>
        <w:t xml:space="preserve"> </w:t>
      </w:r>
      <w:r>
        <w:rPr>
          <w:bCs/>
          <w:b/>
        </w:rPr>
        <w:t xml:space="preserve">process</w:t>
      </w:r>
      <w:r>
        <w:t xml:space="preserve"> </w:t>
      </w:r>
      <w:r>
        <w:t xml:space="preserve">limb of the three P’s.</w:t>
      </w:r>
    </w:p>
    <w:p>
      <w:pPr>
        <w:pStyle w:val="BodyText"/>
      </w:pPr>
      <w:r>
        <w:rPr>
          <w:bCs/>
          <w:b/>
        </w:rPr>
        <w:t xml:space="preserve">Q8 [5] — Director liability.</w:t>
      </w:r>
      <w:r>
        <w:t xml:space="preserve"> </w:t>
      </w:r>
      <w:r>
        <w:rPr>
          <w:iCs/>
          <w:i/>
        </w:rPr>
        <w:t xml:space="preserve">A Managing Director is prosecuted under s.67 for an obscene video listed by a user; the company is not an accused.</w:t>
      </w:r>
    </w:p>
    <w:p>
      <w:pPr>
        <w:pStyle w:val="BodyText"/>
      </w:pPr>
      <w:r>
        <w:t xml:space="preserve">Section 85 makes both the company and the persons in charge liable, but</w:t>
      </w:r>
      <w:r>
        <w:t xml:space="preserve"> </w:t>
      </w:r>
      <w:r>
        <w:rPr>
          <w:iCs/>
          <w:i/>
        </w:rPr>
        <w:t xml:space="preserve">Avnish Bajaj</w:t>
      </w:r>
      <w:r>
        <w:t xml:space="preserve"> </w:t>
      </w:r>
      <w:r>
        <w:t xml:space="preserve">holds that</w:t>
      </w:r>
      <w:r>
        <w:t xml:space="preserve"> </w:t>
      </w:r>
      <w:r>
        <w:rPr>
          <w:bCs/>
          <w:b/>
        </w:rPr>
        <w:t xml:space="preserve">commission of an offence by the company is an express condition precedent</w:t>
      </w:r>
      <w:r>
        <w:t xml:space="preserve"> </w:t>
      </w:r>
      <w:r>
        <w:t xml:space="preserve">to the liability of others in charge. As the company has not been arraigned, the condition fails and the proceedings are liable to be quashed. The proviso to s.85 separately protects a person who proves the contravention occurred without his knowledge or that he exercised all due diligence.</w:t>
      </w:r>
    </w:p>
    <w:p>
      <w:pPr>
        <w:pStyle w:val="BodyText"/>
      </w:pPr>
      <w:r>
        <w:rPr>
          <w:bCs/>
          <w:b/>
        </w:rPr>
        <w:t xml:space="preserve">Q9 [5] — IT Act or IPC?</w:t>
      </w:r>
      <w:r>
        <w:t xml:space="preserve"> </w:t>
      </w:r>
      <w:r>
        <w:rPr>
          <w:iCs/>
          <w:i/>
        </w:rPr>
        <w:t xml:space="preserve">A website manager is discharged under s.67; the prosecution then frames a charge under s.292 IPC on the same facts.</w:t>
      </w:r>
    </w:p>
    <w:p>
      <w:pPr>
        <w:pStyle w:val="BodyText"/>
      </w:pPr>
      <w:r>
        <w:t xml:space="preserve">Impermissible.</w:t>
      </w:r>
      <w:r>
        <w:t xml:space="preserve"> </w:t>
      </w:r>
      <w:r>
        <w:rPr>
          <w:iCs/>
          <w:i/>
        </w:rPr>
        <w:t xml:space="preserve">Sharat Babu Digumarti</w:t>
      </w:r>
      <w:r>
        <w:t xml:space="preserve"> </w:t>
      </w:r>
      <w:r>
        <w:t xml:space="preserve">holds that electronic transmission is governed by the</w:t>
      </w:r>
      <w:r>
        <w:t xml:space="preserve"> </w:t>
      </w:r>
      <w:r>
        <w:rPr>
          <w:bCs/>
          <w:b/>
        </w:rPr>
        <w:t xml:space="preserve">IT Act as a special law</w:t>
      </w:r>
      <w:r>
        <w:t xml:space="preserve">, and that an offender discharged under its provisions cannot be proceeded against under the IPC for the same offence. Section 81 reinforces the overriding effect. The IPC charge must be quashed.</w:t>
      </w:r>
    </w:p>
    <w:p>
      <w:pPr>
        <w:pStyle w:val="BodyText"/>
      </w:pPr>
      <w:r>
        <w:rPr>
          <w:bCs/>
          <w:b/>
        </w:rPr>
        <w:t xml:space="preserve">Q10 [10] — Disclosure against a foreign platform.</w:t>
      </w:r>
      <w:r>
        <w:t xml:space="preserve"> </w:t>
      </w:r>
      <w:r>
        <w:rPr>
          <w:iCs/>
          <w:i/>
        </w:rPr>
        <w:t xml:space="preserve">A publisher’s e-books circulate on messaging-app channels; takedowns are followed by renamed channels. The app refuses disclosure citing privacy and servers abroad.</w:t>
      </w:r>
    </w:p>
    <w:p>
      <w:pPr>
        <w:pStyle w:val="BodyText"/>
      </w:pPr>
      <w:r>
        <w:rPr>
          <w:iCs/>
          <w:i/>
        </w:rPr>
        <w:t xml:space="preserve">Neetu Singh v. Telegram</w:t>
      </w:r>
      <w:r>
        <w:t xml:space="preserve"> </w:t>
      </w:r>
      <w:r>
        <w:t xml:space="preserve">governs. The e-books are literary works under s.2(o) and s.14 confers exclusive electronic reproduction and distribution rights, so the copies are infringing. Jurisdiction is not defeated by server location where the infringement is concentrated in India and the content is India-specific. Under s.79(3)(b) and Rule 3 the platform must remove while preserving evidence and cannot rely on intermediary protection to avoid it. Privacy is no shield for illegality, and applying</w:t>
      </w:r>
      <w:r>
        <w:t xml:space="preserve"> </w:t>
      </w:r>
      <w:r>
        <w:rPr>
          <w:iCs/>
          <w:i/>
        </w:rPr>
        <w:t xml:space="preserve">Puttaswamy</w:t>
      </w:r>
      <w:r>
        <w:t xml:space="preserve"> </w:t>
      </w:r>
      <w:r>
        <w:t xml:space="preserve">disclosure is permissible where a law exists, disclosure is needed, and it is not disproportionate. The appropriate order is disclosure of mobile numbers, IP addresses and email addresses</w:t>
      </w:r>
      <w:r>
        <w:t xml:space="preserve"> </w:t>
      </w:r>
      <w:r>
        <w:rPr>
          <w:bCs/>
          <w:b/>
        </w:rPr>
        <w:t xml:space="preserve">in a sealed cover</w:t>
      </w:r>
      <w:r>
        <w:t xml:space="preserve">.</w:t>
      </w:r>
    </w:p>
    <w:p>
      <w:pPr>
        <w:pStyle w:val="BodyText"/>
      </w:pPr>
      <w:r>
        <w:rPr>
          <w:bCs/>
          <w:b/>
        </w:rPr>
        <w:t xml:space="preserve">Q11 [5] — First originator.</w:t>
      </w:r>
      <w:r>
        <w:t xml:space="preserve"> </w:t>
      </w:r>
      <w:r>
        <w:rPr>
          <w:iCs/>
          <w:i/>
        </w:rPr>
        <w:t xml:space="preserve">A false message leads to a lynching; police ask a messaging service to identify who sent it first. The service says this requires breaking encryption.</w:t>
      </w:r>
    </w:p>
    <w:p>
      <w:pPr>
        <w:pStyle w:val="BodyText"/>
      </w:pPr>
      <w:r>
        <w:t xml:space="preserve">Rule 4(2) applies only to a significant social media intermediary providing services primarily in the nature of messaging, and is triggered</w:t>
      </w:r>
      <w:r>
        <w:t xml:space="preserve"> </w:t>
      </w:r>
      <w:r>
        <w:rPr>
          <w:bCs/>
          <w:b/>
        </w:rPr>
        <w:t xml:space="preserve">only</w:t>
      </w:r>
      <w:r>
        <w:t xml:space="preserve"> </w:t>
      </w:r>
      <w:r>
        <w:t xml:space="preserve">by a judicial order or an order under s.69 through the 2009 Interception Rules — a police request does not suffice. The four provisos then apply: the offence must fall within the specified grounds and carry</w:t>
      </w:r>
      <w:r>
        <w:t xml:space="preserve"> </w:t>
      </w:r>
      <w:r>
        <w:rPr>
          <w:bCs/>
          <w:b/>
        </w:rPr>
        <w:t xml:space="preserve">imprisonment of not less than five years</w:t>
      </w:r>
      <w:r>
        <w:t xml:space="preserve">; no order may issue where</w:t>
      </w:r>
      <w:r>
        <w:t xml:space="preserve"> </w:t>
      </w:r>
      <w:r>
        <w:rPr>
          <w:bCs/>
          <w:b/>
        </w:rPr>
        <w:t xml:space="preserve">less intrusive means</w:t>
      </w:r>
      <w:r>
        <w:t xml:space="preserve"> </w:t>
      </w:r>
      <w:r>
        <w:t xml:space="preserve">would work;</w:t>
      </w:r>
      <w:r>
        <w:t xml:space="preserve"> </w:t>
      </w:r>
      <w:r>
        <w:rPr>
          <w:bCs/>
          <w:b/>
        </w:rPr>
        <w:t xml:space="preserve">contents</w:t>
      </w:r>
      <w:r>
        <w:t xml:space="preserve"> </w:t>
      </w:r>
      <w:r>
        <w:t xml:space="preserve">need not be disclosed; and a foreign first originator makes the</w:t>
      </w:r>
      <w:r>
        <w:t xml:space="preserve"> </w:t>
      </w:r>
      <w:r>
        <w:rPr>
          <w:bCs/>
          <w:b/>
        </w:rPr>
        <w:t xml:space="preserve">first originator within India</w:t>
      </w:r>
      <w:r>
        <w:t xml:space="preserve"> </w:t>
      </w:r>
      <w:r>
        <w:t xml:space="preserve">the deemed originator. Public order and an offence of this gravity satisfy the first proviso, but the court or s.69 order and the least-intrusive-means showing remain essential.</w:t>
      </w:r>
    </w:p>
    <w:p>
      <w:pPr>
        <w:pStyle w:val="BodyText"/>
      </w:pPr>
      <w:r>
        <w:rPr>
          <w:bCs/>
          <w:b/>
        </w:rPr>
        <w:t xml:space="preserve">Q12 [5] — A takedown notice without reasons.</w:t>
      </w:r>
      <w:r>
        <w:t xml:space="preserve"> </w:t>
      </w:r>
      <w:r>
        <w:rPr>
          <w:iCs/>
          <w:i/>
        </w:rPr>
        <w:t xml:space="preserve">A platform receives a s.79(3)(b) notice from a government department with no reasons and no hearing, and argues only s.69A permits blocking.</w:t>
      </w:r>
    </w:p>
    <w:p>
      <w:pPr>
        <w:pStyle w:val="BodyText"/>
      </w:pPr>
      <w:r>
        <w:t xml:space="preserve">Section 69A is a power to block exercised through the Blocking Rules 2009 with hearing, written reasons and review; s.79(3)(b) is a condition on immunity conferring no independent power. That was precisely the argument in</w:t>
      </w:r>
      <w:r>
        <w:t xml:space="preserve"> </w:t>
      </w:r>
      <w:r>
        <w:rPr>
          <w:iCs/>
          <w:i/>
        </w:rPr>
        <w:t xml:space="preserve">X v. Union of India</w:t>
      </w:r>
      <w:r>
        <w:t xml:space="preserve">, which the Karnataka High Court</w:t>
      </w:r>
      <w:r>
        <w:t xml:space="preserve"> </w:t>
      </w:r>
      <w:r>
        <w:rPr>
          <w:bCs/>
          <w:b/>
        </w:rPr>
        <w:t xml:space="preserve">rejected</w:t>
      </w:r>
      <w:r>
        <w:t xml:space="preserve">, holding the Sahyog Portal within the four corners of the law and that a lawful notification must be obeyed or immunity forfeited. The platform cannot ignore the notice, though it may challenge whether the issuing authority is competent and authorised.</w:t>
      </w:r>
    </w:p>
    <w:p>
      <w:pPr>
        <w:pStyle w:val="BodyText"/>
      </w:pPr>
      <w:r>
        <w:rPr>
          <w:bCs/>
          <w:b/>
        </w:rPr>
        <w:t xml:space="preserve">Q13 [10] — Platform-wide blocking.</w:t>
      </w:r>
      <w:r>
        <w:t xml:space="preserve"> </w:t>
      </w:r>
      <w:r>
        <w:rPr>
          <w:iCs/>
          <w:i/>
        </w:rPr>
        <w:t xml:space="preserve">Some channels leak examination papers; the Government blocks the whole app, which has 12 crore lawful Indian users and had removed most flagged URLs.</w:t>
      </w:r>
    </w:p>
    <w:p>
      <w:pPr>
        <w:pStyle w:val="BodyText"/>
      </w:pPr>
      <w:r>
        <w:t xml:space="preserve">The power is s.69A with the Blocking Rules 2009.</w:t>
      </w:r>
      <w:r>
        <w:t xml:space="preserve"> </w:t>
      </w:r>
      <w:r>
        <w:rPr>
          <w:iCs/>
          <w:i/>
        </w:rPr>
        <w:t xml:space="preserve">Telegram v. Union of India</w:t>
      </w:r>
      <w:r>
        <w:t xml:space="preserve"> </w:t>
      </w:r>
      <w:r>
        <w:t xml:space="preserve">is directly comparable: Telegram had removed 900 of 1,300 URLs, moderated with AI and human reviewers, argued a platform-wide ban was not the least restrictive method and burdened 150 million lawful users, and that s.69A permits blocking of</w:t>
      </w:r>
      <w:r>
        <w:t xml:space="preserve"> </w:t>
      </w:r>
      <w:r>
        <w:rPr>
          <w:iCs/>
          <w:i/>
        </w:rPr>
        <w:t xml:space="preserve">“</w:t>
      </w:r>
      <w:r>
        <w:rPr>
          <w:iCs/>
          <w:i/>
        </w:rPr>
        <w:t xml:space="preserve">information</w:t>
      </w:r>
      <w:r>
        <w:rPr>
          <w:iCs/>
          <w:i/>
        </w:rPr>
        <w:t xml:space="preserve">”</w:t>
      </w:r>
      <w:r>
        <w:t xml:space="preserve"> </w:t>
      </w:r>
      <w:r>
        <w:t xml:space="preserve">not platforms. The Court upheld the order because sufficient reasons were recorded in an emergency context, the Blocking Rules procedure was followed, and proportionality was satisfied. Apply the four steps: legitimate aim and legal basis are clear, nexus is arguable, and the real contest is</w:t>
      </w:r>
      <w:r>
        <w:t xml:space="preserve"> </w:t>
      </w:r>
      <w:r>
        <w:rPr>
          <w:bCs/>
          <w:b/>
        </w:rPr>
        <w:t xml:space="preserve">least intrusive means</w:t>
      </w:r>
      <w:r>
        <w:t xml:space="preserve">, since URL-level blocking was already working.</w:t>
      </w:r>
      <w:r>
        <w:t xml:space="preserve"> </w:t>
      </w:r>
      <w:r>
        <w:rPr>
          <w:iCs/>
          <w:i/>
        </w:rPr>
        <w:t xml:space="preserve">Anuradha Bhasin</w:t>
      </w:r>
      <w:r>
        <w:t xml:space="preserve"> </w:t>
      </w:r>
      <w:r>
        <w:t xml:space="preserve">additionally requires that the order be reasoned, published, limited in duration and periodically reviewed — the duration point is the strongest supplementary argument.</w:t>
      </w:r>
    </w:p>
    <w:p>
      <w:pPr>
        <w:pStyle w:val="BodyText"/>
      </w:pPr>
      <w:r>
        <w:rPr>
          <w:bCs/>
          <w:b/>
        </w:rPr>
        <w:t xml:space="preserve">Q14 [5] — A demand for pre-screening.</w:t>
      </w:r>
      <w:r>
        <w:t xml:space="preserve"> </w:t>
      </w:r>
      <w:r>
        <w:rPr>
          <w:iCs/>
          <w:i/>
        </w:rPr>
        <w:t xml:space="preserve">A brand asks a marketplace to filter every listing for trademark infringement before it goes live.</w:t>
      </w:r>
    </w:p>
    <w:p>
      <w:pPr>
        <w:pStyle w:val="BodyText"/>
      </w:pPr>
      <w:r>
        <w:t xml:space="preserve">The marketplace is right to refuse.</w:t>
      </w:r>
      <w:r>
        <w:t xml:space="preserve"> </w:t>
      </w:r>
      <w:r>
        <w:rPr>
          <w:iCs/>
          <w:i/>
        </w:rPr>
        <w:t xml:space="preserve">Kent RO</w:t>
      </w:r>
      <w:r>
        <w:t xml:space="preserve"> </w:t>
      </w:r>
      <w:r>
        <w:t xml:space="preserve">declined to impose</w:t>
      </w:r>
      <w:r>
        <w:t xml:space="preserve"> </w:t>
      </w:r>
      <w:r>
        <w:rPr>
          <w:iCs/>
          <w:i/>
        </w:rPr>
        <w:t xml:space="preserve">ex ante</w:t>
      </w:r>
      <w:r>
        <w:t xml:space="preserve"> </w:t>
      </w:r>
      <w:r>
        <w:t xml:space="preserve">screening, holding it an unreasonable interference with the right to carry on business and that it would convert the intermediary</w:t>
      </w:r>
      <w:r>
        <w:t xml:space="preserve"> </w:t>
      </w:r>
      <w:r>
        <w:rPr>
          <w:bCs/>
          <w:b/>
        </w:rPr>
        <w:t xml:space="preserve">from facilitator into adjudicator</w:t>
      </w:r>
      <w:r>
        <w:t xml:space="preserve">;</w:t>
      </w:r>
      <w:r>
        <w:t xml:space="preserve"> </w:t>
      </w:r>
      <w:r>
        <w:rPr>
          <w:iCs/>
          <w:i/>
        </w:rPr>
        <w:t xml:space="preserve">MySpace</w:t>
      </w:r>
      <w:r>
        <w:t xml:space="preserve"> </w:t>
      </w:r>
      <w:r>
        <w:t xml:space="preserve">(DB) likewise rejected general monitoring and required URL-specific notice. Once specific listings are identified, removal is obligatory.</w:t>
      </w:r>
      <w:r>
        <w:t xml:space="preserve"> </w:t>
      </w:r>
      <w:r>
        <w:rPr>
          <w:iCs/>
          <w:i/>
        </w:rPr>
        <w:t xml:space="preserve">Sabu Mathew George</w:t>
      </w:r>
      <w:r>
        <w:t xml:space="preserve"> </w:t>
      </w:r>
      <w:r>
        <w:t xml:space="preserve">is the exception and is explained by the specific statutory prohibition in s.22 of the PCPNDT Act.</w:t>
      </w:r>
    </w:p>
    <w:p>
      <w:pPr>
        <w:pStyle w:val="BodyText"/>
      </w:pPr>
      <w:r>
        <w:rPr>
          <w:bCs/>
          <w:b/>
        </w:rPr>
        <w:t xml:space="preserve">Q15 [10] — A deepfake endorsement.</w:t>
      </w:r>
      <w:r>
        <w:t xml:space="preserve"> </w:t>
      </w:r>
      <w:r>
        <w:rPr>
          <w:iCs/>
          <w:i/>
        </w:rPr>
        <w:t xml:space="preserve">An AI video shows an actor endorsing an investment scheme on a platform with 2 crore Indian users; viewers lose money.</w:t>
      </w:r>
    </w:p>
    <w:p>
      <w:pPr>
        <w:pStyle w:val="BodyText"/>
      </w:pPr>
      <w:r>
        <w:t xml:space="preserve">The video satisfies all three elements of Rule 2(1)(wa) and no proviso applies, so it is synthetically generated information; being impersonation and fraud it is</w:t>
      </w:r>
      <w:r>
        <w:t xml:space="preserve"> </w:t>
      </w:r>
      <w:r>
        <w:rPr>
          <w:bCs/>
          <w:b/>
        </w:rPr>
        <w:t xml:space="preserve">unlawful</w:t>
      </w:r>
      <w:r>
        <w:t xml:space="preserve"> </w:t>
      </w:r>
      <w:r>
        <w:t xml:space="preserve">SGI and also breaches Rule 3(1)(b)(vi). The platform exceeds 50 lakh users, so</w:t>
      </w:r>
      <w:r>
        <w:t xml:space="preserve"> </w:t>
      </w:r>
      <w:r>
        <w:rPr>
          <w:bCs/>
          <w:b/>
        </w:rPr>
        <w:t xml:space="preserve">Rule 4(1A)</w:t>
      </w:r>
      <w:r>
        <w:t xml:space="preserve"> </w:t>
      </w:r>
      <w:r>
        <w:t xml:space="preserve">applies — a user declaration before publication, technical verification of it, prominent labelling, and no publication without both — and the failure of pre-publication verification is the breach. Rules 3(3)(a) and (b) require labelling, permanent metadata with unique identifiers, and prevention of their removal. On a court order or government notification the content must go within</w:t>
      </w:r>
      <w:r>
        <w:t xml:space="preserve"> </w:t>
      </w:r>
      <w:r>
        <w:rPr>
          <w:bCs/>
          <w:b/>
        </w:rPr>
        <w:t xml:space="preserve">three hours</w:t>
      </w:r>
      <w:r>
        <w:t xml:space="preserve"> </w:t>
      </w:r>
      <w:r>
        <w:t xml:space="preserve">under Rule 3(1)(d); on a victim’s complaint of impersonation or morphed imagery, within</w:t>
      </w:r>
      <w:r>
        <w:t xml:space="preserve"> </w:t>
      </w:r>
      <w:r>
        <w:rPr>
          <w:bCs/>
          <w:b/>
        </w:rPr>
        <w:t xml:space="preserve">two hours</w:t>
      </w:r>
      <w:r>
        <w:t xml:space="preserve"> </w:t>
      </w:r>
      <w:r>
        <w:t xml:space="preserve">under Rule 3(2)(b). Rule 3(1)(ca) permits removal, account termination with evidence preservation, identity disclosure to the victim</w:t>
      </w:r>
      <w:r>
        <w:t xml:space="preserve"> </w:t>
      </w:r>
      <w:r>
        <w:rPr>
          <w:iCs/>
          <w:i/>
        </w:rPr>
        <w:t xml:space="preserve">“</w:t>
      </w:r>
      <w:r>
        <w:rPr>
          <w:iCs/>
          <w:i/>
        </w:rPr>
        <w:t xml:space="preserve">as per law</w:t>
      </w:r>
      <w:r>
        <w:rPr>
          <w:iCs/>
          <w:i/>
        </w:rPr>
        <w:t xml:space="preserve">”</w:t>
      </w:r>
      <w:r>
        <w:t xml:space="preserve"> </w:t>
      </w:r>
      <w:r>
        <w:t xml:space="preserve">and reporting</w:t>
      </w:r>
      <w:r>
        <w:t xml:space="preserve"> </w:t>
      </w:r>
      <w:r>
        <w:rPr>
          <w:iCs/>
          <w:i/>
        </w:rPr>
        <w:t xml:space="preserve">“</w:t>
      </w:r>
      <w:r>
        <w:rPr>
          <w:iCs/>
          <w:i/>
        </w:rPr>
        <w:t xml:space="preserve">where legally required</w:t>
      </w:r>
      <w:r>
        <w:rPr>
          <w:iCs/>
          <w:i/>
        </w:rPr>
        <w:t xml:space="preserve">”</w:t>
      </w:r>
      <w:r>
        <w:t xml:space="preserve">. Failure engages</w:t>
      </w:r>
      <w:r>
        <w:t xml:space="preserve"> </w:t>
      </w:r>
      <w:r>
        <w:rPr>
          <w:bCs/>
          <w:b/>
        </w:rPr>
        <w:t xml:space="preserve">Rule 7</w:t>
      </w:r>
      <w:r>
        <w:t xml:space="preserve"> </w:t>
      </w:r>
      <w:r>
        <w:t xml:space="preserve">and the loss of s.79(1). Rules 2(1A) and 2(1B) confirm that using automated tools to comply does not itself amount to selecting or modifying under s.79(2).</w:t>
      </w:r>
    </w:p>
    <w:p>
      <w:pPr>
        <w:pStyle w:val="BodyText"/>
      </w:pPr>
      <w:r>
        <w:rPr>
          <w:bCs/>
          <w:b/>
        </w:rPr>
        <w:t xml:space="preserve">Q16 [10] — Challenging the SGI Rules.</w:t>
      </w:r>
      <w:r>
        <w:t xml:space="preserve"> </w:t>
      </w:r>
      <w:r>
        <w:rPr>
          <w:iCs/>
          <w:i/>
        </w:rPr>
        <w:t xml:space="preserve">A satire website challenges the pre-publication verification requirement.</w:t>
      </w:r>
    </w:p>
    <w:p>
      <w:pPr>
        <w:pStyle w:val="BodyText"/>
      </w:pPr>
      <w:r>
        <w:t xml:space="preserve">Three grounds.</w:t>
      </w:r>
      <w:r>
        <w:t xml:space="preserve"> </w:t>
      </w:r>
      <w:r>
        <w:rPr>
          <w:bCs/>
          <w:b/>
        </w:rPr>
        <w:t xml:space="preserve">Prior restraint</w:t>
      </w:r>
      <w:r>
        <w:t xml:space="preserve">: verification before upload is pre-censorship, against which</w:t>
      </w:r>
      <w:r>
        <w:t xml:space="preserve"> </w:t>
      </w:r>
      <w:r>
        <w:rPr>
          <w:iCs/>
          <w:i/>
        </w:rPr>
        <w:t xml:space="preserve">Brij Bhushan</w:t>
      </w:r>
      <w:r>
        <w:t xml:space="preserve"> </w:t>
      </w:r>
      <w:r>
        <w:t xml:space="preserve">and</w:t>
      </w:r>
      <w:r>
        <w:t xml:space="preserve"> </w:t>
      </w:r>
      <w:r>
        <w:rPr>
          <w:iCs/>
          <w:i/>
        </w:rPr>
        <w:t xml:space="preserve">Romesh Thappar</w:t>
      </w:r>
      <w:r>
        <w:t xml:space="preserve"> </w:t>
      </w:r>
      <w:r>
        <w:t xml:space="preserve">favoured post-publication accountability; the scheme makes intermediaries gatekeepers, shifting the decision from courts to private platforms, and creates collateral censorship; proportionality fails at least restrictive means and at balancing, producing de facto prior restraint and privatised censorship.</w:t>
      </w:r>
      <w:r>
        <w:t xml:space="preserve"> </w:t>
      </w:r>
      <w:r>
        <w:rPr>
          <w:bCs/>
          <w:b/>
        </w:rPr>
        <w:t xml:space="preserve">Overbreadth and vagueness</w:t>
      </w:r>
      <w:r>
        <w:t xml:space="preserve">:</w:t>
      </w:r>
      <w:r>
        <w:t xml:space="preserve"> </w:t>
      </w:r>
      <w:r>
        <w:rPr>
          <w:iCs/>
          <w:i/>
        </w:rPr>
        <w:t xml:space="preserve">“</w:t>
      </w:r>
      <w:r>
        <w:rPr>
          <w:iCs/>
          <w:i/>
        </w:rPr>
        <w:t xml:space="preserve">appears real</w:t>
      </w:r>
      <w:r>
        <w:rPr>
          <w:iCs/>
          <w:i/>
        </w:rPr>
        <w:t xml:space="preserve">”</w:t>
      </w:r>
      <w:r>
        <w:t xml:space="preserve"> </w:t>
      </w:r>
      <w:r>
        <w:t xml:space="preserve">and</w:t>
      </w:r>
      <w:r>
        <w:t xml:space="preserve"> </w:t>
      </w:r>
      <w:r>
        <w:rPr>
          <w:iCs/>
          <w:i/>
        </w:rPr>
        <w:t xml:space="preserve">“</w:t>
      </w:r>
      <w:r>
        <w:rPr>
          <w:iCs/>
          <w:i/>
        </w:rPr>
        <w:t xml:space="preserve">likely to be perceived</w:t>
      </w:r>
      <w:r>
        <w:rPr>
          <w:iCs/>
          <w:i/>
        </w:rPr>
        <w:t xml:space="preserve">”</w:t>
      </w:r>
      <w:r>
        <w:t xml:space="preserve"> </w:t>
      </w:r>
      <w:r>
        <w:t xml:space="preserve">are subjective, and on</w:t>
      </w:r>
      <w:r>
        <w:t xml:space="preserve"> </w:t>
      </w:r>
      <w:r>
        <w:rPr>
          <w:iCs/>
          <w:i/>
        </w:rPr>
        <w:t xml:space="preserve">Shreya Singhal</w:t>
      </w:r>
      <w:r>
        <w:t xml:space="preserve"> </w:t>
      </w:r>
      <w:r>
        <w:t xml:space="preserve">such terms produce arbitrary enforcement and a chilling effect; satire is the first casualty through false positives, and there are no rules on error handling, notification or appeal.</w:t>
      </w:r>
      <w:r>
        <w:t xml:space="preserve"> </w:t>
      </w:r>
      <w:r>
        <w:rPr>
          <w:bCs/>
          <w:b/>
        </w:rPr>
        <w:t xml:space="preserve">Privacy</w:t>
      </w:r>
      <w:r>
        <w:t xml:space="preserve">: identity disclosure without judicial oversight, absent procedural safeguards and independent review, offends Article 21 on</w:t>
      </w:r>
      <w:r>
        <w:t xml:space="preserve"> </w:t>
      </w:r>
      <w:r>
        <w:rPr>
          <w:iCs/>
          <w:i/>
        </w:rPr>
        <w:t xml:space="preserve">Puttaswamy</w:t>
      </w:r>
      <w:r>
        <w:t xml:space="preserve">. The Government’s answer is a legitimate aim in protecting victims of deepfakes, impersonation and NCII, and that lawful SGI is labelled rather than banned.</w:t>
      </w:r>
      <w:r>
        <w:t xml:space="preserve"> </w:t>
      </w:r>
      <w:r>
        <w:rPr>
          <w:iCs/>
          <w:i/>
        </w:rPr>
        <w:t xml:space="preserve">Kunal Kamra</w:t>
      </w:r>
      <w:r>
        <w:t xml:space="preserve"> </w:t>
      </w:r>
      <w:r>
        <w:t xml:space="preserve">supplies the strongest support, since falsity alone is not an Article 19(2) ground. The vagueness and prior-restraint grounds are strongest; a blanket attack on labelling is weakest.</w:t>
      </w:r>
    </w:p>
    <w:p>
      <w:pPr>
        <w:pStyle w:val="BodyText"/>
      </w:pPr>
      <w:r>
        <w:rPr>
          <w:bCs/>
          <w:b/>
        </w:rPr>
        <w:t xml:space="preserve">Q17 [5] — An FIR over a post.</w:t>
      </w:r>
      <w:r>
        <w:t xml:space="preserve"> </w:t>
      </w:r>
      <w:r>
        <w:rPr>
          <w:iCs/>
          <w:i/>
        </w:rPr>
        <w:t xml:space="preserve">X posts strongly worded criticism of a political leader; an FIR alleges</w:t>
      </w:r>
      <w:r>
        <w:rPr>
          <w:iCs/>
          <w:i/>
        </w:rPr>
        <w:t xml:space="preserve"> </w:t>
      </w:r>
      <w:r>
        <w:rPr>
          <w:iCs/>
          <w:i/>
        </w:rPr>
        <w:t xml:space="preserve">“</w:t>
      </w:r>
      <w:r>
        <w:rPr>
          <w:iCs/>
          <w:i/>
        </w:rPr>
        <w:t xml:space="preserve">causing annoyance and promoting disharmony.</w:t>
      </w:r>
      <w:r>
        <w:rPr>
          <w:iCs/>
          <w:i/>
        </w:rPr>
        <w:t xml:space="preserve">”</w:t>
      </w:r>
    </w:p>
    <w:p>
      <w:pPr>
        <w:pStyle w:val="BodyText"/>
      </w:pPr>
      <w:r>
        <w:t xml:space="preserve">Section 66A was struck down in</w:t>
      </w:r>
      <w:r>
        <w:t xml:space="preserve"> </w:t>
      </w:r>
      <w:r>
        <w:rPr>
          <w:iCs/>
          <w:i/>
        </w:rPr>
        <w:t xml:space="preserve">Shreya Singhal</w:t>
      </w:r>
      <w:r>
        <w:t xml:space="preserve">, and the Court has had to reiterate its invalidity because FIRs continued to be registered under it. On the merits, criticism of a leader is</w:t>
      </w:r>
      <w:r>
        <w:t xml:space="preserve"> </w:t>
      </w:r>
      <w:r>
        <w:rPr>
          <w:bCs/>
          <w:b/>
        </w:rPr>
        <w:t xml:space="preserve">advocacy</w:t>
      </w:r>
      <w:r>
        <w:t xml:space="preserve">, and speech may be limited only when it reaches the</w:t>
      </w:r>
      <w:r>
        <w:t xml:space="preserve"> </w:t>
      </w:r>
      <w:r>
        <w:rPr>
          <w:bCs/>
          <w:b/>
        </w:rPr>
        <w:t xml:space="preserve">threshold of incitement</w:t>
      </w:r>
      <w:r>
        <w:t xml:space="preserve">, all other speech being protected</w:t>
      </w:r>
      <w:r>
        <w:t xml:space="preserve"> </w:t>
      </w:r>
      <w:r>
        <w:rPr>
          <w:iCs/>
          <w:i/>
        </w:rPr>
        <w:t xml:space="preserve">“</w:t>
      </w:r>
      <w:r>
        <w:rPr>
          <w:iCs/>
          <w:i/>
        </w:rPr>
        <w:t xml:space="preserve">even if offensive or unpopular.</w:t>
      </w:r>
      <w:r>
        <w:rPr>
          <w:iCs/>
          <w:i/>
        </w:rPr>
        <w:t xml:space="preserve">”</w:t>
      </w:r>
      <w:r>
        <w:t xml:space="preserve"> </w:t>
      </w:r>
      <w:r>
        <w:t xml:space="preserve">“</w:t>
      </w:r>
      <w:r>
        <w:t xml:space="preserve">Annoyance</w:t>
      </w:r>
      <w:r>
        <w:t xml:space="preserve">”</w:t>
      </w:r>
      <w:r>
        <w:t xml:space="preserve"> </w:t>
      </w:r>
      <w:r>
        <w:t xml:space="preserve">was among the very words held unconstitutionally vague.</w:t>
      </w:r>
      <w:r>
        <w:t xml:space="preserve"> </w:t>
      </w:r>
      <w:r>
        <w:rPr>
          <w:iCs/>
          <w:i/>
        </w:rPr>
        <w:t xml:space="preserve">Imran Pratapgarhi</w:t>
      </w:r>
      <w:r>
        <w:t xml:space="preserve"> </w:t>
      </w:r>
      <w:r>
        <w:t xml:space="preserve">adds that the police must read and understand the content before registering an FIR.</w:t>
      </w:r>
    </w:p>
    <w:p>
      <w:pPr>
        <w:pStyle w:val="BodyText"/>
      </w:pPr>
      <w:r>
        <w:rPr>
          <w:bCs/>
          <w:b/>
        </w:rPr>
        <w:t xml:space="preserve">Q18 [5] — Which agency responds?</w:t>
      </w:r>
      <w:r>
        <w:t xml:space="preserve"> </w:t>
      </w:r>
      <w:r>
        <w:rPr>
          <w:iCs/>
          <w:i/>
        </w:rPr>
        <w:t xml:space="preserve">(a) A power grid control system is attacked. (b) A small e-commerce startup suffers ransomware.</w:t>
      </w:r>
    </w:p>
    <w:p>
      <w:pPr>
        <w:pStyle w:val="BodyText"/>
      </w:pPr>
      <w:r>
        <w:t xml:space="preserve">The power grid is a critical sector, so</w:t>
      </w:r>
      <w:r>
        <w:t xml:space="preserve"> </w:t>
      </w:r>
      <w:r>
        <w:rPr>
          <w:bCs/>
          <w:b/>
        </w:rPr>
        <w:t xml:space="preserve">NCIIPC</w:t>
      </w:r>
      <w:r>
        <w:t xml:space="preserve"> </w:t>
      </w:r>
      <w:r>
        <w:t xml:space="preserve">under s.70A and the 2013 Rules responds, its Rule 4(2) function being protection against cyber-terrorist attack and cyber-warfare, with Rule 4(5) placing basic responsibility on the operating agency; it is a unit of the NTRO and excludes Ministry of Defence infrastructure. The startup is non-critical, so</w:t>
      </w:r>
      <w:r>
        <w:t xml:space="preserve"> </w:t>
      </w:r>
      <w:r>
        <w:rPr>
          <w:bCs/>
          <w:b/>
        </w:rPr>
        <w:t xml:space="preserve">CERT-In</w:t>
      </w:r>
      <w:r>
        <w:t xml:space="preserve"> </w:t>
      </w:r>
      <w:r>
        <w:t xml:space="preserve">under s.70B responds, its constituency being the</w:t>
      </w:r>
      <w:r>
        <w:t xml:space="preserve"> </w:t>
      </w:r>
      <w:r>
        <w:rPr>
          <w:iCs/>
          <w:i/>
        </w:rPr>
        <w:t xml:space="preserve">“</w:t>
      </w:r>
      <w:r>
        <w:rPr>
          <w:iCs/>
          <w:i/>
        </w:rPr>
        <w:t xml:space="preserve">Indian cyber community</w:t>
      </w:r>
      <w:r>
        <w:rPr>
          <w:iCs/>
          <w:i/>
        </w:rPr>
        <w:t xml:space="preserve">”</w:t>
      </w:r>
      <w:r>
        <w:t xml:space="preserve"> </w:t>
      </w:r>
      <w:r>
        <w:t xml:space="preserve">and its functions being those in s.70B(4). Note that the mandates overlap and the division is not watertight.</w:t>
      </w:r>
    </w:p>
    <w:p>
      <w:pPr>
        <w:pStyle w:val="BodyText"/>
      </w:pPr>
      <w:r>
        <w:rPr>
          <w:bCs/>
          <w:b/>
        </w:rPr>
        <w:t xml:space="preserve">Q19 [5] — A VPN provider refuses to keep records.</w:t>
      </w:r>
      <w:r>
        <w:t xml:space="preserve"> </w:t>
      </w:r>
      <w:r>
        <w:rPr>
          <w:iCs/>
          <w:i/>
        </w:rPr>
        <w:t xml:space="preserve">It says its whole product is built on not identifying users.</w:t>
      </w:r>
    </w:p>
    <w:p>
      <w:pPr>
        <w:pStyle w:val="BodyText"/>
      </w:pPr>
      <w:r>
        <w:t xml:space="preserve">The CERT-In Directions 2022, issued under the 2013 Rules read with s.70B, require at paragraph (iv) logs of all ICT systems for a</w:t>
      </w:r>
      <w:r>
        <w:t xml:space="preserve"> </w:t>
      </w:r>
      <w:r>
        <w:rPr>
          <w:bCs/>
          <w:b/>
        </w:rPr>
        <w:t xml:space="preserve">rolling 180 days within Indian jurisdiction</w:t>
      </w:r>
      <w:r>
        <w:t xml:space="preserve">, and at paragraph (v) require VPN, VPS, cloud and data-centre providers to retain for</w:t>
      </w:r>
      <w:r>
        <w:t xml:space="preserve"> </w:t>
      </w:r>
      <w:r>
        <w:rPr>
          <w:bCs/>
          <w:b/>
        </w:rPr>
        <w:t xml:space="preserve">five years</w:t>
      </w:r>
      <w:r>
        <w:t xml:space="preserve"> </w:t>
      </w:r>
      <w:r>
        <w:t xml:space="preserve">validated subscriber names, period of hire, IPs allotted, registration email, IP and time stamp, purpose of hire, validated address and contact numbers, and ownership pattern. The obligation is mandatory and the business model is no defence. The tension — that the product exists to make users unidentifiable while the Directions require retention of precisely the identifying data — is the policy conflict between privacy and accountability.</w:t>
      </w:r>
    </w:p>
    <w:p>
      <w:pPr>
        <w:pStyle w:val="BodyText"/>
      </w:pPr>
      <w:r>
        <w:rPr>
          <w:bCs/>
          <w:b/>
        </w:rPr>
        <w:t xml:space="preserve">Q20 [10] — Is there a hate speech vacuum?</w:t>
      </w:r>
      <w:r>
        <w:t xml:space="preserve"> </w:t>
      </w:r>
      <w:r>
        <w:rPr>
          <w:iCs/>
          <w:i/>
        </w:rPr>
        <w:t xml:space="preserve">An NGO seeks a new offence of hate speech with a minimum sentence and continuing judicial supervision nationwide.</w:t>
      </w:r>
    </w:p>
    <w:p>
      <w:pPr>
        <w:pStyle w:val="BodyText"/>
      </w:pPr>
      <w:r>
        <w:rPr>
          <w:iCs/>
          <w:i/>
        </w:rPr>
        <w:t xml:space="preserve">Ashwini Kumar Upadhyay</w:t>
      </w:r>
      <w:r>
        <w:t xml:space="preserve"> </w:t>
      </w:r>
      <w:r>
        <w:t xml:space="preserve">decides this. Courts</w:t>
      </w:r>
      <w:r>
        <w:t xml:space="preserve"> </w:t>
      </w:r>
      <w:r>
        <w:rPr>
          <w:bCs/>
          <w:b/>
        </w:rPr>
        <w:t xml:space="preserve">neither create offences nor legislate punishments</w:t>
      </w:r>
      <w:r>
        <w:t xml:space="preserve">, cannot mandamus the legislature, and can only suggest;</w:t>
      </w:r>
      <w:r>
        <w:t xml:space="preserve"> </w:t>
      </w:r>
      <w:r>
        <w:rPr>
          <w:iCs/>
          <w:i/>
        </w:rPr>
        <w:t xml:space="preserve">Vishaka</w:t>
      </w:r>
      <w:r>
        <w:t xml:space="preserve"> </w:t>
      </w:r>
      <w:r>
        <w:t xml:space="preserve">is confined to genuine constitutional silence and rested on CEDAW. The vacuum claim is</w:t>
      </w:r>
      <w:r>
        <w:t xml:space="preserve"> </w:t>
      </w:r>
      <w:r>
        <w:rPr>
          <w:bCs/>
          <w:b/>
        </w:rPr>
        <w:t xml:space="preserve">“</w:t>
      </w:r>
      <w:r>
        <w:rPr>
          <w:bCs/>
          <w:b/>
        </w:rPr>
        <w:t xml:space="preserve">misconceived</w:t>
      </w:r>
      <w:r>
        <w:rPr>
          <w:bCs/>
          <w:b/>
        </w:rPr>
        <w:t xml:space="preserve">”</w:t>
      </w:r>
      <w:r>
        <w:t xml:space="preserve"> </w:t>
      </w:r>
      <w:r>
        <w:t xml:space="preserve">— the difficulty lies in</w:t>
      </w:r>
      <w:r>
        <w:t xml:space="preserve"> </w:t>
      </w:r>
      <w:r>
        <w:rPr>
          <w:bCs/>
          <w:b/>
        </w:rPr>
        <w:t xml:space="preserve">effective enforcement and application</w:t>
      </w:r>
      <w:r>
        <w:t xml:space="preserve">, the field being occupied by ss.153A, 153B, 295A, 298 and 505 IPC and the statutes surveyed in the</w:t>
      </w:r>
      <w:r>
        <w:t xml:space="preserve"> </w:t>
      </w:r>
      <w:r>
        <w:rPr>
          <w:bCs/>
          <w:b/>
        </w:rPr>
        <w:t xml:space="preserve">Law Commission’s 267th Report</w:t>
      </w:r>
      <w:r>
        <w:t xml:space="preserve">. Procedural remedies suffice:</w:t>
      </w:r>
      <w:r>
        <w:t xml:space="preserve"> </w:t>
      </w:r>
      <w:r>
        <w:rPr>
          <w:iCs/>
          <w:i/>
        </w:rPr>
        <w:t xml:space="preserve">Lalita Kumari</w:t>
      </w:r>
      <w:r>
        <w:t xml:space="preserve"> </w:t>
      </w:r>
      <w:r>
        <w:t xml:space="preserve">mandates FIR registration and s.156(3) lets a Magistrate direct and monitor investigation. A continuing mandamus would be</w:t>
      </w:r>
      <w:r>
        <w:t xml:space="preserve"> </w:t>
      </w:r>
      <w:r>
        <w:rPr>
          <w:bCs/>
          <w:b/>
        </w:rPr>
        <w:t xml:space="preserve">micro-management</w:t>
      </w:r>
      <w:r>
        <w:t xml:space="preserve"> </w:t>
      </w:r>
      <w:r>
        <w:t xml:space="preserve">and impractical across States. Contrast</w:t>
      </w:r>
      <w:r>
        <w:t xml:space="preserve"> </w:t>
      </w:r>
      <w:r>
        <w:rPr>
          <w:iCs/>
          <w:i/>
        </w:rPr>
        <w:t xml:space="preserve">Pravasi Bhalai</w:t>
      </w:r>
      <w:r>
        <w:t xml:space="preserve">, which referred the question to the Law Commission, and</w:t>
      </w:r>
      <w:r>
        <w:t xml:space="preserve"> </w:t>
      </w:r>
      <w:r>
        <w:rPr>
          <w:iCs/>
          <w:i/>
        </w:rPr>
        <w:t xml:space="preserve">CAHS v. Karnataka</w:t>
      </w:r>
      <w:r>
        <w:t xml:space="preserve">, which declined to define hate speech for want of legislation. The petition fails, though the Court will condemn hate speech as</w:t>
      </w:r>
      <w:r>
        <w:t xml:space="preserve"> </w:t>
      </w:r>
      <w:r>
        <w:rPr>
          <w:bCs/>
          <w:b/>
        </w:rPr>
        <w:t xml:space="preserve">antithetical to the constitutional value of fraternity</w:t>
      </w:r>
      <w:r>
        <w:t xml:space="preserve">.</w:t>
      </w:r>
    </w:p>
    <w:bookmarkEnd w:id="66"/>
    <w:bookmarkStart w:id="77" w:name="X65e1ad63cf461e6142912817465ccb7b6991144"/>
    <w:p>
      <w:pPr>
        <w:pStyle w:val="Heading1"/>
      </w:pPr>
      <w:r>
        <w:t xml:space="preserve">PART 7 — EVERY CASE, BY TOPIC, WITH WHAT WAS HELD</w:t>
      </w:r>
    </w:p>
    <w:bookmarkStart w:id="67" w:name="X42e9f6e4a6610fca3396dbb3c0103d727d2ac2e"/>
    <w:p>
      <w:pPr>
        <w:pStyle w:val="Heading2"/>
      </w:pPr>
      <w:r>
        <w:t xml:space="preserve">A. Interpretation, definitions and jurisdiction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Court / year</w:t>
            </w:r>
          </w:p>
        </w:tc>
        <w:tc>
          <w:tcPr/>
          <w:p>
            <w:pPr>
              <w:pStyle w:val="Compact"/>
              <w:jc w:val="left"/>
            </w:pPr>
            <w:r>
              <w:t xml:space="preserve">Held</w:t>
            </w:r>
          </w:p>
        </w:tc>
      </w:tr>
      <w:tr>
        <w:tc>
          <w:tcPr/>
          <w:p>
            <w:pPr>
              <w:pStyle w:val="Compact"/>
              <w:jc w:val="left"/>
            </w:pPr>
            <w:r>
              <w:rPr>
                <w:iCs/>
                <w:i/>
                <w:bCs/>
                <w:b/>
              </w:rPr>
              <w:t xml:space="preserve">Konkan Railway Corpn. v. Rani Construction (P) Ltd.</w:t>
            </w:r>
            <w:r>
              <w:t xml:space="preserve"> </w:t>
            </w:r>
            <w:r>
              <w:t xml:space="preserve">AIR 2002 SC 778</w:t>
            </w:r>
          </w:p>
        </w:tc>
        <w:tc>
          <w:tcPr/>
          <w:p>
            <w:pPr>
              <w:pStyle w:val="Compact"/>
              <w:jc w:val="left"/>
            </w:pPr>
            <w:r>
              <w:t xml:space="preserve">Supreme Court, 2002</w:t>
            </w:r>
          </w:p>
        </w:tc>
        <w:tc>
          <w:tcPr/>
          <w:p>
            <w:pPr>
              <w:pStyle w:val="Compact"/>
              <w:jc w:val="left"/>
            </w:pPr>
            <w:r>
              <w:t xml:space="preserve">A UNCITRAL Model Law was</w:t>
            </w:r>
            <w:r>
              <w:t xml:space="preserve"> </w:t>
            </w:r>
            <w:r>
              <w:rPr>
                <w:iCs/>
                <w:i/>
              </w:rPr>
              <w:t xml:space="preserve">“</w:t>
            </w:r>
            <w:r>
              <w:rPr>
                <w:iCs/>
                <w:i/>
              </w:rPr>
              <w:t xml:space="preserve">only taken into account in drafting</w:t>
            </w:r>
            <w:r>
              <w:rPr>
                <w:iCs/>
                <w:i/>
              </w:rPr>
              <w:t xml:space="preserve">”</w:t>
            </w:r>
            <w:r>
              <w:t xml:space="preserve"> </w:t>
            </w:r>
            <w:r>
              <w:t xml:space="preserve">the Indian statute and</w:t>
            </w:r>
            <w:r>
              <w:t xml:space="preserve"> </w:t>
            </w:r>
            <w:r>
              <w:rPr>
                <w:iCs/>
                <w:i/>
              </w:rPr>
              <w:t xml:space="preserve">“</w:t>
            </w:r>
            <w:r>
              <w:rPr>
                <w:iCs/>
                <w:i/>
              </w:rPr>
              <w:t xml:space="preserve">the Act and the Model Law are not identically drafted</w:t>
            </w:r>
            <w:r>
              <w:rPr>
                <w:iCs/>
                <w:i/>
              </w:rPr>
              <w:t xml:space="preserve">”</w:t>
            </w:r>
            <w:r>
              <w:t xml:space="preserve">; the Model Law and the judgments and literature on it are</w:t>
            </w:r>
            <w:r>
              <w:t xml:space="preserve"> </w:t>
            </w:r>
            <w:r>
              <w:rPr>
                <w:bCs/>
                <w:b/>
              </w:rPr>
              <w:t xml:space="preserve">not a guide to interpretation</w:t>
            </w:r>
            <w:r>
              <w:t xml:space="preserve">. Interpretation proceeds from the object of the Act itself</w:t>
            </w:r>
          </w:p>
        </w:tc>
      </w:tr>
      <w:tr>
        <w:tc>
          <w:tcPr/>
          <w:p>
            <w:pPr>
              <w:pStyle w:val="Compact"/>
              <w:jc w:val="left"/>
            </w:pPr>
            <w:r>
              <w:rPr>
                <w:iCs/>
                <w:i/>
                <w:bCs/>
                <w:b/>
              </w:rPr>
              <w:t xml:space="preserve">Diebold Systems Pvt. Ltd. v. Commissioner of Commercial Taxes</w:t>
            </w:r>
          </w:p>
        </w:tc>
        <w:tc>
          <w:tcPr/>
          <w:p>
            <w:pPr>
              <w:pStyle w:val="Compact"/>
              <w:jc w:val="left"/>
            </w:pPr>
            <w:r>
              <w:t xml:space="preserve">Karnataka HC, 2005</w:t>
            </w:r>
          </w:p>
        </w:tc>
        <w:tc>
          <w:tcPr/>
          <w:p>
            <w:pPr>
              <w:pStyle w:val="Compact"/>
              <w:jc w:val="left"/>
            </w:pPr>
            <w:r>
              <w:t xml:space="preserve">Para 39:</w:t>
            </w:r>
            <w:r>
              <w:t xml:space="preserve"> </w:t>
            </w:r>
            <w:r>
              <w:rPr>
                <w:iCs/>
                <w:i/>
              </w:rPr>
              <w:t xml:space="preserve">“</w:t>
            </w:r>
            <w:r>
              <w:rPr>
                <w:iCs/>
                <w:i/>
              </w:rPr>
              <w:t xml:space="preserve">ATM is not a computer by itself and it is connected to a computer that performs the tasks requested</w:t>
            </w:r>
            <w:r>
              <w:rPr>
                <w:iCs/>
                <w:i/>
              </w:rPr>
              <w:t xml:space="preserve">”</w:t>
            </w:r>
            <w:r>
              <w:t xml:space="preserve"> </w:t>
            </w:r>
            <w:r>
              <w:t xml:space="preserve">— the terminal is a customer interface; processing occurs on a remote server serving many ATMs.</w:t>
            </w:r>
            <w:r>
              <w:t xml:space="preserve"> </w:t>
            </w:r>
            <w:r>
              <w:rPr>
                <w:bCs/>
                <w:b/>
              </w:rPr>
              <w:t xml:space="preserve">Distinguishable where processing is on board</w:t>
            </w:r>
          </w:p>
        </w:tc>
      </w:tr>
    </w:tbl>
    <w:bookmarkEnd w:id="67"/>
    <w:bookmarkStart w:id="68" w:name="X4369dfa3324e7377f332540cf390c8b6c204ddf"/>
    <w:p>
      <w:pPr>
        <w:pStyle w:val="Heading2"/>
      </w:pPr>
      <w:r>
        <w:t xml:space="preserve">B. Extra-territoriality and global injunctions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Court / year</w:t>
            </w:r>
          </w:p>
        </w:tc>
        <w:tc>
          <w:tcPr/>
          <w:p>
            <w:pPr>
              <w:pStyle w:val="Compact"/>
              <w:jc w:val="left"/>
            </w:pPr>
            <w:r>
              <w:t xml:space="preserve">Held</w:t>
            </w:r>
          </w:p>
        </w:tc>
      </w:tr>
      <w:tr>
        <w:tc>
          <w:tcPr/>
          <w:p>
            <w:pPr>
              <w:pStyle w:val="Compact"/>
              <w:jc w:val="left"/>
            </w:pPr>
            <w:r>
              <w:rPr>
                <w:iCs/>
                <w:i/>
                <w:bCs/>
                <w:b/>
              </w:rPr>
              <w:t xml:space="preserve">Swami Ramdev v. Facebook, Inc.</w:t>
            </w:r>
          </w:p>
        </w:tc>
        <w:tc>
          <w:tcPr/>
          <w:p>
            <w:pPr>
              <w:pStyle w:val="Compact"/>
              <w:jc w:val="left"/>
            </w:pPr>
            <w:r>
              <w:t xml:space="preserve">Delhi HC, 23 Oct 2019</w:t>
            </w:r>
          </w:p>
        </w:tc>
        <w:tc>
          <w:tcPr/>
          <w:p>
            <w:pPr>
              <w:pStyle w:val="Compact"/>
              <w:jc w:val="left"/>
            </w:pPr>
            <w:r>
              <w:t xml:space="preserve">Para 76: removal extends to material</w:t>
            </w:r>
            <w:r>
              <w:t xml:space="preserve"> </w:t>
            </w:r>
            <w:r>
              <w:rPr>
                <w:iCs/>
                <w:i/>
              </w:rPr>
              <w:t xml:space="preserve">“</w:t>
            </w:r>
            <w:r>
              <w:rPr>
                <w:iCs/>
                <w:i/>
              </w:rPr>
              <w:t xml:space="preserve">residing in or connected to a computer resource</w:t>
            </w:r>
            <w:r>
              <w:rPr>
                <w:iCs/>
                <w:i/>
              </w:rPr>
              <w:t xml:space="preserve">”</w:t>
            </w:r>
            <w:r>
              <w:t xml:space="preserve">, i.e. the network. Para 78: reading s.2(1)(k) with s.79(3)(b), platforms must</w:t>
            </w:r>
            <w:r>
              <w:t xml:space="preserve"> </w:t>
            </w:r>
            <w:r>
              <w:rPr>
                <w:iCs/>
                <w:i/>
              </w:rPr>
              <w:t xml:space="preserve">“</w:t>
            </w:r>
            <w:r>
              <w:rPr>
                <w:iCs/>
                <w:i/>
              </w:rPr>
              <w:t xml:space="preserve">remove it and disable it from that computer network completely.</w:t>
            </w:r>
            <w:r>
              <w:rPr>
                <w:iCs/>
                <w:i/>
              </w:rPr>
              <w:t xml:space="preserve">”</w:t>
            </w:r>
            <w:r>
              <w:t xml:space="preserve"> </w:t>
            </w:r>
            <w:r>
              <w:t xml:space="preserve">Para 83: must</w:t>
            </w:r>
            <w:r>
              <w:t xml:space="preserve"> </w:t>
            </w:r>
            <w:r>
              <w:rPr>
                <w:iCs/>
                <w:i/>
              </w:rPr>
              <w:t xml:space="preserve">“</w:t>
            </w:r>
            <w:r>
              <w:rPr>
                <w:iCs/>
                <w:i/>
              </w:rPr>
              <w:t xml:space="preserve">disable access of all kinds</w:t>
            </w:r>
            <w:r>
              <w:rPr>
                <w:iCs/>
                <w:i/>
              </w:rPr>
              <w:t xml:space="preserve">”</w:t>
            </w:r>
            <w:r>
              <w:t xml:space="preserve"> </w:t>
            </w:r>
            <w:r>
              <w:t xml:space="preserve">including global viewers.</w:t>
            </w:r>
            <w:r>
              <w:t xml:space="preserve"> </w:t>
            </w:r>
            <w:r>
              <w:rPr>
                <w:bCs/>
                <w:b/>
              </w:rPr>
              <w:t xml:space="preserve">Geo-blocking alone is not in consonance with s.79.</w:t>
            </w:r>
            <w:r>
              <w:t xml:space="preserve"> </w:t>
            </w:r>
            <w:r>
              <w:t xml:space="preserve">Content uploaded from an Indian IP →</w:t>
            </w:r>
            <w:r>
              <w:t xml:space="preserve"> </w:t>
            </w:r>
            <w:r>
              <w:rPr>
                <w:bCs/>
                <w:b/>
              </w:rPr>
              <w:t xml:space="preserve">global takedown</w:t>
            </w:r>
            <w:r>
              <w:t xml:space="preserve">; uploaded abroad → geo-block for India</w:t>
            </w:r>
          </w:p>
        </w:tc>
      </w:tr>
      <w:tr>
        <w:tc>
          <w:tcPr/>
          <w:p>
            <w:pPr>
              <w:pStyle w:val="Compact"/>
              <w:jc w:val="left"/>
            </w:pPr>
            <w:r>
              <w:rPr>
                <w:iCs/>
                <w:i/>
                <w:bCs/>
                <w:b/>
              </w:rPr>
              <w:t xml:space="preserve">Google Inc. v. Equustek Solutions Inc.</w:t>
            </w:r>
            <w:r>
              <w:t xml:space="preserve"> </w:t>
            </w:r>
            <w:r>
              <w:t xml:space="preserve">(Equustek I)</w:t>
            </w:r>
          </w:p>
        </w:tc>
        <w:tc>
          <w:tcPr/>
          <w:p>
            <w:pPr>
              <w:pStyle w:val="Compact"/>
              <w:jc w:val="left"/>
            </w:pPr>
            <w:r>
              <w:t xml:space="preserve">Supreme Court of Canada, 2017</w:t>
            </w:r>
          </w:p>
        </w:tc>
        <w:tc>
          <w:tcPr/>
          <w:p>
            <w:pPr>
              <w:pStyle w:val="Compact"/>
              <w:jc w:val="left"/>
            </w:pPr>
            <w:r>
              <w:t xml:space="preserve">Para 38:</w:t>
            </w:r>
            <w:r>
              <w:t xml:space="preserve"> </w:t>
            </w:r>
            <w:r>
              <w:rPr>
                <w:iCs/>
                <w:i/>
              </w:rPr>
              <w:t xml:space="preserve">“</w:t>
            </w:r>
            <w:r>
              <w:rPr>
                <w:iCs/>
                <w:i/>
              </w:rPr>
              <w:t xml:space="preserve">[w]hen a court has in personam jurisdiction, and where it is necessary to ensure the injunction’s effectiveness, it can grant an injunction enjoining that person’s conduct anywhere in the world.</w:t>
            </w:r>
            <w:r>
              <w:rPr>
                <w:iCs/>
                <w:i/>
              </w:rPr>
              <w:t xml:space="preserve">”</w:t>
            </w:r>
            <w:r>
              <w:t xml:space="preserve"> </w:t>
            </w:r>
            <w:r>
              <w:t xml:space="preserve">Para 41:</w:t>
            </w:r>
            <w:r>
              <w:t xml:space="preserve"> </w:t>
            </w:r>
            <w:r>
              <w:rPr>
                <w:iCs/>
                <w:i/>
              </w:rPr>
              <w:t xml:space="preserve">“</w:t>
            </w:r>
            <w:r>
              <w:rPr>
                <w:iCs/>
                <w:i/>
              </w:rPr>
              <w:t xml:space="preserve">[t]he Internet has no borders – its natural habitat is global.</w:t>
            </w:r>
            <w:r>
              <w:rPr>
                <w:iCs/>
                <w:i/>
              </w:rPr>
              <w:t xml:space="preserve">”</w:t>
            </w:r>
            <w:r>
              <w:t xml:space="preserve"> </w:t>
            </w:r>
            <w:r>
              <w:t xml:space="preserve">Injunctions may issue against</w:t>
            </w:r>
            <w:r>
              <w:t xml:space="preserve"> </w:t>
            </w:r>
            <w:r>
              <w:rPr>
                <w:bCs/>
                <w:b/>
              </w:rPr>
              <w:t xml:space="preserve">non-wrongdoing third parties</w:t>
            </w:r>
            <w:r>
              <w:t xml:space="preserve"> </w:t>
            </w:r>
            <w:r>
              <w:t xml:space="preserve">where necessary</w:t>
            </w:r>
          </w:p>
        </w:tc>
      </w:tr>
      <w:tr>
        <w:tc>
          <w:tcPr/>
          <w:p>
            <w:pPr>
              <w:pStyle w:val="Compact"/>
              <w:jc w:val="left"/>
            </w:pPr>
            <w:r>
              <w:rPr>
                <w:iCs/>
                <w:i/>
                <w:bCs/>
                <w:b/>
              </w:rPr>
              <w:t xml:space="preserve">Google v. Equustek</w:t>
            </w:r>
            <w:r>
              <w:t xml:space="preserve"> </w:t>
            </w:r>
            <w:r>
              <w:t xml:space="preserve">(Equustek II)</w:t>
            </w:r>
          </w:p>
        </w:tc>
        <w:tc>
          <w:tcPr/>
          <w:p>
            <w:pPr>
              <w:pStyle w:val="Compact"/>
              <w:jc w:val="left"/>
            </w:pPr>
            <w:r>
              <w:t xml:space="preserve">US District Court, N.D. California</w:t>
            </w:r>
          </w:p>
        </w:tc>
        <w:tc>
          <w:tcPr/>
          <w:p>
            <w:pPr>
              <w:pStyle w:val="Compact"/>
              <w:jc w:val="left"/>
            </w:pPr>
            <w:r>
              <w:t xml:space="preserve">The Canadian order</w:t>
            </w:r>
            <w:r>
              <w:t xml:space="preserve"> </w:t>
            </w:r>
            <w:r>
              <w:rPr>
                <w:iCs/>
                <w:i/>
              </w:rPr>
              <w:t xml:space="preserve">“</w:t>
            </w:r>
            <w:r>
              <w:rPr>
                <w:iCs/>
                <w:i/>
              </w:rPr>
              <w:t xml:space="preserve">undermines the policy goals of Section 230 and threatens free speech on the global internet</w:t>
            </w:r>
            <w:r>
              <w:rPr>
                <w:iCs/>
                <w:i/>
              </w:rPr>
              <w:t xml:space="preserve">”</w:t>
            </w:r>
            <w:r>
              <w:t xml:space="preserve"> </w:t>
            </w:r>
            <w:r>
              <w:t xml:space="preserve">—</w:t>
            </w:r>
            <w:r>
              <w:t xml:space="preserve"> </w:t>
            </w:r>
            <w:r>
              <w:rPr>
                <w:bCs/>
                <w:b/>
              </w:rPr>
              <w:t xml:space="preserve">unenforceable in the United States</w:t>
            </w:r>
          </w:p>
        </w:tc>
      </w:tr>
      <w:tr>
        <w:tc>
          <w:tcPr/>
          <w:p>
            <w:pPr>
              <w:pStyle w:val="Compact"/>
              <w:jc w:val="left"/>
            </w:pPr>
            <w:r>
              <w:rPr>
                <w:iCs/>
                <w:i/>
                <w:bCs/>
                <w:b/>
              </w:rPr>
              <w:t xml:space="preserve">Equustek Solutions Inc. v. Jack</w:t>
            </w:r>
            <w:r>
              <w:t xml:space="preserve"> </w:t>
            </w:r>
            <w:r>
              <w:t xml:space="preserve">(Equustek III)</w:t>
            </w:r>
          </w:p>
        </w:tc>
        <w:tc>
          <w:tcPr/>
          <w:p>
            <w:pPr>
              <w:pStyle w:val="Compact"/>
              <w:jc w:val="left"/>
            </w:pPr>
            <w:r>
              <w:t xml:space="preserve">Supreme Court of British Columbia</w:t>
            </w:r>
          </w:p>
        </w:tc>
        <w:tc>
          <w:tcPr/>
          <w:p>
            <w:pPr>
              <w:pStyle w:val="Compact"/>
              <w:jc w:val="left"/>
            </w:pPr>
            <w:r>
              <w:t xml:space="preserve">Motion to set aside</w:t>
            </w:r>
            <w:r>
              <w:t xml:space="preserve"> </w:t>
            </w:r>
            <w:r>
              <w:rPr>
                <w:bCs/>
                <w:b/>
              </w:rPr>
              <w:t xml:space="preserve">dismissed</w:t>
            </w:r>
            <w:r>
              <w:t xml:space="preserve">. Extra-territorial jurisdiction over a party subject to personal jurisdiction is</w:t>
            </w:r>
            <w:r>
              <w:t xml:space="preserve"> </w:t>
            </w:r>
            <w:r>
              <w:rPr>
                <w:bCs/>
                <w:b/>
              </w:rPr>
              <w:t xml:space="preserve">unaffected by unenforceability abroad</w:t>
            </w:r>
          </w:p>
        </w:tc>
      </w:tr>
      <w:tr>
        <w:tc>
          <w:tcPr/>
          <w:p>
            <w:pPr>
              <w:pStyle w:val="Compact"/>
              <w:jc w:val="left"/>
            </w:pPr>
            <w:r>
              <w:rPr>
                <w:iCs/>
                <w:i/>
                <w:bCs/>
                <w:b/>
              </w:rPr>
              <w:t xml:space="preserve">LICRA v. Yahoo! Inc. and Yahoo France</w:t>
            </w:r>
          </w:p>
        </w:tc>
        <w:tc>
          <w:tcPr/>
          <w:p>
            <w:pPr>
              <w:pStyle w:val="Compact"/>
              <w:jc w:val="left"/>
            </w:pPr>
            <w:r>
              <w:t xml:space="preserve">Tribunal de Grande Instance, Paris, 2000</w:t>
            </w:r>
          </w:p>
        </w:tc>
        <w:tc>
          <w:tcPr/>
          <w:p>
            <w:pPr>
              <w:pStyle w:val="Compact"/>
              <w:jc w:val="left"/>
            </w:pPr>
            <w:r>
              <w:t xml:space="preserve">Access by French users to Nazi memorabilia auctions was an offence under French law. Yahoo Inc. ordered to prevent exhibition or sale</w:t>
            </w:r>
            <w:r>
              <w:t xml:space="preserve"> </w:t>
            </w:r>
            <w:r>
              <w:rPr>
                <w:iCs/>
                <w:i/>
              </w:rPr>
              <w:t xml:space="preserve">“</w:t>
            </w:r>
            <w:r>
              <w:rPr>
                <w:iCs/>
                <w:i/>
              </w:rPr>
              <w:t xml:space="preserve">throughout the territory of France</w:t>
            </w:r>
            <w:r>
              <w:rPr>
                <w:iCs/>
                <w:i/>
              </w:rPr>
              <w:t xml:space="preserve">”</w:t>
            </w:r>
            <w:r>
              <w:t xml:space="preserve">; Yahoo France to warn users. Both defences rejected —</w:t>
            </w:r>
            <w:r>
              <w:t xml:space="preserve"> </w:t>
            </w:r>
            <w:r>
              <w:rPr>
                <w:bCs/>
                <w:b/>
              </w:rPr>
              <w:t xml:space="preserve">competence</w:t>
            </w:r>
            <w:r>
              <w:t xml:space="preserve">, and</w:t>
            </w:r>
            <w:r>
              <w:t xml:space="preserve"> </w:t>
            </w:r>
            <w:r>
              <w:rPr>
                <w:bCs/>
                <w:b/>
              </w:rPr>
              <w:t xml:space="preserve">technological impossibility, rejected on expert witnesses’ reports</w:t>
            </w:r>
            <w:r>
              <w:t xml:space="preserve">. Three-month deadline,</w:t>
            </w:r>
            <w:r>
              <w:t xml:space="preserve"> </w:t>
            </w:r>
            <w:r>
              <w:rPr>
                <w:bCs/>
                <w:b/>
              </w:rPr>
              <w:t xml:space="preserve">100,000 francs per day</w:t>
            </w:r>
            <w:r>
              <w:t xml:space="preserve">. The US Court of Appeals</w:t>
            </w:r>
            <w:r>
              <w:t xml:space="preserve"> </w:t>
            </w:r>
            <w:r>
              <w:rPr>
                <w:bCs/>
                <w:b/>
              </w:rPr>
              <w:t xml:space="preserve">reversed in 2004 on jurisdiction</w:t>
            </w:r>
            <w:r>
              <w:t xml:space="preserve">, not on the merits</w:t>
            </w:r>
          </w:p>
        </w:tc>
      </w:tr>
    </w:tbl>
    <w:bookmarkEnd w:id="68"/>
    <w:bookmarkStart w:id="69" w:name="c.-the-origin-of-safe-harbour"/>
    <w:p>
      <w:pPr>
        <w:pStyle w:val="Heading2"/>
      </w:pPr>
      <w:r>
        <w:t xml:space="preserve">C. The origin of safe harbour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Court / year</w:t>
            </w:r>
          </w:p>
        </w:tc>
        <w:tc>
          <w:tcPr/>
          <w:p>
            <w:pPr>
              <w:pStyle w:val="Compact"/>
              <w:jc w:val="left"/>
            </w:pPr>
            <w:r>
              <w:t xml:space="preserve">Held</w:t>
            </w:r>
          </w:p>
        </w:tc>
      </w:tr>
      <w:tr>
        <w:tc>
          <w:tcPr/>
          <w:p>
            <w:pPr>
              <w:pStyle w:val="Compact"/>
              <w:jc w:val="left"/>
            </w:pPr>
            <w:r>
              <w:rPr>
                <w:iCs/>
                <w:i/>
                <w:bCs/>
                <w:b/>
              </w:rPr>
              <w:t xml:space="preserve">Cubby Inc. v. CompuServe Inc.</w:t>
            </w:r>
          </w:p>
        </w:tc>
        <w:tc>
          <w:tcPr/>
          <w:p>
            <w:pPr>
              <w:pStyle w:val="Compact"/>
              <w:jc w:val="left"/>
            </w:pPr>
            <w:r>
              <w:t xml:space="preserve">SDNY, 1991</w:t>
            </w:r>
          </w:p>
        </w:tc>
        <w:tc>
          <w:tcPr/>
          <w:p>
            <w:pPr>
              <w:pStyle w:val="Compact"/>
              <w:jc w:val="left"/>
            </w:pPr>
            <w:r>
              <w:rPr>
                <w:bCs/>
                <w:b/>
              </w:rPr>
              <w:t xml:space="preserve">No liability</w:t>
            </w:r>
            <w:r>
              <w:t xml:space="preserve"> </w:t>
            </w:r>
            <w:r>
              <w:t xml:space="preserve">— CompuServe exercised</w:t>
            </w:r>
            <w:r>
              <w:t xml:space="preserve"> </w:t>
            </w:r>
            <w:r>
              <w:rPr>
                <w:bCs/>
                <w:b/>
              </w:rPr>
              <w:t xml:space="preserve">no editorial control</w:t>
            </w:r>
            <w:r>
              <w:t xml:space="preserve"> </w:t>
            </w:r>
            <w:r>
              <w:t xml:space="preserve">over its ~150 forums and was analogous to a</w:t>
            </w:r>
            <w:r>
              <w:t xml:space="preserve"> </w:t>
            </w:r>
            <w:r>
              <w:rPr>
                <w:bCs/>
                <w:b/>
              </w:rPr>
              <w:t xml:space="preserve">newsstand</w:t>
            </w:r>
          </w:p>
        </w:tc>
      </w:tr>
      <w:tr>
        <w:tc>
          <w:tcPr/>
          <w:p>
            <w:pPr>
              <w:pStyle w:val="Compact"/>
              <w:jc w:val="left"/>
            </w:pPr>
            <w:r>
              <w:rPr>
                <w:iCs/>
                <w:i/>
                <w:bCs/>
                <w:b/>
              </w:rPr>
              <w:t xml:space="preserve">Stratton Oakmont Inc. v. Prodigy Services Co.</w:t>
            </w:r>
          </w:p>
        </w:tc>
        <w:tc>
          <w:tcPr/>
          <w:p>
            <w:pPr>
              <w:pStyle w:val="Compact"/>
              <w:jc w:val="left"/>
            </w:pPr>
            <w:r>
              <w:t xml:space="preserve">NY Supreme Court, 1995</w:t>
            </w:r>
          </w:p>
        </w:tc>
        <w:tc>
          <w:tcPr/>
          <w:p>
            <w:pPr>
              <w:pStyle w:val="Compact"/>
              <w:jc w:val="left"/>
            </w:pPr>
            <w:r>
              <w:rPr>
                <w:bCs/>
                <w:b/>
              </w:rPr>
              <w:t xml:space="preserve">Liable</w:t>
            </w:r>
            <w:r>
              <w:t xml:space="preserve"> </w:t>
            </w:r>
            <w:r>
              <w:t xml:space="preserve">— Prodigy operated</w:t>
            </w:r>
            <w:r>
              <w:t xml:space="preserve"> </w:t>
            </w:r>
            <w:r>
              <w:rPr>
                <w:bCs/>
                <w:b/>
              </w:rPr>
              <w:t xml:space="preserve">content policies and editorial control</w:t>
            </w:r>
            <w:r>
              <w:t xml:space="preserve"> </w:t>
            </w:r>
            <w:r>
              <w:t xml:space="preserve">over the</w:t>
            </w:r>
            <w:r>
              <w:t xml:space="preserve"> </w:t>
            </w:r>
            <w:r>
              <w:t xml:space="preserve">“</w:t>
            </w:r>
            <w:r>
              <w:t xml:space="preserve">Money Talk</w:t>
            </w:r>
            <w:r>
              <w:t xml:space="preserve">”</w:t>
            </w:r>
            <w:r>
              <w:t xml:space="preserve"> </w:t>
            </w:r>
            <w:r>
              <w:t xml:space="preserve">board. The pairing with</w:t>
            </w:r>
            <w:r>
              <w:t xml:space="preserve"> </w:t>
            </w:r>
            <w:r>
              <w:rPr>
                <w:iCs/>
                <w:i/>
              </w:rPr>
              <w:t xml:space="preserve">Cubby</w:t>
            </w:r>
            <w:r>
              <w:t xml:space="preserve"> </w:t>
            </w:r>
            <w:r>
              <w:t xml:space="preserve">created the perverse incentive that produced</w:t>
            </w:r>
            <w:r>
              <w:t xml:space="preserve"> </w:t>
            </w:r>
            <w:r>
              <w:rPr>
                <w:bCs/>
                <w:b/>
              </w:rPr>
              <w:t xml:space="preserve">s.230 CDA</w:t>
            </w:r>
          </w:p>
        </w:tc>
      </w:tr>
    </w:tbl>
    <w:bookmarkEnd w:id="69"/>
    <w:bookmarkStart w:id="70" w:name="X84e1a25f891595d9f69b813b1a8418f17f0cf8a"/>
    <w:p>
      <w:pPr>
        <w:pStyle w:val="Heading2"/>
      </w:pPr>
      <w:r>
        <w:t xml:space="preserve">D. Section 79 — the core safe-harbour cases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Court / year</w:t>
            </w:r>
          </w:p>
        </w:tc>
        <w:tc>
          <w:tcPr/>
          <w:p>
            <w:pPr>
              <w:pStyle w:val="Compact"/>
              <w:jc w:val="left"/>
            </w:pPr>
            <w:r>
              <w:t xml:space="preserve">Held</w:t>
            </w:r>
          </w:p>
        </w:tc>
      </w:tr>
      <w:tr>
        <w:tc>
          <w:tcPr/>
          <w:p>
            <w:pPr>
              <w:pStyle w:val="Compact"/>
              <w:jc w:val="left"/>
            </w:pPr>
            <w:r>
              <w:rPr>
                <w:iCs/>
                <w:i/>
                <w:bCs/>
                <w:b/>
              </w:rPr>
              <w:t xml:space="preserve">Shreya Singhal v. Union of India</w:t>
            </w:r>
            <w:r>
              <w:t xml:space="preserve"> </w:t>
            </w:r>
            <w:r>
              <w:t xml:space="preserve">AIR 2015 SC 1523</w:t>
            </w:r>
            <w:r>
              <w:t xml:space="preserve"> </w:t>
            </w:r>
            <w:r>
              <w:rPr>
                <w:iCs/>
                <w:i/>
              </w:rPr>
              <w:t xml:space="preserve">(s.79 limb)</w:t>
            </w:r>
          </w:p>
        </w:tc>
        <w:tc>
          <w:tcPr/>
          <w:p>
            <w:pPr>
              <w:pStyle w:val="Compact"/>
              <w:jc w:val="left"/>
            </w:pPr>
            <w:r>
              <w:t xml:space="preserve">Supreme Court, 2015</w:t>
            </w:r>
          </w:p>
        </w:tc>
        <w:tc>
          <w:tcPr/>
          <w:p>
            <w:pPr>
              <w:pStyle w:val="Compact"/>
              <w:jc w:val="left"/>
            </w:pPr>
            <w:r>
              <w:t xml:space="preserve">Para 119(c):</w:t>
            </w:r>
            <w:r>
              <w:t xml:space="preserve"> </w:t>
            </w:r>
            <w:r>
              <w:rPr>
                <w:bCs/>
                <w:b/>
              </w:rPr>
              <w:t xml:space="preserve">s.79 is valid</w:t>
            </w:r>
            <w:r>
              <w:t xml:space="preserve"> </w:t>
            </w:r>
            <w:r>
              <w:t xml:space="preserve">subject to</w:t>
            </w:r>
            <w:r>
              <w:t xml:space="preserve"> </w:t>
            </w:r>
            <w:r>
              <w:rPr>
                <w:bCs/>
                <w:b/>
              </w:rPr>
              <w:t xml:space="preserve">s.79(3)(b) being read down</w:t>
            </w:r>
            <w:r>
              <w:t xml:space="preserve"> </w:t>
            </w:r>
            <w:r>
              <w:t xml:space="preserve">— actual knowledge arises only from</w:t>
            </w:r>
            <w:r>
              <w:t xml:space="preserve"> </w:t>
            </w:r>
            <w:r>
              <w:rPr>
                <w:bCs/>
                <w:b/>
              </w:rPr>
              <w:t xml:space="preserve">a court order</w:t>
            </w:r>
            <w:r>
              <w:t xml:space="preserve"> </w:t>
            </w:r>
            <w:r>
              <w:t xml:space="preserve">or</w:t>
            </w:r>
            <w:r>
              <w:t xml:space="preserve"> </w:t>
            </w:r>
            <w:r>
              <w:rPr>
                <w:bCs/>
                <w:b/>
              </w:rPr>
              <w:t xml:space="preserve">notification by the appropriate Government or its agency</w:t>
            </w:r>
            <w:r>
              <w:t xml:space="preserve"> </w:t>
            </w:r>
            <w:r>
              <w:t xml:space="preserve">that unlawful acts</w:t>
            </w:r>
            <w:r>
              <w:t xml:space="preserve"> </w:t>
            </w:r>
            <w:r>
              <w:rPr>
                <w:bCs/>
                <w:b/>
              </w:rPr>
              <w:t xml:space="preserve">relatable to Article 19(2)</w:t>
            </w:r>
            <w:r>
              <w:t xml:space="preserve"> </w:t>
            </w:r>
            <w:r>
              <w:t xml:space="preserve">are to be committed.</w:t>
            </w:r>
            <w:r>
              <w:t xml:space="preserve"> </w:t>
            </w:r>
            <w:r>
              <w:rPr>
                <w:bCs/>
                <w:b/>
              </w:rPr>
              <w:t xml:space="preserve">Rule 3(4) of the 2011 Rules read down in the same manner</w:t>
            </w:r>
          </w:p>
        </w:tc>
      </w:tr>
      <w:tr>
        <w:tc>
          <w:tcPr/>
          <w:p>
            <w:pPr>
              <w:pStyle w:val="Compact"/>
              <w:jc w:val="left"/>
            </w:pPr>
            <w:r>
              <w:rPr>
                <w:iCs/>
                <w:i/>
                <w:bCs/>
                <w:b/>
              </w:rPr>
              <w:t xml:space="preserve">Super Cassettes Industries Ltd. v. MySpace Inc.</w:t>
            </w:r>
            <w:r>
              <w:t xml:space="preserve"> </w:t>
            </w:r>
            <w:r>
              <w:rPr>
                <w:iCs/>
                <w:i/>
              </w:rPr>
              <w:t xml:space="preserve">(Single Bench)</w:t>
            </w:r>
          </w:p>
        </w:tc>
        <w:tc>
          <w:tcPr/>
          <w:p>
            <w:pPr>
              <w:pStyle w:val="Compact"/>
              <w:jc w:val="left"/>
            </w:pPr>
            <w:r>
              <w:t xml:space="preserve">Delhi HC, 2011</w:t>
            </w:r>
          </w:p>
        </w:tc>
        <w:tc>
          <w:tcPr/>
          <w:p>
            <w:pPr>
              <w:pStyle w:val="Compact"/>
              <w:jc w:val="left"/>
            </w:pPr>
            <w:r>
              <w:t xml:space="preserve">Interpretation of s.79(2):</w:t>
            </w:r>
            <w:r>
              <w:t xml:space="preserve"> </w:t>
            </w:r>
            <w:r>
              <w:rPr>
                <w:iCs/>
                <w:i/>
              </w:rPr>
              <w:t xml:space="preserve">“</w:t>
            </w:r>
            <w:r>
              <w:rPr>
                <w:iCs/>
                <w:i/>
              </w:rPr>
              <w:t xml:space="preserve">The use of the wordings</w:t>
            </w:r>
            <w:r>
              <w:rPr>
                <w:iCs/>
                <w:i/>
              </w:rPr>
              <w:t xml:space="preserve"> </w:t>
            </w:r>
            <w:r>
              <w:rPr>
                <w:iCs/>
                <w:i/>
              </w:rPr>
              <w:t xml:space="preserve">‘</w:t>
            </w:r>
            <w:r>
              <w:rPr>
                <w:iCs/>
                <w:i/>
              </w:rPr>
              <w:t xml:space="preserve">or</w:t>
            </w:r>
            <w:r>
              <w:rPr>
                <w:iCs/>
                <w:i/>
              </w:rPr>
              <w:t xml:space="preserve">’</w:t>
            </w:r>
            <w:r>
              <w:rPr>
                <w:iCs/>
                <w:i/>
              </w:rPr>
              <w:t xml:space="preserve"> </w:t>
            </w:r>
            <w:r>
              <w:rPr>
                <w:iCs/>
                <w:i/>
              </w:rPr>
              <w:t xml:space="preserve">between (a) and (b) makes them disjunctive, although</w:t>
            </w:r>
            <w:r>
              <w:rPr>
                <w:iCs/>
                <w:i/>
              </w:rPr>
              <w:t xml:space="preserve"> </w:t>
            </w:r>
            <w:r>
              <w:rPr>
                <w:bCs/>
                <w:b/>
                <w:iCs/>
                <w:i/>
              </w:rPr>
              <w:t xml:space="preserve">(c) has to coexist with (a) or (b)</w:t>
            </w:r>
            <w:r>
              <w:rPr>
                <w:iCs/>
                <w:i/>
              </w:rPr>
              <w:t xml:space="preserve"> </w:t>
            </w:r>
            <w:r>
              <w:rPr>
                <w:iCs/>
                <w:i/>
              </w:rPr>
              <w:t xml:space="preserve">whichever is applicable.</w:t>
            </w:r>
            <w:r>
              <w:rPr>
                <w:iCs/>
                <w:i/>
              </w:rPr>
              <w:t xml:space="preserve">”</w:t>
            </w:r>
            <w:r>
              <w:t xml:space="preserve"> </w:t>
            </w:r>
            <w:r>
              <w:t xml:space="preserve">On the merits:</w:t>
            </w:r>
            <w:r>
              <w:t xml:space="preserve"> </w:t>
            </w:r>
            <w:r>
              <w:rPr>
                <w:bCs/>
                <w:b/>
              </w:rPr>
              <w:t xml:space="preserve">web space is a</w:t>
            </w:r>
            <w:r>
              <w:rPr>
                <w:bCs/>
                <w:b/>
              </w:rPr>
              <w:t xml:space="preserve"> </w:t>
            </w:r>
            <w:r>
              <w:rPr>
                <w:bCs/>
                <w:b/>
              </w:rPr>
              <w:t xml:space="preserve">“</w:t>
            </w:r>
            <w:r>
              <w:rPr>
                <w:bCs/>
                <w:b/>
              </w:rPr>
              <w:t xml:space="preserve">place</w:t>
            </w:r>
            <w:r>
              <w:rPr>
                <w:bCs/>
                <w:b/>
              </w:rPr>
              <w:t xml:space="preserve">”</w:t>
            </w:r>
            <w:r>
              <w:t xml:space="preserve"> </w:t>
            </w:r>
            <w:r>
              <w:t xml:space="preserve">under s.51(a)(ii) Copyright Act; ad revenue supplies</w:t>
            </w:r>
            <w:r>
              <w:t xml:space="preserve"> </w:t>
            </w:r>
            <w:r>
              <w:t xml:space="preserve">“</w:t>
            </w:r>
            <w:r>
              <w:t xml:space="preserve">for profit</w:t>
            </w:r>
            <w:r>
              <w:t xml:space="preserve">”</w:t>
            </w:r>
            <w:r>
              <w:t xml:space="preserve">; format modification defeated the no-knowledge defence;</w:t>
            </w:r>
            <w:r>
              <w:t xml:space="preserve"> </w:t>
            </w:r>
            <w:r>
              <w:rPr>
                <w:bCs/>
                <w:b/>
              </w:rPr>
              <w:t xml:space="preserve">s.81 overrides s.79</w:t>
            </w:r>
          </w:p>
        </w:tc>
      </w:tr>
      <w:tr>
        <w:tc>
          <w:tcPr/>
          <w:p>
            <w:pPr>
              <w:pStyle w:val="Compact"/>
              <w:jc w:val="left"/>
            </w:pPr>
            <w:r>
              <w:rPr>
                <w:iCs/>
                <w:i/>
                <w:bCs/>
                <w:b/>
              </w:rPr>
              <w:t xml:space="preserve">MySpace Inc. v. Super Cassettes Industries Ltd.</w:t>
            </w:r>
            <w:r>
              <w:t xml:space="preserve"> </w:t>
            </w:r>
            <w:r>
              <w:rPr>
                <w:iCs/>
                <w:i/>
              </w:rPr>
              <w:t xml:space="preserve">(Division Bench)</w:t>
            </w:r>
          </w:p>
        </w:tc>
        <w:tc>
          <w:tcPr/>
          <w:p>
            <w:pPr>
              <w:pStyle w:val="Compact"/>
              <w:jc w:val="left"/>
            </w:pPr>
            <w:r>
              <w:t xml:space="preserve">Delhi HC, 2016</w:t>
            </w:r>
          </w:p>
        </w:tc>
        <w:tc>
          <w:tcPr/>
          <w:p>
            <w:pPr>
              <w:pStyle w:val="Compact"/>
              <w:jc w:val="left"/>
            </w:pPr>
            <w:r>
              <w:rPr>
                <w:bCs/>
                <w:b/>
              </w:rPr>
              <w:t xml:space="preserve">Set aside the Single Judge.</w:t>
            </w:r>
            <w:r>
              <w:t xml:space="preserve"> </w:t>
            </w:r>
            <w:r>
              <w:t xml:space="preserve">Secondary infringement requires</w:t>
            </w:r>
            <w:r>
              <w:t xml:space="preserve"> </w:t>
            </w:r>
            <w:r>
              <w:rPr>
                <w:bCs/>
                <w:b/>
              </w:rPr>
              <w:t xml:space="preserve">actual knowledge and NOT mere awareness</w:t>
            </w:r>
            <w:r>
              <w:t xml:space="preserve">. The proviso to s.81 does</w:t>
            </w:r>
            <w:r>
              <w:t xml:space="preserve"> </w:t>
            </w:r>
            <w:r>
              <w:rPr>
                <w:bCs/>
                <w:b/>
              </w:rPr>
              <w:t xml:space="preserve">not</w:t>
            </w:r>
            <w:r>
              <w:t xml:space="preserve"> </w:t>
            </w:r>
            <w:r>
              <w:t xml:space="preserve">oust safe harbour, which cannot be denied in a copyright action;</w:t>
            </w:r>
            <w:r>
              <w:t xml:space="preserve"> </w:t>
            </w:r>
            <w:r>
              <w:rPr>
                <w:bCs/>
                <w:b/>
              </w:rPr>
              <w:t xml:space="preserve">ss.79 and 81 IT Act and s.51 Copyright Act must be read harmoniously</w:t>
            </w:r>
            <w:r>
              <w:t xml:space="preserve">. Rightsholder must supply a</w:t>
            </w:r>
            <w:r>
              <w:t xml:space="preserve"> </w:t>
            </w:r>
            <w:r>
              <w:rPr>
                <w:bCs/>
                <w:b/>
              </w:rPr>
              <w:t xml:space="preserve">specific catalogue identifying URLs</w:t>
            </w:r>
            <w:r>
              <w:t xml:space="preserve">, then removal</w:t>
            </w:r>
            <w:r>
              <w:t xml:space="preserve"> </w:t>
            </w:r>
            <w:r>
              <w:rPr>
                <w:bCs/>
                <w:b/>
              </w:rPr>
              <w:t xml:space="preserve">within 36 hours</w:t>
            </w:r>
            <w:r>
              <w:t xml:space="preserve">. Para 57:</w:t>
            </w:r>
            <w:r>
              <w:t xml:space="preserve"> </w:t>
            </w:r>
            <w:r>
              <w:rPr>
                <w:iCs/>
                <w:i/>
              </w:rPr>
              <w:t xml:space="preserve">“</w:t>
            </w:r>
            <w:r>
              <w:rPr>
                <w:iCs/>
                <w:i/>
              </w:rPr>
              <w:t xml:space="preserve">then alone is safe harbor denied… it is for SCIL to show</w:t>
            </w:r>
            <w:r>
              <w:rPr>
                <w:iCs/>
                <w:i/>
              </w:rPr>
              <w:t xml:space="preserve">”</w:t>
            </w:r>
            <w:r>
              <w:t xml:space="preserve"> </w:t>
            </w:r>
            <w:r>
              <w:t xml:space="preserve">—</w:t>
            </w:r>
            <w:r>
              <w:t xml:space="preserve"> </w:t>
            </w:r>
            <w:r>
              <w:rPr>
                <w:bCs/>
                <w:b/>
              </w:rPr>
              <w:t xml:space="preserve">burden on the rightsholder</w:t>
            </w:r>
          </w:p>
        </w:tc>
      </w:tr>
      <w:tr>
        <w:tc>
          <w:tcPr/>
          <w:p>
            <w:pPr>
              <w:pStyle w:val="Compact"/>
              <w:jc w:val="left"/>
            </w:pPr>
            <w:r>
              <w:rPr>
                <w:iCs/>
                <w:i/>
                <w:bCs/>
                <w:b/>
              </w:rPr>
              <w:t xml:space="preserve">Kent RO Systems Ltd. v. Amit Kotak</w:t>
            </w:r>
          </w:p>
        </w:tc>
        <w:tc>
          <w:tcPr/>
          <w:p>
            <w:pPr>
              <w:pStyle w:val="Compact"/>
              <w:jc w:val="left"/>
            </w:pPr>
            <w:r>
              <w:t xml:space="preserve">Delhi HC, 2017</w:t>
            </w:r>
          </w:p>
        </w:tc>
        <w:tc>
          <w:tcPr/>
          <w:p>
            <w:pPr>
              <w:pStyle w:val="Compact"/>
              <w:jc w:val="left"/>
            </w:pPr>
            <w:r>
              <w:rPr>
                <w:bCs/>
                <w:b/>
              </w:rPr>
              <w:t xml:space="preserve">Refused</w:t>
            </w:r>
            <w:r>
              <w:t xml:space="preserve"> </w:t>
            </w:r>
            <w:r>
              <w:t xml:space="preserve">to compel</w:t>
            </w:r>
            <w:r>
              <w:t xml:space="preserve"> </w:t>
            </w:r>
            <w:r>
              <w:rPr>
                <w:iCs/>
                <w:i/>
              </w:rPr>
              <w:t xml:space="preserve">ex ante</w:t>
            </w:r>
            <w:r>
              <w:t xml:space="preserve"> </w:t>
            </w:r>
            <w:r>
              <w:t xml:space="preserve">screening of IP-infringing content; it would be</w:t>
            </w:r>
            <w:r>
              <w:t xml:space="preserve"> </w:t>
            </w:r>
            <w:r>
              <w:rPr>
                <w:iCs/>
                <w:i/>
              </w:rPr>
              <w:t xml:space="preserve">“</w:t>
            </w:r>
            <w:r>
              <w:rPr>
                <w:iCs/>
                <w:i/>
              </w:rPr>
              <w:t xml:space="preserve">an unreasonable interference with the rights of the intermediary to carry on its business</w:t>
            </w:r>
            <w:r>
              <w:rPr>
                <w:iCs/>
                <w:i/>
              </w:rPr>
              <w:t xml:space="preserve">”</w:t>
            </w:r>
            <w:r>
              <w:t xml:space="preserve"> </w:t>
            </w:r>
            <w:r>
              <w:t xml:space="preserve">and would change the intermediary</w:t>
            </w:r>
            <w:r>
              <w:t xml:space="preserve"> </w:t>
            </w:r>
            <w:r>
              <w:rPr>
                <w:bCs/>
                <w:b/>
              </w:rPr>
              <w:t xml:space="preserve">from a facilitator to an adjudicator</w:t>
            </w:r>
            <w:r>
              <w:t xml:space="preserve">. Once</w:t>
            </w:r>
            <w:r>
              <w:t xml:space="preserve"> </w:t>
            </w:r>
            <w:r>
              <w:rPr>
                <w:bCs/>
                <w:b/>
              </w:rPr>
              <w:t xml:space="preserve">specific</w:t>
            </w:r>
            <w:r>
              <w:t xml:space="preserve"> </w:t>
            </w:r>
            <w:r>
              <w:t xml:space="preserve">infringing listings are notified, removal is obligatory</w:t>
            </w:r>
          </w:p>
        </w:tc>
      </w:tr>
      <w:tr>
        <w:tc>
          <w:tcPr/>
          <w:p>
            <w:pPr>
              <w:pStyle w:val="Compact"/>
              <w:jc w:val="left"/>
            </w:pPr>
            <w:r>
              <w:rPr>
                <w:iCs/>
                <w:i/>
                <w:bCs/>
                <w:b/>
              </w:rPr>
              <w:t xml:space="preserve">Christian Louboutin SAS v. Nakul Bajaj</w:t>
            </w:r>
          </w:p>
        </w:tc>
        <w:tc>
          <w:tcPr/>
          <w:p>
            <w:pPr>
              <w:pStyle w:val="Compact"/>
              <w:jc w:val="left"/>
            </w:pPr>
            <w:r>
              <w:t xml:space="preserve">Delhi HC, 2018</w:t>
            </w:r>
          </w:p>
        </w:tc>
        <w:tc>
          <w:tcPr/>
          <w:p>
            <w:pPr>
              <w:pStyle w:val="Compact"/>
              <w:jc w:val="left"/>
            </w:pPr>
            <w:r>
              <w:t xml:space="preserve">Darveys.com</w:t>
            </w:r>
            <w:r>
              <w:t xml:space="preserve"> </w:t>
            </w:r>
            <w:r>
              <w:rPr>
                <w:bCs/>
                <w:b/>
              </w:rPr>
              <w:t xml:space="preserve">cannot be termed an intermediary</w:t>
            </w:r>
            <w:r>
              <w:t xml:space="preserve"> </w:t>
            </w:r>
            <w:r>
              <w:t xml:space="preserve">entitled to s.79. Para 78:</w:t>
            </w:r>
            <w:r>
              <w:t xml:space="preserve"> </w:t>
            </w:r>
            <w:r>
              <w:rPr>
                <w:iCs/>
                <w:i/>
              </w:rPr>
              <w:t xml:space="preserve">“</w:t>
            </w:r>
            <w:r>
              <w:rPr>
                <w:iCs/>
                <w:i/>
              </w:rPr>
              <w:t xml:space="preserve">it ought to ensure that it does not have an</w:t>
            </w:r>
            <w:r>
              <w:rPr>
                <w:iCs/>
                <w:i/>
              </w:rPr>
              <w:t xml:space="preserve"> </w:t>
            </w:r>
            <w:r>
              <w:rPr>
                <w:bCs/>
                <w:b/>
                <w:iCs/>
                <w:i/>
              </w:rPr>
              <w:t xml:space="preserve">active participation in the selling process</w:t>
            </w:r>
            <w:r>
              <w:rPr>
                <w:iCs/>
                <w:i/>
              </w:rPr>
              <w:t xml:space="preserve">. The presence of any elements which shows active participation could deprive intermediaries of the exemption.</w:t>
            </w:r>
            <w:r>
              <w:rPr>
                <w:iCs/>
                <w:i/>
              </w:rPr>
              <w:t xml:space="preserve">”</w:t>
            </w:r>
            <w:r>
              <w:t xml:space="preserve"> </w:t>
            </w:r>
            <w:r>
              <w:t xml:space="preserve">Enumerated</w:t>
            </w:r>
            <w:r>
              <w:t xml:space="preserve"> </w:t>
            </w:r>
            <w:r>
              <w:rPr>
                <w:bCs/>
                <w:b/>
              </w:rPr>
              <w:t xml:space="preserve">26 activities</w:t>
            </w:r>
            <w:r>
              <w:t xml:space="preserve"> </w:t>
            </w:r>
            <w:r>
              <w:t xml:space="preserve">distinguishing active from passive</w:t>
            </w:r>
          </w:p>
        </w:tc>
      </w:tr>
      <w:tr>
        <w:tc>
          <w:tcPr/>
          <w:p>
            <w:pPr>
              <w:pStyle w:val="Compact"/>
              <w:jc w:val="left"/>
            </w:pPr>
            <w:r>
              <w:rPr>
                <w:iCs/>
                <w:i/>
                <w:bCs/>
                <w:b/>
              </w:rPr>
              <w:t xml:space="preserve">Sanjay Kumar Kedia v. Narcotics Control Bureau</w:t>
            </w:r>
          </w:p>
        </w:tc>
        <w:tc>
          <w:tcPr/>
          <w:p>
            <w:pPr>
              <w:pStyle w:val="Compact"/>
              <w:jc w:val="left"/>
            </w:pPr>
            <w:r>
              <w:t xml:space="preserve">Supreme Court, 2007</w:t>
            </w:r>
          </w:p>
        </w:tc>
        <w:tc>
          <w:tcPr/>
          <w:p>
            <w:pPr>
              <w:pStyle w:val="Compact"/>
              <w:jc w:val="left"/>
            </w:pPr>
            <w:r>
              <w:t xml:space="preserve">The appellant and associates were</w:t>
            </w:r>
            <w:r>
              <w:t xml:space="preserve"> </w:t>
            </w:r>
            <w:r>
              <w:rPr>
                <w:iCs/>
                <w:i/>
              </w:rPr>
              <w:t xml:space="preserve">“</w:t>
            </w:r>
            <w:r>
              <w:rPr>
                <w:bCs/>
                <w:b/>
                <w:iCs/>
                <w:i/>
              </w:rPr>
              <w:t xml:space="preserve">not innocent intermediaries</w:t>
            </w:r>
            <w:r>
              <w:rPr>
                <w:iCs/>
                <w:i/>
              </w:rPr>
              <w:t xml:space="preserve">… the said business was only a</w:t>
            </w:r>
            <w:r>
              <w:rPr>
                <w:iCs/>
                <w:i/>
              </w:rPr>
              <w:t xml:space="preserve"> </w:t>
            </w:r>
            <w:r>
              <w:rPr>
                <w:bCs/>
                <w:b/>
                <w:iCs/>
                <w:i/>
              </w:rPr>
              <w:t xml:space="preserve">façade and camouflage for more sinister activity</w:t>
            </w:r>
            <w:r>
              <w:rPr>
                <w:iCs/>
                <w:i/>
              </w:rPr>
              <w:t xml:space="preserve">”</w:t>
            </w:r>
            <w:r>
              <w:t xml:space="preserve"> </w:t>
            </w:r>
            <w:r>
              <w:t xml:space="preserve">— s.79 grants no immunity where the operation is part of the unlawful conduct (s.79(3)(a))</w:t>
            </w:r>
          </w:p>
        </w:tc>
      </w:tr>
      <w:tr>
        <w:tc>
          <w:tcPr/>
          <w:p>
            <w:pPr>
              <w:pStyle w:val="Compact"/>
              <w:jc w:val="left"/>
            </w:pPr>
            <w:r>
              <w:rPr>
                <w:iCs/>
                <w:i/>
                <w:bCs/>
                <w:b/>
              </w:rPr>
              <w:t xml:space="preserve">Neetu Singh v. Telegram FZ LLC</w:t>
            </w:r>
            <w:r>
              <w:t xml:space="preserve">, CS (COMM) 282/2020</w:t>
            </w:r>
          </w:p>
        </w:tc>
        <w:tc>
          <w:tcPr/>
          <w:p>
            <w:pPr>
              <w:pStyle w:val="Compact"/>
              <w:jc w:val="left"/>
            </w:pPr>
            <w:r>
              <w:t xml:space="preserve">Delhi HC, 2022</w:t>
            </w:r>
          </w:p>
        </w:tc>
        <w:tc>
          <w:tcPr/>
          <w:p>
            <w:pPr>
              <w:pStyle w:val="Compact"/>
              <w:jc w:val="left"/>
            </w:pPr>
            <w:r>
              <w:t xml:space="preserve">Foreign server location does not defeat jurisdiction —</w:t>
            </w:r>
            <w:r>
              <w:t xml:space="preserve"> </w:t>
            </w:r>
            <w:r>
              <w:rPr>
                <w:iCs/>
                <w:i/>
              </w:rPr>
              <w:t xml:space="preserve">“</w:t>
            </w:r>
            <w:r>
              <w:rPr>
                <w:iCs/>
                <w:i/>
              </w:rPr>
              <w:t xml:space="preserve">Infringers cannot be permitted to seek shelter… merely on the ground that its physical server is in Singapore.</w:t>
            </w:r>
            <w:r>
              <w:rPr>
                <w:iCs/>
                <w:i/>
              </w:rPr>
              <w:t xml:space="preserve">”</w:t>
            </w:r>
            <w:r>
              <w:t xml:space="preserve"> </w:t>
            </w:r>
            <w:r>
              <w:t xml:space="preserve">Lectures are</w:t>
            </w:r>
            <w:r>
              <w:t xml:space="preserve"> </w:t>
            </w:r>
            <w:r>
              <w:rPr>
                <w:bCs/>
                <w:b/>
              </w:rPr>
              <w:t xml:space="preserve">cinematograph films (s.2(f))</w:t>
            </w:r>
            <w:r>
              <w:t xml:space="preserve">, materials</w:t>
            </w:r>
            <w:r>
              <w:t xml:space="preserve"> </w:t>
            </w:r>
            <w:r>
              <w:rPr>
                <w:bCs/>
                <w:b/>
              </w:rPr>
              <w:t xml:space="preserve">literary works (s.2(o))</w:t>
            </w:r>
            <w:r>
              <w:t xml:space="preserve">. Privacy</w:t>
            </w:r>
            <w:r>
              <w:t xml:space="preserve"> </w:t>
            </w:r>
            <w:r>
              <w:rPr>
                <w:iCs/>
                <w:i/>
              </w:rPr>
              <w:t xml:space="preserve">“</w:t>
            </w:r>
            <w:r>
              <w:rPr>
                <w:iCs/>
                <w:i/>
              </w:rPr>
              <w:t xml:space="preserve">cannot be used… to escape the consequences of illegal actions</w:t>
            </w:r>
            <w:r>
              <w:rPr>
                <w:iCs/>
                <w:i/>
              </w:rPr>
              <w:t xml:space="preserve">”</w:t>
            </w:r>
            <w:r>
              <w:t xml:space="preserve">; applying</w:t>
            </w:r>
            <w:r>
              <w:t xml:space="preserve"> </w:t>
            </w:r>
            <w:r>
              <w:rPr>
                <w:iCs/>
                <w:i/>
              </w:rPr>
              <w:t xml:space="preserve">Puttaswamy</w:t>
            </w:r>
            <w:r>
              <w:t xml:space="preserve">, disclosure is permissible where</w:t>
            </w:r>
            <w:r>
              <w:t xml:space="preserve"> </w:t>
            </w:r>
            <w:r>
              <w:rPr>
                <w:bCs/>
                <w:b/>
              </w:rPr>
              <w:t xml:space="preserve">a law exists, disclosure is needed, and it is not disproportionate</w:t>
            </w:r>
            <w:r>
              <w:t xml:space="preserve">. Disclosure of mobile numbers, IPs and emails</w:t>
            </w:r>
            <w:r>
              <w:t xml:space="preserve"> </w:t>
            </w:r>
            <w:r>
              <w:rPr>
                <w:bCs/>
                <w:b/>
              </w:rPr>
              <w:t xml:space="preserve">in a sealed cover</w:t>
            </w:r>
          </w:p>
        </w:tc>
      </w:tr>
    </w:tbl>
    <w:bookmarkEnd w:id="70"/>
    <w:bookmarkStart w:id="71" w:name="e.-corporate-and-criminal-liability"/>
    <w:p>
      <w:pPr>
        <w:pStyle w:val="Heading2"/>
      </w:pPr>
      <w:r>
        <w:t xml:space="preserve">E. Corporate and criminal liability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Court / year</w:t>
            </w:r>
          </w:p>
        </w:tc>
        <w:tc>
          <w:tcPr/>
          <w:p>
            <w:pPr>
              <w:pStyle w:val="Compact"/>
              <w:jc w:val="left"/>
            </w:pPr>
            <w:r>
              <w:t xml:space="preserve">Held</w:t>
            </w:r>
          </w:p>
        </w:tc>
      </w:tr>
      <w:tr>
        <w:tc>
          <w:tcPr/>
          <w:p>
            <w:pPr>
              <w:pStyle w:val="Compact"/>
              <w:jc w:val="left"/>
            </w:pPr>
            <w:r>
              <w:rPr>
                <w:iCs/>
                <w:i/>
                <w:bCs/>
                <w:b/>
              </w:rPr>
              <w:t xml:space="preserve">Avnish Bajaj v. State</w:t>
            </w:r>
            <w:r>
              <w:t xml:space="preserve"> </w:t>
            </w:r>
            <w:r>
              <w:t xml:space="preserve">(Bazee.com)</w:t>
            </w:r>
          </w:p>
        </w:tc>
        <w:tc>
          <w:tcPr/>
          <w:p>
            <w:pPr>
              <w:pStyle w:val="Compact"/>
              <w:jc w:val="left"/>
            </w:pPr>
            <w:r>
              <w:t xml:space="preserve">Delhi HC 2008; Supreme Court 2012</w:t>
            </w:r>
          </w:p>
        </w:tc>
        <w:tc>
          <w:tcPr/>
          <w:p>
            <w:pPr>
              <w:pStyle w:val="Compact"/>
              <w:jc w:val="left"/>
            </w:pPr>
            <w:r>
              <w:t xml:space="preserve">HC discharged him under</w:t>
            </w:r>
            <w:r>
              <w:t xml:space="preserve"> </w:t>
            </w:r>
            <w:r>
              <w:rPr>
                <w:bCs/>
                <w:b/>
              </w:rPr>
              <w:t xml:space="preserve">ss.292 and 294 IPC</w:t>
            </w:r>
            <w:r>
              <w:t xml:space="preserve"> </w:t>
            </w:r>
            <w:r>
              <w:t xml:space="preserve">(no automatic director liability under the IPC) but found a case under</w:t>
            </w:r>
            <w:r>
              <w:t xml:space="preserve"> </w:t>
            </w:r>
            <w:r>
              <w:rPr>
                <w:bCs/>
                <w:b/>
              </w:rPr>
              <w:t xml:space="preserve">s.67 read with s.85</w:t>
            </w:r>
            <w:r>
              <w:t xml:space="preserve">.</w:t>
            </w:r>
            <w:r>
              <w:t xml:space="preserve"> </w:t>
            </w:r>
            <w:r>
              <w:rPr>
                <w:bCs/>
                <w:b/>
              </w:rPr>
              <w:t xml:space="preserve">SC overturned</w:t>
            </w:r>
            <w:r>
              <w:t xml:space="preserve">: vicarious liability cannot be fastened where the company is not arraigned —</w:t>
            </w:r>
            <w:r>
              <w:t xml:space="preserve"> </w:t>
            </w:r>
            <w:r>
              <w:rPr>
                <w:iCs/>
                <w:i/>
              </w:rPr>
              <w:t xml:space="preserve">“</w:t>
            </w:r>
            <w:r>
              <w:rPr>
                <w:iCs/>
                <w:i/>
              </w:rPr>
              <w:t xml:space="preserve">Commission of an offence by the company was an express</w:t>
            </w:r>
            <w:r>
              <w:rPr>
                <w:iCs/>
                <w:i/>
              </w:rPr>
              <w:t xml:space="preserve"> </w:t>
            </w:r>
            <w:r>
              <w:rPr>
                <w:bCs/>
                <w:b/>
                <w:iCs/>
                <w:i/>
              </w:rPr>
              <w:t xml:space="preserve">condition precedent</w:t>
            </w:r>
            <w:r>
              <w:rPr>
                <w:iCs/>
                <w:i/>
              </w:rPr>
              <w:t xml:space="preserve"> </w:t>
            </w:r>
            <w:r>
              <w:rPr>
                <w:iCs/>
                <w:i/>
              </w:rPr>
              <w:t xml:space="preserve">to attract the liability of others in charge of the company.</w:t>
            </w:r>
            <w:r>
              <w:rPr>
                <w:iCs/>
                <w:i/>
              </w:rPr>
              <w:t xml:space="preserve">”</w:t>
            </w:r>
            <w:r>
              <w:t xml:space="preserve"> </w:t>
            </w:r>
            <w:r>
              <w:rPr>
                <w:bCs/>
                <w:b/>
              </w:rPr>
              <w:t xml:space="preserve">s.79 was never argued</w:t>
            </w:r>
          </w:p>
        </w:tc>
      </w:tr>
      <w:tr>
        <w:tc>
          <w:tcPr/>
          <w:p>
            <w:pPr>
              <w:pStyle w:val="Compact"/>
              <w:jc w:val="left"/>
            </w:pPr>
            <w:r>
              <w:rPr>
                <w:iCs/>
                <w:i/>
                <w:bCs/>
                <w:b/>
              </w:rPr>
              <w:t xml:space="preserve">Sharat Babu Digumarti v. Government of NCT of Delhi</w:t>
            </w:r>
          </w:p>
        </w:tc>
        <w:tc>
          <w:tcPr/>
          <w:p>
            <w:pPr>
              <w:pStyle w:val="Compact"/>
              <w:jc w:val="left"/>
            </w:pPr>
            <w:r>
              <w:t xml:space="preserve">Supreme Court, 2016</w:t>
            </w:r>
          </w:p>
        </w:tc>
        <w:tc>
          <w:tcPr/>
          <w:p>
            <w:pPr>
              <w:pStyle w:val="Compact"/>
              <w:jc w:val="left"/>
            </w:pPr>
            <w:r>
              <w:t xml:space="preserve">Proceedings</w:t>
            </w:r>
            <w:r>
              <w:t xml:space="preserve"> </w:t>
            </w:r>
            <w:r>
              <w:rPr>
                <w:bCs/>
                <w:b/>
              </w:rPr>
              <w:t xml:space="preserve">quashed</w:t>
            </w:r>
            <w:r>
              <w:t xml:space="preserve">. Electronic transmission is covered by the</w:t>
            </w:r>
            <w:r>
              <w:t xml:space="preserve"> </w:t>
            </w:r>
            <w:r>
              <w:rPr>
                <w:bCs/>
                <w:b/>
              </w:rPr>
              <w:t xml:space="preserve">IT Act as a special law</w:t>
            </w:r>
            <w:r>
              <w:t xml:space="preserve">; an offender discharged under the IT Act</w:t>
            </w:r>
            <w:r>
              <w:t xml:space="preserve"> </w:t>
            </w:r>
            <w:r>
              <w:rPr>
                <w:bCs/>
                <w:b/>
              </w:rPr>
              <w:t xml:space="preserve">cannot be proceeded against under the IPC for the same offence</w:t>
            </w:r>
          </w:p>
        </w:tc>
      </w:tr>
    </w:tbl>
    <w:bookmarkEnd w:id="71"/>
    <w:bookmarkStart w:id="72" w:name="f.-expanding-intermediary-obligations"/>
    <w:p>
      <w:pPr>
        <w:pStyle w:val="Heading2"/>
      </w:pPr>
      <w:r>
        <w:t xml:space="preserve">F. Expanding intermediary obligations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Court / year</w:t>
            </w:r>
          </w:p>
        </w:tc>
        <w:tc>
          <w:tcPr/>
          <w:p>
            <w:pPr>
              <w:pStyle w:val="Compact"/>
              <w:jc w:val="left"/>
            </w:pPr>
            <w:r>
              <w:t xml:space="preserve">Held</w:t>
            </w:r>
          </w:p>
        </w:tc>
      </w:tr>
      <w:tr>
        <w:tc>
          <w:tcPr/>
          <w:p>
            <w:pPr>
              <w:pStyle w:val="Compact"/>
              <w:jc w:val="left"/>
            </w:pPr>
            <w:r>
              <w:rPr>
                <w:iCs/>
                <w:i/>
                <w:bCs/>
                <w:b/>
              </w:rPr>
              <w:t xml:space="preserve">Google India v. Visakha Industries</w:t>
            </w:r>
          </w:p>
        </w:tc>
        <w:tc>
          <w:tcPr/>
          <w:p>
            <w:pPr>
              <w:pStyle w:val="Compact"/>
              <w:jc w:val="left"/>
            </w:pPr>
            <w:r>
              <w:t xml:space="preserve">AP High Court; Supreme Court</w:t>
            </w:r>
          </w:p>
        </w:tc>
        <w:tc>
          <w:tcPr/>
          <w:p>
            <w:pPr>
              <w:pStyle w:val="Compact"/>
              <w:jc w:val="left"/>
            </w:pPr>
            <w:r>
              <w:t xml:space="preserve">Google was</w:t>
            </w:r>
            <w:r>
              <w:t xml:space="preserve"> </w:t>
            </w:r>
            <w:r>
              <w:rPr>
                <w:iCs/>
                <w:i/>
              </w:rPr>
              <w:t xml:space="preserve">“</w:t>
            </w:r>
            <w:r>
              <w:rPr>
                <w:iCs/>
                <w:i/>
              </w:rPr>
              <w:t xml:space="preserve">not only the author but is also the</w:t>
            </w:r>
            <w:r>
              <w:rPr>
                <w:iCs/>
                <w:i/>
              </w:rPr>
              <w:t xml:space="preserve"> </w:t>
            </w:r>
            <w:r>
              <w:rPr>
                <w:bCs/>
                <w:b/>
                <w:iCs/>
                <w:i/>
              </w:rPr>
              <w:t xml:space="preserve">publisher</w:t>
            </w:r>
            <w:r>
              <w:rPr>
                <w:iCs/>
                <w:i/>
              </w:rPr>
              <w:t xml:space="preserve">”</w:t>
            </w:r>
            <w:r>
              <w:t xml:space="preserve"> </w:t>
            </w:r>
            <w:r>
              <w:t xml:space="preserve">on the facts;</w:t>
            </w:r>
            <w:r>
              <w:t xml:space="preserve"> </w:t>
            </w:r>
            <w:r>
              <w:rPr>
                <w:iCs/>
                <w:i/>
              </w:rPr>
              <w:t xml:space="preserve">“</w:t>
            </w:r>
            <w:r>
              <w:rPr>
                <w:iCs/>
                <w:i/>
              </w:rPr>
              <w:t xml:space="preserve">there may be</w:t>
            </w:r>
            <w:r>
              <w:rPr>
                <w:iCs/>
                <w:i/>
              </w:rPr>
              <w:t xml:space="preserve"> </w:t>
            </w:r>
            <w:r>
              <w:rPr>
                <w:bCs/>
                <w:b/>
                <w:iCs/>
                <w:i/>
              </w:rPr>
              <w:t xml:space="preserve">publication within the meaning of Section 499 of the IPC</w:t>
            </w:r>
            <w:r>
              <w:rPr>
                <w:iCs/>
                <w:i/>
              </w:rPr>
              <w:t xml:space="preserve"> </w:t>
            </w:r>
            <w:r>
              <w:rPr>
                <w:iCs/>
                <w:i/>
              </w:rPr>
              <w:t xml:space="preserve">even in the case of an internet operator,</w:t>
            </w:r>
            <w:r>
              <w:rPr>
                <w:iCs/>
                <w:i/>
              </w:rPr>
              <w:t xml:space="preserve"> </w:t>
            </w:r>
            <w:r>
              <w:rPr>
                <w:bCs/>
                <w:b/>
                <w:iCs/>
                <w:i/>
              </w:rPr>
              <w:t xml:space="preserve">if having the power and the right and the ability to remove a matter, upon being called upon to do so, there is a refusal to do so</w:t>
            </w:r>
            <w:r>
              <w:rPr>
                <w:iCs/>
                <w:i/>
              </w:rPr>
              <w:t xml:space="preserve">.</w:t>
            </w:r>
            <w:r>
              <w:rPr>
                <w:iCs/>
                <w:i/>
              </w:rPr>
              <w:t xml:space="preserve">”</w:t>
            </w:r>
            <w:r>
              <w:t xml:space="preserve"> </w:t>
            </w:r>
            <w:r>
              <w:t xml:space="preserve">Liability attaches to</w:t>
            </w:r>
            <w:r>
              <w:t xml:space="preserve"> </w:t>
            </w:r>
            <w:r>
              <w:rPr>
                <w:bCs/>
                <w:b/>
              </w:rPr>
              <w:t xml:space="preserve">post-notice control</w:t>
            </w:r>
            <w:r>
              <w:t xml:space="preserve">, not authorship</w:t>
            </w:r>
          </w:p>
        </w:tc>
      </w:tr>
      <w:tr>
        <w:tc>
          <w:tcPr/>
          <w:p>
            <w:pPr>
              <w:pStyle w:val="Compact"/>
              <w:jc w:val="left"/>
            </w:pPr>
            <w:r>
              <w:rPr>
                <w:iCs/>
                <w:i/>
                <w:bCs/>
                <w:b/>
              </w:rPr>
              <w:t xml:space="preserve">The Registrar (Judicial), Madurai Bench of Madras HC v. Secretary, Union Ministry of Communications</w:t>
            </w:r>
          </w:p>
        </w:tc>
        <w:tc>
          <w:tcPr/>
          <w:p>
            <w:pPr>
              <w:pStyle w:val="Compact"/>
              <w:jc w:val="left"/>
            </w:pPr>
            <w:r>
              <w:t xml:space="preserve">Madras HC, 2018 (</w:t>
            </w:r>
            <w:r>
              <w:rPr>
                <w:iCs/>
                <w:i/>
              </w:rPr>
              <w:t xml:space="preserve">suo motu</w:t>
            </w:r>
            <w:r>
              <w:t xml:space="preserve">)</w:t>
            </w:r>
          </w:p>
        </w:tc>
        <w:tc>
          <w:tcPr/>
          <w:p>
            <w:pPr>
              <w:pStyle w:val="Compact"/>
              <w:jc w:val="left"/>
            </w:pPr>
            <w:r>
              <w:t xml:space="preserve">Blue Whale Challenge. Online services</w:t>
            </w:r>
            <w:r>
              <w:t xml:space="preserve"> </w:t>
            </w:r>
            <w:r>
              <w:rPr>
                <w:iCs/>
                <w:i/>
              </w:rPr>
              <w:t xml:space="preserve">“</w:t>
            </w:r>
            <w:r>
              <w:rPr>
                <w:bCs/>
                <w:b/>
                <w:iCs/>
                <w:i/>
              </w:rPr>
              <w:t xml:space="preserve">cannot abdicate their duties and responsibilities under law</w:t>
            </w:r>
            <w:r>
              <w:rPr>
                <w:iCs/>
                <w:i/>
              </w:rPr>
              <w:t xml:space="preserve">.</w:t>
            </w:r>
            <w:r>
              <w:rPr>
                <w:iCs/>
                <w:i/>
              </w:rPr>
              <w:t xml:space="preserve">”</w:t>
            </w:r>
            <w:r>
              <w:t xml:space="preserve"> </w:t>
            </w:r>
            <w:r>
              <w:t xml:space="preserve">Directed the Central Government to bring</w:t>
            </w:r>
            <w:r>
              <w:t xml:space="preserve"> </w:t>
            </w:r>
            <w:r>
              <w:rPr>
                <w:bCs/>
                <w:b/>
              </w:rPr>
              <w:t xml:space="preserve">OTT services within a legal framework</w:t>
            </w:r>
            <w:r>
              <w:t xml:space="preserve"> </w:t>
            </w:r>
            <w:r>
              <w:t xml:space="preserve">obliging compliance with Indian law and provision of information to law enforcement</w:t>
            </w:r>
          </w:p>
        </w:tc>
      </w:tr>
      <w:tr>
        <w:tc>
          <w:tcPr/>
          <w:p>
            <w:pPr>
              <w:pStyle w:val="Compact"/>
              <w:jc w:val="left"/>
            </w:pPr>
            <w:r>
              <w:rPr>
                <w:iCs/>
                <w:i/>
                <w:bCs/>
                <w:b/>
              </w:rPr>
              <w:t xml:space="preserve">Sabu Mathew George v. Union of India</w:t>
            </w:r>
          </w:p>
        </w:tc>
        <w:tc>
          <w:tcPr/>
          <w:p>
            <w:pPr>
              <w:pStyle w:val="Compact"/>
              <w:jc w:val="left"/>
            </w:pPr>
            <w:r>
              <w:t xml:space="preserve">Supreme Court, 2018</w:t>
            </w:r>
          </w:p>
        </w:tc>
        <w:tc>
          <w:tcPr/>
          <w:p>
            <w:pPr>
              <w:pStyle w:val="Compact"/>
              <w:jc w:val="left"/>
            </w:pPr>
            <w:r>
              <w:t xml:space="preserve">Directed Google, Microsoft and Yahoo to</w:t>
            </w:r>
            <w:r>
              <w:t xml:space="preserve"> </w:t>
            </w:r>
            <w:r>
              <w:rPr>
                <w:bCs/>
                <w:b/>
              </w:rPr>
              <w:t xml:space="preserve">“</w:t>
            </w:r>
            <w:r>
              <w:rPr>
                <w:bCs/>
                <w:b/>
              </w:rPr>
              <w:t xml:space="preserve">auto-block</w:t>
            </w:r>
            <w:r>
              <w:rPr>
                <w:bCs/>
                <w:b/>
              </w:rPr>
              <w:t xml:space="preserve">”</w:t>
            </w:r>
            <w:r>
              <w:t xml:space="preserve"> </w:t>
            </w:r>
            <w:r>
              <w:t xml:space="preserve">pre-natal sex determination advertisements violating</w:t>
            </w:r>
            <w:r>
              <w:t xml:space="preserve"> </w:t>
            </w:r>
            <w:r>
              <w:rPr>
                <w:bCs/>
                <w:b/>
              </w:rPr>
              <w:t xml:space="preserve">s.22 PCPNDT Act 1994</w:t>
            </w:r>
            <w:r>
              <w:t xml:space="preserve">; each to constitute an</w:t>
            </w:r>
            <w:r>
              <w:t xml:space="preserve"> </w:t>
            </w:r>
            <w:r>
              <w:rPr>
                <w:bCs/>
                <w:b/>
              </w:rPr>
              <w:t xml:space="preserve">expert in-house committee</w:t>
            </w:r>
            <w:r>
              <w:t xml:space="preserve">; the Government to constitute a</w:t>
            </w:r>
            <w:r>
              <w:t xml:space="preserve"> </w:t>
            </w:r>
            <w:r>
              <w:rPr>
                <w:bCs/>
                <w:b/>
              </w:rPr>
              <w:t xml:space="preserve">nodal agency</w:t>
            </w:r>
            <w:r>
              <w:t xml:space="preserve">; deletion</w:t>
            </w:r>
            <w:r>
              <w:t xml:space="preserve"> </w:t>
            </w:r>
            <w:r>
              <w:rPr>
                <w:bCs/>
                <w:b/>
              </w:rPr>
              <w:t xml:space="preserve">within 36 hours</w:t>
            </w:r>
            <w:r>
              <w:t xml:space="preserve"> </w:t>
            </w:r>
            <w:r>
              <w:t xml:space="preserve">of an actionable complaint with intimation.</w:t>
            </w:r>
            <w:r>
              <w:t xml:space="preserve"> </w:t>
            </w:r>
            <w:r>
              <w:rPr>
                <w:bCs/>
                <w:b/>
              </w:rPr>
              <w:t xml:space="preserve">The only case imposing proactive filtering</w:t>
            </w:r>
          </w:p>
        </w:tc>
      </w:tr>
      <w:tr>
        <w:tc>
          <w:tcPr/>
          <w:p>
            <w:pPr>
              <w:pStyle w:val="Compact"/>
              <w:jc w:val="left"/>
            </w:pPr>
            <w:r>
              <w:rPr>
                <w:iCs/>
                <w:i/>
                <w:bCs/>
                <w:b/>
              </w:rPr>
              <w:t xml:space="preserve">Kamlesh Vaswani v. Union of India</w:t>
            </w:r>
          </w:p>
        </w:tc>
        <w:tc>
          <w:tcPr/>
          <w:p>
            <w:pPr>
              <w:pStyle w:val="Compact"/>
              <w:jc w:val="left"/>
            </w:pPr>
            <w:r>
              <w:t xml:space="preserve">Supreme Court, 2013</w:t>
            </w:r>
          </w:p>
        </w:tc>
        <w:tc>
          <w:tcPr/>
          <w:p>
            <w:pPr>
              <w:pStyle w:val="Compact"/>
              <w:jc w:val="left"/>
            </w:pPr>
            <w:r>
              <w:t xml:space="preserve">PIL challenging</w:t>
            </w:r>
            <w:r>
              <w:t xml:space="preserve"> </w:t>
            </w:r>
            <w:r>
              <w:rPr>
                <w:bCs/>
                <w:b/>
              </w:rPr>
              <w:t xml:space="preserve">ss.66, 67, 69, 71, 72, 75, 79, 80, 85</w:t>
            </w:r>
            <w:r>
              <w:t xml:space="preserve"> </w:t>
            </w:r>
            <w:r>
              <w:t xml:space="preserve">as inefficient against pornography, and seeking that viewing be made non-bailable and cognizable.</w:t>
            </w:r>
            <w:r>
              <w:t xml:space="preserve"> </w:t>
            </w:r>
            <w:r>
              <w:rPr>
                <w:bCs/>
                <w:b/>
              </w:rPr>
              <w:t xml:space="preserve">No blanket ban ordered</w:t>
            </w:r>
            <w:r>
              <w:t xml:space="preserve">;</w:t>
            </w:r>
            <w:r>
              <w:t xml:space="preserve"> </w:t>
            </w:r>
            <w:r>
              <w:rPr>
                <w:bCs/>
                <w:b/>
              </w:rPr>
              <w:t xml:space="preserve">857 websites were blocked in August 2015 and all unblocked within days</w:t>
            </w:r>
            <w:r>
              <w:t xml:space="preserve"> </w:t>
            </w:r>
            <w:r>
              <w:t xml:space="preserve">— keyword filtering cannot separate obscenity from medical and scientific content</w:t>
            </w:r>
          </w:p>
        </w:tc>
      </w:tr>
    </w:tbl>
    <w:bookmarkEnd w:id="72"/>
    <w:bookmarkStart w:id="73" w:name="g.-blocking-proportionality-and-privacy"/>
    <w:p>
      <w:pPr>
        <w:pStyle w:val="Heading2"/>
      </w:pPr>
      <w:r>
        <w:t xml:space="preserve">G. Blocking, proportionality and privacy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Court / year</w:t>
            </w:r>
          </w:p>
        </w:tc>
        <w:tc>
          <w:tcPr/>
          <w:p>
            <w:pPr>
              <w:pStyle w:val="Compact"/>
              <w:jc w:val="left"/>
            </w:pPr>
            <w:r>
              <w:t xml:space="preserve">Held</w:t>
            </w:r>
          </w:p>
        </w:tc>
      </w:tr>
      <w:tr>
        <w:tc>
          <w:tcPr/>
          <w:p>
            <w:pPr>
              <w:pStyle w:val="Compact"/>
              <w:jc w:val="left"/>
            </w:pPr>
            <w:r>
              <w:rPr>
                <w:iCs/>
                <w:i/>
                <w:bCs/>
                <w:b/>
              </w:rPr>
              <w:t xml:space="preserve">X v. Union of India</w:t>
            </w:r>
          </w:p>
        </w:tc>
        <w:tc>
          <w:tcPr/>
          <w:p>
            <w:pPr>
              <w:pStyle w:val="Compact"/>
              <w:jc w:val="left"/>
            </w:pPr>
            <w:r>
              <w:t xml:space="preserve">Karnataka HC, 2025</w:t>
            </w:r>
          </w:p>
        </w:tc>
        <w:tc>
          <w:tcPr/>
          <w:p>
            <w:pPr>
              <w:pStyle w:val="Compact"/>
              <w:jc w:val="left"/>
            </w:pPr>
            <w:r>
              <w:rPr>
                <w:bCs/>
                <w:b/>
              </w:rPr>
              <w:t xml:space="preserve">Sahyog Portal is within the four corners of the law.</w:t>
            </w:r>
            <w:r>
              <w:t xml:space="preserve"> </w:t>
            </w:r>
            <w:r>
              <w:t xml:space="preserve">s.69A is a</w:t>
            </w:r>
            <w:r>
              <w:t xml:space="preserve"> </w:t>
            </w:r>
            <w:r>
              <w:rPr>
                <w:bCs/>
                <w:b/>
              </w:rPr>
              <w:t xml:space="preserve">power to block</w:t>
            </w:r>
            <w:r>
              <w:t xml:space="preserve"> </w:t>
            </w:r>
            <w:r>
              <w:t xml:space="preserve">with Blocking Rules safeguards;</w:t>
            </w:r>
            <w:r>
              <w:t xml:space="preserve"> </w:t>
            </w:r>
            <w:r>
              <w:rPr>
                <w:bCs/>
                <w:b/>
              </w:rPr>
              <w:t xml:space="preserve">s.79(3)(b) confers no independent blocking power but an intermediary served with a lawful notification must comply or forfeit immunity</w:t>
            </w:r>
          </w:p>
        </w:tc>
      </w:tr>
      <w:tr>
        <w:tc>
          <w:tcPr/>
          <w:p>
            <w:pPr>
              <w:pStyle w:val="Compact"/>
              <w:jc w:val="left"/>
            </w:pPr>
            <w:r>
              <w:rPr>
                <w:iCs/>
                <w:i/>
                <w:bCs/>
                <w:b/>
              </w:rPr>
              <w:t xml:space="preserve">Telegram v. Union of India</w:t>
            </w:r>
          </w:p>
        </w:tc>
        <w:tc>
          <w:tcPr/>
          <w:p>
            <w:pPr>
              <w:pStyle w:val="Compact"/>
              <w:jc w:val="left"/>
            </w:pPr>
            <w:r>
              <w:t xml:space="preserve">Delhi HC, 2026</w:t>
            </w:r>
          </w:p>
        </w:tc>
        <w:tc>
          <w:tcPr/>
          <w:p>
            <w:pPr>
              <w:pStyle w:val="Compact"/>
              <w:jc w:val="left"/>
            </w:pPr>
            <w:r>
              <w:t xml:space="preserve">Platform-wide block</w:t>
            </w:r>
            <w:r>
              <w:t xml:space="preserve"> </w:t>
            </w:r>
            <w:r>
              <w:rPr>
                <w:bCs/>
                <w:b/>
              </w:rPr>
              <w:t xml:space="preserve">upheld</w:t>
            </w:r>
            <w:r>
              <w:t xml:space="preserve">: the Government had</w:t>
            </w:r>
            <w:r>
              <w:t xml:space="preserve"> </w:t>
            </w:r>
            <w:r>
              <w:rPr>
                <w:bCs/>
                <w:b/>
              </w:rPr>
              <w:t xml:space="preserve">recorded sufficient reasons</w:t>
            </w:r>
            <w:r>
              <w:t xml:space="preserve"> </w:t>
            </w:r>
            <w:r>
              <w:t xml:space="preserve">in an</w:t>
            </w:r>
            <w:r>
              <w:t xml:space="preserve"> </w:t>
            </w:r>
            <w:r>
              <w:rPr>
                <w:bCs/>
                <w:b/>
              </w:rPr>
              <w:t xml:space="preserve">emergency context</w:t>
            </w:r>
            <w:r>
              <w:t xml:space="preserve">; the process conformed with</w:t>
            </w:r>
            <w:r>
              <w:t xml:space="preserve"> </w:t>
            </w:r>
            <w:r>
              <w:rPr>
                <w:bCs/>
                <w:b/>
              </w:rPr>
              <w:t xml:space="preserve">s.69A and the Blocking Rules</w:t>
            </w:r>
            <w:r>
              <w:t xml:space="preserve"> </w:t>
            </w:r>
            <w:r>
              <w:t xml:space="preserve">including interim order, hearing and review; the</w:t>
            </w:r>
            <w:r>
              <w:t xml:space="preserve"> </w:t>
            </w:r>
            <w:r>
              <w:rPr>
                <w:bCs/>
                <w:b/>
              </w:rPr>
              <w:t xml:space="preserve">principle of proportionality</w:t>
            </w:r>
            <w:r>
              <w:t xml:space="preserve"> </w:t>
            </w:r>
            <w:r>
              <w:t xml:space="preserve">was satisfied. Telegram had removed</w:t>
            </w:r>
            <w:r>
              <w:t xml:space="preserve"> </w:t>
            </w:r>
            <w:r>
              <w:rPr>
                <w:bCs/>
                <w:b/>
              </w:rPr>
              <w:t xml:space="preserve">900 of 1,300 URLs</w:t>
            </w:r>
            <w:r>
              <w:t xml:space="preserve"> </w:t>
            </w:r>
            <w:r>
              <w:t xml:space="preserve">and pleaded</w:t>
            </w:r>
            <w:r>
              <w:t xml:space="preserve"> </w:t>
            </w:r>
            <w:r>
              <w:rPr>
                <w:bCs/>
                <w:b/>
              </w:rPr>
              <w:t xml:space="preserve">150 million lawful users</w:t>
            </w:r>
          </w:p>
        </w:tc>
      </w:tr>
      <w:tr>
        <w:tc>
          <w:tcPr/>
          <w:p>
            <w:pPr>
              <w:pStyle w:val="Compact"/>
              <w:jc w:val="left"/>
            </w:pPr>
            <w:r>
              <w:rPr>
                <w:iCs/>
                <w:i/>
                <w:bCs/>
                <w:b/>
              </w:rPr>
              <w:t xml:space="preserve">Anuradha Bhasin v. Union of India</w:t>
            </w:r>
          </w:p>
        </w:tc>
        <w:tc>
          <w:tcPr/>
          <w:p>
            <w:pPr>
              <w:pStyle w:val="Compact"/>
              <w:jc w:val="left"/>
            </w:pPr>
            <w:r>
              <w:t xml:space="preserve">Supreme Court, 2020</w:t>
            </w:r>
          </w:p>
        </w:tc>
        <w:tc>
          <w:tcPr/>
          <w:p>
            <w:pPr>
              <w:pStyle w:val="Compact"/>
              <w:jc w:val="left"/>
            </w:pPr>
            <w:r>
              <w:t xml:space="preserve">Freedom of speech</w:t>
            </w:r>
            <w:r>
              <w:t xml:space="preserve"> </w:t>
            </w:r>
            <w:r>
              <w:rPr>
                <w:bCs/>
                <w:b/>
              </w:rPr>
              <w:t xml:space="preserve">through the medium of the internet</w:t>
            </w:r>
            <w:r>
              <w:t xml:space="preserve"> </w:t>
            </w:r>
            <w:r>
              <w:t xml:space="preserve">is integral to</w:t>
            </w:r>
            <w:r>
              <w:t xml:space="preserve"> </w:t>
            </w:r>
            <w:r>
              <w:rPr>
                <w:bCs/>
                <w:b/>
              </w:rPr>
              <w:t xml:space="preserve">Article 19(1)(a)</w:t>
            </w:r>
            <w:r>
              <w:t xml:space="preserve">, and any restriction must accord with</w:t>
            </w:r>
            <w:r>
              <w:t xml:space="preserve"> </w:t>
            </w:r>
            <w:r>
              <w:rPr>
                <w:bCs/>
                <w:b/>
              </w:rPr>
              <w:t xml:space="preserve">Article 19(2)</w:t>
            </w:r>
            <w:r>
              <w:t xml:space="preserve">. Orders must be</w:t>
            </w:r>
            <w:r>
              <w:t xml:space="preserve"> </w:t>
            </w:r>
            <w:r>
              <w:rPr>
                <w:bCs/>
                <w:b/>
              </w:rPr>
              <w:t xml:space="preserve">reasoned, published, limited in duration and periodically reviewed</w:t>
            </w:r>
            <w:r>
              <w:t xml:space="preserve">, and satisfy</w:t>
            </w:r>
            <w:r>
              <w:t xml:space="preserve"> </w:t>
            </w:r>
            <w:r>
              <w:rPr>
                <w:bCs/>
                <w:b/>
              </w:rPr>
              <w:t xml:space="preserve">proportionality</w:t>
            </w:r>
          </w:p>
        </w:tc>
      </w:tr>
      <w:tr>
        <w:tc>
          <w:tcPr/>
          <w:p>
            <w:pPr>
              <w:pStyle w:val="Compact"/>
              <w:jc w:val="left"/>
            </w:pPr>
            <w:r>
              <w:rPr>
                <w:iCs/>
                <w:i/>
                <w:bCs/>
                <w:b/>
              </w:rPr>
              <w:t xml:space="preserve">Justice K.S. Puttaswamy v. Union of India</w:t>
            </w:r>
            <w:r>
              <w:t xml:space="preserve"> </w:t>
            </w:r>
            <w:r>
              <w:t xml:space="preserve">(2017) 10 SCC 1</w:t>
            </w:r>
          </w:p>
        </w:tc>
        <w:tc>
          <w:tcPr/>
          <w:p>
            <w:pPr>
              <w:pStyle w:val="Compact"/>
              <w:jc w:val="left"/>
            </w:pPr>
            <w:r>
              <w:t xml:space="preserve">Supreme Court, 2017</w:t>
            </w:r>
          </w:p>
        </w:tc>
        <w:tc>
          <w:tcPr/>
          <w:p>
            <w:pPr>
              <w:pStyle w:val="Compact"/>
              <w:jc w:val="left"/>
            </w:pPr>
            <w:r>
              <w:rPr>
                <w:bCs/>
                <w:b/>
              </w:rPr>
              <w:t xml:space="preserve">Privacy is a fundamental right.</w:t>
            </w:r>
            <w:r>
              <w:t xml:space="preserve"> </w:t>
            </w:r>
            <w:r>
              <w:t xml:space="preserve">Any invasion requires</w:t>
            </w:r>
            <w:r>
              <w:t xml:space="preserve"> </w:t>
            </w:r>
            <w:r>
              <w:rPr>
                <w:bCs/>
                <w:b/>
              </w:rPr>
              <w:t xml:space="preserve">legality, a legitimate aim and proportionality</w:t>
            </w:r>
            <w:r>
              <w:t xml:space="preserve">. Applied in</w:t>
            </w:r>
            <w:r>
              <w:t xml:space="preserve"> </w:t>
            </w:r>
            <w:r>
              <w:rPr>
                <w:iCs/>
                <w:i/>
              </w:rPr>
              <w:t xml:space="preserve">Neetu Singh</w:t>
            </w:r>
            <w:r>
              <w:t xml:space="preserve"> </w:t>
            </w:r>
            <w:r>
              <w:t xml:space="preserve">to disclosure, in</w:t>
            </w:r>
            <w:r>
              <w:t xml:space="preserve"> </w:t>
            </w:r>
            <w:r>
              <w:rPr>
                <w:iCs/>
                <w:i/>
              </w:rPr>
              <w:t xml:space="preserve">Telegram</w:t>
            </w:r>
            <w:r>
              <w:t xml:space="preserve"> </w:t>
            </w:r>
            <w:r>
              <w:t xml:space="preserve">to blocking, and in the SGI critique</w:t>
            </w:r>
          </w:p>
        </w:tc>
      </w:tr>
    </w:tbl>
    <w:bookmarkEnd w:id="73"/>
    <w:bookmarkStart w:id="74" w:name="h.-free-speech-and-hate-speech"/>
    <w:p>
      <w:pPr>
        <w:pStyle w:val="Heading2"/>
      </w:pPr>
      <w:r>
        <w:t xml:space="preserve">H. Free speech and hate speech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Court / year</w:t>
            </w:r>
          </w:p>
        </w:tc>
        <w:tc>
          <w:tcPr/>
          <w:p>
            <w:pPr>
              <w:pStyle w:val="Compact"/>
              <w:jc w:val="left"/>
            </w:pPr>
            <w:r>
              <w:t xml:space="preserve">Held</w:t>
            </w:r>
          </w:p>
        </w:tc>
      </w:tr>
      <w:tr>
        <w:tc>
          <w:tcPr/>
          <w:p>
            <w:pPr>
              <w:pStyle w:val="Compact"/>
              <w:jc w:val="left"/>
            </w:pPr>
            <w:r>
              <w:rPr>
                <w:iCs/>
                <w:i/>
                <w:bCs/>
                <w:b/>
              </w:rPr>
              <w:t xml:space="preserve">Shreya Singhal v. Union of India</w:t>
            </w:r>
            <w:r>
              <w:t xml:space="preserve"> </w:t>
            </w:r>
            <w:r>
              <w:t xml:space="preserve">AIR 2015 SC 1523</w:t>
            </w:r>
            <w:r>
              <w:t xml:space="preserve"> </w:t>
            </w:r>
            <w:r>
              <w:rPr>
                <w:iCs/>
                <w:i/>
              </w:rPr>
              <w:t xml:space="preserve">(s.66A limb)</w:t>
            </w:r>
          </w:p>
        </w:tc>
        <w:tc>
          <w:tcPr/>
          <w:p>
            <w:pPr>
              <w:pStyle w:val="Compact"/>
              <w:jc w:val="left"/>
            </w:pPr>
            <w:r>
              <w:t xml:space="preserve">Supreme Court, 2015</w:t>
            </w:r>
          </w:p>
        </w:tc>
        <w:tc>
          <w:tcPr/>
          <w:p>
            <w:pPr>
              <w:pStyle w:val="Compact"/>
              <w:jc w:val="left"/>
            </w:pPr>
            <w:r>
              <w:rPr>
                <w:bCs/>
                <w:b/>
              </w:rPr>
              <w:t xml:space="preserve">s.66A STRUCK DOWN</w:t>
            </w:r>
            <w:r>
              <w:t xml:space="preserve"> </w:t>
            </w:r>
            <w:r>
              <w:t xml:space="preserve">on four grounds —</w:t>
            </w:r>
            <w:r>
              <w:t xml:space="preserve"> </w:t>
            </w:r>
            <w:r>
              <w:rPr>
                <w:bCs/>
                <w:b/>
              </w:rPr>
              <w:t xml:space="preserve">no proximate relationship</w:t>
            </w:r>
            <w:r>
              <w:t xml:space="preserve"> </w:t>
            </w:r>
            <w:r>
              <w:t xml:space="preserve">with Art.19(2);</w:t>
            </w:r>
            <w:r>
              <w:t xml:space="preserve"> </w:t>
            </w:r>
            <w:r>
              <w:rPr>
                <w:bCs/>
                <w:b/>
              </w:rPr>
              <w:t xml:space="preserve">no distinction between discussion, advocacy and incitement</w:t>
            </w:r>
            <w:r>
              <w:t xml:space="preserve">,</w:t>
            </w:r>
            <w:r>
              <w:t xml:space="preserve"> </w:t>
            </w:r>
            <w:r>
              <w:rPr>
                <w:iCs/>
                <w:i/>
              </w:rPr>
              <w:t xml:space="preserve">“</w:t>
            </w:r>
            <w:r>
              <w:rPr>
                <w:iCs/>
                <w:i/>
              </w:rPr>
              <w:t xml:space="preserve">a speech can only be limited… when it reaches the threshold of incitement. All other forms of speech, even if offensive or unpopular, have to be protected</w:t>
            </w:r>
            <w:r>
              <w:rPr>
                <w:iCs/>
                <w:i/>
              </w:rPr>
              <w:t xml:space="preserve">”</w:t>
            </w:r>
            <w:r>
              <w:t xml:space="preserve">;</w:t>
            </w:r>
            <w:r>
              <w:t xml:space="preserve"> </w:t>
            </w:r>
            <w:r>
              <w:rPr>
                <w:bCs/>
                <w:b/>
              </w:rPr>
              <w:t xml:space="preserve">vagueness</w:t>
            </w:r>
            <w:r>
              <w:t xml:space="preserve">,</w:t>
            </w:r>
            <w:r>
              <w:t xml:space="preserve"> </w:t>
            </w:r>
            <w:r>
              <w:rPr>
                <w:iCs/>
                <w:i/>
              </w:rPr>
              <w:t xml:space="preserve">“</w:t>
            </w:r>
            <w:r>
              <w:rPr>
                <w:iCs/>
                <w:i/>
              </w:rPr>
              <w:t xml:space="preserve">There is no demarcating line conveyed by any of these expressions</w:t>
            </w:r>
            <w:r>
              <w:rPr>
                <w:iCs/>
                <w:i/>
              </w:rPr>
              <w:t xml:space="preserve">”</w:t>
            </w:r>
            <w:r>
              <w:t xml:space="preserve">; and</w:t>
            </w:r>
            <w:r>
              <w:t xml:space="preserve"> </w:t>
            </w:r>
            <w:r>
              <w:rPr>
                <w:bCs/>
                <w:b/>
              </w:rPr>
              <w:t xml:space="preserve">chilling effect</w:t>
            </w:r>
            <w:r>
              <w:t xml:space="preserve">.</w:t>
            </w:r>
            <w:r>
              <w:t xml:space="preserve"> </w:t>
            </w:r>
            <w:r>
              <w:rPr>
                <w:bCs/>
                <w:b/>
              </w:rPr>
              <w:t xml:space="preserve">s.69A and the Blocking Rules 2009 UPHELD</w:t>
            </w:r>
          </w:p>
        </w:tc>
      </w:tr>
      <w:tr>
        <w:tc>
          <w:tcPr/>
          <w:p>
            <w:pPr>
              <w:pStyle w:val="Compact"/>
              <w:jc w:val="left"/>
            </w:pPr>
            <w:r>
              <w:rPr>
                <w:iCs/>
                <w:i/>
                <w:bCs/>
                <w:b/>
              </w:rPr>
              <w:t xml:space="preserve">Pravasi Bhalai Sangathan v. Union of India</w:t>
            </w:r>
            <w:r>
              <w:t xml:space="preserve"> </w:t>
            </w:r>
            <w:r>
              <w:t xml:space="preserve">AIR 2014 SC 1591</w:t>
            </w:r>
          </w:p>
        </w:tc>
        <w:tc>
          <w:tcPr/>
          <w:p>
            <w:pPr>
              <w:pStyle w:val="Compact"/>
              <w:jc w:val="left"/>
            </w:pPr>
            <w:r>
              <w:t xml:space="preserve">Supreme Court, 2014</w:t>
            </w:r>
          </w:p>
        </w:tc>
        <w:tc>
          <w:tcPr/>
          <w:p>
            <w:pPr>
              <w:pStyle w:val="Compact"/>
              <w:jc w:val="left"/>
            </w:pPr>
            <w:r>
              <w:t xml:space="preserve">Bench headed by</w:t>
            </w:r>
            <w:r>
              <w:t xml:space="preserve"> </w:t>
            </w:r>
            <w:r>
              <w:rPr>
                <w:bCs/>
                <w:b/>
              </w:rPr>
              <w:t xml:space="preserve">Chauhan J. refused to frame guidelines</w:t>
            </w:r>
            <w:r>
              <w:t xml:space="preserve"> </w:t>
            </w:r>
            <w:r>
              <w:t xml:space="preserve">on inflammatory speech and</w:t>
            </w:r>
            <w:r>
              <w:t xml:space="preserve"> </w:t>
            </w:r>
            <w:r>
              <w:rPr>
                <w:bCs/>
                <w:b/>
              </w:rPr>
              <w:t xml:space="preserve">referred the matter to the Law Commission</w:t>
            </w:r>
            <w:r>
              <w:t xml:space="preserve">. Surveyed the framework spread across</w:t>
            </w:r>
            <w:r>
              <w:t xml:space="preserve"> </w:t>
            </w:r>
            <w:r>
              <w:rPr>
                <w:bCs/>
                <w:b/>
              </w:rPr>
              <w:t xml:space="preserve">nine statutes</w:t>
            </w:r>
          </w:p>
        </w:tc>
      </w:tr>
      <w:tr>
        <w:tc>
          <w:tcPr/>
          <w:p>
            <w:pPr>
              <w:pStyle w:val="Compact"/>
              <w:jc w:val="left"/>
            </w:pPr>
            <w:r>
              <w:rPr>
                <w:iCs/>
                <w:i/>
                <w:bCs/>
                <w:b/>
              </w:rPr>
              <w:t xml:space="preserve">Campaign Against Hate Speech v. State of Karnataka</w:t>
            </w:r>
          </w:p>
        </w:tc>
        <w:tc>
          <w:tcPr/>
          <w:p>
            <w:pPr>
              <w:pStyle w:val="Compact"/>
              <w:jc w:val="left"/>
            </w:pPr>
            <w:r>
              <w:t xml:space="preserve">Karnataka HC, 2020</w:t>
            </w:r>
          </w:p>
        </w:tc>
        <w:tc>
          <w:tcPr/>
          <w:p>
            <w:pPr>
              <w:pStyle w:val="Compact"/>
              <w:jc w:val="left"/>
            </w:pPr>
            <w:r>
              <w:rPr>
                <w:bCs/>
                <w:b/>
              </w:rPr>
              <w:t xml:space="preserve">Declined to define hate speech</w:t>
            </w:r>
            <w:r>
              <w:t xml:space="preserve"> </w:t>
            </w:r>
            <w:r>
              <w:t xml:space="preserve">for want of</w:t>
            </w:r>
            <w:r>
              <w:t xml:space="preserve"> </w:t>
            </w:r>
            <w:r>
              <w:rPr>
                <w:iCs/>
                <w:i/>
              </w:rPr>
              <w:t xml:space="preserve">“</w:t>
            </w:r>
            <w:r>
              <w:rPr>
                <w:iCs/>
                <w:i/>
              </w:rPr>
              <w:t xml:space="preserve">any specific legislation and precise legislative definition given by Parliament</w:t>
            </w:r>
            <w:r>
              <w:rPr>
                <w:iCs/>
                <w:i/>
              </w:rPr>
              <w:t xml:space="preserve">”</w:t>
            </w:r>
            <w:r>
              <w:t xml:space="preserve">; reasonable restrictions are</w:t>
            </w:r>
            <w:r>
              <w:t xml:space="preserve"> </w:t>
            </w:r>
            <w:r>
              <w:rPr>
                <w:bCs/>
                <w:b/>
              </w:rPr>
              <w:t xml:space="preserve">for Parliament</w:t>
            </w:r>
            <w:r>
              <w:t xml:space="preserve"> </w:t>
            </w:r>
            <w:r>
              <w:t xml:space="preserve">under Art.19(2); and the Court</w:t>
            </w:r>
            <w:r>
              <w:t xml:space="preserve"> </w:t>
            </w:r>
            <w:r>
              <w:rPr>
                <w:bCs/>
                <w:b/>
              </w:rPr>
              <w:t xml:space="preserve">could not issue directions under Article 226</w:t>
            </w:r>
            <w:r>
              <w:t xml:space="preserve"> </w:t>
            </w:r>
            <w:r>
              <w:t xml:space="preserve">on the basis of the impact of hate speech</w:t>
            </w:r>
          </w:p>
        </w:tc>
      </w:tr>
      <w:tr>
        <w:tc>
          <w:tcPr/>
          <w:p>
            <w:pPr>
              <w:pStyle w:val="Compact"/>
              <w:jc w:val="left"/>
            </w:pPr>
            <w:r>
              <w:rPr>
                <w:iCs/>
                <w:i/>
                <w:bCs/>
                <w:b/>
              </w:rPr>
              <w:t xml:space="preserve">Ashwini Kumar Upadhyay v. Union of India</w:t>
            </w:r>
            <w:r>
              <w:t xml:space="preserve">, W.P. (C) 943/2021</w:t>
            </w:r>
          </w:p>
        </w:tc>
        <w:tc>
          <w:tcPr/>
          <w:p>
            <w:pPr>
              <w:pStyle w:val="Compact"/>
              <w:jc w:val="left"/>
            </w:pPr>
            <w:r>
              <w:t xml:space="preserve">Supreme Court, 2026</w:t>
            </w:r>
          </w:p>
        </w:tc>
        <w:tc>
          <w:tcPr/>
          <w:p>
            <w:pPr>
              <w:pStyle w:val="Compact"/>
              <w:jc w:val="left"/>
            </w:pPr>
            <w:r>
              <w:rPr>
                <w:bCs/>
                <w:b/>
              </w:rPr>
              <w:t xml:space="preserve">(i)</w:t>
            </w:r>
            <w:r>
              <w:t xml:space="preserve"> </w:t>
            </w:r>
            <w:r>
              <w:rPr>
                <w:iCs/>
                <w:i/>
              </w:rPr>
              <w:t xml:space="preserve">“</w:t>
            </w:r>
            <w:r>
              <w:rPr>
                <w:iCs/>
                <w:i/>
              </w:rPr>
              <w:t xml:space="preserve">the courts neither create offences nor do they introduce or legislate punishments</w:t>
            </w:r>
            <w:r>
              <w:rPr>
                <w:iCs/>
                <w:i/>
              </w:rPr>
              <w:t xml:space="preserve">”</w:t>
            </w:r>
            <w:r>
              <w:t xml:space="preserve">; no mandamus to the legislature;</w:t>
            </w:r>
            <w:r>
              <w:t xml:space="preserve"> </w:t>
            </w:r>
            <w:r>
              <w:rPr>
                <w:iCs/>
                <w:i/>
              </w:rPr>
              <w:t xml:space="preserve">Vishaka</w:t>
            </w:r>
            <w:r>
              <w:t xml:space="preserve"> </w:t>
            </w:r>
            <w:r>
              <w:t xml:space="preserve">confined to genuine</w:t>
            </w:r>
            <w:r>
              <w:t xml:space="preserve"> </w:t>
            </w:r>
            <w:r>
              <w:rPr>
                <w:bCs/>
                <w:b/>
              </w:rPr>
              <w:t xml:space="preserve">constitutional silence</w:t>
            </w:r>
            <w:r>
              <w:t xml:space="preserve">.</w:t>
            </w:r>
            <w:r>
              <w:t xml:space="preserve"> </w:t>
            </w:r>
            <w:r>
              <w:rPr>
                <w:bCs/>
                <w:b/>
              </w:rPr>
              <w:t xml:space="preserve">(ii)</w:t>
            </w:r>
            <w:r>
              <w:t xml:space="preserve"> </w:t>
            </w:r>
            <w:r>
              <w:t xml:space="preserve">The vacuum claim is</w:t>
            </w:r>
            <w:r>
              <w:t xml:space="preserve"> </w:t>
            </w:r>
            <w:r>
              <w:rPr>
                <w:bCs/>
                <w:b/>
              </w:rPr>
              <w:t xml:space="preserve">“</w:t>
            </w:r>
            <w:r>
              <w:rPr>
                <w:bCs/>
                <w:b/>
              </w:rPr>
              <w:t xml:space="preserve">MISCONCEIVED</w:t>
            </w:r>
            <w:r>
              <w:rPr>
                <w:bCs/>
                <w:b/>
              </w:rPr>
              <w:t xml:space="preserve">”</w:t>
            </w:r>
            <w:r>
              <w:t xml:space="preserve"> </w:t>
            </w:r>
            <w:r>
              <w:t xml:space="preserve">—</w:t>
            </w:r>
            <w:r>
              <w:t xml:space="preserve"> </w:t>
            </w:r>
            <w:r>
              <w:rPr>
                <w:iCs/>
                <w:i/>
              </w:rPr>
              <w:t xml:space="preserve">“</w:t>
            </w:r>
            <w:r>
              <w:rPr>
                <w:iCs/>
                <w:i/>
              </w:rPr>
              <w:t xml:space="preserve">the difficulty lies in the</w:t>
            </w:r>
            <w:r>
              <w:rPr>
                <w:iCs/>
                <w:i/>
              </w:rPr>
              <w:t xml:space="preserve"> </w:t>
            </w:r>
            <w:r>
              <w:rPr>
                <w:bCs/>
                <w:b/>
                <w:iCs/>
                <w:i/>
              </w:rPr>
              <w:t xml:space="preserve">effective enforcement and application</w:t>
            </w:r>
            <w:r>
              <w:rPr>
                <w:iCs/>
                <w:i/>
              </w:rPr>
              <w:t xml:space="preserve"> </w:t>
            </w:r>
            <w:r>
              <w:rPr>
                <w:iCs/>
                <w:i/>
              </w:rPr>
              <w:t xml:space="preserve">of the existing statutory framework.</w:t>
            </w:r>
            <w:r>
              <w:rPr>
                <w:iCs/>
                <w:i/>
              </w:rPr>
              <w:t xml:space="preserve">”</w:t>
            </w:r>
            <w:r>
              <w:t xml:space="preserve"> </w:t>
            </w:r>
            <w:r>
              <w:rPr>
                <w:bCs/>
                <w:b/>
              </w:rPr>
              <w:t xml:space="preserve">(iii)</w:t>
            </w:r>
            <w:r>
              <w:t xml:space="preserve"> </w:t>
            </w:r>
            <w:r>
              <w:t xml:space="preserve">Procedural remedies adequate —</w:t>
            </w:r>
            <w:r>
              <w:t xml:space="preserve"> </w:t>
            </w:r>
            <w:r>
              <w:rPr>
                <w:iCs/>
                <w:i/>
              </w:rPr>
              <w:t xml:space="preserve">Lalita Kumari</w:t>
            </w:r>
            <w:r>
              <w:t xml:space="preserve"> </w:t>
            </w:r>
            <w:r>
              <w:t xml:space="preserve">mandates FIR registration,</w:t>
            </w:r>
            <w:r>
              <w:t xml:space="preserve"> </w:t>
            </w:r>
            <w:r>
              <w:rPr>
                <w:bCs/>
                <w:b/>
              </w:rPr>
              <w:t xml:space="preserve">s.156(3)</w:t>
            </w:r>
            <w:r>
              <w:t xml:space="preserve"> </w:t>
            </w:r>
            <w:r>
              <w:t xml:space="preserve">permits Magistrate monitoring.</w:t>
            </w:r>
            <w:r>
              <w:t xml:space="preserve"> </w:t>
            </w:r>
            <w:r>
              <w:rPr>
                <w:bCs/>
                <w:b/>
              </w:rPr>
              <w:t xml:space="preserve">(iv)</w:t>
            </w:r>
            <w:r>
              <w:t xml:space="preserve"> </w:t>
            </w:r>
            <w:r>
              <w:rPr>
                <w:bCs/>
                <w:b/>
              </w:rPr>
              <w:t xml:space="preserve">No continuing mandamus</w:t>
            </w:r>
            <w:r>
              <w:t xml:space="preserve"> </w:t>
            </w:r>
            <w:r>
              <w:t xml:space="preserve">— it would be</w:t>
            </w:r>
            <w:r>
              <w:t xml:space="preserve"> </w:t>
            </w:r>
            <w:r>
              <w:rPr>
                <w:bCs/>
                <w:b/>
              </w:rPr>
              <w:t xml:space="preserve">“</w:t>
            </w:r>
            <w:r>
              <w:rPr>
                <w:bCs/>
                <w:b/>
              </w:rPr>
              <w:t xml:space="preserve">micro-management</w:t>
            </w:r>
            <w:r>
              <w:rPr>
                <w:bCs/>
                <w:b/>
              </w:rPr>
              <w:t xml:space="preserve">”</w:t>
            </w:r>
            <w:r>
              <w:t xml:space="preserve">. Hate speech is</w:t>
            </w:r>
            <w:r>
              <w:t xml:space="preserve"> </w:t>
            </w:r>
            <w:r>
              <w:rPr>
                <w:iCs/>
                <w:i/>
              </w:rPr>
              <w:t xml:space="preserve">“</w:t>
            </w:r>
            <w:r>
              <w:rPr>
                <w:iCs/>
                <w:i/>
              </w:rPr>
              <w:t xml:space="preserve">antithetical to the constitutional value of</w:t>
            </w:r>
            <w:r>
              <w:rPr>
                <w:iCs/>
                <w:i/>
              </w:rPr>
              <w:t xml:space="preserve"> </w:t>
            </w:r>
            <w:r>
              <w:rPr>
                <w:bCs/>
                <w:b/>
                <w:iCs/>
                <w:i/>
              </w:rPr>
              <w:t xml:space="preserve">fraternity</w:t>
            </w:r>
            <w:r>
              <w:rPr>
                <w:iCs/>
                <w:i/>
              </w:rPr>
              <w:t xml:space="preserve">”</w:t>
            </w:r>
          </w:p>
        </w:tc>
      </w:tr>
      <w:tr>
        <w:tc>
          <w:tcPr/>
          <w:p>
            <w:pPr>
              <w:pStyle w:val="Compact"/>
              <w:jc w:val="left"/>
            </w:pPr>
            <w:r>
              <w:rPr>
                <w:iCs/>
                <w:i/>
                <w:bCs/>
                <w:b/>
              </w:rPr>
              <w:t xml:space="preserve">Imran Pratapgarhi</w:t>
            </w:r>
            <w:r>
              <w:t xml:space="preserve"> </w:t>
            </w:r>
            <w:r>
              <w:t xml:space="preserve">(poem case)</w:t>
            </w:r>
          </w:p>
        </w:tc>
        <w:tc>
          <w:tcPr/>
          <w:p>
            <w:pPr>
              <w:pStyle w:val="Compact"/>
              <w:jc w:val="left"/>
            </w:pPr>
            <w:r>
              <w:t xml:space="preserve">Supreme Court</w:t>
            </w:r>
          </w:p>
        </w:tc>
        <w:tc>
          <w:tcPr/>
          <w:p>
            <w:pPr>
              <w:pStyle w:val="Compact"/>
              <w:jc w:val="left"/>
            </w:pPr>
            <w:r>
              <w:t xml:space="preserve">Oka J.:</w:t>
            </w:r>
            <w:r>
              <w:t xml:space="preserve"> </w:t>
            </w:r>
            <w:r>
              <w:rPr>
                <w:iCs/>
                <w:i/>
              </w:rPr>
              <w:t xml:space="preserve">“</w:t>
            </w:r>
            <w:r>
              <w:rPr>
                <w:iCs/>
                <w:i/>
              </w:rPr>
              <w:t xml:space="preserve">Nobody has any respect for creativity…</w:t>
            </w:r>
            <w:r>
              <w:rPr>
                <w:iCs/>
                <w:i/>
              </w:rPr>
              <w:t xml:space="preserve"> </w:t>
            </w:r>
            <w:r>
              <w:rPr>
                <w:bCs/>
                <w:b/>
                <w:iCs/>
                <w:i/>
              </w:rPr>
              <w:t xml:space="preserve">Some sensibility has to be shown by the police. They should at least have read the poem and understood</w:t>
            </w:r>
            <w:r>
              <w:rPr>
                <w:iCs/>
                <w:i/>
              </w:rPr>
              <w:t xml:space="preserve">… That is respect for free speech and expression.</w:t>
            </w:r>
            <w:r>
              <w:rPr>
                <w:iCs/>
                <w:i/>
              </w:rPr>
              <w:t xml:space="preserve">”</w:t>
            </w:r>
            <w:r>
              <w:t xml:space="preserve"> </w:t>
            </w:r>
            <w:r>
              <w:t xml:space="preserve">Registration of the FIR was a</w:t>
            </w:r>
            <w:r>
              <w:t xml:space="preserve"> </w:t>
            </w:r>
            <w:r>
              <w:rPr>
                <w:bCs/>
                <w:b/>
              </w:rPr>
              <w:t xml:space="preserve">serious action</w:t>
            </w:r>
          </w:p>
        </w:tc>
      </w:tr>
      <w:tr>
        <w:tc>
          <w:tcPr/>
          <w:p>
            <w:pPr>
              <w:pStyle w:val="Compact"/>
              <w:jc w:val="left"/>
            </w:pPr>
            <w:r>
              <w:rPr>
                <w:iCs/>
                <w:i/>
                <w:bCs/>
                <w:b/>
              </w:rPr>
              <w:t xml:space="preserve">Ali Khan Mahmudabad</w:t>
            </w:r>
          </w:p>
        </w:tc>
        <w:tc>
          <w:tcPr/>
          <w:p>
            <w:pPr>
              <w:pStyle w:val="Compact"/>
              <w:jc w:val="left"/>
            </w:pPr>
            <w:r>
              <w:t xml:space="preserve">Supreme Court, 2025</w:t>
            </w:r>
          </w:p>
        </w:tc>
        <w:tc>
          <w:tcPr/>
          <w:p>
            <w:pPr>
              <w:pStyle w:val="Compact"/>
              <w:jc w:val="left"/>
            </w:pPr>
            <w:r>
              <w:rPr>
                <w:bCs/>
                <w:b/>
              </w:rPr>
              <w:t xml:space="preserve">Bail granted</w:t>
            </w:r>
            <w:r>
              <w:t xml:space="preserve">, but with conditions</w:t>
            </w:r>
            <w:r>
              <w:t xml:space="preserve"> </w:t>
            </w:r>
            <w:r>
              <w:rPr>
                <w:bCs/>
                <w:b/>
              </w:rPr>
              <w:t xml:space="preserve">gagging</w:t>
            </w:r>
            <w:r>
              <w:t xml:space="preserve"> </w:t>
            </w:r>
            <w:r>
              <w:t xml:space="preserve">further online posts, articles or speech on the military operation, and an</w:t>
            </w:r>
            <w:r>
              <w:t xml:space="preserve"> </w:t>
            </w:r>
            <w:r>
              <w:rPr>
                <w:bCs/>
                <w:b/>
              </w:rPr>
              <w:t xml:space="preserve">SIT tasked with interpreting the</w:t>
            </w:r>
            <w:r>
              <w:rPr>
                <w:bCs/>
                <w:b/>
              </w:rPr>
              <w:t xml:space="preserve"> </w:t>
            </w:r>
            <w:r>
              <w:rPr>
                <w:bCs/>
                <w:b/>
              </w:rPr>
              <w:t xml:space="preserve">“</w:t>
            </w:r>
            <w:r>
              <w:rPr>
                <w:bCs/>
                <w:b/>
              </w:rPr>
              <w:t xml:space="preserve">hidden meaning</w:t>
            </w:r>
            <w:r>
              <w:rPr>
                <w:bCs/>
                <w:b/>
              </w:rPr>
              <w:t xml:space="preserve">”</w:t>
            </w:r>
            <w:r>
              <w:t xml:space="preserve"> </w:t>
            </w:r>
            <w:r>
              <w:t xml:space="preserve">of the posts — an exercise in identifying</w:t>
            </w:r>
            <w:r>
              <w:t xml:space="preserve"> </w:t>
            </w:r>
            <w:r>
              <w:rPr>
                <w:bCs/>
                <w:b/>
              </w:rPr>
              <w:t xml:space="preserve">dog whistling</w:t>
            </w:r>
          </w:p>
        </w:tc>
      </w:tr>
      <w:tr>
        <w:tc>
          <w:tcPr/>
          <w:p>
            <w:pPr>
              <w:pStyle w:val="Compact"/>
              <w:jc w:val="left"/>
            </w:pPr>
            <w:r>
              <w:rPr>
                <w:iCs/>
                <w:i/>
                <w:bCs/>
                <w:b/>
              </w:rPr>
              <w:t xml:space="preserve">Wajahat Khan / Sharmishta Panoli</w:t>
            </w:r>
          </w:p>
        </w:tc>
        <w:tc>
          <w:tcPr/>
          <w:p>
            <w:pPr>
              <w:pStyle w:val="Compact"/>
              <w:jc w:val="left"/>
            </w:pPr>
            <w:r>
              <w:t xml:space="preserve">Supreme Court</w:t>
            </w:r>
          </w:p>
        </w:tc>
        <w:tc>
          <w:tcPr/>
          <w:p>
            <w:pPr>
              <w:pStyle w:val="Compact"/>
              <w:jc w:val="left"/>
            </w:pPr>
            <w:r>
              <w:t xml:space="preserve">Nagarathna J.:</w:t>
            </w:r>
            <w:r>
              <w:t xml:space="preserve"> </w:t>
            </w:r>
            <w:r>
              <w:rPr>
                <w:iCs/>
                <w:i/>
              </w:rPr>
              <w:t xml:space="preserve">“</w:t>
            </w:r>
            <w:r>
              <w:rPr>
                <w:iCs/>
                <w:i/>
              </w:rPr>
              <w:t xml:space="preserve">once it is posted, it is out there</w:t>
            </w:r>
            <w:r>
              <w:rPr>
                <w:iCs/>
                <w:i/>
              </w:rPr>
              <w:t xml:space="preserve">”</w:t>
            </w:r>
            <w:r>
              <w:t xml:space="preserve">;</w:t>
            </w:r>
            <w:r>
              <w:t xml:space="preserve"> </w:t>
            </w:r>
            <w:r>
              <w:rPr>
                <w:iCs/>
                <w:i/>
              </w:rPr>
              <w:t xml:space="preserve">“</w:t>
            </w:r>
            <w:r>
              <w:rPr>
                <w:iCs/>
                <w:i/>
              </w:rPr>
              <w:t xml:space="preserve">Instead of the State having to regulate, why can’t the citizens have restraints themselves?… who wants the State to step in?</w:t>
            </w:r>
            <w:r>
              <w:rPr>
                <w:iCs/>
                <w:i/>
              </w:rPr>
              <w:t xml:space="preserve">”</w:t>
            </w:r>
            <w:r>
              <w:t xml:space="preserve">;</w:t>
            </w:r>
            <w:r>
              <w:t xml:space="preserve"> </w:t>
            </w:r>
            <w:r>
              <w:rPr>
                <w:iCs/>
                <w:i/>
              </w:rPr>
              <w:t xml:space="preserve">“</w:t>
            </w:r>
            <w:r>
              <w:rPr>
                <w:bCs/>
                <w:b/>
                <w:iCs/>
                <w:i/>
              </w:rPr>
              <w:t xml:space="preserve">Having an opinion is one thing, but to say that in a particular way is an abuse</w:t>
            </w:r>
            <w:r>
              <w:rPr>
                <w:iCs/>
                <w:i/>
              </w:rPr>
              <w:t xml:space="preserve">… there should be</w:t>
            </w:r>
            <w:r>
              <w:rPr>
                <w:iCs/>
                <w:i/>
              </w:rPr>
              <w:t xml:space="preserve"> </w:t>
            </w:r>
            <w:r>
              <w:rPr>
                <w:bCs/>
                <w:b/>
                <w:iCs/>
                <w:i/>
              </w:rPr>
              <w:t xml:space="preserve">fraternity</w:t>
            </w:r>
            <w:r>
              <w:rPr>
                <w:iCs/>
                <w:i/>
              </w:rPr>
              <w:t xml:space="preserve"> </w:t>
            </w:r>
            <w:r>
              <w:rPr>
                <w:iCs/>
                <w:i/>
              </w:rPr>
              <w:t xml:space="preserve">between the citizens</w:t>
            </w:r>
            <w:r>
              <w:rPr>
                <w:iCs/>
                <w:i/>
              </w:rPr>
              <w:t xml:space="preserve">”</w:t>
            </w:r>
          </w:p>
        </w:tc>
      </w:tr>
    </w:tbl>
    <w:bookmarkEnd w:id="74"/>
    <w:bookmarkStart w:id="75" w:name="i.-fake-news"/>
    <w:p>
      <w:pPr>
        <w:pStyle w:val="Heading2"/>
      </w:pPr>
      <w:r>
        <w:t xml:space="preserve">I. Fake news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Case</w:t>
            </w:r>
          </w:p>
        </w:tc>
        <w:tc>
          <w:tcPr/>
          <w:p>
            <w:pPr>
              <w:pStyle w:val="Compact"/>
              <w:jc w:val="left"/>
            </w:pPr>
            <w:r>
              <w:t xml:space="preserve">Court / year</w:t>
            </w:r>
          </w:p>
        </w:tc>
        <w:tc>
          <w:tcPr/>
          <w:p>
            <w:pPr>
              <w:pStyle w:val="Compact"/>
              <w:jc w:val="left"/>
            </w:pPr>
            <w:r>
              <w:t xml:space="preserve">Held</w:t>
            </w:r>
          </w:p>
        </w:tc>
      </w:tr>
      <w:tr>
        <w:tc>
          <w:tcPr/>
          <w:p>
            <w:pPr>
              <w:pStyle w:val="Compact"/>
              <w:jc w:val="left"/>
            </w:pPr>
            <w:r>
              <w:rPr>
                <w:iCs/>
                <w:i/>
                <w:bCs/>
                <w:b/>
              </w:rPr>
              <w:t xml:space="preserve">Alak Alok Srivastava v. Union of India</w:t>
            </w:r>
            <w:r>
              <w:t xml:space="preserve">, W.P. 468/2020</w:t>
            </w:r>
          </w:p>
        </w:tc>
        <w:tc>
          <w:tcPr/>
          <w:p>
            <w:pPr>
              <w:pStyle w:val="Compact"/>
              <w:jc w:val="left"/>
            </w:pPr>
            <w:r>
              <w:t xml:space="preserve">Supreme Court, 31 Mar 2020</w:t>
            </w:r>
          </w:p>
        </w:tc>
        <w:tc>
          <w:tcPr/>
          <w:p>
            <w:pPr>
              <w:pStyle w:val="Compact"/>
              <w:jc w:val="left"/>
            </w:pPr>
            <w:r>
              <w:t xml:space="preserve">Migrant movement driven by panic from fake news. Quoting the WHO —</w:t>
            </w:r>
            <w:r>
              <w:t xml:space="preserve"> </w:t>
            </w:r>
            <w:r>
              <w:rPr>
                <w:iCs/>
                <w:i/>
              </w:rPr>
              <w:t xml:space="preserve">“</w:t>
            </w:r>
            <w:r>
              <w:rPr>
                <w:iCs/>
                <w:i/>
              </w:rPr>
              <w:t xml:space="preserve">we are fighting an</w:t>
            </w:r>
            <w:r>
              <w:rPr>
                <w:iCs/>
                <w:i/>
              </w:rPr>
              <w:t xml:space="preserve"> </w:t>
            </w:r>
            <w:r>
              <w:rPr>
                <w:bCs/>
                <w:b/>
                <w:iCs/>
                <w:i/>
              </w:rPr>
              <w:t xml:space="preserve">infodemic</w:t>
            </w:r>
            <w:r>
              <w:rPr>
                <w:iCs/>
                <w:i/>
              </w:rPr>
              <w:t xml:space="preserve">”</w:t>
            </w:r>
            <w:r>
              <w:t xml:space="preserve"> </w:t>
            </w:r>
            <w:r>
              <w:t xml:space="preserve">— the Court prodded media to</w:t>
            </w:r>
            <w:r>
              <w:t xml:space="preserve"> </w:t>
            </w:r>
            <w:r>
              <w:rPr>
                <w:bCs/>
                <w:b/>
              </w:rPr>
              <w:t xml:space="preserve">verify news before dissemination</w:t>
            </w:r>
            <w:r>
              <w:t xml:space="preserve"> </w:t>
            </w:r>
            <w:r>
              <w:t xml:space="preserve">and publish the</w:t>
            </w:r>
            <w:r>
              <w:t xml:space="preserve"> </w:t>
            </w:r>
            <w:r>
              <w:rPr>
                <w:bCs/>
                <w:b/>
              </w:rPr>
              <w:t xml:space="preserve">official version</w:t>
            </w:r>
            <w:r>
              <w:t xml:space="preserve">, invoked</w:t>
            </w:r>
            <w:r>
              <w:t xml:space="preserve"> </w:t>
            </w:r>
            <w:r>
              <w:rPr>
                <w:bCs/>
                <w:b/>
              </w:rPr>
              <w:t xml:space="preserve">s.54 of the Disaster Management Act 2005</w:t>
            </w:r>
            <w:r>
              <w:t xml:space="preserve"> </w:t>
            </w:r>
            <w:r>
              <w:t xml:space="preserve">to punish those circulating false information, and directed an</w:t>
            </w:r>
            <w:r>
              <w:t xml:space="preserve"> </w:t>
            </w:r>
            <w:r>
              <w:rPr>
                <w:bCs/>
                <w:b/>
              </w:rPr>
              <w:t xml:space="preserve">official portal</w:t>
            </w:r>
            <w:r>
              <w:t xml:space="preserve"> </w:t>
            </w:r>
            <w:r>
              <w:t xml:space="preserve">for daily updates</w:t>
            </w:r>
          </w:p>
        </w:tc>
      </w:tr>
      <w:tr>
        <w:tc>
          <w:tcPr/>
          <w:p>
            <w:pPr>
              <w:pStyle w:val="Compact"/>
              <w:jc w:val="left"/>
            </w:pPr>
            <w:r>
              <w:rPr>
                <w:iCs/>
                <w:i/>
                <w:bCs/>
                <w:b/>
              </w:rPr>
              <w:t xml:space="preserve">Kunal Kamra v. Union of India</w:t>
            </w:r>
          </w:p>
        </w:tc>
        <w:tc>
          <w:tcPr/>
          <w:p>
            <w:pPr>
              <w:pStyle w:val="Compact"/>
              <w:jc w:val="left"/>
            </w:pPr>
            <w:r>
              <w:rPr>
                <w:bCs/>
                <w:b/>
              </w:rPr>
              <w:t xml:space="preserve">Bombay High Court</w:t>
            </w:r>
            <w:r>
              <w:t xml:space="preserve">, 2024</w:t>
            </w:r>
          </w:p>
        </w:tc>
        <w:tc>
          <w:tcPr/>
          <w:p>
            <w:pPr>
              <w:pStyle w:val="Compact"/>
              <w:jc w:val="left"/>
            </w:pPr>
            <w:r>
              <w:rPr>
                <w:bCs/>
                <w:b/>
              </w:rPr>
              <w:t xml:space="preserve">Rule 3(1)(b)(v) (Fact Check Unit) held UNCONSTITUTIONAL.</w:t>
            </w:r>
            <w:r>
              <w:t xml:space="preserve"> </w:t>
            </w:r>
            <w:r>
              <w:rPr>
                <w:bCs/>
                <w:b/>
              </w:rPr>
              <w:t xml:space="preserve">Gokhale J. upheld</w:t>
            </w:r>
            <w:r>
              <w:t xml:space="preserve"> </w:t>
            </w:r>
            <w:r>
              <w:t xml:space="preserve">it — the FCU only identifies, courts decide finally, bias must be proved not presumed.</w:t>
            </w:r>
            <w:r>
              <w:t xml:space="preserve"> </w:t>
            </w:r>
            <w:r>
              <w:rPr>
                <w:bCs/>
                <w:b/>
              </w:rPr>
              <w:t xml:space="preserve">Patel J. struck it down</w:t>
            </w:r>
            <w:r>
              <w:t xml:space="preserve"> </w:t>
            </w:r>
            <w:r>
              <w:t xml:space="preserve">— online equals offline, restrictions must fit Art.19(2) and proportionality, the rule</w:t>
            </w:r>
            <w:r>
              <w:t xml:space="preserve"> </w:t>
            </w:r>
            <w:r>
              <w:rPr>
                <w:bCs/>
                <w:b/>
              </w:rPr>
              <w:t xml:space="preserve">“</w:t>
            </w:r>
            <w:r>
              <w:rPr>
                <w:bCs/>
                <w:b/>
              </w:rPr>
              <w:t xml:space="preserve">outsources censorship</w:t>
            </w:r>
            <w:r>
              <w:rPr>
                <w:bCs/>
                <w:b/>
              </w:rPr>
              <w:t xml:space="preserve">”</w:t>
            </w:r>
            <w:r>
              <w:t xml:space="preserve">.</w:t>
            </w:r>
            <w:r>
              <w:t xml:space="preserve"> </w:t>
            </w:r>
            <w:r>
              <w:rPr>
                <w:bCs/>
                <w:b/>
              </w:rPr>
              <w:t xml:space="preserve">Chandurkar J., tie-breaker, agreed with Patel J.</w:t>
            </w:r>
            <w:r>
              <w:t xml:space="preserve">:</w:t>
            </w:r>
            <w:r>
              <w:t xml:space="preserve"> </w:t>
            </w:r>
            <w:r>
              <w:rPr>
                <w:bCs/>
                <w:b/>
              </w:rPr>
              <w:t xml:space="preserve">censoring merely because content is</w:t>
            </w:r>
            <w:r>
              <w:rPr>
                <w:bCs/>
                <w:b/>
              </w:rPr>
              <w:t xml:space="preserve"> </w:t>
            </w:r>
            <w:r>
              <w:rPr>
                <w:bCs/>
                <w:b/>
              </w:rPr>
              <w:t xml:space="preserve">“</w:t>
            </w:r>
            <w:r>
              <w:rPr>
                <w:bCs/>
                <w:b/>
              </w:rPr>
              <w:t xml:space="preserve">false</w:t>
            </w:r>
            <w:r>
              <w:rPr>
                <w:bCs/>
                <w:b/>
              </w:rPr>
              <w:t xml:space="preserve">”</w:t>
            </w:r>
            <w:r>
              <w:rPr>
                <w:bCs/>
                <w:b/>
              </w:rPr>
              <w:t xml:space="preserve"> </w:t>
            </w:r>
            <w:r>
              <w:rPr>
                <w:bCs/>
                <w:b/>
              </w:rPr>
              <w:t xml:space="preserve">or</w:t>
            </w:r>
            <w:r>
              <w:rPr>
                <w:bCs/>
                <w:b/>
              </w:rPr>
              <w:t xml:space="preserve"> </w:t>
            </w:r>
            <w:r>
              <w:rPr>
                <w:bCs/>
                <w:b/>
              </w:rPr>
              <w:t xml:space="preserve">“</w:t>
            </w:r>
            <w:r>
              <w:rPr>
                <w:bCs/>
                <w:b/>
              </w:rPr>
              <w:t xml:space="preserve">misleading</w:t>
            </w:r>
            <w:r>
              <w:rPr>
                <w:bCs/>
                <w:b/>
              </w:rPr>
              <w:t xml:space="preserve">”</w:t>
            </w:r>
            <w:r>
              <w:rPr>
                <w:bCs/>
                <w:b/>
              </w:rPr>
              <w:t xml:space="preserve"> </w:t>
            </w:r>
            <w:r>
              <w:rPr>
                <w:bCs/>
                <w:b/>
              </w:rPr>
              <w:t xml:space="preserve">is impermissible — falsity is not an Article 19(2) ground</w:t>
            </w:r>
            <w:r>
              <w:t xml:space="preserve">; under</w:t>
            </w:r>
            <w:r>
              <w:t xml:space="preserve"> </w:t>
            </w:r>
            <w:r>
              <w:rPr>
                <w:bCs/>
                <w:b/>
              </w:rPr>
              <w:t xml:space="preserve">Article 14</w:t>
            </w:r>
            <w:r>
              <w:t xml:space="preserve"> </w:t>
            </w:r>
            <w:r>
              <w:t xml:space="preserve">the Government becomes</w:t>
            </w:r>
            <w:r>
              <w:t xml:space="preserve"> </w:t>
            </w:r>
            <w:r>
              <w:rPr>
                <w:bCs/>
                <w:b/>
              </w:rPr>
              <w:t xml:space="preserve">arbiter of truth in its own cause</w:t>
            </w:r>
            <w:r>
              <w:t xml:space="preserve">; undefined terms give</w:t>
            </w:r>
            <w:r>
              <w:t xml:space="preserve"> </w:t>
            </w:r>
            <w:r>
              <w:rPr>
                <w:bCs/>
                <w:b/>
              </w:rPr>
              <w:t xml:space="preserve">unguided discretion</w:t>
            </w:r>
            <w:r>
              <w:t xml:space="preserve"> </w:t>
            </w:r>
            <w:r>
              <w:t xml:space="preserve">and a genuine risk of</w:t>
            </w:r>
            <w:r>
              <w:t xml:space="preserve"> </w:t>
            </w:r>
            <w:r>
              <w:rPr>
                <w:bCs/>
                <w:b/>
              </w:rPr>
              <w:t xml:space="preserve">self-censorship</w:t>
            </w:r>
          </w:p>
        </w:tc>
      </w:tr>
    </w:tbl>
    <w:bookmarkEnd w:id="75"/>
    <w:bookmarkStart w:id="76" w:name="j.-authorities-cited-within-the-above"/>
    <w:p>
      <w:pPr>
        <w:pStyle w:val="Heading2"/>
      </w:pPr>
      <w:r>
        <w:t xml:space="preserve">J. Authorities cited within the above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Case</w:t>
            </w:r>
          </w:p>
        </w:tc>
        <w:tc>
          <w:tcPr/>
          <w:p>
            <w:pPr>
              <w:pStyle w:val="Compact"/>
              <w:jc w:val="left"/>
            </w:pPr>
            <w:r>
              <w:t xml:space="preserve">Cited for</w:t>
            </w:r>
          </w:p>
        </w:tc>
      </w:tr>
      <w:tr>
        <w:tc>
          <w:tcPr/>
          <w:p>
            <w:pPr>
              <w:pStyle w:val="Compact"/>
              <w:jc w:val="left"/>
            </w:pPr>
            <w:r>
              <w:rPr>
                <w:iCs/>
                <w:i/>
                <w:bCs/>
                <w:b/>
              </w:rPr>
              <w:t xml:space="preserve">Vishaka v. State of Rajasthan</w:t>
            </w:r>
            <w:r>
              <w:t xml:space="preserve"> </w:t>
            </w:r>
            <w:r>
              <w:t xml:space="preserve">(1997) 6 SCC 241</w:t>
            </w:r>
          </w:p>
        </w:tc>
        <w:tc>
          <w:tcPr/>
          <w:p>
            <w:pPr>
              <w:pStyle w:val="Compact"/>
              <w:jc w:val="left"/>
            </w:pPr>
            <w:r>
              <w:t xml:space="preserve">The power to issue interim guidelines in a genuine legislative vacuum, resting on</w:t>
            </w:r>
            <w:r>
              <w:t xml:space="preserve"> </w:t>
            </w:r>
            <w:r>
              <w:rPr>
                <w:bCs/>
                <w:b/>
              </w:rPr>
              <w:t xml:space="preserve">CEDAW</w:t>
            </w:r>
            <w:r>
              <w:t xml:space="preserve">;</w:t>
            </w:r>
            <w:r>
              <w:t xml:space="preserve"> </w:t>
            </w:r>
            <w:r>
              <w:rPr>
                <w:bCs/>
                <w:b/>
              </w:rPr>
              <w:t xml:space="preserve">distinguished</w:t>
            </w:r>
            <w:r>
              <w:t xml:space="preserve"> </w:t>
            </w:r>
            <w:r>
              <w:t xml:space="preserve">in</w:t>
            </w:r>
            <w:r>
              <w:t xml:space="preserve"> </w:t>
            </w:r>
            <w:r>
              <w:rPr>
                <w:iCs/>
                <w:i/>
              </w:rPr>
              <w:t xml:space="preserve">Ashwini Kumar Upadhyay</w:t>
            </w:r>
            <w:r>
              <w:t xml:space="preserve"> </w:t>
            </w:r>
            <w:r>
              <w:t xml:space="preserve">because the field was already occupied</w:t>
            </w:r>
          </w:p>
        </w:tc>
      </w:tr>
      <w:tr>
        <w:tc>
          <w:tcPr/>
          <w:p>
            <w:pPr>
              <w:pStyle w:val="Compact"/>
              <w:jc w:val="left"/>
            </w:pPr>
            <w:r>
              <w:rPr>
                <w:iCs/>
                <w:i/>
                <w:bCs/>
                <w:b/>
              </w:rPr>
              <w:t xml:space="preserve">Lalita Kumari v. Government of Uttar Pradesh</w:t>
            </w:r>
          </w:p>
        </w:tc>
        <w:tc>
          <w:tcPr/>
          <w:p>
            <w:pPr>
              <w:pStyle w:val="Compact"/>
              <w:jc w:val="left"/>
            </w:pPr>
            <w:r>
              <w:t xml:space="preserve">The CrPC</w:t>
            </w:r>
            <w:r>
              <w:t xml:space="preserve"> </w:t>
            </w:r>
            <w:r>
              <w:rPr>
                <w:iCs/>
                <w:i/>
              </w:rPr>
              <w:t xml:space="preserve">“</w:t>
            </w:r>
            <w:r>
              <w:rPr>
                <w:iCs/>
                <w:i/>
              </w:rPr>
              <w:t xml:space="preserve">leaves no discretion with the police… and</w:t>
            </w:r>
            <w:r>
              <w:rPr>
                <w:iCs/>
                <w:i/>
              </w:rPr>
              <w:t xml:space="preserve"> </w:t>
            </w:r>
            <w:r>
              <w:rPr>
                <w:bCs/>
                <w:b/>
                <w:iCs/>
                <w:i/>
              </w:rPr>
              <w:t xml:space="preserve">mandates registration of an FIR</w:t>
            </w:r>
            <w:r>
              <w:rPr>
                <w:iCs/>
                <w:i/>
              </w:rPr>
              <w:t xml:space="preserve">”</w:t>
            </w:r>
            <w:r>
              <w:t xml:space="preserve">;</w:t>
            </w:r>
            <w:r>
              <w:t xml:space="preserve"> </w:t>
            </w:r>
            <w:r>
              <w:rPr>
                <w:bCs/>
                <w:b/>
              </w:rPr>
              <w:t xml:space="preserve">s.156(3)</w:t>
            </w:r>
            <w:r>
              <w:t xml:space="preserve"> </w:t>
            </w:r>
            <w:r>
              <w:t xml:space="preserve">allows a Magistrate to direct and monitor investigation</w:t>
            </w:r>
          </w:p>
        </w:tc>
      </w:tr>
      <w:tr>
        <w:tc>
          <w:tcPr/>
          <w:p>
            <w:pPr>
              <w:pStyle w:val="Compact"/>
              <w:jc w:val="left"/>
            </w:pPr>
            <w:r>
              <w:rPr>
                <w:iCs/>
                <w:i/>
                <w:bCs/>
                <w:b/>
              </w:rPr>
              <w:t xml:space="preserve">Union of India v. S.B. Vohra</w:t>
            </w:r>
          </w:p>
        </w:tc>
        <w:tc>
          <w:tcPr/>
          <w:p>
            <w:pPr>
              <w:pStyle w:val="Compact"/>
              <w:jc w:val="left"/>
            </w:pPr>
            <w:r>
              <w:rPr>
                <w:bCs/>
                <w:b/>
              </w:rPr>
              <w:t xml:space="preserve">Mandamus</w:t>
            </w:r>
            <w:r>
              <w:t xml:space="preserve"> </w:t>
            </w:r>
            <w:r>
              <w:t xml:space="preserve">lies where a</w:t>
            </w:r>
            <w:r>
              <w:t xml:space="preserve"> </w:t>
            </w:r>
            <w:r>
              <w:rPr>
                <w:bCs/>
                <w:b/>
              </w:rPr>
              <w:t xml:space="preserve">legal right</w:t>
            </w:r>
            <w:r>
              <w:t xml:space="preserve"> </w:t>
            </w:r>
            <w:r>
              <w:t xml:space="preserve">and a corresponding</w:t>
            </w:r>
            <w:r>
              <w:t xml:space="preserve"> </w:t>
            </w:r>
            <w:r>
              <w:rPr>
                <w:bCs/>
                <w:b/>
              </w:rPr>
              <w:t xml:space="preserve">unperformed public duty</w:t>
            </w:r>
            <w:r>
              <w:t xml:space="preserve"> </w:t>
            </w:r>
            <w:r>
              <w:t xml:space="preserve">exist and</w:t>
            </w:r>
            <w:r>
              <w:t xml:space="preserve"> </w:t>
            </w:r>
            <w:r>
              <w:rPr>
                <w:bCs/>
                <w:b/>
              </w:rPr>
              <w:t xml:space="preserve">no equally efficacious remedy</w:t>
            </w:r>
            <w:r>
              <w:t xml:space="preserve"> </w:t>
            </w:r>
            <w:r>
              <w:t xml:space="preserve">is available</w:t>
            </w:r>
          </w:p>
        </w:tc>
      </w:tr>
      <w:tr>
        <w:tc>
          <w:tcPr/>
          <w:p>
            <w:pPr>
              <w:pStyle w:val="Compact"/>
              <w:jc w:val="left"/>
            </w:pPr>
            <w:r>
              <w:rPr>
                <w:iCs/>
                <w:i/>
                <w:bCs/>
                <w:b/>
              </w:rPr>
              <w:t xml:space="preserve">National Federation of Indian Women v. Union of India</w:t>
            </w:r>
          </w:p>
        </w:tc>
        <w:tc>
          <w:tcPr/>
          <w:p>
            <w:pPr>
              <w:pStyle w:val="Compact"/>
              <w:jc w:val="left"/>
            </w:pPr>
            <w:r>
              <w:t xml:space="preserve">National-level</w:t>
            </w:r>
            <w:r>
              <w:t xml:space="preserve"> </w:t>
            </w:r>
            <w:r>
              <w:rPr>
                <w:bCs/>
                <w:b/>
              </w:rPr>
              <w:t xml:space="preserve">continuous monitoring</w:t>
            </w:r>
            <w:r>
              <w:t xml:space="preserve"> </w:t>
            </w:r>
            <w:r>
              <w:t xml:space="preserve">across States is</w:t>
            </w:r>
            <w:r>
              <w:t xml:space="preserve"> </w:t>
            </w:r>
            <w:r>
              <w:rPr>
                <w:bCs/>
                <w:b/>
              </w:rPr>
              <w:t xml:space="preserve">impractical and constitutionally inappropriate</w:t>
            </w:r>
          </w:p>
        </w:tc>
      </w:tr>
      <w:tr>
        <w:tc>
          <w:tcPr/>
          <w:p>
            <w:pPr>
              <w:pStyle w:val="Compact"/>
              <w:jc w:val="left"/>
            </w:pPr>
            <w:r>
              <w:rPr>
                <w:iCs/>
                <w:i/>
                <w:bCs/>
                <w:b/>
              </w:rPr>
              <w:t xml:space="preserve">Kaushal Kishor v. State of Uttar Pradesh</w:t>
            </w:r>
          </w:p>
        </w:tc>
        <w:tc>
          <w:tcPr/>
          <w:p>
            <w:pPr>
              <w:pStyle w:val="Compact"/>
              <w:jc w:val="left"/>
            </w:pPr>
            <w:r>
              <w:rPr>
                <w:iCs/>
                <w:i/>
              </w:rPr>
              <w:t xml:space="preserve">“</w:t>
            </w:r>
            <w:r>
              <w:rPr>
                <w:iCs/>
                <w:i/>
              </w:rPr>
              <w:t xml:space="preserve">Restrictions placed must be justifiable under a law competent under clause (2) of Article 19</w:t>
            </w:r>
            <w:r>
              <w:rPr>
                <w:iCs/>
                <w:i/>
              </w:rPr>
              <w:t xml:space="preserve">”</w:t>
            </w:r>
            <w:r>
              <w:t xml:space="preserve"> </w:t>
            </w:r>
            <w:r>
              <w:t xml:space="preserve">— relied on by</w:t>
            </w:r>
            <w:r>
              <w:t xml:space="preserve"> </w:t>
            </w:r>
            <w:r>
              <w:rPr>
                <w:bCs/>
                <w:b/>
              </w:rPr>
              <w:t xml:space="preserve">Chandurkar J.</w:t>
            </w:r>
            <w:r>
              <w:t xml:space="preserve"> </w:t>
            </w:r>
            <w:r>
              <w:t xml:space="preserve">in</w:t>
            </w:r>
            <w:r>
              <w:t xml:space="preserve"> </w:t>
            </w:r>
            <w:r>
              <w:rPr>
                <w:iCs/>
                <w:i/>
              </w:rPr>
              <w:t xml:space="preserve">Kunal Kamra</w:t>
            </w:r>
          </w:p>
        </w:tc>
      </w:tr>
      <w:tr>
        <w:tc>
          <w:tcPr/>
          <w:p>
            <w:pPr>
              <w:pStyle w:val="Compact"/>
              <w:jc w:val="left"/>
            </w:pPr>
            <w:r>
              <w:rPr>
                <w:iCs/>
                <w:i/>
                <w:bCs/>
                <w:b/>
              </w:rPr>
              <w:t xml:space="preserve">Brij Bhushan v. State of Delhi</w:t>
            </w:r>
            <w:r>
              <w:t xml:space="preserve"> </w:t>
            </w:r>
            <w:r>
              <w:t xml:space="preserve">·</w:t>
            </w:r>
            <w:r>
              <w:t xml:space="preserve"> </w:t>
            </w:r>
            <w:r>
              <w:rPr>
                <w:iCs/>
                <w:i/>
                <w:bCs/>
                <w:b/>
              </w:rPr>
              <w:t xml:space="preserve">Romesh Thappar v. State of Madras</w:t>
            </w:r>
          </w:p>
        </w:tc>
        <w:tc>
          <w:tcPr/>
          <w:p>
            <w:pPr>
              <w:pStyle w:val="Compact"/>
              <w:jc w:val="left"/>
            </w:pPr>
            <w:r>
              <w:t xml:space="preserve">Opposition to</w:t>
            </w:r>
            <w:r>
              <w:t xml:space="preserve"> </w:t>
            </w:r>
            <w:r>
              <w:rPr>
                <w:bCs/>
                <w:b/>
              </w:rPr>
              <w:t xml:space="preserve">pre-censorship</w:t>
            </w:r>
            <w:r>
              <w:t xml:space="preserve"> </w:t>
            </w:r>
            <w:r>
              <w:t xml:space="preserve">and preference for</w:t>
            </w:r>
            <w:r>
              <w:t xml:space="preserve"> </w:t>
            </w:r>
            <w:r>
              <w:rPr>
                <w:bCs/>
                <w:b/>
              </w:rPr>
              <w:t xml:space="preserve">post-publication accountability</w:t>
            </w:r>
            <w:r>
              <w:t xml:space="preserve"> </w:t>
            </w:r>
            <w:r>
              <w:t xml:space="preserve">— the basis of the prior-restraint attack on the 2026 SGI Rules</w:t>
            </w:r>
          </w:p>
        </w:tc>
      </w:tr>
      <w:tr>
        <w:tc>
          <w:tcPr/>
          <w:p>
            <w:pPr>
              <w:pStyle w:val="Compact"/>
              <w:jc w:val="left"/>
            </w:pPr>
            <w:r>
              <w:rPr>
                <w:iCs/>
                <w:i/>
                <w:bCs/>
                <w:b/>
              </w:rPr>
              <w:t xml:space="preserve">P. Krishnamurthy</w:t>
            </w:r>
          </w:p>
        </w:tc>
        <w:tc>
          <w:tcPr/>
          <w:p>
            <w:pPr>
              <w:pStyle w:val="Compact"/>
              <w:jc w:val="left"/>
            </w:pPr>
            <w:r>
              <w:t xml:space="preserve">Relied on by</w:t>
            </w:r>
            <w:r>
              <w:t xml:space="preserve"> </w:t>
            </w:r>
            <w:r>
              <w:rPr>
                <w:bCs/>
                <w:b/>
              </w:rPr>
              <w:t xml:space="preserve">Gokhale J.</w:t>
            </w:r>
            <w:r>
              <w:t xml:space="preserve"> </w:t>
            </w:r>
            <w:r>
              <w:t xml:space="preserve">in</w:t>
            </w:r>
            <w:r>
              <w:t xml:space="preserve"> </w:t>
            </w:r>
            <w:r>
              <w:rPr>
                <w:iCs/>
                <w:i/>
              </w:rPr>
              <w:t xml:space="preserve">Kunal Kamra</w:t>
            </w:r>
            <w:r>
              <w:t xml:space="preserve"> </w:t>
            </w:r>
            <w:r>
              <w:t xml:space="preserve">on the validity of subordinate legislation</w:t>
            </w:r>
          </w:p>
        </w:tc>
      </w:tr>
      <w:tr>
        <w:tc>
          <w:tcPr/>
          <w:p>
            <w:pPr>
              <w:pStyle w:val="Compact"/>
              <w:jc w:val="left"/>
            </w:pPr>
            <w:r>
              <w:rPr>
                <w:iCs/>
                <w:i/>
                <w:bCs/>
                <w:b/>
              </w:rPr>
              <w:t xml:space="preserve">Kesavananda Bharati</w:t>
            </w:r>
            <w:r>
              <w:t xml:space="preserve">,</w:t>
            </w:r>
            <w:r>
              <w:t xml:space="preserve"> </w:t>
            </w:r>
            <w:r>
              <w:rPr>
                <w:iCs/>
                <w:i/>
                <w:bCs/>
                <w:b/>
              </w:rPr>
              <w:t xml:space="preserve">Tehseen Poonawalla</w:t>
            </w:r>
            <w:r>
              <w:t xml:space="preserve">,</w:t>
            </w:r>
            <w:r>
              <w:t xml:space="preserve"> </w:t>
            </w:r>
            <w:r>
              <w:rPr>
                <w:iCs/>
                <w:i/>
                <w:bCs/>
                <w:b/>
              </w:rPr>
              <w:t xml:space="preserve">Devgan v. Union of India</w:t>
            </w:r>
          </w:p>
        </w:tc>
        <w:tc>
          <w:tcPr/>
          <w:p>
            <w:pPr>
              <w:pStyle w:val="Compact"/>
              <w:jc w:val="left"/>
            </w:pPr>
            <w:r>
              <w:t xml:space="preserve">Cited in the</w:t>
            </w:r>
            <w:r>
              <w:t xml:space="preserve"> </w:t>
            </w:r>
            <w:r>
              <w:rPr>
                <w:iCs/>
                <w:i/>
              </w:rPr>
              <w:t xml:space="preserve">Ashwini Kumar Upadhyay</w:t>
            </w:r>
            <w:r>
              <w:t xml:space="preserve"> </w:t>
            </w:r>
            <w:r>
              <w:t xml:space="preserve">case-study materials</w:t>
            </w:r>
          </w:p>
        </w:tc>
      </w:tr>
    </w:tbl>
    <w:bookmarkEnd w:id="76"/>
    <w:bookmarkEnd w:id="77"/>
    <w:bookmarkStart w:id="81" w:name="Xad78ef709638c88af5b1e556203b69b642db9e9"/>
    <w:p>
      <w:pPr>
        <w:pStyle w:val="Heading1"/>
      </w:pPr>
      <w:r>
        <w:t xml:space="preserve">PART 8 — NUMBERS, AND WHERE THE PPTs DISAGREE</w:t>
      </w:r>
    </w:p>
    <w:bookmarkStart w:id="78" w:name="numbers"/>
    <w:p>
      <w:pPr>
        <w:pStyle w:val="Heading2"/>
      </w:pPr>
      <w:r>
        <w:t xml:space="preserve">Numbers</w:t>
      </w:r>
    </w:p>
    <w:p>
      <w:pPr>
        <w:pStyle w:val="FirstParagraph"/>
      </w:pPr>
      <w:r>
        <w:rPr>
          <w:bCs/>
          <w:b/>
        </w:rPr>
        <w:t xml:space="preserve">Act 21 of 2000</w:t>
      </w:r>
      <w:r>
        <w:t xml:space="preserve">, assent</w:t>
      </w:r>
      <w:r>
        <w:t xml:space="preserve"> </w:t>
      </w:r>
      <w:r>
        <w:rPr>
          <w:bCs/>
          <w:b/>
        </w:rPr>
        <w:t xml:space="preserve">9 June 2000</w:t>
      </w:r>
      <w:r>
        <w:t xml:space="preserve">, commencement</w:t>
      </w:r>
      <w:r>
        <w:t xml:space="preserve"> </w:t>
      </w:r>
      <w:r>
        <w:rPr>
          <w:bCs/>
          <w:b/>
        </w:rPr>
        <w:t xml:space="preserve">17 October 2000</w:t>
      </w:r>
      <w:r>
        <w:t xml:space="preserve">; the Bill went to a</w:t>
      </w:r>
      <w:r>
        <w:t xml:space="preserve"> </w:t>
      </w:r>
      <w:r>
        <w:rPr>
          <w:bCs/>
          <w:b/>
        </w:rPr>
        <w:t xml:space="preserve">42-member</w:t>
      </w:r>
      <w:r>
        <w:t xml:space="preserve"> </w:t>
      </w:r>
      <w:r>
        <w:t xml:space="preserve">Standing Committee. MLEC adopted</w:t>
      </w:r>
      <w:r>
        <w:t xml:space="preserve"> </w:t>
      </w:r>
      <w:r>
        <w:rPr>
          <w:bCs/>
          <w:b/>
        </w:rPr>
        <w:t xml:space="preserve">1996</w:t>
      </w:r>
      <w:r>
        <w:t xml:space="preserve">, UNGA Resolution</w:t>
      </w:r>
      <w:r>
        <w:t xml:space="preserve"> </w:t>
      </w:r>
      <w:r>
        <w:rPr>
          <w:bCs/>
          <w:b/>
        </w:rPr>
        <w:t xml:space="preserve">A/RES/51/162</w:t>
      </w:r>
      <w:r>
        <w:t xml:space="preserve"> </w:t>
      </w:r>
      <w:r>
        <w:t xml:space="preserve">of</w:t>
      </w:r>
      <w:r>
        <w:t xml:space="preserve"> </w:t>
      </w:r>
      <w:r>
        <w:rPr>
          <w:bCs/>
          <w:b/>
        </w:rPr>
        <w:t xml:space="preserve">30 January 1997</w:t>
      </w:r>
      <w:r>
        <w:t xml:space="preserve">.</w:t>
      </w:r>
      <w:r>
        <w:t xml:space="preserve"> </w:t>
      </w:r>
      <w:r>
        <w:rPr>
          <w:bCs/>
          <w:b/>
        </w:rPr>
        <w:t xml:space="preserve">Five entries</w:t>
      </w:r>
      <w:r>
        <w:t xml:space="preserve"> </w:t>
      </w:r>
      <w:r>
        <w:t xml:space="preserve">in the First Schedule. The 2008 Amendment was notified</w:t>
      </w:r>
      <w:r>
        <w:t xml:space="preserve"> </w:t>
      </w:r>
      <w:r>
        <w:rPr>
          <w:bCs/>
          <w:b/>
        </w:rPr>
        <w:t xml:space="preserve">5 February 2009</w:t>
      </w:r>
      <w:r>
        <w:t xml:space="preserve">.</w:t>
      </w:r>
    </w:p>
    <w:p>
      <w:pPr>
        <w:pStyle w:val="BodyText"/>
      </w:pPr>
      <w:r>
        <w:rPr>
          <w:bCs/>
          <w:b/>
        </w:rPr>
        <w:t xml:space="preserve">s.70(3)</w:t>
      </w:r>
      <w:r>
        <w:t xml:space="preserve"> </w:t>
      </w:r>
      <w:r>
        <w:t xml:space="preserve">—</w:t>
      </w:r>
      <w:r>
        <w:t xml:space="preserve"> </w:t>
      </w:r>
      <w:r>
        <w:rPr>
          <w:bCs/>
          <w:b/>
        </w:rPr>
        <w:t xml:space="preserve">ten years</w:t>
      </w:r>
      <w:r>
        <w:t xml:space="preserve"> </w:t>
      </w:r>
      <w:r>
        <w:t xml:space="preserve">for access to a protected system.</w:t>
      </w:r>
      <w:r>
        <w:t xml:space="preserve"> </w:t>
      </w:r>
      <w:r>
        <w:rPr>
          <w:bCs/>
          <w:b/>
        </w:rPr>
        <w:t xml:space="preserve">s.66F</w:t>
      </w:r>
      <w:r>
        <w:t xml:space="preserve"> </w:t>
      </w:r>
      <w:r>
        <w:t xml:space="preserve">—</w:t>
      </w:r>
      <w:r>
        <w:t xml:space="preserve"> </w:t>
      </w:r>
      <w:r>
        <w:rPr>
          <w:bCs/>
          <w:b/>
        </w:rPr>
        <w:t xml:space="preserve">life imprisonment</w:t>
      </w:r>
      <w:r>
        <w:t xml:space="preserve"> </w:t>
      </w:r>
      <w:r>
        <w:t xml:space="preserve">for cyber terrorism. SSMI threshold —</w:t>
      </w:r>
      <w:r>
        <w:t xml:space="preserve"> </w:t>
      </w:r>
      <w:r>
        <w:rPr>
          <w:bCs/>
          <w:b/>
        </w:rPr>
        <w:t xml:space="preserve">fifty lakh</w:t>
      </w:r>
      <w:r>
        <w:t xml:space="preserve">, S.O. 942(E) of</w:t>
      </w:r>
      <w:r>
        <w:t xml:space="preserve"> </w:t>
      </w:r>
      <w:r>
        <w:rPr>
          <w:bCs/>
          <w:b/>
        </w:rPr>
        <w:t xml:space="preserve">25 February 2021</w:t>
      </w:r>
      <w:r>
        <w:t xml:space="preserve">.</w:t>
      </w:r>
      <w:r>
        <w:t xml:space="preserve"> </w:t>
      </w:r>
      <w:r>
        <w:rPr>
          <w:bCs/>
          <w:b/>
        </w:rPr>
        <w:t xml:space="preserve">Twenty-six activities</w:t>
      </w:r>
      <w:r>
        <w:t xml:space="preserve"> </w:t>
      </w:r>
      <w:r>
        <w:t xml:space="preserve">in</w:t>
      </w:r>
      <w:r>
        <w:t xml:space="preserve"> </w:t>
      </w:r>
      <w:r>
        <w:rPr>
          <w:iCs/>
          <w:i/>
        </w:rPr>
        <w:t xml:space="preserve">Christian Louboutin</w:t>
      </w:r>
      <w:r>
        <w:t xml:space="preserve">.</w:t>
      </w:r>
      <w:r>
        <w:t xml:space="preserve"> </w:t>
      </w:r>
      <w:r>
        <w:rPr>
          <w:bCs/>
          <w:b/>
        </w:rPr>
        <w:t xml:space="preserve">Thirty-six hours</w:t>
      </w:r>
      <w:r>
        <w:t xml:space="preserve"> </w:t>
      </w:r>
      <w:r>
        <w:t xml:space="preserve">in</w:t>
      </w:r>
      <w:r>
        <w:t xml:space="preserve"> </w:t>
      </w:r>
      <w:r>
        <w:rPr>
          <w:iCs/>
          <w:i/>
        </w:rPr>
        <w:t xml:space="preserve">MySpace</w:t>
      </w:r>
      <w:r>
        <w:t xml:space="preserve"> </w:t>
      </w:r>
      <w:r>
        <w:t xml:space="preserve">(DB) and in</w:t>
      </w:r>
      <w:r>
        <w:t xml:space="preserve"> </w:t>
      </w:r>
      <w:r>
        <w:rPr>
          <w:iCs/>
          <w:i/>
        </w:rPr>
        <w:t xml:space="preserve">Sabu Mathew George</w:t>
      </w:r>
      <w:r>
        <w:t xml:space="preserve">, and under the old Rule 3(1)(d).</w:t>
      </w:r>
    </w:p>
    <w:p>
      <w:pPr>
        <w:pStyle w:val="BodyText"/>
      </w:pPr>
      <w:r>
        <w:t xml:space="preserve">The 2026 clocks:</w:t>
      </w:r>
      <w:r>
        <w:t xml:space="preserve"> </w:t>
      </w:r>
      <w:r>
        <w:rPr>
          <w:bCs/>
          <w:b/>
        </w:rPr>
        <w:t xml:space="preserve">three hours</w:t>
      </w:r>
      <w:r>
        <w:t xml:space="preserve"> </w:t>
      </w:r>
      <w:r>
        <w:t xml:space="preserve">(Rule 3(1)(d)),</w:t>
      </w:r>
      <w:r>
        <w:t xml:space="preserve"> </w:t>
      </w:r>
      <w:r>
        <w:rPr>
          <w:bCs/>
          <w:b/>
        </w:rPr>
        <w:t xml:space="preserve">seven days</w:t>
      </w:r>
      <w:r>
        <w:t xml:space="preserve"> </w:t>
      </w:r>
      <w:r>
        <w:t xml:space="preserve">(Rule 3(2)(a)(i)),</w:t>
      </w:r>
      <w:r>
        <w:t xml:space="preserve"> </w:t>
      </w:r>
      <w:r>
        <w:rPr>
          <w:bCs/>
          <w:b/>
        </w:rPr>
        <w:t xml:space="preserve">thirty-six hours</w:t>
      </w:r>
      <w:r>
        <w:t xml:space="preserve"> </w:t>
      </w:r>
      <w:r>
        <w:t xml:space="preserve">(Rule 3(2)(a)),</w:t>
      </w:r>
      <w:r>
        <w:t xml:space="preserve"> </w:t>
      </w:r>
      <w:r>
        <w:rPr>
          <w:bCs/>
          <w:b/>
        </w:rPr>
        <w:t xml:space="preserve">two hours</w:t>
      </w:r>
      <w:r>
        <w:t xml:space="preserve"> </w:t>
      </w:r>
      <w:r>
        <w:t xml:space="preserve">(Rule 3(2)(b)). Unchanged: acknowledgement</w:t>
      </w:r>
      <w:r>
        <w:t xml:space="preserve"> </w:t>
      </w:r>
      <w:r>
        <w:rPr>
          <w:bCs/>
          <w:b/>
        </w:rPr>
        <w:t xml:space="preserve">24 hours</w:t>
      </w:r>
      <w:r>
        <w:t xml:space="preserve">, assistance</w:t>
      </w:r>
      <w:r>
        <w:t xml:space="preserve"> </w:t>
      </w:r>
      <w:r>
        <w:rPr>
          <w:bCs/>
          <w:b/>
        </w:rPr>
        <w:t xml:space="preserve">72 hours</w:t>
      </w:r>
      <w:r>
        <w:t xml:space="preserve"> </w:t>
      </w:r>
      <w:r>
        <w:t xml:space="preserve">(24 for an online game intermediary), preservation</w:t>
      </w:r>
      <w:r>
        <w:t xml:space="preserve"> </w:t>
      </w:r>
      <w:r>
        <w:rPr>
          <w:bCs/>
          <w:b/>
        </w:rPr>
        <w:t xml:space="preserve">180 days</w:t>
      </w:r>
      <w:r>
        <w:t xml:space="preserve">, GAC appeal and decision</w:t>
      </w:r>
      <w:r>
        <w:t xml:space="preserve"> </w:t>
      </w:r>
      <w:r>
        <w:rPr>
          <w:bCs/>
          <w:b/>
        </w:rPr>
        <w:t xml:space="preserve">30 + 30 days</w:t>
      </w:r>
      <w:r>
        <w:t xml:space="preserve">. CERT-In Directions 2022: logs</w:t>
      </w:r>
      <w:r>
        <w:t xml:space="preserve"> </w:t>
      </w:r>
      <w:r>
        <w:rPr>
          <w:bCs/>
          <w:b/>
        </w:rPr>
        <w:t xml:space="preserve">180 days</w:t>
      </w:r>
      <w:r>
        <w:t xml:space="preserve"> </w:t>
      </w:r>
      <w:r>
        <w:t xml:space="preserve">within Indian jurisdiction, subscriber records</w:t>
      </w:r>
      <w:r>
        <w:t xml:space="preserve"> </w:t>
      </w:r>
      <w:r>
        <w:rPr>
          <w:bCs/>
          <w:b/>
        </w:rPr>
        <w:t xml:space="preserve">five years</w:t>
      </w:r>
      <w:r>
        <w:t xml:space="preserve">. Rule 4(2) proviso — offences punishable with</w:t>
      </w:r>
      <w:r>
        <w:t xml:space="preserve"> </w:t>
      </w:r>
      <w:r>
        <w:rPr>
          <w:bCs/>
          <w:b/>
        </w:rPr>
        <w:t xml:space="preserve">not less than five years</w:t>
      </w:r>
      <w:r>
        <w:t xml:space="preserve">.</w:t>
      </w:r>
    </w:p>
    <w:p>
      <w:pPr>
        <w:pStyle w:val="BodyText"/>
      </w:pPr>
      <w:r>
        <w:t xml:space="preserve">Cybersecurity:</w:t>
      </w:r>
      <w:r>
        <w:t xml:space="preserve"> </w:t>
      </w:r>
      <w:r>
        <w:rPr>
          <w:bCs/>
          <w:b/>
        </w:rPr>
        <w:t xml:space="preserve">five lakh</w:t>
      </w:r>
      <w:r>
        <w:t xml:space="preserve"> </w:t>
      </w:r>
      <w:r>
        <w:t xml:space="preserve">cyber warriors as a</w:t>
      </w:r>
      <w:r>
        <w:t xml:space="preserve"> </w:t>
      </w:r>
      <w:r>
        <w:rPr>
          <w:bCs/>
          <w:b/>
        </w:rPr>
        <w:t xml:space="preserve">target</w:t>
      </w:r>
      <w:r>
        <w:t xml:space="preserve"> </w:t>
      </w:r>
      <w:r>
        <w:t xml:space="preserve">in NCSP 2013;</w:t>
      </w:r>
      <w:r>
        <w:t xml:space="preserve"> </w:t>
      </w:r>
      <w:r>
        <w:rPr>
          <w:bCs/>
          <w:b/>
        </w:rPr>
        <w:t xml:space="preserve">98.49 / 100</w:t>
      </w:r>
      <w:r>
        <w:t xml:space="preserve">, Tier 1, Global Cybersecurity Index 2024;</w:t>
      </w:r>
      <w:r>
        <w:t xml:space="preserve"> </w:t>
      </w:r>
      <w:r>
        <w:rPr>
          <w:bCs/>
          <w:b/>
        </w:rPr>
        <w:t xml:space="preserve">five pillars</w:t>
      </w:r>
      <w:r>
        <w:t xml:space="preserve">;</w:t>
      </w:r>
      <w:r>
        <w:t xml:space="preserve"> </w:t>
      </w:r>
      <w:r>
        <w:rPr>
          <w:bCs/>
          <w:b/>
        </w:rPr>
        <w:t xml:space="preserve">six NCIIPC sectors</w:t>
      </w:r>
      <w:r>
        <w:t xml:space="preserve">;</w:t>
      </w:r>
      <w:r>
        <w:t xml:space="preserve"> </w:t>
      </w:r>
      <w:r>
        <w:rPr>
          <w:bCs/>
          <w:b/>
        </w:rPr>
        <w:t xml:space="preserve">G.S.R. 993(E)</w:t>
      </w:r>
      <w:r>
        <w:t xml:space="preserve"> </w:t>
      </w:r>
      <w:r>
        <w:t xml:space="preserve">of</w:t>
      </w:r>
      <w:r>
        <w:t xml:space="preserve"> </w:t>
      </w:r>
      <w:r>
        <w:rPr>
          <w:bCs/>
          <w:b/>
        </w:rPr>
        <w:t xml:space="preserve">11 December 2015</w:t>
      </w:r>
      <w:r>
        <w:t xml:space="preserve"> </w:t>
      </w:r>
      <w:r>
        <w:t xml:space="preserve">for UIDAI’s CIDR. Miscellaneous:</w:t>
      </w:r>
      <w:r>
        <w:t xml:space="preserve"> </w:t>
      </w:r>
      <w:r>
        <w:rPr>
          <w:bCs/>
          <w:b/>
        </w:rPr>
        <w:t xml:space="preserve">857 websites</w:t>
      </w:r>
      <w:r>
        <w:t xml:space="preserve"> </w:t>
      </w:r>
      <w:r>
        <w:t xml:space="preserve">blocked and unblocked (</w:t>
      </w:r>
      <w:r>
        <w:rPr>
          <w:iCs/>
          <w:i/>
        </w:rPr>
        <w:t xml:space="preserve">Kamlesh Vaswani</w:t>
      </w:r>
      <w:r>
        <w:t xml:space="preserve">);</w:t>
      </w:r>
      <w:r>
        <w:t xml:space="preserve"> </w:t>
      </w:r>
      <w:r>
        <w:rPr>
          <w:bCs/>
          <w:b/>
        </w:rPr>
        <w:t xml:space="preserve">100,000 francs per day</w:t>
      </w:r>
      <w:r>
        <w:t xml:space="preserve"> </w:t>
      </w:r>
      <w:r>
        <w:t xml:space="preserve">and a three-month deadline (</w:t>
      </w:r>
      <w:r>
        <w:rPr>
          <w:iCs/>
          <w:i/>
        </w:rPr>
        <w:t xml:space="preserve">LICRA v. Yahoo!</w:t>
      </w:r>
      <w:r>
        <w:t xml:space="preserve">);</w:t>
      </w:r>
      <w:r>
        <w:t xml:space="preserve"> </w:t>
      </w:r>
      <w:r>
        <w:rPr>
          <w:bCs/>
          <w:b/>
        </w:rPr>
        <w:t xml:space="preserve">345 webpages</w:t>
      </w:r>
      <w:r>
        <w:t xml:space="preserve"> </w:t>
      </w:r>
      <w:r>
        <w:t xml:space="preserve">(</w:t>
      </w:r>
      <w:r>
        <w:rPr>
          <w:iCs/>
          <w:i/>
        </w:rPr>
        <w:t xml:space="preserve">Equustek</w:t>
      </w:r>
      <w:r>
        <w:t xml:space="preserve">);</w:t>
      </w:r>
      <w:r>
        <w:t xml:space="preserve"> </w:t>
      </w:r>
      <w:r>
        <w:rPr>
          <w:bCs/>
          <w:b/>
        </w:rPr>
        <w:t xml:space="preserve">900 of 1,300 URLs</w:t>
      </w:r>
      <w:r>
        <w:t xml:space="preserve"> </w:t>
      </w:r>
      <w:r>
        <w:t xml:space="preserve">and</w:t>
      </w:r>
      <w:r>
        <w:t xml:space="preserve"> </w:t>
      </w:r>
      <w:r>
        <w:rPr>
          <w:bCs/>
          <w:b/>
        </w:rPr>
        <w:t xml:space="preserve">150 million users</w:t>
      </w:r>
      <w:r>
        <w:t xml:space="preserve"> </w:t>
      </w:r>
      <w:r>
        <w:t xml:space="preserve">(</w:t>
      </w:r>
      <w:r>
        <w:rPr>
          <w:iCs/>
          <w:i/>
        </w:rPr>
        <w:t xml:space="preserve">Telegram</w:t>
      </w:r>
      <w:r>
        <w:t xml:space="preserve">);</w:t>
      </w:r>
      <w:r>
        <w:t xml:space="preserve"> </w:t>
      </w:r>
      <w:r>
        <w:rPr>
          <w:bCs/>
          <w:b/>
        </w:rPr>
        <w:t xml:space="preserve">eight grounds</w:t>
      </w:r>
      <w:r>
        <w:t xml:space="preserve"> </w:t>
      </w:r>
      <w:r>
        <w:t xml:space="preserve">in Article 19(2);</w:t>
      </w:r>
      <w:r>
        <w:t xml:space="preserve"> </w:t>
      </w:r>
      <w:r>
        <w:rPr>
          <w:bCs/>
          <w:b/>
        </w:rPr>
        <w:t xml:space="preserve">five content ratings</w:t>
      </w:r>
      <w:r>
        <w:t xml:space="preserve">;</w:t>
      </w:r>
      <w:r>
        <w:t xml:space="preserve"> </w:t>
      </w:r>
      <w:r>
        <w:rPr>
          <w:bCs/>
          <w:b/>
        </w:rPr>
        <w:t xml:space="preserve">18 June</w:t>
      </w:r>
      <w:r>
        <w:t xml:space="preserve"> </w:t>
      </w:r>
      <w:r>
        <w:t xml:space="preserve">for countering hate speech;</w:t>
      </w:r>
      <w:r>
        <w:t xml:space="preserve"> </w:t>
      </w:r>
      <w:r>
        <w:rPr>
          <w:bCs/>
          <w:b/>
        </w:rPr>
        <w:t xml:space="preserve">Report No. 267</w:t>
      </w:r>
      <w:r>
        <w:t xml:space="preserve"> </w:t>
      </w:r>
      <w:r>
        <w:t xml:space="preserve">of the Law Commission.</w:t>
      </w:r>
    </w:p>
    <w:bookmarkEnd w:id="78"/>
    <w:bookmarkStart w:id="79" w:name="where-the-ppts-disagree"/>
    <w:p>
      <w:pPr>
        <w:pStyle w:val="Heading2"/>
      </w:pPr>
      <w:r>
        <w:t xml:space="preserve">Where the PPTs disagree</w:t>
      </w:r>
    </w:p>
    <w:p>
      <w:pPr>
        <w:pStyle w:val="FirstParagraph"/>
      </w:pPr>
      <w:r>
        <w:rPr>
          <w:iCs/>
          <w:i/>
        </w:rPr>
        <w:t xml:space="preserve">Google v. Visakha</w:t>
      </w:r>
      <w:r>
        <w:t xml:space="preserve"> </w:t>
      </w:r>
      <w:r>
        <w:t xml:space="preserve">appears as</w:t>
      </w:r>
      <w:r>
        <w:t xml:space="preserve"> </w:t>
      </w:r>
      <w:r>
        <w:rPr>
          <w:bCs/>
          <w:b/>
        </w:rPr>
        <w:t xml:space="preserve">2009</w:t>
      </w:r>
      <w:r>
        <w:t xml:space="preserve"> </w:t>
      </w:r>
      <w:r>
        <w:t xml:space="preserve">on one slide and</w:t>
      </w:r>
      <w:r>
        <w:t xml:space="preserve"> </w:t>
      </w:r>
      <w:r>
        <w:rPr>
          <w:bCs/>
          <w:b/>
        </w:rPr>
        <w:t xml:space="preserve">2019</w:t>
      </w:r>
      <w:r>
        <w:t xml:space="preserve"> </w:t>
      </w:r>
      <w:r>
        <w:t xml:space="preserve">on the next — give the case name without a year.</w:t>
      </w:r>
      <w:r>
        <w:t xml:space="preserve"> </w:t>
      </w:r>
      <w:r>
        <w:rPr>
          <w:iCs/>
          <w:i/>
        </w:rPr>
        <w:t xml:space="preserve">Kunal Kamra</w:t>
      </w:r>
      <w:r>
        <w:t xml:space="preserve"> </w:t>
      </w:r>
      <w:r>
        <w:t xml:space="preserve">is headed</w:t>
      </w:r>
      <w:r>
        <w:t xml:space="preserve"> </w:t>
      </w:r>
      <w:r>
        <w:t xml:space="preserve">“</w:t>
      </w:r>
      <w:r>
        <w:t xml:space="preserve">Supreme Court on Fake News</w:t>
      </w:r>
      <w:r>
        <w:t xml:space="preserve">”</w:t>
      </w:r>
      <w:r>
        <w:t xml:space="preserve"> </w:t>
      </w:r>
      <w:r>
        <w:t xml:space="preserve">but the case line reads</w:t>
      </w:r>
      <w:r>
        <w:t xml:space="preserve"> </w:t>
      </w:r>
      <w:r>
        <w:rPr>
          <w:bCs/>
          <w:b/>
        </w:rPr>
        <w:t xml:space="preserve">Bom. HC, 2024</w:t>
      </w:r>
      <w:r>
        <w:t xml:space="preserve"> </w:t>
      </w:r>
      <w:r>
        <w:t xml:space="preserve">— it is a</w:t>
      </w:r>
      <w:r>
        <w:t xml:space="preserve"> </w:t>
      </w:r>
      <w:r>
        <w:rPr>
          <w:bCs/>
          <w:b/>
        </w:rPr>
        <w:t xml:space="preserve">Bombay High Court</w:t>
      </w:r>
      <w:r>
        <w:t xml:space="preserve"> </w:t>
      </w:r>
      <w:r>
        <w:t xml:space="preserve">decision. The 2008 Amendment is called the</w:t>
      </w:r>
      <w:r>
        <w:t xml:space="preserve"> </w:t>
      </w:r>
      <w:r>
        <w:t xml:space="preserve">“</w:t>
      </w:r>
      <w:r>
        <w:t xml:space="preserve">2009 amendment</w:t>
      </w:r>
      <w:r>
        <w:t xml:space="preserve">”</w:t>
      </w:r>
      <w:r>
        <w:t xml:space="preserve"> </w:t>
      </w:r>
      <w:r>
        <w:t xml:space="preserve">throughout — write</w:t>
      </w:r>
      <w:r>
        <w:t xml:space="preserve"> </w:t>
      </w:r>
      <w:r>
        <w:rPr>
          <w:iCs/>
          <w:i/>
        </w:rPr>
        <w:t xml:space="preserve">“</w:t>
      </w:r>
      <w:r>
        <w:rPr>
          <w:iCs/>
          <w:i/>
        </w:rPr>
        <w:t xml:space="preserve">IT (Amendment) Act 2008, notified 5 February 2009.</w:t>
      </w:r>
      <w:r>
        <w:rPr>
          <w:iCs/>
          <w:i/>
        </w:rPr>
        <w:t xml:space="preserve">”</w:t>
      </w:r>
      <w:r>
        <w:t xml:space="preserve"> </w:t>
      </w:r>
      <w:r>
        <w:t xml:space="preserve">Section 66A appears in the</w:t>
      </w:r>
      <w:r>
        <w:t xml:space="preserve"> </w:t>
      </w:r>
      <w:r>
        <w:rPr>
          <w:iCs/>
          <w:i/>
        </w:rPr>
        <w:t xml:space="preserve">Pravasi Bhalai</w:t>
      </w:r>
      <w:r>
        <w:t xml:space="preserve"> </w:t>
      </w:r>
      <w:r>
        <w:t xml:space="preserve">framework table — note that it was struck down in 2015. On AIIMS,</w:t>
      </w:r>
      <w:r>
        <w:t xml:space="preserve"> </w:t>
      </w:r>
      <w:r>
        <w:t xml:space="preserve">“</w:t>
      </w:r>
      <w:r>
        <w:t xml:space="preserve">five servers / 1.3 TB</w:t>
      </w:r>
      <w:r>
        <w:t xml:space="preserve">”</w:t>
      </w:r>
      <w:r>
        <w:t xml:space="preserve"> </w:t>
      </w:r>
      <w:r>
        <w:t xml:space="preserve">is the</w:t>
      </w:r>
      <w:r>
        <w:t xml:space="preserve"> </w:t>
      </w:r>
      <w:r>
        <w:rPr>
          <w:bCs/>
          <w:b/>
        </w:rPr>
        <w:t xml:space="preserve">Government’s statement to the Rajya Sabha</w:t>
      </w:r>
      <w:r>
        <w:t xml:space="preserve"> </w:t>
      </w:r>
      <w:r>
        <w:t xml:space="preserve">while</w:t>
      </w:r>
      <w:r>
        <w:t xml:space="preserve"> </w:t>
      </w:r>
      <w:r>
        <w:t xml:space="preserve">“</w:t>
      </w:r>
      <w:r>
        <w:t xml:space="preserve">three to four crore patients</w:t>
      </w:r>
      <w:r>
        <w:t xml:space="preserve">”</w:t>
      </w:r>
      <w:r>
        <w:t xml:space="preserve"> </w:t>
      </w:r>
      <w:r>
        <w:t xml:space="preserve">is</w:t>
      </w:r>
      <w:r>
        <w:t xml:space="preserve"> </w:t>
      </w:r>
      <w:r>
        <w:rPr>
          <w:bCs/>
          <w:b/>
        </w:rPr>
        <w:t xml:space="preserve">media reporting</w:t>
      </w:r>
      <w:r>
        <w:t xml:space="preserve">. The</w:t>
      </w:r>
      <w:r>
        <w:t xml:space="preserve"> </w:t>
      </w:r>
      <w:r>
        <w:rPr>
          <w:bCs/>
          <w:b/>
        </w:rPr>
        <w:t xml:space="preserve">five lakh</w:t>
      </w:r>
      <w:r>
        <w:t xml:space="preserve"> </w:t>
      </w:r>
      <w:r>
        <w:t xml:space="preserve">cyber-warrior figure is a policy</w:t>
      </w:r>
      <w:r>
        <w:t xml:space="preserve"> </w:t>
      </w:r>
      <w:r>
        <w:rPr>
          <w:bCs/>
          <w:b/>
        </w:rPr>
        <w:t xml:space="preserve">target</w:t>
      </w:r>
      <w:r>
        <w:t xml:space="preserve">, not an achievement.</w:t>
      </w:r>
    </w:p>
    <w:bookmarkEnd w:id="79"/>
    <w:bookmarkStart w:id="80" w:name="outside-this-syllabus"/>
    <w:p>
      <w:pPr>
        <w:pStyle w:val="Heading2"/>
      </w:pPr>
      <w:r>
        <w:t xml:space="preserve">Outside this syllabus</w:t>
      </w:r>
    </w:p>
    <w:p>
      <w:pPr>
        <w:pStyle w:val="FirstParagraph"/>
      </w:pPr>
      <w:r>
        <w:rPr>
          <w:bCs/>
          <w:b/>
        </w:rPr>
        <w:t xml:space="preserve">Data Protection Law</w:t>
      </w:r>
      <w:r>
        <w:t xml:space="preserve"> </w:t>
      </w:r>
      <w:r>
        <w:t xml:space="preserve">(GDPR and the DPDP Act 2023) and</w:t>
      </w:r>
      <w:r>
        <w:t xml:space="preserve"> </w:t>
      </w:r>
      <w:r>
        <w:rPr>
          <w:bCs/>
          <w:b/>
        </w:rPr>
        <w:t xml:space="preserve">Cybercrimes</w:t>
      </w:r>
      <w:r>
        <w:t xml:space="preserve"> </w:t>
      </w:r>
      <w:r>
        <w:t xml:space="preserve">fall after the mid-semester examination.</w:t>
      </w:r>
    </w:p>
    <w:bookmarkEnd w:id="80"/>
    <w:bookmarkEnd w:id="81"/>
    <w:sectPr>
      <w:footerReference w:type="default" r:id="rId9"/>
      <w:pgSz w:w="11906" w:h="16838"/>
      <w:pgMar w:top="1191" w:right="1077" w:bottom="1191" w:left="1077" w:header="680" w:footer="680" w:gutter="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2.xml><?xml version="1.0" encoding="utf-8"?>
<w:ftr xmlns:w="http://schemas.openxmlformats.org/wordprocessingml/2006/main">
  <w:p>
    <w:pPr>
      <w:jc w:val="center"/>
      <w:rPr>
        <w:rFonts w:ascii="Verdana" w:hAnsi="Verdana"/>
        <w:sz w:val="16"/>
        <w:color w:val="777777"/>
      </w:rPr>
    </w:pPr>
    <w:r>
      <w:rPr>
        <w:rFonts w:ascii="Verdana" w:hAnsi="Verdana"/>
        <w:sz w:val="16"/>
        <w:color w:val="777777"/>
      </w:rPr>
      <w:fldChar w:fldCharType="begin"/>
    </w:r>
    <w:r>
      <w:rPr>
        <w:rFonts w:ascii="Verdana" w:hAnsi="Verdana"/>
        <w:sz w:val="16"/>
        <w:color w:val="777777"/>
      </w:rPr>
      <w:instrText xml:space="preserve"> PAGE </w:instrText>
    </w:r>
    <w:r>
      <w:rPr>
        <w:rFonts w:ascii="Verdana" w:hAnsi="Verdana"/>
        <w:sz w:val="16"/>
        <w:color w:val="777777"/>
      </w:rPr>
      <w:fldChar w:fldCharType="separate"/>
    </w:r>
    <w:r>
      <w:rPr>
        <w:rFonts w:ascii="Verdana" w:hAnsi="Verdana"/>
        <w:sz w:val="16"/>
        <w:color w:val="777777"/>
      </w:rPr>
      <w:t>1</w:t>
    </w:r>
    <w:r>
      <w:rPr>
        <w:rFonts w:ascii="Verdana" w:hAnsi="Verdana"/>
        <w:sz w:val="16"/>
        <w:color w:val="777777"/>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40" w:line="276" w:lineRule="auto"/>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spacing w:after="120"/>
      <w:keepNext/>
      <w:keepLines/>
      <w:jc w:val="center"/>
    </w:pPr>
    <w:rPr>
      <w:rFonts w:ascii="Verdana" w:cs="Verdana" w:eastAsia="Verdana" w:hAnsi="Verdana"/>
      <w:color w:val="1A2A45"/>
      <w:b/>
      <w:bCs/>
      <w:sz w:val="36"/>
      <w:szCs w:val="36"/>
      <w:sz w:val="48"/>
      <w:szCs w:val="48"/>
    </w:rPr>
  </w:style>
  <w:style w:styleId="Subtitle" w:type="paragraph">
    <w:name w:val="Subtitle"/>
    <w:basedOn w:val="Title"/>
    <w:next w:val="BodyText"/>
    <w:qFormat/>
    <w:pPr>
      <w:spacing w:after="240"/>
      <w:keepNext/>
      <w:keepLines/>
      <w:jc w:val="center"/>
    </w:pPr>
    <w:rPr>
      <w:rFonts w:ascii="Verdana" w:cs="Verdana" w:eastAsia="Verdana" w:hAnsi="Verdana"/>
      <w:color w:val="4A5568"/>
      <w:sz w:val="30"/>
      <w:szCs w:val="30"/>
      <w:sz w:val="26"/>
      <w:szCs w:val="26"/>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spacing w:after="200" w:before="480"/>
      <w:keepNext/>
      <w:keepLines/>
      <w:outlineLvl w:val="0"/>
    </w:pPr>
    <w:rPr>
      <w:rFonts w:ascii="Verdana" w:cs="Verdana" w:eastAsia="Verdana" w:hAnsi="Verdana"/>
      <w:color w:val="1A2A45"/>
      <w:b/>
      <w:bCs/>
      <w:sz w:val="32"/>
      <w:szCs w:val="32"/>
      <w:sz w:val="34"/>
      <w:szCs w:val="34"/>
    </w:rPr>
  </w:style>
  <w:style w:styleId="Heading2" w:type="paragraph">
    <w:name w:val="Heading 2"/>
    <w:basedOn w:val="Normal"/>
    <w:next w:val="BodyText"/>
    <w:uiPriority w:val="9"/>
    <w:unhideWhenUsed/>
    <w:qFormat/>
    <w:pPr>
      <w:spacing w:after="140" w:before="340"/>
      <w:keepNext/>
      <w:keepLines/>
      <w:outlineLvl w:val="1"/>
    </w:pPr>
    <w:rPr>
      <w:rFonts w:ascii="Verdana" w:cs="Verdana" w:eastAsia="Verdana" w:hAnsi="Verdana"/>
      <w:color w:val="1F3A5F"/>
      <w:b/>
      <w:bCs/>
      <w:sz w:val="28"/>
      <w:szCs w:val="28"/>
      <w:sz w:val="27"/>
      <w:szCs w:val="27"/>
    </w:rPr>
  </w:style>
  <w:style w:styleId="Heading3" w:type="paragraph">
    <w:name w:val="Heading 3"/>
    <w:basedOn w:val="Normal"/>
    <w:next w:val="BodyText"/>
    <w:uiPriority w:val="9"/>
    <w:unhideWhenUsed/>
    <w:qFormat/>
    <w:pPr>
      <w:spacing w:after="110" w:before="260"/>
      <w:keepNext/>
      <w:keepLines/>
      <w:outlineLvl w:val="2"/>
    </w:pPr>
    <w:rPr>
      <w:rFonts w:ascii="Verdana" w:cs="Verdana" w:eastAsia="Verdana" w:hAnsi="Verdana"/>
      <w:color w:val="8C4A1F"/>
      <w:b/>
      <w:bCs/>
      <w:sz w:val="24"/>
      <w:szCs w:val="24"/>
      <w:sz w:val="23"/>
      <w:szCs w:val="23"/>
    </w:rPr>
  </w:style>
  <w:style w:styleId="Heading4" w:type="paragraph">
    <w:name w:val="Heading 4"/>
    <w:basedOn w:val="Normal"/>
    <w:next w:val="BodyText"/>
    <w:uiPriority w:val="9"/>
    <w:unhideWhenUsed/>
    <w:qFormat/>
    <w:pPr>
      <w:spacing w:after="90" w:before="200"/>
      <w:keepNext/>
      <w:keepLines/>
      <w:outlineLvl w:val="3"/>
    </w:pPr>
    <w:rPr>
      <w:rFonts w:ascii="Verdana" w:cs="Verdana" w:eastAsia="Verdana" w:hAnsi="Verdana"/>
      <w:color w:val="2D3748"/>
      <w:i/>
      <w:bCs/>
      <w:sz w:val="24"/>
      <w:szCs w:val="24"/>
      <w:sz w:val="21"/>
      <w:szCs w:val="21"/>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sz w:val="22"/>
      <w:sz w:val="15"/>
      <w:szCs w:val="15"/>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Technology Law (IP61021)</dc:title>
  <dc:creator>RGSoIPL, IIT Kharagpur · Dr. Balraj K Sidhu</dc:creator>
  <cp:keywords/>
  <dcterms:created xsi:type="dcterms:W3CDTF">2026-09-13T13:52:15Z</dcterms:created>
  <dcterms:modified xsi:type="dcterms:W3CDTF">2026-09-13T13:52:15Z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Complete Exam Notes</vt:lpwstr>
  </property>
</Properties>
</file>