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300"/>
        <w:jc w:val="center"/>
      </w:pPr>
      <w:r>
        <w:rPr>
          <w:rFonts w:ascii="Arial" w:cs="Arial" w:eastAsia="Arial" w:hAnsi="Arial"/>
          <w:b/>
          <w:bCs/>
          <w:color w:val="1F3864"/>
          <w:sz w:val="52"/>
          <w:szCs w:val="52"/>
        </w:rPr>
        <w:t xml:space="preserve">TRADE SECRETS</w:t>
      </w:r>
    </w:p>
    <w:p>
      <w:pPr>
        <w:spacing w:after="460" w:before="160"/>
        <w:jc w:val="center"/>
      </w:pPr>
      <w:r>
        <w:rPr>
          <w:rFonts w:ascii="Arial" w:cs="Arial" w:eastAsia="Arial" w:hAnsi="Arial"/>
          <w:color w:val="404040"/>
          <w:sz w:val="26"/>
          <w:szCs w:val="26"/>
        </w:rPr>
        <w:t xml:space="preserve">Mid Semester Notes</w:t>
      </w:r>
    </w:p>
    <w:p>
      <w:pPr>
        <w:pBdr>
          <w:top w:val="single" w:color="1F3864" w:sz="6" w:space="10"/>
        </w:pBdr>
        <w:spacing w:after="60"/>
        <w:jc w:val="center"/>
      </w:pPr>
      <w:r>
        <w:rPr>
          <w:rFonts w:ascii="Arial" w:cs="Arial" w:eastAsia="Arial" w:hAnsi="Arial"/>
          <w:b/>
          <w:bCs/>
          <w:color w:val="000000"/>
          <w:sz w:val="22"/>
          <w:szCs w:val="22"/>
        </w:rPr>
        <w:t xml:space="preserve">IP71005   Other Forms of IP</w:t>
      </w:r>
    </w:p>
    <w:p>
      <w:pPr>
        <w:spacing w:after="900"/>
        <w:jc w:val="center"/>
      </w:pPr>
      <w:r>
        <w:rPr>
          <w:rFonts w:ascii="Arial" w:cs="Arial" w:eastAsia="Arial" w:hAnsi="Arial"/>
          <w:color w:val="000000"/>
          <w:sz w:val="20"/>
          <w:szCs w:val="20"/>
        </w:rPr>
        <w:t xml:space="preserve">Rajiv Gandhi School of Intellectual Property Law, IIT Kharagpur</w:t>
      </w:r>
    </w:p>
    <w:p>
      <w:pPr>
        <w:spacing w:after="40"/>
        <w:jc w:val="center"/>
      </w:pPr>
      <w:r>
        <w:rPr>
          <w:rFonts w:ascii="Arial" w:cs="Arial" w:eastAsia="Arial" w:hAnsi="Arial"/>
          <w:b/>
          <w:bCs/>
          <w:color w:val="000000"/>
          <w:sz w:val="22"/>
          <w:szCs w:val="22"/>
        </w:rPr>
        <w:t xml:space="preserve">Surendra Mundvadiya</w:t>
      </w:r>
    </w:p>
    <w:p>
      <w:pPr>
        <w:spacing w:after="0"/>
        <w:jc w:val="center"/>
      </w:pPr>
      <w:r>
        <w:rPr>
          <w:rFonts w:ascii="Arial" w:cs="Arial" w:eastAsia="Arial" w:hAnsi="Arial"/>
          <w:color w:val="000000"/>
          <w:sz w:val="20"/>
          <w:szCs w:val="20"/>
        </w:rPr>
        <w:t xml:space="preserve">Roll No. 24IP63041</w:t>
      </w:r>
    </w:p>
    <w:p>
      <w:r>
        <w:br w:type="page"/>
      </w:r>
    </w:p>
    <w:p>
      <w:pPr>
        <w:pStyle w:val="Heading1"/>
        <w:pBdr>
          <w:bottom w:val="single" w:color="1F3864" w:sz="8" w:space="6"/>
        </w:pBdr>
        <w:spacing w:after="170" w:before="380"/>
      </w:pPr>
      <w:r>
        <w:rPr>
          <w:rFonts w:ascii="Arial" w:cs="Arial" w:eastAsia="Arial" w:hAnsi="Arial"/>
          <w:b/>
          <w:bCs/>
          <w:color w:val="1F3864"/>
          <w:sz w:val="28"/>
          <w:szCs w:val="28"/>
        </w:rPr>
        <w:t xml:space="preserve">Scope</w:t>
      </w:r>
    </w:p>
    <w:p>
      <w:pPr>
        <w:spacing w:after="130" w:line="276"/>
        <w:jc w:val="both"/>
      </w:pPr>
      <w:r>
        <w:rPr>
          <w:rFonts w:ascii="Arial" w:cs="Arial" w:eastAsia="Arial" w:hAnsi="Arial"/>
          <w:color w:val="000000"/>
          <w:sz w:val="20"/>
          <w:szCs w:val="20"/>
        </w:rPr>
        <w:t xml:space="preserve">All three slide decks and every class transcript up to 25 August 2026 deal with </w:t>
      </w:r>
      <w:r>
        <w:rPr>
          <w:rFonts w:ascii="Arial" w:cs="Arial" w:eastAsia="Arial" w:hAnsi="Arial"/>
          <w:b/>
          <w:bCs/>
          <w:color w:val="000000"/>
          <w:sz w:val="20"/>
          <w:szCs w:val="20"/>
        </w:rPr>
        <w:t xml:space="preserve">trade secrets</w:t>
      </w:r>
      <w:r>
        <w:rPr>
          <w:rFonts w:ascii="Arial" w:cs="Arial" w:eastAsia="Arial" w:hAnsi="Arial"/>
          <w:color w:val="000000"/>
          <w:sz w:val="20"/>
          <w:szCs w:val="20"/>
        </w:rPr>
        <w:t xml:space="preserve">. Geographical indications begin only in the last lecture and layout designs have not been reached. The mid semester portion is therefore </w:t>
      </w:r>
      <w:r>
        <w:rPr>
          <w:rFonts w:ascii="Arial" w:cs="Arial" w:eastAsia="Arial" w:hAnsi="Arial"/>
          <w:b/>
          <w:bCs/>
          <w:color w:val="000000"/>
          <w:sz w:val="20"/>
          <w:szCs w:val="20"/>
        </w:rPr>
        <w:t xml:space="preserve">Module I</w:t>
      </w:r>
      <w:r>
        <w:rPr>
          <w:rFonts w:ascii="Arial" w:cs="Arial" w:eastAsia="Arial" w:hAnsi="Arial"/>
          <w:color w:val="000000"/>
          <w:sz w:val="20"/>
          <w:szCs w:val="20"/>
        </w:rPr>
        <w:t xml:space="preserve">. Part 10 gives the opening geographical indication concepts in case the last lecture is included.</w:t>
      </w:r>
    </w:p>
    <w:p>
      <w:pPr>
        <w:spacing w:after="130" w:line="276"/>
        <w:jc w:val="both"/>
      </w:pPr>
      <w:r>
        <w:rPr>
          <w:rFonts w:ascii="Arial" w:cs="Arial" w:eastAsia="Arial" w:hAnsi="Arial"/>
          <w:color w:val="000000"/>
          <w:sz w:val="20"/>
          <w:szCs w:val="20"/>
        </w:rPr>
        <w:t xml:space="preserve">Hyphens are written open, so non compete and know how appear without a hyphen. Case names are in </w:t>
      </w:r>
      <w:r>
        <w:rPr>
          <w:rFonts w:ascii="Arial" w:cs="Arial" w:eastAsia="Arial" w:hAnsi="Arial"/>
          <w:b/>
          <w:bCs/>
          <w:i/>
          <w:iCs/>
          <w:color w:val="000000"/>
          <w:sz w:val="20"/>
          <w:szCs w:val="20"/>
        </w:rPr>
        <w:t xml:space="preserve">bold italic</w:t>
      </w:r>
      <w:r>
        <w:rPr>
          <w:rFonts w:ascii="Arial" w:cs="Arial" w:eastAsia="Arial" w:hAnsi="Arial"/>
          <w:color w:val="000000"/>
          <w:sz w:val="20"/>
          <w:szCs w:val="20"/>
        </w:rPr>
        <w:t xml:space="preserve">, and a full topic wise list with verification status is in Part 11. Where a slide states something the judgment does not support, the correction appears in </w:t>
      </w:r>
      <w:r>
        <w:rPr>
          <w:rFonts w:ascii="Arial" w:cs="Arial" w:eastAsia="Arial" w:hAnsi="Arial"/>
          <w:i/>
          <w:iCs/>
          <w:color w:val="000000"/>
          <w:sz w:val="20"/>
          <w:szCs w:val="20"/>
        </w:rPr>
        <w:t xml:space="preserve">italics</w:t>
      </w:r>
      <w:r>
        <w:rPr>
          <w:rFonts w:ascii="Arial" w:cs="Arial" w:eastAsia="Arial" w:hAnsi="Arial"/>
          <w:color w:val="000000"/>
          <w:sz w:val="20"/>
          <w:szCs w:val="20"/>
        </w:rPr>
        <w:t xml:space="preserve"> marked as a slide error.</w:t>
      </w:r>
    </w:p>
    <w:p>
      <w:pPr>
        <w:pBdr>
          <w:top w:val="single" w:color="D6B656" w:sz="2" w:space="6"/>
          <w:bottom w:val="single" w:color="D6B656" w:sz="2" w:space="6"/>
          <w:left w:val="single" w:color="D6B656" w:sz="2" w:space="6"/>
          <w:right w:val="single" w:color="D6B656" w:sz="2" w:space="6"/>
        </w:pBdr>
        <w:shd w:fill="FFF2CC" w:val="clear"/>
        <w:spacing w:after="180" w:before="120" w:line="276"/>
        <w:ind w:left="170" w:right="170"/>
        <w:jc w:val="both"/>
      </w:pPr>
      <w:r>
        <w:rPr>
          <w:rFonts w:ascii="Arial" w:cs="Arial" w:eastAsia="Arial" w:hAnsi="Arial"/>
          <w:b/>
          <w:bCs/>
          <w:color w:val="000000"/>
          <w:sz w:val="20"/>
          <w:szCs w:val="20"/>
        </w:rPr>
        <w:t xml:space="preserve">The whole module in five lines.</w:t>
      </w:r>
      <w:r>
        <w:rPr>
          <w:rFonts w:ascii="Arial" w:cs="Arial" w:eastAsia="Arial" w:hAnsi="Arial"/>
          <w:color w:val="000000"/>
          <w:sz w:val="20"/>
          <w:szCs w:val="20"/>
        </w:rPr>
        <w:t xml:space="preserve"> A trade secret is the only intellectual property right with no registration and no disclosure, so its value rests entirely on secrecy. Three ingredients create it: secrecy, value from that secrecy, and reasonable steps. Because there is no certificate, the right exists only when a court says it does, so evidence decides everything. The United States built a full statutory system ending in the Defend Trade Secrets Act, 2016, and Europe harmonised by Directive in the same year. </w:t>
      </w:r>
      <w:r>
        <w:rPr>
          <w:rFonts w:ascii="Arial" w:cs="Arial" w:eastAsia="Arial" w:hAnsi="Arial"/>
          <w:b/>
          <w:bCs/>
          <w:color w:val="000000"/>
          <w:sz w:val="20"/>
          <w:szCs w:val="20"/>
        </w:rPr>
        <w:t xml:space="preserve">India has no statute, so protection rests on contract plus equity, and Section 27 of the Contract Act destroys almost every post employment non compete.</w:t>
      </w:r>
    </w:p>
    <w:p>
      <w:pPr>
        <w:pStyle w:val="Heading1"/>
        <w:pBdr>
          <w:bottom w:val="single" w:color="1F3864" w:sz="8" w:space="6"/>
        </w:pBdr>
        <w:spacing w:after="170" w:before="380"/>
      </w:pPr>
      <w:r>
        <w:rPr>
          <w:rFonts w:ascii="Arial" w:cs="Arial" w:eastAsia="Arial" w:hAnsi="Arial"/>
          <w:b/>
          <w:bCs/>
          <w:color w:val="1F3864"/>
          <w:sz w:val="28"/>
          <w:szCs w:val="28"/>
        </w:rPr>
        <w:t xml:space="preserve">Part 1.  What a trade secret is</w:t>
      </w:r>
    </w:p>
    <w:p>
      <w:pPr>
        <w:pStyle w:val="Heading2"/>
        <w:spacing w:after="95" w:before="250"/>
      </w:pPr>
      <w:r>
        <w:rPr>
          <w:rFonts w:ascii="Arial" w:cs="Arial" w:eastAsia="Arial" w:hAnsi="Arial"/>
          <w:b/>
          <w:bCs/>
          <w:color w:val="1F3864"/>
          <w:sz w:val="23"/>
          <w:szCs w:val="23"/>
        </w:rPr>
        <w:t xml:space="preserve">1.1  Why it is the odd one out</w:t>
      </w:r>
    </w:p>
    <w:p>
      <w:pPr>
        <w:spacing w:after="130" w:line="276"/>
        <w:jc w:val="both"/>
      </w:pPr>
      <w:r>
        <w:rPr>
          <w:rFonts w:ascii="Arial" w:cs="Arial" w:eastAsia="Arial" w:hAnsi="Arial"/>
          <w:color w:val="000000"/>
          <w:sz w:val="20"/>
          <w:szCs w:val="20"/>
        </w:rPr>
        <w:t xml:space="preserve">An ordinary intellectual property right is a creation of the mind, is intangible, is an expression with a registration system attached, rests on a bargain with the State, and pays for that bargain with </w:t>
      </w:r>
      <w:r>
        <w:rPr>
          <w:rFonts w:ascii="Arial" w:cs="Arial" w:eastAsia="Arial" w:hAnsi="Arial"/>
          <w:b/>
          <w:bCs/>
          <w:color w:val="000000"/>
          <w:sz w:val="20"/>
          <w:szCs w:val="20"/>
        </w:rPr>
        <w:t xml:space="preserve">public disclosure</w:t>
      </w:r>
      <w:r>
        <w:rPr>
          <w:rFonts w:ascii="Arial" w:cs="Arial" w:eastAsia="Arial" w:hAnsi="Arial"/>
          <w:color w:val="000000"/>
          <w:sz w:val="20"/>
          <w:szCs w:val="20"/>
        </w:rPr>
        <w:t xml:space="preserve">.</w:t>
      </w:r>
    </w:p>
    <w:p>
      <w:pPr>
        <w:spacing w:after="130" w:line="276"/>
        <w:jc w:val="both"/>
      </w:pPr>
      <w:r>
        <w:rPr>
          <w:rFonts w:ascii="Arial" w:cs="Arial" w:eastAsia="Arial" w:hAnsi="Arial"/>
          <w:color w:val="000000"/>
          <w:sz w:val="20"/>
          <w:szCs w:val="20"/>
        </w:rPr>
        <w:t xml:space="preserve">A trade secret keeps the first two features and reverses the rest. There is no disclosure, because the value lies in not telling anyone. There is no registration, so there is no office, no examination and no certificate. And there is no bargain, because the owner teaches the public nothing and so receives nothing back.</w:t>
      </w:r>
    </w:p>
    <w:p>
      <w:pPr>
        <w:pBdr>
          <w:top w:val="single" w:color="D6B656" w:sz="2" w:space="6"/>
          <w:bottom w:val="single" w:color="D6B656" w:sz="2" w:space="6"/>
          <w:left w:val="single" w:color="D6B656" w:sz="2" w:space="6"/>
          <w:right w:val="single" w:color="D6B656" w:sz="2" w:space="6"/>
        </w:pBdr>
        <w:shd w:fill="FFF2CC" w:val="clear"/>
        <w:spacing w:after="180" w:before="120" w:line="276"/>
        <w:ind w:left="170" w:right="170"/>
        <w:jc w:val="both"/>
      </w:pPr>
      <w:r>
        <w:rPr>
          <w:rFonts w:ascii="Arial" w:cs="Arial" w:eastAsia="Arial" w:hAnsi="Arial"/>
          <w:b/>
          <w:bCs/>
          <w:color w:val="000000"/>
          <w:sz w:val="20"/>
          <w:szCs w:val="20"/>
        </w:rPr>
        <w:t xml:space="preserve">A patent survives publication. A trade secret is destroyed by it.</w:t>
      </w:r>
      <w:r>
        <w:rPr>
          <w:rFonts w:ascii="Arial" w:cs="Arial" w:eastAsia="Arial" w:hAnsi="Arial"/>
          <w:color w:val="000000"/>
          <w:sz w:val="20"/>
          <w:szCs w:val="20"/>
        </w:rPr>
        <w:t xml:space="preserve"> In the words used in class, a trade secret once lost is lost forever. The loss is reputational as well as economic, because the market learns that the holder could not keep its own information safe.</w:t>
      </w:r>
    </w:p>
    <w:p>
      <w:pPr>
        <w:spacing w:after="130" w:line="276"/>
        <w:jc w:val="both"/>
      </w:pPr>
      <w:r>
        <w:rPr>
          <w:rFonts w:ascii="Arial" w:cs="Arial" w:eastAsia="Arial" w:hAnsi="Arial"/>
          <w:color w:val="000000"/>
          <w:sz w:val="20"/>
          <w:szCs w:val="20"/>
        </w:rPr>
        <w:t xml:space="preserve">The standard examples are the Coca Cola formula, the KFC spice blend and the Google ranking algorithms. Two categories are less obvious and carry more marks. </w:t>
      </w:r>
      <w:r>
        <w:rPr>
          <w:rFonts w:ascii="Arial" w:cs="Arial" w:eastAsia="Arial" w:hAnsi="Arial"/>
          <w:b/>
          <w:bCs/>
          <w:color w:val="000000"/>
          <w:sz w:val="20"/>
          <w:szCs w:val="20"/>
        </w:rPr>
        <w:t xml:space="preserve">Negative know how</w:t>
      </w:r>
      <w:r>
        <w:rPr>
          <w:rFonts w:ascii="Arial" w:cs="Arial" w:eastAsia="Arial" w:hAnsi="Arial"/>
          <w:color w:val="000000"/>
          <w:sz w:val="20"/>
          <w:szCs w:val="20"/>
        </w:rPr>
        <w:t xml:space="preserve"> means the data from failed experiments, which is almost never published, because telling a rival which four hundred routes fail hands the rival the whole cost of finding out. </w:t>
      </w:r>
      <w:r>
        <w:rPr>
          <w:rFonts w:ascii="Arial" w:cs="Arial" w:eastAsia="Arial" w:hAnsi="Arial"/>
          <w:b/>
          <w:bCs/>
          <w:color w:val="000000"/>
          <w:sz w:val="20"/>
          <w:szCs w:val="20"/>
        </w:rPr>
        <w:t xml:space="preserve">Compiled information</w:t>
      </w:r>
      <w:r>
        <w:rPr>
          <w:rFonts w:ascii="Arial" w:cs="Arial" w:eastAsia="Arial" w:hAnsi="Arial"/>
          <w:color w:val="000000"/>
          <w:sz w:val="20"/>
          <w:szCs w:val="20"/>
        </w:rPr>
        <w:t xml:space="preserve"> means a compilation where every element is public but the selection and arrangement is not, which is where trade secret law meets copyright in databases.</w:t>
      </w:r>
    </w:p>
    <w:p>
      <w:pPr>
        <w:pStyle w:val="Heading2"/>
        <w:spacing w:after="95" w:before="250"/>
      </w:pPr>
      <w:r>
        <w:rPr>
          <w:rFonts w:ascii="Arial" w:cs="Arial" w:eastAsia="Arial" w:hAnsi="Arial"/>
          <w:b/>
          <w:bCs/>
          <w:color w:val="1F3864"/>
          <w:sz w:val="23"/>
          <w:szCs w:val="23"/>
        </w:rPr>
        <w:t xml:space="preserve">1.2  The three ingredients</w:t>
      </w:r>
    </w:p>
    <w:p>
      <w:pPr>
        <w:spacing w:after="130" w:line="276"/>
        <w:jc w:val="both"/>
      </w:pPr>
      <w:r>
        <w:rPr>
          <w:rFonts w:ascii="Arial" w:cs="Arial" w:eastAsia="Arial" w:hAnsi="Arial"/>
          <w:color w:val="000000"/>
          <w:sz w:val="20"/>
          <w:szCs w:val="20"/>
        </w:rPr>
        <w:t xml:space="preserve">The plaintiff must prove all three:</w:t>
      </w:r>
    </w:p>
    <w:p>
      <w:pPr>
        <w:spacing w:after="75" w:line="272"/>
        <w:ind w:left="440" w:hanging="290"/>
        <w:jc w:val="both"/>
      </w:pPr>
      <w:r>
        <w:rPr>
          <w:rFonts w:ascii="Arial" w:cs="Arial" w:eastAsia="Arial" w:hAnsi="Arial"/>
          <w:color w:val="000000"/>
          <w:sz w:val="20"/>
          <w:szCs w:val="20"/>
        </w:rPr>
        <w:t xml:space="preserve">1.  </w:t>
      </w:r>
      <w:r>
        <w:rPr>
          <w:rFonts w:ascii="Arial" w:cs="Arial" w:eastAsia="Arial" w:hAnsi="Arial"/>
          <w:b/>
          <w:bCs/>
          <w:color w:val="000000"/>
          <w:sz w:val="20"/>
          <w:szCs w:val="20"/>
        </w:rPr>
        <w:t xml:space="preserve">Secrecy.</w:t>
      </w:r>
      <w:r>
        <w:rPr>
          <w:rFonts w:ascii="Arial" w:cs="Arial" w:eastAsia="Arial" w:hAnsi="Arial"/>
          <w:color w:val="000000"/>
          <w:sz w:val="20"/>
          <w:szCs w:val="20"/>
        </w:rPr>
        <w:t xml:space="preserve"> Known only to the core group who need the information for their work. Not merely unpublished or internal, but actually restricted.</w:t>
      </w:r>
    </w:p>
    <w:p>
      <w:pPr>
        <w:spacing w:after="75" w:line="272"/>
        <w:ind w:left="440" w:hanging="290"/>
        <w:jc w:val="both"/>
      </w:pPr>
      <w:r>
        <w:rPr>
          <w:rFonts w:ascii="Arial" w:cs="Arial" w:eastAsia="Arial" w:hAnsi="Arial"/>
          <w:color w:val="000000"/>
          <w:sz w:val="20"/>
          <w:szCs w:val="20"/>
        </w:rPr>
        <w:t xml:space="preserve">2.  </w:t>
      </w:r>
      <w:r>
        <w:rPr>
          <w:rFonts w:ascii="Arial" w:cs="Arial" w:eastAsia="Arial" w:hAnsi="Arial"/>
          <w:b/>
          <w:bCs/>
          <w:color w:val="000000"/>
          <w:sz w:val="20"/>
          <w:szCs w:val="20"/>
        </w:rPr>
        <w:t xml:space="preserve">Economic value flowing from that secrecy</w:t>
      </w:r>
      <w:r>
        <w:rPr>
          <w:rFonts w:ascii="Arial" w:cs="Arial" w:eastAsia="Arial" w:hAnsi="Arial"/>
          <w:color w:val="000000"/>
          <w:sz w:val="20"/>
          <w:szCs w:val="20"/>
        </w:rPr>
        <w:t xml:space="preserve">, actual or potential. The link must be causal: the value must exist </w:t>
      </w:r>
      <w:r>
        <w:rPr>
          <w:rFonts w:ascii="Arial" w:cs="Arial" w:eastAsia="Arial" w:hAnsi="Arial"/>
          <w:i/>
          <w:iCs/>
          <w:color w:val="000000"/>
          <w:sz w:val="20"/>
          <w:szCs w:val="20"/>
        </w:rPr>
        <w:t xml:space="preserve">because</w:t>
      </w:r>
      <w:r>
        <w:rPr>
          <w:rFonts w:ascii="Arial" w:cs="Arial" w:eastAsia="Arial" w:hAnsi="Arial"/>
          <w:color w:val="000000"/>
          <w:sz w:val="20"/>
          <w:szCs w:val="20"/>
        </w:rPr>
        <w:t xml:space="preserve"> the information is secret. If it would be equally valuable published, it is not a trade secret.</w:t>
      </w:r>
    </w:p>
    <w:p>
      <w:pPr>
        <w:spacing w:after="75" w:line="272"/>
        <w:ind w:left="440" w:hanging="290"/>
        <w:jc w:val="both"/>
      </w:pPr>
      <w:r>
        <w:rPr>
          <w:rFonts w:ascii="Arial" w:cs="Arial" w:eastAsia="Arial" w:hAnsi="Arial"/>
          <w:color w:val="000000"/>
          <w:sz w:val="20"/>
          <w:szCs w:val="20"/>
        </w:rPr>
        <w:t xml:space="preserve">3.  </w:t>
      </w:r>
      <w:r>
        <w:rPr>
          <w:rFonts w:ascii="Arial" w:cs="Arial" w:eastAsia="Arial" w:hAnsi="Arial"/>
          <w:b/>
          <w:bCs/>
          <w:color w:val="000000"/>
          <w:sz w:val="20"/>
          <w:szCs w:val="20"/>
        </w:rPr>
        <w:t xml:space="preserve">Reasonable steps</w:t>
      </w:r>
      <w:r>
        <w:rPr>
          <w:rFonts w:ascii="Arial" w:cs="Arial" w:eastAsia="Arial" w:hAnsi="Arial"/>
          <w:color w:val="000000"/>
          <w:sz w:val="20"/>
          <w:szCs w:val="20"/>
        </w:rPr>
        <w:t xml:space="preserve"> to keep it secret, judged against the size of the business and the value of the information.</w:t>
      </w:r>
    </w:p>
    <w:p>
      <w:pPr>
        <w:spacing w:after="130" w:line="276"/>
        <w:jc w:val="both"/>
      </w:pPr>
      <w:r>
        <w:rPr>
          <w:rFonts w:ascii="Arial" w:cs="Arial" w:eastAsia="Arial" w:hAnsi="Arial"/>
          <w:color w:val="000000"/>
          <w:sz w:val="20"/>
          <w:szCs w:val="20"/>
        </w:rPr>
        <w:t xml:space="preserve">The same three elements appear in </w:t>
      </w:r>
      <w:r>
        <w:rPr>
          <w:rFonts w:ascii="Arial" w:cs="Arial" w:eastAsia="Arial" w:hAnsi="Arial"/>
          <w:b/>
          <w:bCs/>
          <w:color w:val="000000"/>
          <w:sz w:val="20"/>
          <w:szCs w:val="20"/>
        </w:rPr>
        <w:t xml:space="preserve">TRIPS Article 39(2)</w:t>
      </w:r>
      <w:r>
        <w:rPr>
          <w:rFonts w:ascii="Arial" w:cs="Arial" w:eastAsia="Arial" w:hAnsi="Arial"/>
          <w:color w:val="000000"/>
          <w:sz w:val="20"/>
          <w:szCs w:val="20"/>
        </w:rPr>
        <w:t xml:space="preserve">, in the </w:t>
      </w:r>
      <w:r>
        <w:rPr>
          <w:rFonts w:ascii="Arial" w:cs="Arial" w:eastAsia="Arial" w:hAnsi="Arial"/>
          <w:b/>
          <w:bCs/>
          <w:color w:val="000000"/>
          <w:sz w:val="20"/>
          <w:szCs w:val="20"/>
        </w:rPr>
        <w:t xml:space="preserve">Uniform Trade Secrets Act</w:t>
      </w:r>
      <w:r>
        <w:rPr>
          <w:rFonts w:ascii="Arial" w:cs="Arial" w:eastAsia="Arial" w:hAnsi="Arial"/>
          <w:color w:val="000000"/>
          <w:sz w:val="20"/>
          <w:szCs w:val="20"/>
        </w:rPr>
        <w:t xml:space="preserve">, and in </w:t>
      </w:r>
      <w:r>
        <w:rPr>
          <w:rFonts w:ascii="Arial" w:cs="Arial" w:eastAsia="Arial" w:hAnsi="Arial"/>
          <w:b/>
          <w:bCs/>
          <w:color w:val="000000"/>
          <w:sz w:val="20"/>
          <w:szCs w:val="20"/>
        </w:rPr>
        <w:t xml:space="preserve">Article 2(1) of Directive (EU) 2016/943</w:t>
      </w:r>
      <w:r>
        <w:rPr>
          <w:rFonts w:ascii="Arial" w:cs="Arial" w:eastAsia="Arial" w:hAnsi="Arial"/>
          <w:color w:val="000000"/>
          <w:sz w:val="20"/>
          <w:szCs w:val="20"/>
        </w:rPr>
        <w:t xml:space="preserve">.</w:t>
      </w:r>
    </w:p>
    <w:p>
      <w:pPr>
        <w:pBdr>
          <w:top w:val="single" w:color="D6B656" w:sz="2" w:space="6"/>
          <w:bottom w:val="single" w:color="D6B656" w:sz="2" w:space="6"/>
          <w:left w:val="single" w:color="D6B656" w:sz="2" w:space="6"/>
          <w:right w:val="single" w:color="D6B656" w:sz="2" w:space="6"/>
        </w:pBdr>
        <w:shd w:fill="FFF2CC" w:val="clear"/>
        <w:spacing w:after="180" w:before="120" w:line="276"/>
        <w:ind w:left="170" w:right="170"/>
        <w:jc w:val="both"/>
      </w:pPr>
      <w:r>
        <w:rPr>
          <w:rFonts w:ascii="Arial" w:cs="Arial" w:eastAsia="Arial" w:hAnsi="Arial"/>
          <w:b/>
          <w:bCs/>
          <w:color w:val="000000"/>
          <w:sz w:val="20"/>
          <w:szCs w:val="20"/>
        </w:rPr>
        <w:t xml:space="preserve">Examination point.</w:t>
      </w:r>
      <w:r>
        <w:rPr>
          <w:rFonts w:ascii="Arial" w:cs="Arial" w:eastAsia="Arial" w:hAnsi="Arial"/>
          <w:color w:val="000000"/>
          <w:sz w:val="20"/>
          <w:szCs w:val="20"/>
        </w:rPr>
        <w:t xml:space="preserve"> On the definition the world has converged. It diverges on remedies, procedure and criminal liability. That one sentence answers most comparative questions in this paper.</w:t>
      </w:r>
    </w:p>
    <w:p>
      <w:pPr>
        <w:pStyle w:val="Heading2"/>
        <w:spacing w:after="95" w:before="250"/>
      </w:pPr>
      <w:r>
        <w:rPr>
          <w:rFonts w:ascii="Arial" w:cs="Arial" w:eastAsia="Arial" w:hAnsi="Arial"/>
          <w:b/>
          <w:bCs/>
          <w:color w:val="1F3864"/>
          <w:sz w:val="23"/>
          <w:szCs w:val="23"/>
        </w:rPr>
        <w:t xml:space="preserve">1.3  Trade secret against patent</w:t>
      </w:r>
    </w:p>
    <w:p>
      <w:pPr>
        <w:spacing w:after="130" w:line="276"/>
        <w:jc w:val="both"/>
      </w:pPr>
      <w:r>
        <w:rPr>
          <w:rFonts w:ascii="Arial" w:cs="Arial" w:eastAsia="Arial" w:hAnsi="Arial"/>
          <w:color w:val="000000"/>
          <w:sz w:val="20"/>
          <w:szCs w:val="20"/>
        </w:rPr>
        <w:t xml:space="preserve">The differences, in order:</w:t>
      </w:r>
    </w:p>
    <w:p>
      <w:pPr>
        <w:spacing w:after="75" w:line="272"/>
        <w:ind w:left="440" w:hanging="290"/>
        <w:jc w:val="both"/>
      </w:pPr>
      <w:r>
        <w:rPr>
          <w:rFonts w:ascii="Arial" w:cs="Arial" w:eastAsia="Arial" w:hAnsi="Arial"/>
          <w:color w:val="000000"/>
          <w:sz w:val="20"/>
          <w:szCs w:val="20"/>
        </w:rPr>
        <w:t xml:space="preserve">1.  </w:t>
      </w:r>
      <w:r>
        <w:rPr>
          <w:rFonts w:ascii="Arial" w:cs="Arial" w:eastAsia="Arial" w:hAnsi="Arial"/>
          <w:b/>
          <w:bCs/>
          <w:color w:val="000000"/>
          <w:sz w:val="20"/>
          <w:szCs w:val="20"/>
        </w:rPr>
        <w:t xml:space="preserve">Duration.</w:t>
      </w:r>
      <w:r>
        <w:rPr>
          <w:rFonts w:ascii="Arial" w:cs="Arial" w:eastAsia="Arial" w:hAnsi="Arial"/>
          <w:color w:val="000000"/>
          <w:sz w:val="20"/>
          <w:szCs w:val="20"/>
        </w:rPr>
        <w:t xml:space="preserve"> A trade secret lasts as long as secrecy lasts, potentially forever. A patent lasts a limited term, generally twenty years from filing.</w:t>
      </w:r>
    </w:p>
    <w:p>
      <w:pPr>
        <w:spacing w:after="75" w:line="272"/>
        <w:ind w:left="440" w:hanging="290"/>
        <w:jc w:val="both"/>
      </w:pPr>
      <w:r>
        <w:rPr>
          <w:rFonts w:ascii="Arial" w:cs="Arial" w:eastAsia="Arial" w:hAnsi="Arial"/>
          <w:color w:val="000000"/>
          <w:sz w:val="20"/>
          <w:szCs w:val="20"/>
        </w:rPr>
        <w:t xml:space="preserve">2.  </w:t>
      </w:r>
      <w:r>
        <w:rPr>
          <w:rFonts w:ascii="Arial" w:cs="Arial" w:eastAsia="Arial" w:hAnsi="Arial"/>
          <w:b/>
          <w:bCs/>
          <w:color w:val="000000"/>
          <w:sz w:val="20"/>
          <w:szCs w:val="20"/>
        </w:rPr>
        <w:t xml:space="preserve">Subject matter.</w:t>
      </w:r>
      <w:r>
        <w:rPr>
          <w:rFonts w:ascii="Arial" w:cs="Arial" w:eastAsia="Arial" w:hAnsi="Arial"/>
          <w:color w:val="000000"/>
          <w:sz w:val="20"/>
          <w:szCs w:val="20"/>
        </w:rPr>
        <w:t xml:space="preserve"> A trade secret has no restriction. A patent must be new, inventive and industrially applicable.</w:t>
      </w:r>
    </w:p>
    <w:p>
      <w:pPr>
        <w:spacing w:after="75" w:line="272"/>
        <w:ind w:left="440" w:hanging="290"/>
        <w:jc w:val="both"/>
      </w:pPr>
      <w:r>
        <w:rPr>
          <w:rFonts w:ascii="Arial" w:cs="Arial" w:eastAsia="Arial" w:hAnsi="Arial"/>
          <w:color w:val="000000"/>
          <w:sz w:val="20"/>
          <w:szCs w:val="20"/>
        </w:rPr>
        <w:t xml:space="preserve">3.  </w:t>
      </w:r>
      <w:r>
        <w:rPr>
          <w:rFonts w:ascii="Arial" w:cs="Arial" w:eastAsia="Arial" w:hAnsi="Arial"/>
          <w:b/>
          <w:bCs/>
          <w:color w:val="000000"/>
          <w:sz w:val="20"/>
          <w:szCs w:val="20"/>
        </w:rPr>
        <w:t xml:space="preserve">Disclosure.</w:t>
      </w:r>
      <w:r>
        <w:rPr>
          <w:rFonts w:ascii="Arial" w:cs="Arial" w:eastAsia="Arial" w:hAnsi="Arial"/>
          <w:color w:val="000000"/>
          <w:sz w:val="20"/>
          <w:szCs w:val="20"/>
        </w:rPr>
        <w:t xml:space="preserve"> None for a trade secret. Full enabling disclosure is the price of a patent.</w:t>
      </w:r>
    </w:p>
    <w:p>
      <w:pPr>
        <w:spacing w:after="75" w:line="272"/>
        <w:ind w:left="440" w:hanging="290"/>
        <w:jc w:val="both"/>
      </w:pPr>
      <w:r>
        <w:rPr>
          <w:rFonts w:ascii="Arial" w:cs="Arial" w:eastAsia="Arial" w:hAnsi="Arial"/>
          <w:color w:val="000000"/>
          <w:sz w:val="20"/>
          <w:szCs w:val="20"/>
        </w:rPr>
        <w:t xml:space="preserve">4.  </w:t>
      </w:r>
      <w:r>
        <w:rPr>
          <w:rFonts w:ascii="Arial" w:cs="Arial" w:eastAsia="Arial" w:hAnsi="Arial"/>
          <w:b/>
          <w:bCs/>
          <w:color w:val="000000"/>
          <w:sz w:val="20"/>
          <w:szCs w:val="20"/>
        </w:rPr>
        <w:t xml:space="preserve">Cost.</w:t>
      </w:r>
      <w:r>
        <w:rPr>
          <w:rFonts w:ascii="Arial" w:cs="Arial" w:eastAsia="Arial" w:hAnsi="Arial"/>
          <w:color w:val="000000"/>
          <w:sz w:val="20"/>
          <w:szCs w:val="20"/>
        </w:rPr>
        <w:t xml:space="preserve"> No official fee for a trade secret, though secrecy has an internal cost. A patent has filing, prosecution and renewal fees.</w:t>
      </w:r>
    </w:p>
    <w:p>
      <w:pPr>
        <w:spacing w:after="75" w:line="272"/>
        <w:ind w:left="440" w:hanging="290"/>
        <w:jc w:val="both"/>
      </w:pPr>
      <w:r>
        <w:rPr>
          <w:rFonts w:ascii="Arial" w:cs="Arial" w:eastAsia="Arial" w:hAnsi="Arial"/>
          <w:color w:val="000000"/>
          <w:sz w:val="20"/>
          <w:szCs w:val="20"/>
        </w:rPr>
        <w:t xml:space="preserve">5.  </w:t>
      </w:r>
      <w:r>
        <w:rPr>
          <w:rFonts w:ascii="Arial" w:cs="Arial" w:eastAsia="Arial" w:hAnsi="Arial"/>
          <w:b/>
          <w:bCs/>
          <w:color w:val="000000"/>
          <w:sz w:val="20"/>
          <w:szCs w:val="20"/>
        </w:rPr>
        <w:t xml:space="preserve">Independent development.</w:t>
      </w:r>
      <w:r>
        <w:rPr>
          <w:rFonts w:ascii="Arial" w:cs="Arial" w:eastAsia="Arial" w:hAnsi="Arial"/>
          <w:color w:val="000000"/>
          <w:sz w:val="20"/>
          <w:szCs w:val="20"/>
        </w:rPr>
        <w:t xml:space="preserve"> A patent binds even an independent inventor. A trade secret does not.</w:t>
      </w:r>
    </w:p>
    <w:p>
      <w:pPr>
        <w:spacing w:after="75" w:line="272"/>
        <w:ind w:left="440" w:hanging="290"/>
        <w:jc w:val="both"/>
      </w:pPr>
      <w:r>
        <w:rPr>
          <w:rFonts w:ascii="Arial" w:cs="Arial" w:eastAsia="Arial" w:hAnsi="Arial"/>
          <w:color w:val="000000"/>
          <w:sz w:val="20"/>
          <w:szCs w:val="20"/>
        </w:rPr>
        <w:t xml:space="preserve">6.  </w:t>
      </w:r>
      <w:r>
        <w:rPr>
          <w:rFonts w:ascii="Arial" w:cs="Arial" w:eastAsia="Arial" w:hAnsi="Arial"/>
          <w:b/>
          <w:bCs/>
          <w:color w:val="000000"/>
          <w:sz w:val="20"/>
          <w:szCs w:val="20"/>
        </w:rPr>
        <w:t xml:space="preserve">Reverse engineering.</w:t>
      </w:r>
      <w:r>
        <w:rPr>
          <w:rFonts w:ascii="Arial" w:cs="Arial" w:eastAsia="Arial" w:hAnsi="Arial"/>
          <w:color w:val="000000"/>
          <w:sz w:val="20"/>
          <w:szCs w:val="20"/>
        </w:rPr>
        <w:t xml:space="preserve"> It destroys a trade secret and leaves a patent untouched.</w:t>
      </w:r>
    </w:p>
    <w:p>
      <w:pPr>
        <w:spacing w:after="75" w:line="272"/>
        <w:ind w:left="440" w:hanging="290"/>
        <w:jc w:val="both"/>
      </w:pPr>
      <w:r>
        <w:rPr>
          <w:rFonts w:ascii="Arial" w:cs="Arial" w:eastAsia="Arial" w:hAnsi="Arial"/>
          <w:color w:val="000000"/>
          <w:sz w:val="20"/>
          <w:szCs w:val="20"/>
        </w:rPr>
        <w:t xml:space="preserve">7.  </w:t>
      </w:r>
      <w:r>
        <w:rPr>
          <w:rFonts w:ascii="Arial" w:cs="Arial" w:eastAsia="Arial" w:hAnsi="Arial"/>
          <w:b/>
          <w:bCs/>
          <w:color w:val="000000"/>
          <w:sz w:val="20"/>
          <w:szCs w:val="20"/>
        </w:rPr>
        <w:t xml:space="preserve">Licensing.</w:t>
      </w:r>
      <w:r>
        <w:rPr>
          <w:rFonts w:ascii="Arial" w:cs="Arial" w:eastAsia="Arial" w:hAnsi="Arial"/>
          <w:color w:val="000000"/>
          <w:sz w:val="20"/>
          <w:szCs w:val="20"/>
        </w:rPr>
        <w:t xml:space="preserve"> A trade secret royalty can run as long as the secret lasts. A patent royalty ends with the term.</w:t>
      </w:r>
    </w:p>
    <w:p>
      <w:pPr>
        <w:spacing w:after="75" w:line="272"/>
        <w:ind w:left="440" w:hanging="290"/>
        <w:jc w:val="both"/>
      </w:pPr>
      <w:r>
        <w:rPr>
          <w:rFonts w:ascii="Arial" w:cs="Arial" w:eastAsia="Arial" w:hAnsi="Arial"/>
          <w:color w:val="000000"/>
          <w:sz w:val="20"/>
          <w:szCs w:val="20"/>
        </w:rPr>
        <w:t xml:space="preserve">8.  </w:t>
      </w:r>
      <w:r>
        <w:rPr>
          <w:rFonts w:ascii="Arial" w:cs="Arial" w:eastAsia="Arial" w:hAnsi="Arial"/>
          <w:b/>
          <w:bCs/>
          <w:color w:val="000000"/>
          <w:sz w:val="20"/>
          <w:szCs w:val="20"/>
        </w:rPr>
        <w:t xml:space="preserve">Proof.</w:t>
      </w:r>
      <w:r>
        <w:rPr>
          <w:rFonts w:ascii="Arial" w:cs="Arial" w:eastAsia="Arial" w:hAnsi="Arial"/>
          <w:color w:val="000000"/>
          <w:sz w:val="20"/>
          <w:szCs w:val="20"/>
        </w:rPr>
        <w:t xml:space="preserve"> Misappropriation can be proved on circumstantial evidence. Patent infringement needs claim analysis or the doctrine of equivalents.</w:t>
      </w:r>
    </w:p>
    <w:p>
      <w:pPr>
        <w:spacing w:after="75" w:line="272"/>
        <w:ind w:left="440" w:hanging="290"/>
        <w:jc w:val="both"/>
      </w:pPr>
      <w:r>
        <w:rPr>
          <w:rFonts w:ascii="Arial" w:cs="Arial" w:eastAsia="Arial" w:hAnsi="Arial"/>
          <w:color w:val="000000"/>
          <w:sz w:val="20"/>
          <w:szCs w:val="20"/>
        </w:rPr>
        <w:t xml:space="preserve">9.  </w:t>
      </w:r>
      <w:r>
        <w:rPr>
          <w:rFonts w:ascii="Arial" w:cs="Arial" w:eastAsia="Arial" w:hAnsi="Arial"/>
          <w:b/>
          <w:bCs/>
          <w:color w:val="000000"/>
          <w:sz w:val="20"/>
          <w:szCs w:val="20"/>
        </w:rPr>
        <w:t xml:space="preserve">Damages.</w:t>
      </w:r>
      <w:r>
        <w:rPr>
          <w:rFonts w:ascii="Arial" w:cs="Arial" w:eastAsia="Arial" w:hAnsi="Arial"/>
          <w:color w:val="000000"/>
          <w:sz w:val="20"/>
          <w:szCs w:val="20"/>
        </w:rPr>
        <w:t xml:space="preserve"> Misappropriation covers actual loss and unjust enrichment, with exemplary damages in many systems. Patent damages are often confined to real loss, with nothing for acts before grant.</w:t>
      </w:r>
    </w:p>
    <w:p>
      <w:pPr>
        <w:pBdr>
          <w:top w:val="single" w:color="D6B656" w:sz="2" w:space="6"/>
          <w:bottom w:val="single" w:color="D6B656" w:sz="2" w:space="6"/>
          <w:left w:val="single" w:color="D6B656" w:sz="2" w:space="6"/>
          <w:right w:val="single" w:color="D6B656" w:sz="2" w:space="6"/>
        </w:pBdr>
        <w:shd w:fill="FFF2CC" w:val="clear"/>
        <w:spacing w:after="180" w:before="120" w:line="276"/>
        <w:ind w:left="170" w:right="170"/>
        <w:jc w:val="both"/>
      </w:pPr>
      <w:r>
        <w:rPr>
          <w:rFonts w:ascii="Arial" w:cs="Arial" w:eastAsia="Arial" w:hAnsi="Arial"/>
          <w:b/>
          <w:bCs/>
          <w:color w:val="000000"/>
          <w:sz w:val="20"/>
          <w:szCs w:val="20"/>
        </w:rPr>
        <w:t xml:space="preserve">The one line test for an advice question.</w:t>
      </w:r>
      <w:r>
        <w:rPr>
          <w:rFonts w:ascii="Arial" w:cs="Arial" w:eastAsia="Arial" w:hAnsi="Arial"/>
          <w:color w:val="000000"/>
          <w:sz w:val="20"/>
          <w:szCs w:val="20"/>
        </w:rPr>
        <w:t xml:space="preserve"> Ask how easily the innovation can be reverse engineered out of the finished product. </w:t>
      </w:r>
      <w:r>
        <w:rPr>
          <w:rFonts w:ascii="Arial" w:cs="Arial" w:eastAsia="Arial" w:hAnsi="Arial"/>
          <w:b/>
          <w:bCs/>
          <w:color w:val="000000"/>
          <w:sz w:val="20"/>
          <w:szCs w:val="20"/>
        </w:rPr>
        <w:t xml:space="preserve">Easy means patent, because secrecy will not hold. Difficult means trade secret, because protection is unlimited and nothing is disclosed.</w:t>
      </w:r>
    </w:p>
    <w:p>
      <w:pPr>
        <w:spacing w:after="130" w:line="276"/>
        <w:jc w:val="both"/>
      </w:pPr>
      <w:r>
        <w:rPr>
          <w:rFonts w:ascii="Arial" w:cs="Arial" w:eastAsia="Arial" w:hAnsi="Arial"/>
          <w:i/>
          <w:iCs/>
          <w:color w:val="000000"/>
          <w:sz w:val="20"/>
          <w:szCs w:val="20"/>
        </w:rPr>
        <w:t xml:space="preserve">Slide error.</w:t>
      </w:r>
      <w:r>
        <w:rPr>
          <w:rFonts w:ascii="Arial" w:cs="Arial" w:eastAsia="Arial" w:hAnsi="Arial"/>
          <w:color w:val="000000"/>
          <w:sz w:val="20"/>
          <w:szCs w:val="20"/>
        </w:rPr>
        <w:t xml:space="preserve"> A handwritten note calls a trade secret a right in rem valid worldwide. There is no worldwide trade secret right. A trade secret is not created by registration, so its factual existence travels, but enforcement still depends on the law of the forum.</w:t>
      </w:r>
    </w:p>
    <w:p>
      <w:pPr>
        <w:pStyle w:val="Heading2"/>
        <w:spacing w:after="95" w:before="250"/>
      </w:pPr>
      <w:r>
        <w:rPr>
          <w:rFonts w:ascii="Arial" w:cs="Arial" w:eastAsia="Arial" w:hAnsi="Arial"/>
          <w:b/>
          <w:bCs/>
          <w:color w:val="1F3864"/>
          <w:sz w:val="23"/>
          <w:szCs w:val="23"/>
        </w:rPr>
        <w:t xml:space="preserve">1.4  Compared with the other rights</w:t>
      </w:r>
    </w:p>
    <w:p>
      <w:pPr>
        <w:spacing w:after="130" w:line="276"/>
        <w:jc w:val="both"/>
      </w:pPr>
      <w:r>
        <w:rPr>
          <w:rFonts w:ascii="Arial" w:cs="Arial" w:eastAsia="Arial" w:hAnsi="Arial"/>
          <w:b/>
          <w:bCs/>
          <w:color w:val="000000"/>
          <w:sz w:val="20"/>
          <w:szCs w:val="20"/>
        </w:rPr>
        <w:t xml:space="preserve">Copyright</w:t>
      </w:r>
      <w:r>
        <w:rPr>
          <w:rFonts w:ascii="Arial" w:cs="Arial" w:eastAsia="Arial" w:hAnsi="Arial"/>
          <w:color w:val="000000"/>
          <w:sz w:val="20"/>
          <w:szCs w:val="20"/>
        </w:rPr>
        <w:t xml:space="preserve"> protects the expression, not the information, and it survives publication where a secret does not. The overlap is sharpest in software and databases, and in India compilations including computer databases are literary works under </w:t>
      </w:r>
      <w:r>
        <w:rPr>
          <w:rFonts w:ascii="Arial" w:cs="Arial" w:eastAsia="Arial" w:hAnsi="Arial"/>
          <w:b/>
          <w:bCs/>
          <w:color w:val="000000"/>
          <w:sz w:val="20"/>
          <w:szCs w:val="20"/>
        </w:rPr>
        <w:t xml:space="preserve">Section 2(o) of the Copyright Act, 1957</w:t>
      </w:r>
      <w:r>
        <w:rPr>
          <w:rFonts w:ascii="Arial" w:cs="Arial" w:eastAsia="Arial" w:hAnsi="Arial"/>
          <w:color w:val="000000"/>
          <w:sz w:val="20"/>
          <w:szCs w:val="20"/>
        </w:rPr>
        <w:t xml:space="preserve">. </w:t>
      </w:r>
      <w:r>
        <w:rPr>
          <w:rFonts w:ascii="Arial" w:cs="Arial" w:eastAsia="Arial" w:hAnsi="Arial"/>
          <w:b/>
          <w:bCs/>
          <w:color w:val="000000"/>
          <w:sz w:val="20"/>
          <w:szCs w:val="20"/>
        </w:rPr>
        <w:t xml:space="preserve">Trademark</w:t>
      </w:r>
      <w:r>
        <w:rPr>
          <w:rFonts w:ascii="Arial" w:cs="Arial" w:eastAsia="Arial" w:hAnsi="Arial"/>
          <w:color w:val="000000"/>
          <w:sz w:val="20"/>
          <w:szCs w:val="20"/>
        </w:rPr>
        <w:t xml:space="preserve"> barely overlaps, because a mark must be used publicly, which is the opposite of secrecy. A </w:t>
      </w:r>
      <w:r>
        <w:rPr>
          <w:rFonts w:ascii="Arial" w:cs="Arial" w:eastAsia="Arial" w:hAnsi="Arial"/>
          <w:b/>
          <w:bCs/>
          <w:color w:val="000000"/>
          <w:sz w:val="20"/>
          <w:szCs w:val="20"/>
        </w:rPr>
        <w:t xml:space="preserve">registered design</w:t>
      </w:r>
      <w:r>
        <w:rPr>
          <w:rFonts w:ascii="Arial" w:cs="Arial" w:eastAsia="Arial" w:hAnsi="Arial"/>
          <w:color w:val="000000"/>
          <w:sz w:val="20"/>
          <w:szCs w:val="20"/>
        </w:rPr>
        <w:t xml:space="preserve"> protects appearance that is visible on the marketed article and so cannot be secret, though the design before launch can be.</w:t>
      </w:r>
    </w:p>
    <w:p>
      <w:pPr>
        <w:pStyle w:val="Heading2"/>
        <w:spacing w:after="95" w:before="250"/>
      </w:pPr>
      <w:r>
        <w:rPr>
          <w:rFonts w:ascii="Arial" w:cs="Arial" w:eastAsia="Arial" w:hAnsi="Arial"/>
          <w:b/>
          <w:bCs/>
          <w:color w:val="1F3864"/>
          <w:sz w:val="23"/>
          <w:szCs w:val="23"/>
        </w:rPr>
        <w:t xml:space="preserve">1.5  Advantages and disadvantages</w:t>
      </w:r>
    </w:p>
    <w:p>
      <w:pPr>
        <w:spacing w:after="130" w:line="276"/>
        <w:jc w:val="both"/>
      </w:pPr>
      <w:r>
        <w:rPr>
          <w:rFonts w:ascii="Arial" w:cs="Arial" w:eastAsia="Arial" w:hAnsi="Arial"/>
          <w:color w:val="000000"/>
          <w:sz w:val="20"/>
          <w:szCs w:val="20"/>
        </w:rPr>
        <w:t xml:space="preserve">The advantages are that protection is not limited in time, costs nothing to obtain, takes effect immediately, and requires no disclosure to any authority.</w:t>
      </w:r>
    </w:p>
    <w:p>
      <w:pPr>
        <w:spacing w:after="130" w:line="276"/>
        <w:jc w:val="both"/>
      </w:pPr>
      <w:r>
        <w:rPr>
          <w:rFonts w:ascii="Arial" w:cs="Arial" w:eastAsia="Arial" w:hAnsi="Arial"/>
          <w:color w:val="000000"/>
          <w:sz w:val="20"/>
          <w:szCs w:val="20"/>
        </w:rPr>
        <w:t xml:space="preserve">The disadvantages are five:</w:t>
      </w:r>
    </w:p>
    <w:p>
      <w:pPr>
        <w:spacing w:after="75" w:line="272"/>
        <w:ind w:left="440" w:hanging="290"/>
        <w:jc w:val="both"/>
      </w:pPr>
      <w:r>
        <w:rPr>
          <w:rFonts w:ascii="Arial" w:cs="Arial" w:eastAsia="Arial" w:hAnsi="Arial"/>
          <w:color w:val="000000"/>
          <w:sz w:val="20"/>
          <w:szCs w:val="20"/>
        </w:rPr>
        <w:t xml:space="preserve">1.  </w:t>
      </w:r>
      <w:r>
        <w:rPr>
          <w:rFonts w:ascii="Arial" w:cs="Arial" w:eastAsia="Arial" w:hAnsi="Arial"/>
          <w:b/>
          <w:bCs/>
          <w:color w:val="000000"/>
          <w:sz w:val="20"/>
          <w:szCs w:val="20"/>
        </w:rPr>
        <w:t xml:space="preserve">reverse engineering</w:t>
      </w:r>
      <w:r>
        <w:rPr>
          <w:rFonts w:ascii="Arial" w:cs="Arial" w:eastAsia="Arial" w:hAnsi="Arial"/>
          <w:color w:val="000000"/>
          <w:sz w:val="20"/>
          <w:szCs w:val="20"/>
        </w:rPr>
        <w:t xml:space="preserve"> may let others discover the secret from the product and then use it lawfully;</w:t>
      </w:r>
    </w:p>
    <w:p>
      <w:pPr>
        <w:spacing w:after="75" w:line="272"/>
        <w:ind w:left="440" w:hanging="290"/>
        <w:jc w:val="both"/>
      </w:pPr>
      <w:r>
        <w:rPr>
          <w:rFonts w:ascii="Arial" w:cs="Arial" w:eastAsia="Arial" w:hAnsi="Arial"/>
          <w:color w:val="000000"/>
          <w:sz w:val="20"/>
          <w:szCs w:val="20"/>
        </w:rPr>
        <w:t xml:space="preserve">2.  there is </w:t>
      </w:r>
      <w:r>
        <w:rPr>
          <w:rFonts w:ascii="Arial" w:cs="Arial" w:eastAsia="Arial" w:hAnsi="Arial"/>
          <w:b/>
          <w:bCs/>
          <w:color w:val="000000"/>
          <w:sz w:val="20"/>
          <w:szCs w:val="20"/>
        </w:rPr>
        <w:t xml:space="preserve">no right to exclude</w:t>
      </w:r>
      <w:r>
        <w:rPr>
          <w:rFonts w:ascii="Arial" w:cs="Arial" w:eastAsia="Arial" w:hAnsi="Arial"/>
          <w:color w:val="000000"/>
          <w:sz w:val="20"/>
          <w:szCs w:val="20"/>
        </w:rPr>
        <w:t xml:space="preserve"> third parties from commercial use, which only patents give;</w:t>
      </w:r>
    </w:p>
    <w:p>
      <w:pPr>
        <w:spacing w:after="75" w:line="272"/>
        <w:ind w:left="440" w:hanging="290"/>
        <w:jc w:val="both"/>
      </w:pPr>
      <w:r>
        <w:rPr>
          <w:rFonts w:ascii="Arial" w:cs="Arial" w:eastAsia="Arial" w:hAnsi="Arial"/>
          <w:color w:val="000000"/>
          <w:sz w:val="20"/>
          <w:szCs w:val="20"/>
        </w:rPr>
        <w:t xml:space="preserve">3.  </w:t>
      </w:r>
      <w:r>
        <w:rPr>
          <w:rFonts w:ascii="Arial" w:cs="Arial" w:eastAsia="Arial" w:hAnsi="Arial"/>
          <w:b/>
          <w:bCs/>
          <w:color w:val="000000"/>
          <w:sz w:val="20"/>
          <w:szCs w:val="20"/>
        </w:rPr>
        <w:t xml:space="preserve">publication ends it</w:t>
      </w:r>
      <w:r>
        <w:rPr>
          <w:rFonts w:ascii="Arial" w:cs="Arial" w:eastAsia="Arial" w:hAnsi="Arial"/>
          <w:color w:val="000000"/>
          <w:sz w:val="20"/>
          <w:szCs w:val="20"/>
        </w:rPr>
        <w:t xml:space="preserve">, so once public anyone may use it;</w:t>
      </w:r>
    </w:p>
    <w:p>
      <w:pPr>
        <w:spacing w:after="75" w:line="272"/>
        <w:ind w:left="440" w:hanging="290"/>
        <w:jc w:val="both"/>
      </w:pPr>
      <w:r>
        <w:rPr>
          <w:rFonts w:ascii="Arial" w:cs="Arial" w:eastAsia="Arial" w:hAnsi="Arial"/>
          <w:color w:val="000000"/>
          <w:sz w:val="20"/>
          <w:szCs w:val="20"/>
        </w:rPr>
        <w:t xml:space="preserve">4.  it is </w:t>
      </w:r>
      <w:r>
        <w:rPr>
          <w:rFonts w:ascii="Arial" w:cs="Arial" w:eastAsia="Arial" w:hAnsi="Arial"/>
          <w:b/>
          <w:bCs/>
          <w:color w:val="000000"/>
          <w:sz w:val="20"/>
          <w:szCs w:val="20"/>
        </w:rPr>
        <w:t xml:space="preserve">harder to enforce</w:t>
      </w:r>
      <w:r>
        <w:rPr>
          <w:rFonts w:ascii="Arial" w:cs="Arial" w:eastAsia="Arial" w:hAnsi="Arial"/>
          <w:color w:val="000000"/>
          <w:sz w:val="20"/>
          <w:szCs w:val="20"/>
        </w:rPr>
        <w:t xml:space="preserve">, and protection varies sharply between countries; and</w:t>
      </w:r>
    </w:p>
    <w:p>
      <w:pPr>
        <w:spacing w:after="75" w:line="272"/>
        <w:ind w:left="440" w:hanging="290"/>
        <w:jc w:val="both"/>
      </w:pPr>
      <w:r>
        <w:rPr>
          <w:rFonts w:ascii="Arial" w:cs="Arial" w:eastAsia="Arial" w:hAnsi="Arial"/>
          <w:color w:val="000000"/>
          <w:sz w:val="20"/>
          <w:szCs w:val="20"/>
        </w:rPr>
        <w:t xml:space="preserve">5.  </w:t>
      </w:r>
      <w:r>
        <w:rPr>
          <w:rFonts w:ascii="Arial" w:cs="Arial" w:eastAsia="Arial" w:hAnsi="Arial"/>
          <w:b/>
          <w:bCs/>
          <w:color w:val="000000"/>
          <w:sz w:val="20"/>
          <w:szCs w:val="20"/>
        </w:rPr>
        <w:t xml:space="preserve">someone else may patent it</w:t>
      </w:r>
      <w:r>
        <w:rPr>
          <w:rFonts w:ascii="Arial" w:cs="Arial" w:eastAsia="Arial" w:hAnsi="Arial"/>
          <w:color w:val="000000"/>
          <w:sz w:val="20"/>
          <w:szCs w:val="20"/>
        </w:rPr>
        <w:t xml:space="preserve">, because a third party who reaches the same information legitimately may obtain a patent and then exclude the original holder.</w:t>
      </w:r>
    </w:p>
    <w:p>
      <w:pPr>
        <w:pBdr>
          <w:top w:val="single" w:color="D6B656" w:sz="2" w:space="6"/>
          <w:bottom w:val="single" w:color="D6B656" w:sz="2" w:space="6"/>
          <w:left w:val="single" w:color="D6B656" w:sz="2" w:space="6"/>
          <w:right w:val="single" w:color="D6B656" w:sz="2" w:space="6"/>
        </w:pBdr>
        <w:shd w:fill="FFF2CC" w:val="clear"/>
        <w:spacing w:after="180" w:before="120" w:line="276"/>
        <w:ind w:left="170" w:right="170"/>
        <w:jc w:val="both"/>
      </w:pPr>
      <w:r>
        <w:rPr>
          <w:rFonts w:ascii="Arial" w:cs="Arial" w:eastAsia="Arial" w:hAnsi="Arial"/>
          <w:b/>
          <w:bCs/>
          <w:color w:val="000000"/>
          <w:sz w:val="20"/>
          <w:szCs w:val="20"/>
        </w:rPr>
        <w:t xml:space="preserve">Keeping a secret does not protect you from another person's patent.</w:t>
      </w:r>
      <w:r>
        <w:rPr>
          <w:rFonts w:ascii="Arial" w:cs="Arial" w:eastAsia="Arial" w:hAnsi="Arial"/>
          <w:color w:val="000000"/>
          <w:sz w:val="20"/>
          <w:szCs w:val="20"/>
        </w:rPr>
        <w:t xml:space="preserve"> This is the sharpest and least obvious commercial risk, and examiners like it.</w:t>
      </w:r>
    </w:p>
    <w:p>
      <w:pPr>
        <w:pStyle w:val="Heading2"/>
        <w:spacing w:after="95" w:before="250"/>
      </w:pPr>
      <w:r>
        <w:rPr>
          <w:rFonts w:ascii="Arial" w:cs="Arial" w:eastAsia="Arial" w:hAnsi="Arial"/>
          <w:b/>
          <w:bCs/>
          <w:color w:val="1F3864"/>
          <w:sz w:val="23"/>
          <w:szCs w:val="23"/>
        </w:rPr>
        <w:t xml:space="preserve">1.6  Choosing between a patent and secrecy</w:t>
      </w:r>
    </w:p>
    <w:p>
      <w:pPr>
        <w:spacing w:after="130" w:line="276"/>
        <w:jc w:val="both"/>
      </w:pPr>
      <w:r>
        <w:rPr>
          <w:rFonts w:ascii="Arial" w:cs="Arial" w:eastAsia="Arial" w:hAnsi="Arial"/>
          <w:color w:val="000000"/>
          <w:sz w:val="20"/>
          <w:szCs w:val="20"/>
        </w:rPr>
        <w:t xml:space="preserve">The checklist reduces to seven questions:</w:t>
      </w:r>
    </w:p>
    <w:p>
      <w:pPr>
        <w:spacing w:after="75" w:line="272"/>
        <w:ind w:left="440" w:hanging="290"/>
        <w:jc w:val="both"/>
      </w:pPr>
      <w:r>
        <w:rPr>
          <w:rFonts w:ascii="Arial" w:cs="Arial" w:eastAsia="Arial" w:hAnsi="Arial"/>
          <w:color w:val="000000"/>
          <w:sz w:val="20"/>
          <w:szCs w:val="20"/>
        </w:rPr>
        <w:t xml:space="preserve">1.  Is the innovation </w:t>
      </w:r>
      <w:r>
        <w:rPr>
          <w:rFonts w:ascii="Arial" w:cs="Arial" w:eastAsia="Arial" w:hAnsi="Arial"/>
          <w:b/>
          <w:bCs/>
          <w:color w:val="000000"/>
          <w:sz w:val="20"/>
          <w:szCs w:val="20"/>
        </w:rPr>
        <w:t xml:space="preserve">patentable at all</w:t>
      </w:r>
      <w:r>
        <w:rPr>
          <w:rFonts w:ascii="Arial" w:cs="Arial" w:eastAsia="Arial" w:hAnsi="Arial"/>
          <w:color w:val="000000"/>
          <w:sz w:val="20"/>
          <w:szCs w:val="20"/>
        </w:rPr>
        <w:t xml:space="preserve">? If not, secrecy is the only option.</w:t>
      </w:r>
    </w:p>
    <w:p>
      <w:pPr>
        <w:spacing w:after="75" w:line="272"/>
        <w:ind w:left="440" w:hanging="290"/>
        <w:jc w:val="both"/>
      </w:pPr>
      <w:r>
        <w:rPr>
          <w:rFonts w:ascii="Arial" w:cs="Arial" w:eastAsia="Arial" w:hAnsi="Arial"/>
          <w:color w:val="000000"/>
          <w:sz w:val="20"/>
          <w:szCs w:val="20"/>
        </w:rPr>
        <w:t xml:space="preserve">2.  Can it </w:t>
      </w:r>
      <w:r>
        <w:rPr>
          <w:rFonts w:ascii="Arial" w:cs="Arial" w:eastAsia="Arial" w:hAnsi="Arial"/>
          <w:b/>
          <w:bCs/>
          <w:color w:val="000000"/>
          <w:sz w:val="20"/>
          <w:szCs w:val="20"/>
        </w:rPr>
        <w:t xml:space="preserve">actually be kept secret</w:t>
      </w:r>
      <w:r>
        <w:rPr>
          <w:rFonts w:ascii="Arial" w:cs="Arial" w:eastAsia="Arial" w:hAnsi="Arial"/>
          <w:color w:val="000000"/>
          <w:sz w:val="20"/>
          <w:szCs w:val="20"/>
        </w:rPr>
        <w:t xml:space="preserve">? If it is visible from the product, it is not secret and a patent is better.</w:t>
      </w:r>
    </w:p>
    <w:p>
      <w:pPr>
        <w:spacing w:after="75" w:line="272"/>
        <w:ind w:left="440" w:hanging="290"/>
        <w:jc w:val="both"/>
      </w:pPr>
      <w:r>
        <w:rPr>
          <w:rFonts w:ascii="Arial" w:cs="Arial" w:eastAsia="Arial" w:hAnsi="Arial"/>
          <w:color w:val="000000"/>
          <w:sz w:val="20"/>
          <w:szCs w:val="20"/>
        </w:rPr>
        <w:t xml:space="preserve">3.  Is it </w:t>
      </w:r>
      <w:r>
        <w:rPr>
          <w:rFonts w:ascii="Arial" w:cs="Arial" w:eastAsia="Arial" w:hAnsi="Arial"/>
          <w:b/>
          <w:bCs/>
          <w:color w:val="000000"/>
          <w:sz w:val="20"/>
          <w:szCs w:val="20"/>
        </w:rPr>
        <w:t xml:space="preserve">likely to become generally known soon</w:t>
      </w:r>
      <w:r>
        <w:rPr>
          <w:rFonts w:ascii="Arial" w:cs="Arial" w:eastAsia="Arial" w:hAnsi="Arial"/>
          <w:color w:val="000000"/>
          <w:sz w:val="20"/>
          <w:szCs w:val="20"/>
        </w:rPr>
        <w:t xml:space="preserve">? If so, secrecy is weak.</w:t>
      </w:r>
    </w:p>
    <w:p>
      <w:pPr>
        <w:spacing w:after="75" w:line="272"/>
        <w:ind w:left="440" w:hanging="290"/>
        <w:jc w:val="both"/>
      </w:pPr>
      <w:r>
        <w:rPr>
          <w:rFonts w:ascii="Arial" w:cs="Arial" w:eastAsia="Arial" w:hAnsi="Arial"/>
          <w:color w:val="000000"/>
          <w:sz w:val="20"/>
          <w:szCs w:val="20"/>
        </w:rPr>
        <w:t xml:space="preserve">4.  Would the patent </w:t>
      </w:r>
      <w:r>
        <w:rPr>
          <w:rFonts w:ascii="Arial" w:cs="Arial" w:eastAsia="Arial" w:hAnsi="Arial"/>
          <w:b/>
          <w:bCs/>
          <w:color w:val="000000"/>
          <w:sz w:val="20"/>
          <w:szCs w:val="20"/>
        </w:rPr>
        <w:t xml:space="preserve">survive an attack</w:t>
      </w:r>
      <w:r>
        <w:rPr>
          <w:rFonts w:ascii="Arial" w:cs="Arial" w:eastAsia="Arial" w:hAnsi="Arial"/>
          <w:color w:val="000000"/>
          <w:sz w:val="20"/>
          <w:szCs w:val="20"/>
        </w:rPr>
        <w:t xml:space="preserve"> in court? There is no sense disclosing for a right that will be invalidated.</w:t>
      </w:r>
    </w:p>
    <w:p>
      <w:pPr>
        <w:spacing w:after="75" w:line="272"/>
        <w:ind w:left="440" w:hanging="290"/>
        <w:jc w:val="both"/>
      </w:pPr>
      <w:r>
        <w:rPr>
          <w:rFonts w:ascii="Arial" w:cs="Arial" w:eastAsia="Arial" w:hAnsi="Arial"/>
          <w:color w:val="000000"/>
          <w:sz w:val="20"/>
          <w:szCs w:val="20"/>
        </w:rPr>
        <w:t xml:space="preserve">5.  How fast will it </w:t>
      </w:r>
      <w:r>
        <w:rPr>
          <w:rFonts w:ascii="Arial" w:cs="Arial" w:eastAsia="Arial" w:hAnsi="Arial"/>
          <w:b/>
          <w:bCs/>
          <w:color w:val="000000"/>
          <w:sz w:val="20"/>
          <w:szCs w:val="20"/>
        </w:rPr>
        <w:t xml:space="preserve">become obsolete</w:t>
      </w:r>
      <w:r>
        <w:rPr>
          <w:rFonts w:ascii="Arial" w:cs="Arial" w:eastAsia="Arial" w:hAnsi="Arial"/>
          <w:color w:val="000000"/>
          <w:sz w:val="20"/>
          <w:szCs w:val="20"/>
        </w:rPr>
        <w:t xml:space="preserve">? Fast obsolescence makes the patent term and cost not worth paying.</w:t>
      </w:r>
    </w:p>
    <w:p>
      <w:pPr>
        <w:spacing w:after="75" w:line="272"/>
        <w:ind w:left="440" w:hanging="290"/>
        <w:jc w:val="both"/>
      </w:pPr>
      <w:r>
        <w:rPr>
          <w:rFonts w:ascii="Arial" w:cs="Arial" w:eastAsia="Arial" w:hAnsi="Arial"/>
          <w:color w:val="000000"/>
          <w:sz w:val="20"/>
          <w:szCs w:val="20"/>
        </w:rPr>
        <w:t xml:space="preserve">6.  How long until it can be </w:t>
      </w:r>
      <w:r>
        <w:rPr>
          <w:rFonts w:ascii="Arial" w:cs="Arial" w:eastAsia="Arial" w:hAnsi="Arial"/>
          <w:b/>
          <w:bCs/>
          <w:color w:val="000000"/>
          <w:sz w:val="20"/>
          <w:szCs w:val="20"/>
        </w:rPr>
        <w:t xml:space="preserve">commercialised</w:t>
      </w:r>
      <w:r>
        <w:rPr>
          <w:rFonts w:ascii="Arial" w:cs="Arial" w:eastAsia="Arial" w:hAnsi="Arial"/>
          <w:color w:val="000000"/>
          <w:sz w:val="20"/>
          <w:szCs w:val="20"/>
        </w:rPr>
        <w:t xml:space="preserve">? Slow monetisation favours a patent.</w:t>
      </w:r>
    </w:p>
    <w:p>
      <w:pPr>
        <w:spacing w:after="75" w:line="272"/>
        <w:ind w:left="440" w:hanging="290"/>
        <w:jc w:val="both"/>
      </w:pPr>
      <w:r>
        <w:rPr>
          <w:rFonts w:ascii="Arial" w:cs="Arial" w:eastAsia="Arial" w:hAnsi="Arial"/>
          <w:color w:val="000000"/>
          <w:sz w:val="20"/>
          <w:szCs w:val="20"/>
        </w:rPr>
        <w:t xml:space="preserve">7.  Is it </w:t>
      </w:r>
      <w:r>
        <w:rPr>
          <w:rFonts w:ascii="Arial" w:cs="Arial" w:eastAsia="Arial" w:hAnsi="Arial"/>
          <w:b/>
          <w:bCs/>
          <w:color w:val="000000"/>
          <w:sz w:val="20"/>
          <w:szCs w:val="20"/>
        </w:rPr>
        <w:t xml:space="preserve">worth patenting at all</w:t>
      </w:r>
      <w:r>
        <w:rPr>
          <w:rFonts w:ascii="Arial" w:cs="Arial" w:eastAsia="Arial" w:hAnsi="Arial"/>
          <w:color w:val="000000"/>
          <w:sz w:val="20"/>
          <w:szCs w:val="20"/>
        </w:rPr>
        <w:t xml:space="preserve">? For ordinary know how, often not.</w:t>
      </w:r>
    </w:p>
    <w:p>
      <w:pPr>
        <w:spacing w:after="130" w:line="276"/>
        <w:jc w:val="both"/>
      </w:pPr>
      <w:r>
        <w:rPr>
          <w:rFonts w:ascii="Arial" w:cs="Arial" w:eastAsia="Arial" w:hAnsi="Arial"/>
          <w:color w:val="000000"/>
          <w:sz w:val="20"/>
          <w:szCs w:val="20"/>
        </w:rPr>
        <w:t xml:space="preserve">For India add that </w:t>
      </w:r>
      <w:r>
        <w:rPr>
          <w:rFonts w:ascii="Arial" w:cs="Arial" w:eastAsia="Arial" w:hAnsi="Arial"/>
          <w:b/>
          <w:bCs/>
          <w:color w:val="000000"/>
          <w:sz w:val="20"/>
          <w:szCs w:val="20"/>
        </w:rPr>
        <w:t xml:space="preserve">Section 3(k) of the Patents Act, 1970</w:t>
      </w:r>
      <w:r>
        <w:rPr>
          <w:rFonts w:ascii="Arial" w:cs="Arial" w:eastAsia="Arial" w:hAnsi="Arial"/>
          <w:color w:val="000000"/>
          <w:sz w:val="20"/>
          <w:szCs w:val="20"/>
        </w:rPr>
        <w:t xml:space="preserve"> excludes mathematical and business methods, computer programmes as such, and algorithms, which pushes much software work into trade secrecy by default.</w:t>
      </w:r>
    </w:p>
    <w:p>
      <w:pPr>
        <w:pStyle w:val="Heading2"/>
        <w:spacing w:after="95" w:before="250"/>
      </w:pPr>
      <w:r>
        <w:rPr>
          <w:rFonts w:ascii="Arial" w:cs="Arial" w:eastAsia="Arial" w:hAnsi="Arial"/>
          <w:b/>
          <w:bCs/>
          <w:color w:val="1F3864"/>
          <w:sz w:val="23"/>
          <w:szCs w:val="23"/>
        </w:rPr>
        <w:t xml:space="preserve">1.7  Guarding a secret inside the company</w:t>
      </w:r>
    </w:p>
    <w:p>
      <w:pPr>
        <w:spacing w:after="130" w:line="276"/>
        <w:jc w:val="both"/>
      </w:pPr>
      <w:r>
        <w:rPr>
          <w:rFonts w:ascii="Arial" w:cs="Arial" w:eastAsia="Arial" w:hAnsi="Arial"/>
          <w:color w:val="000000"/>
          <w:sz w:val="20"/>
          <w:szCs w:val="20"/>
        </w:rPr>
        <w:t xml:space="preserve">Protection works in four layers:</w:t>
      </w:r>
    </w:p>
    <w:p>
      <w:pPr>
        <w:spacing w:after="75" w:line="272"/>
        <w:ind w:left="440" w:hanging="290"/>
        <w:jc w:val="both"/>
      </w:pPr>
      <w:r>
        <w:rPr>
          <w:rFonts w:ascii="Arial" w:cs="Arial" w:eastAsia="Arial" w:hAnsi="Arial"/>
          <w:color w:val="000000"/>
          <w:sz w:val="20"/>
          <w:szCs w:val="20"/>
        </w:rPr>
        <w:t xml:space="preserve">1.  </w:t>
      </w:r>
      <w:r>
        <w:rPr>
          <w:rFonts w:ascii="Arial" w:cs="Arial" w:eastAsia="Arial" w:hAnsi="Arial"/>
          <w:b/>
          <w:bCs/>
          <w:color w:val="000000"/>
          <w:sz w:val="20"/>
          <w:szCs w:val="20"/>
        </w:rPr>
        <w:t xml:space="preserve">Legal.</w:t>
      </w:r>
      <w:r>
        <w:rPr>
          <w:rFonts w:ascii="Arial" w:cs="Arial" w:eastAsia="Arial" w:hAnsi="Arial"/>
          <w:color w:val="000000"/>
          <w:sz w:val="20"/>
          <w:szCs w:val="20"/>
        </w:rPr>
        <w:t xml:space="preserve"> Confidentiality clauses, non disclosure agreements, assignment of rights clauses, vendor and contractor agreements, and exit acknowledgements.</w:t>
      </w:r>
    </w:p>
    <w:p>
      <w:pPr>
        <w:spacing w:after="75" w:line="272"/>
        <w:ind w:left="440" w:hanging="290"/>
        <w:jc w:val="both"/>
      </w:pPr>
      <w:r>
        <w:rPr>
          <w:rFonts w:ascii="Arial" w:cs="Arial" w:eastAsia="Arial" w:hAnsi="Arial"/>
          <w:color w:val="000000"/>
          <w:sz w:val="20"/>
          <w:szCs w:val="20"/>
        </w:rPr>
        <w:t xml:space="preserve">2.  </w:t>
      </w:r>
      <w:r>
        <w:rPr>
          <w:rFonts w:ascii="Arial" w:cs="Arial" w:eastAsia="Arial" w:hAnsi="Arial"/>
          <w:b/>
          <w:bCs/>
          <w:color w:val="000000"/>
          <w:sz w:val="20"/>
          <w:szCs w:val="20"/>
        </w:rPr>
        <w:t xml:space="preserve">Administrative.</w:t>
      </w:r>
      <w:r>
        <w:rPr>
          <w:rFonts w:ascii="Arial" w:cs="Arial" w:eastAsia="Arial" w:hAnsi="Arial"/>
          <w:color w:val="000000"/>
          <w:sz w:val="20"/>
          <w:szCs w:val="20"/>
        </w:rPr>
        <w:t xml:space="preserve"> A written security policy, classification of information, access on a need to know basis, confidentiality marking, secure destruction, and recorded training.</w:t>
      </w:r>
    </w:p>
    <w:p>
      <w:pPr>
        <w:spacing w:after="75" w:line="272"/>
        <w:ind w:left="440" w:hanging="290"/>
        <w:jc w:val="both"/>
      </w:pPr>
      <w:r>
        <w:rPr>
          <w:rFonts w:ascii="Arial" w:cs="Arial" w:eastAsia="Arial" w:hAnsi="Arial"/>
          <w:color w:val="000000"/>
          <w:sz w:val="20"/>
          <w:szCs w:val="20"/>
        </w:rPr>
        <w:t xml:space="preserve">3.  </w:t>
      </w:r>
      <w:r>
        <w:rPr>
          <w:rFonts w:ascii="Arial" w:cs="Arial" w:eastAsia="Arial" w:hAnsi="Arial"/>
          <w:b/>
          <w:bCs/>
          <w:color w:val="000000"/>
          <w:sz w:val="20"/>
          <w:szCs w:val="20"/>
        </w:rPr>
        <w:t xml:space="preserve">Technical.</w:t>
      </w:r>
      <w:r>
        <w:rPr>
          <w:rFonts w:ascii="Arial" w:cs="Arial" w:eastAsia="Arial" w:hAnsi="Arial"/>
          <w:color w:val="000000"/>
          <w:sz w:val="20"/>
          <w:szCs w:val="20"/>
        </w:rPr>
        <w:t xml:space="preserve"> Access control, role based permissions, encryption, data loss prevention, control of removable media, logging of access and copying, and controls over code repositories.</w:t>
      </w:r>
    </w:p>
    <w:p>
      <w:pPr>
        <w:spacing w:after="75" w:line="272"/>
        <w:ind w:left="440" w:hanging="290"/>
        <w:jc w:val="both"/>
      </w:pPr>
      <w:r>
        <w:rPr>
          <w:rFonts w:ascii="Arial" w:cs="Arial" w:eastAsia="Arial" w:hAnsi="Arial"/>
          <w:color w:val="000000"/>
          <w:sz w:val="20"/>
          <w:szCs w:val="20"/>
        </w:rPr>
        <w:t xml:space="preserve">4.  </w:t>
      </w:r>
      <w:r>
        <w:rPr>
          <w:rFonts w:ascii="Arial" w:cs="Arial" w:eastAsia="Arial" w:hAnsi="Arial"/>
          <w:b/>
          <w:bCs/>
          <w:color w:val="000000"/>
          <w:sz w:val="20"/>
          <w:szCs w:val="20"/>
        </w:rPr>
        <w:t xml:space="preserve">Evidentiary.</w:t>
      </w:r>
      <w:r>
        <w:rPr>
          <w:rFonts w:ascii="Arial" w:cs="Arial" w:eastAsia="Arial" w:hAnsi="Arial"/>
          <w:color w:val="000000"/>
          <w:sz w:val="20"/>
          <w:szCs w:val="20"/>
        </w:rPr>
        <w:t xml:space="preserve"> The access logs, version histories and device forensics that actually prove reasonable steps and access when the case is fought.</w:t>
      </w:r>
    </w:p>
    <w:p>
      <w:pPr>
        <w:pBdr>
          <w:top w:val="single" w:color="D6B656" w:sz="2" w:space="6"/>
          <w:bottom w:val="single" w:color="D6B656" w:sz="2" w:space="6"/>
          <w:left w:val="single" w:color="D6B656" w:sz="2" w:space="6"/>
          <w:right w:val="single" w:color="D6B656" w:sz="2" w:space="6"/>
        </w:pBdr>
        <w:shd w:fill="FFF2CC" w:val="clear"/>
        <w:spacing w:after="180" w:before="120" w:line="276"/>
        <w:ind w:left="170" w:right="170"/>
        <w:jc w:val="both"/>
      </w:pPr>
      <w:r>
        <w:rPr>
          <w:rFonts w:ascii="Arial" w:cs="Arial" w:eastAsia="Arial" w:hAnsi="Arial"/>
          <w:color w:val="000000"/>
          <w:sz w:val="20"/>
          <w:szCs w:val="20"/>
        </w:rPr>
        <w:t xml:space="preserve">Layers two and three are not merely good practice. </w:t>
      </w:r>
      <w:r>
        <w:rPr>
          <w:rFonts w:ascii="Arial" w:cs="Arial" w:eastAsia="Arial" w:hAnsi="Arial"/>
          <w:b/>
          <w:bCs/>
          <w:color w:val="000000"/>
          <w:sz w:val="20"/>
          <w:szCs w:val="20"/>
        </w:rPr>
        <w:t xml:space="preserve">They are how the third ingredient, reasonable steps, gets satisfied</w:t>
      </w:r>
      <w:r>
        <w:rPr>
          <w:rFonts w:ascii="Arial" w:cs="Arial" w:eastAsia="Arial" w:hAnsi="Arial"/>
          <w:color w:val="000000"/>
          <w:sz w:val="20"/>
          <w:szCs w:val="20"/>
        </w:rPr>
        <w:t xml:space="preserve">, so security spending is a legal requirement and not only an operational one.</w:t>
      </w:r>
    </w:p>
    <w:p>
      <w:pPr>
        <w:pStyle w:val="Heading1"/>
        <w:pBdr>
          <w:bottom w:val="single" w:color="1F3864" w:sz="8" w:space="6"/>
        </w:pBdr>
        <w:spacing w:after="170" w:before="380"/>
      </w:pPr>
      <w:r>
        <w:rPr>
          <w:rFonts w:ascii="Arial" w:cs="Arial" w:eastAsia="Arial" w:hAnsi="Arial"/>
          <w:b/>
          <w:bCs/>
          <w:color w:val="1F3864"/>
          <w:sz w:val="28"/>
          <w:szCs w:val="28"/>
        </w:rPr>
        <w:t xml:space="preserve">Part 2.  How a trade secret is proved</w:t>
      </w:r>
    </w:p>
    <w:p>
      <w:pPr>
        <w:pStyle w:val="Heading2"/>
        <w:spacing w:after="95" w:before="250"/>
      </w:pPr>
      <w:r>
        <w:rPr>
          <w:rFonts w:ascii="Arial" w:cs="Arial" w:eastAsia="Arial" w:hAnsi="Arial"/>
          <w:b/>
          <w:bCs/>
          <w:color w:val="1F3864"/>
          <w:sz w:val="23"/>
          <w:szCs w:val="23"/>
        </w:rPr>
        <w:t xml:space="preserve">2.1  The right is born in court</w:t>
      </w:r>
    </w:p>
    <w:p>
      <w:pPr>
        <w:spacing w:after="130" w:line="276"/>
        <w:jc w:val="both"/>
      </w:pPr>
      <w:r>
        <w:rPr>
          <w:rFonts w:ascii="Arial" w:cs="Arial" w:eastAsia="Arial" w:hAnsi="Arial"/>
          <w:color w:val="000000"/>
          <w:sz w:val="20"/>
          <w:szCs w:val="20"/>
        </w:rPr>
        <w:t xml:space="preserve">Unlike a patent, a copyright or a trademark, a trade secret can only be established in litigation. </w:t>
      </w:r>
      <w:r>
        <w:rPr>
          <w:rFonts w:ascii="Arial" w:cs="Arial" w:eastAsia="Arial" w:hAnsi="Arial"/>
          <w:b/>
          <w:bCs/>
          <w:color w:val="000000"/>
          <w:sz w:val="20"/>
          <w:szCs w:val="20"/>
        </w:rPr>
        <w:t xml:space="preserve">No trade secret exists in law until a court has adjudicated it to be one</w:t>
      </w:r>
      <w:r>
        <w:rPr>
          <w:rFonts w:ascii="Arial" w:cs="Arial" w:eastAsia="Arial" w:hAnsi="Arial"/>
          <w:color w:val="000000"/>
          <w:sz w:val="20"/>
          <w:szCs w:val="20"/>
        </w:rPr>
        <w:t xml:space="preserve">, and its existence is a question of fact, decided by a jury in the United States and by the judge in India. Trade secret management must therefore treat winning in court as its first objective.</w:t>
      </w:r>
    </w:p>
    <w:p>
      <w:pPr>
        <w:spacing w:after="130" w:line="276"/>
        <w:jc w:val="both"/>
      </w:pPr>
      <w:r>
        <w:rPr>
          <w:rFonts w:ascii="Arial" w:cs="Arial" w:eastAsia="Arial" w:hAnsi="Arial"/>
          <w:i/>
          <w:iCs/>
          <w:color w:val="000000"/>
          <w:sz w:val="20"/>
          <w:szCs w:val="20"/>
        </w:rPr>
        <w:t xml:space="preserve">Do not cite.</w:t>
      </w:r>
      <w:r>
        <w:rPr>
          <w:rFonts w:ascii="Arial" w:cs="Arial" w:eastAsia="Arial" w:hAnsi="Arial"/>
          <w:color w:val="000000"/>
          <w:sz w:val="20"/>
          <w:szCs w:val="20"/>
        </w:rPr>
        <w:t xml:space="preserve"> A margin note mentions a Polish registry that registers trade secrets. That could not be verified.</w:t>
      </w:r>
    </w:p>
    <w:p>
      <w:pPr>
        <w:pStyle w:val="Heading2"/>
        <w:spacing w:after="95" w:before="250"/>
      </w:pPr>
      <w:r>
        <w:rPr>
          <w:rFonts w:ascii="Arial" w:cs="Arial" w:eastAsia="Arial" w:hAnsi="Arial"/>
          <w:b/>
          <w:bCs/>
          <w:color w:val="1F3864"/>
          <w:sz w:val="23"/>
          <w:szCs w:val="23"/>
        </w:rPr>
        <w:t xml:space="preserve">2.2  The six factor test</w:t>
      </w:r>
    </w:p>
    <w:p>
      <w:pPr>
        <w:spacing w:after="130" w:line="276"/>
        <w:jc w:val="both"/>
      </w:pPr>
      <w:r>
        <w:rPr>
          <w:rFonts w:ascii="Arial" w:cs="Arial" w:eastAsia="Arial" w:hAnsi="Arial"/>
          <w:color w:val="000000"/>
          <w:sz w:val="20"/>
          <w:szCs w:val="20"/>
        </w:rPr>
        <w:t xml:space="preserve">From the </w:t>
      </w:r>
      <w:r>
        <w:rPr>
          <w:rFonts w:ascii="Arial" w:cs="Arial" w:eastAsia="Arial" w:hAnsi="Arial"/>
          <w:b/>
          <w:bCs/>
          <w:color w:val="000000"/>
          <w:sz w:val="20"/>
          <w:szCs w:val="20"/>
        </w:rPr>
        <w:t xml:space="preserve">Restatement of Torts, 1939, Section 757, comment b</w:t>
      </w:r>
      <w:r>
        <w:rPr>
          <w:rFonts w:ascii="Arial" w:cs="Arial" w:eastAsia="Arial" w:hAnsi="Arial"/>
          <w:color w:val="000000"/>
          <w:sz w:val="20"/>
          <w:szCs w:val="20"/>
        </w:rPr>
        <w:t xml:space="preserve">. Section 758 dealt with the elements of the claim, and the American Law Institute returned to the subject in Sections 39 to 45 of the Restatement (Third) of Unfair Competition, 1993. The six factors ask:</w:t>
      </w:r>
    </w:p>
    <w:p>
      <w:pPr>
        <w:spacing w:after="75" w:line="272"/>
        <w:ind w:left="440" w:hanging="290"/>
        <w:jc w:val="both"/>
      </w:pPr>
      <w:r>
        <w:rPr>
          <w:rFonts w:ascii="Arial" w:cs="Arial" w:eastAsia="Arial" w:hAnsi="Arial"/>
          <w:color w:val="000000"/>
          <w:sz w:val="20"/>
          <w:szCs w:val="20"/>
        </w:rPr>
        <w:t xml:space="preserve">1.  how far the information is known </w:t>
      </w:r>
      <w:r>
        <w:rPr>
          <w:rFonts w:ascii="Arial" w:cs="Arial" w:eastAsia="Arial" w:hAnsi="Arial"/>
          <w:b/>
          <w:bCs/>
          <w:color w:val="000000"/>
          <w:sz w:val="20"/>
          <w:szCs w:val="20"/>
        </w:rPr>
        <w:t xml:space="preserve">outside</w:t>
      </w:r>
      <w:r>
        <w:rPr>
          <w:rFonts w:ascii="Arial" w:cs="Arial" w:eastAsia="Arial" w:hAnsi="Arial"/>
          <w:color w:val="000000"/>
          <w:sz w:val="20"/>
          <w:szCs w:val="20"/>
        </w:rPr>
        <w:t xml:space="preserve"> the company;</w:t>
      </w:r>
    </w:p>
    <w:p>
      <w:pPr>
        <w:spacing w:after="75" w:line="272"/>
        <w:ind w:left="440" w:hanging="290"/>
        <w:jc w:val="both"/>
      </w:pPr>
      <w:r>
        <w:rPr>
          <w:rFonts w:ascii="Arial" w:cs="Arial" w:eastAsia="Arial" w:hAnsi="Arial"/>
          <w:color w:val="000000"/>
          <w:sz w:val="20"/>
          <w:szCs w:val="20"/>
        </w:rPr>
        <w:t xml:space="preserve">2.  how far it is known by </w:t>
      </w:r>
      <w:r>
        <w:rPr>
          <w:rFonts w:ascii="Arial" w:cs="Arial" w:eastAsia="Arial" w:hAnsi="Arial"/>
          <w:b/>
          <w:bCs/>
          <w:color w:val="000000"/>
          <w:sz w:val="20"/>
          <w:szCs w:val="20"/>
        </w:rPr>
        <w:t xml:space="preserve">employees and others inside</w:t>
      </w:r>
      <w:r>
        <w:rPr>
          <w:rFonts w:ascii="Arial" w:cs="Arial" w:eastAsia="Arial" w:hAnsi="Arial"/>
          <w:color w:val="000000"/>
          <w:sz w:val="20"/>
          <w:szCs w:val="20"/>
        </w:rPr>
        <w:t xml:space="preserve"> it;</w:t>
      </w:r>
    </w:p>
    <w:p>
      <w:pPr>
        <w:spacing w:after="75" w:line="272"/>
        <w:ind w:left="440" w:hanging="290"/>
        <w:jc w:val="both"/>
      </w:pPr>
      <w:r>
        <w:rPr>
          <w:rFonts w:ascii="Arial" w:cs="Arial" w:eastAsia="Arial" w:hAnsi="Arial"/>
          <w:color w:val="000000"/>
          <w:sz w:val="20"/>
          <w:szCs w:val="20"/>
        </w:rPr>
        <w:t xml:space="preserve">3.  the extent of the </w:t>
      </w:r>
      <w:r>
        <w:rPr>
          <w:rFonts w:ascii="Arial" w:cs="Arial" w:eastAsia="Arial" w:hAnsi="Arial"/>
          <w:b/>
          <w:bCs/>
          <w:color w:val="000000"/>
          <w:sz w:val="20"/>
          <w:szCs w:val="20"/>
        </w:rPr>
        <w:t xml:space="preserve">measures taken</w:t>
      </w:r>
      <w:r>
        <w:rPr>
          <w:rFonts w:ascii="Arial" w:cs="Arial" w:eastAsia="Arial" w:hAnsi="Arial"/>
          <w:color w:val="000000"/>
          <w:sz w:val="20"/>
          <w:szCs w:val="20"/>
        </w:rPr>
        <w:t xml:space="preserve"> to guard secrecy;</w:t>
      </w:r>
    </w:p>
    <w:p>
      <w:pPr>
        <w:spacing w:after="75" w:line="272"/>
        <w:ind w:left="440" w:hanging="290"/>
        <w:jc w:val="both"/>
      </w:pPr>
      <w:r>
        <w:rPr>
          <w:rFonts w:ascii="Arial" w:cs="Arial" w:eastAsia="Arial" w:hAnsi="Arial"/>
          <w:color w:val="000000"/>
          <w:sz w:val="20"/>
          <w:szCs w:val="20"/>
        </w:rPr>
        <w:t xml:space="preserve">4.  the </w:t>
      </w:r>
      <w:r>
        <w:rPr>
          <w:rFonts w:ascii="Arial" w:cs="Arial" w:eastAsia="Arial" w:hAnsi="Arial"/>
          <w:b/>
          <w:bCs/>
          <w:color w:val="000000"/>
          <w:sz w:val="20"/>
          <w:szCs w:val="20"/>
        </w:rPr>
        <w:t xml:space="preserve">value</w:t>
      </w:r>
      <w:r>
        <w:rPr>
          <w:rFonts w:ascii="Arial" w:cs="Arial" w:eastAsia="Arial" w:hAnsi="Arial"/>
          <w:color w:val="000000"/>
          <w:sz w:val="20"/>
          <w:szCs w:val="20"/>
        </w:rPr>
        <w:t xml:space="preserve"> of the information to the company and its competitors;</w:t>
      </w:r>
    </w:p>
    <w:p>
      <w:pPr>
        <w:spacing w:after="75" w:line="272"/>
        <w:ind w:left="440" w:hanging="290"/>
        <w:jc w:val="both"/>
      </w:pPr>
      <w:r>
        <w:rPr>
          <w:rFonts w:ascii="Arial" w:cs="Arial" w:eastAsia="Arial" w:hAnsi="Arial"/>
          <w:color w:val="000000"/>
          <w:sz w:val="20"/>
          <w:szCs w:val="20"/>
        </w:rPr>
        <w:t xml:space="preserve">5.  the </w:t>
      </w:r>
      <w:r>
        <w:rPr>
          <w:rFonts w:ascii="Arial" w:cs="Arial" w:eastAsia="Arial" w:hAnsi="Arial"/>
          <w:b/>
          <w:bCs/>
          <w:color w:val="000000"/>
          <w:sz w:val="20"/>
          <w:szCs w:val="20"/>
        </w:rPr>
        <w:t xml:space="preserve">time, effort and money</w:t>
      </w:r>
      <w:r>
        <w:rPr>
          <w:rFonts w:ascii="Arial" w:cs="Arial" w:eastAsia="Arial" w:hAnsi="Arial"/>
          <w:color w:val="000000"/>
          <w:sz w:val="20"/>
          <w:szCs w:val="20"/>
        </w:rPr>
        <w:t xml:space="preserve"> spent developing it; and</w:t>
      </w:r>
    </w:p>
    <w:p>
      <w:pPr>
        <w:spacing w:after="75" w:line="272"/>
        <w:ind w:left="440" w:hanging="290"/>
        <w:jc w:val="both"/>
      </w:pPr>
      <w:r>
        <w:rPr>
          <w:rFonts w:ascii="Arial" w:cs="Arial" w:eastAsia="Arial" w:hAnsi="Arial"/>
          <w:color w:val="000000"/>
          <w:sz w:val="20"/>
          <w:szCs w:val="20"/>
        </w:rPr>
        <w:t xml:space="preserve">6.  the </w:t>
      </w:r>
      <w:r>
        <w:rPr>
          <w:rFonts w:ascii="Arial" w:cs="Arial" w:eastAsia="Arial" w:hAnsi="Arial"/>
          <w:b/>
          <w:bCs/>
          <w:color w:val="000000"/>
          <w:sz w:val="20"/>
          <w:szCs w:val="20"/>
        </w:rPr>
        <w:t xml:space="preserve">ease or difficulty</w:t>
      </w:r>
      <w:r>
        <w:rPr>
          <w:rFonts w:ascii="Arial" w:cs="Arial" w:eastAsia="Arial" w:hAnsi="Arial"/>
          <w:color w:val="000000"/>
          <w:sz w:val="20"/>
          <w:szCs w:val="20"/>
        </w:rPr>
        <w:t xml:space="preserve"> of proper acquisition or duplication by others.</w:t>
      </w:r>
    </w:p>
    <w:p>
      <w:pPr>
        <w:spacing w:after="130" w:line="276"/>
        <w:jc w:val="both"/>
      </w:pPr>
      <w:r>
        <w:rPr>
          <w:rFonts w:ascii="Arial" w:cs="Arial" w:eastAsia="Arial" w:hAnsi="Arial"/>
          <w:color w:val="000000"/>
          <w:sz w:val="20"/>
          <w:szCs w:val="20"/>
        </w:rPr>
        <w:t xml:space="preserve">The scores can be combined into a </w:t>
      </w:r>
      <w:r>
        <w:rPr>
          <w:rFonts w:ascii="Arial" w:cs="Arial" w:eastAsia="Arial" w:hAnsi="Arial"/>
          <w:b/>
          <w:bCs/>
          <w:color w:val="000000"/>
          <w:sz w:val="20"/>
          <w:szCs w:val="20"/>
        </w:rPr>
        <w:t xml:space="preserve">Defendability Factor</w:t>
      </w:r>
      <w:r>
        <w:rPr>
          <w:rFonts w:ascii="Arial" w:cs="Arial" w:eastAsia="Arial" w:hAnsi="Arial"/>
          <w:color w:val="000000"/>
          <w:sz w:val="20"/>
          <w:szCs w:val="20"/>
        </w:rPr>
        <w:t xml:space="preserve">, which measures how likely the claimed secret is to survive the existence test. It is used for triage, so that a company sues on its strongest secrets only.</w:t>
      </w:r>
    </w:p>
    <w:p>
      <w:pPr>
        <w:pStyle w:val="Heading2"/>
        <w:spacing w:after="95" w:before="250"/>
      </w:pPr>
      <w:r>
        <w:rPr>
          <w:rFonts w:ascii="Arial" w:cs="Arial" w:eastAsia="Arial" w:hAnsi="Arial"/>
          <w:b/>
          <w:bCs/>
          <w:color w:val="1F3864"/>
          <w:sz w:val="23"/>
          <w:szCs w:val="23"/>
        </w:rPr>
        <w:t xml:space="preserve">2.3  The EONA proofs</w:t>
      </w:r>
    </w:p>
    <w:p>
      <w:pPr>
        <w:spacing w:after="130" w:line="276"/>
        <w:jc w:val="both"/>
      </w:pPr>
      <w:r>
        <w:rPr>
          <w:rFonts w:ascii="Arial" w:cs="Arial" w:eastAsia="Arial" w:hAnsi="Arial"/>
          <w:color w:val="000000"/>
          <w:sz w:val="20"/>
          <w:szCs w:val="20"/>
        </w:rPr>
        <w:t xml:space="preserve">Six proofs win the case. Use and damages are the same as in patent and copyright. The four unique to trade secrets spell </w:t>
      </w:r>
      <w:r>
        <w:rPr>
          <w:rFonts w:ascii="Arial" w:cs="Arial" w:eastAsia="Arial" w:hAnsi="Arial"/>
          <w:b/>
          <w:bCs/>
          <w:color w:val="000000"/>
          <w:sz w:val="20"/>
          <w:szCs w:val="20"/>
        </w:rPr>
        <w:t xml:space="preserve">EONA</w:t>
      </w:r>
      <w:r>
        <w:rPr>
          <w:rFonts w:ascii="Arial" w:cs="Arial" w:eastAsia="Arial" w:hAnsi="Arial"/>
          <w:color w:val="000000"/>
          <w:sz w:val="20"/>
          <w:szCs w:val="20"/>
        </w:rPr>
        <w:t xml:space="preserve">:</w:t>
      </w:r>
    </w:p>
    <w:p>
      <w:pPr>
        <w:spacing w:after="75" w:line="272"/>
        <w:ind w:left="440" w:hanging="290"/>
        <w:jc w:val="both"/>
      </w:pPr>
      <w:r>
        <w:rPr>
          <w:rFonts w:ascii="Arial" w:cs="Arial" w:eastAsia="Arial" w:hAnsi="Arial"/>
          <w:color w:val="000000"/>
          <w:sz w:val="20"/>
          <w:szCs w:val="20"/>
        </w:rPr>
        <w:t xml:space="preserve">1.  </w:t>
      </w:r>
      <w:r>
        <w:rPr>
          <w:rFonts w:ascii="Arial" w:cs="Arial" w:eastAsia="Arial" w:hAnsi="Arial"/>
          <w:b/>
          <w:bCs/>
          <w:color w:val="000000"/>
          <w:sz w:val="20"/>
          <w:szCs w:val="20"/>
        </w:rPr>
        <w:t xml:space="preserve">Existence.</w:t>
      </w:r>
      <w:r>
        <w:rPr>
          <w:rFonts w:ascii="Arial" w:cs="Arial" w:eastAsia="Arial" w:hAnsi="Arial"/>
          <w:color w:val="000000"/>
          <w:sz w:val="20"/>
          <w:szCs w:val="20"/>
        </w:rPr>
        <w:t xml:space="preserve"> What exactly is the secret? It must be identified with precision.</w:t>
      </w:r>
    </w:p>
    <w:p>
      <w:pPr>
        <w:spacing w:after="75" w:line="272"/>
        <w:ind w:left="440" w:hanging="290"/>
        <w:jc w:val="both"/>
      </w:pPr>
      <w:r>
        <w:rPr>
          <w:rFonts w:ascii="Arial" w:cs="Arial" w:eastAsia="Arial" w:hAnsi="Arial"/>
          <w:color w:val="000000"/>
          <w:sz w:val="20"/>
          <w:szCs w:val="20"/>
        </w:rPr>
        <w:t xml:space="preserve">2.  </w:t>
      </w:r>
      <w:r>
        <w:rPr>
          <w:rFonts w:ascii="Arial" w:cs="Arial" w:eastAsia="Arial" w:hAnsi="Arial"/>
          <w:b/>
          <w:bCs/>
          <w:color w:val="000000"/>
          <w:sz w:val="20"/>
          <w:szCs w:val="20"/>
        </w:rPr>
        <w:t xml:space="preserve">Ownership.</w:t>
      </w:r>
      <w:r>
        <w:rPr>
          <w:rFonts w:ascii="Arial" w:cs="Arial" w:eastAsia="Arial" w:hAnsi="Arial"/>
          <w:color w:val="000000"/>
          <w:sz w:val="20"/>
          <w:szCs w:val="20"/>
        </w:rPr>
        <w:t xml:space="preserve"> Does the plaintiff own it?</w:t>
      </w:r>
    </w:p>
    <w:p>
      <w:pPr>
        <w:spacing w:after="75" w:line="272"/>
        <w:ind w:left="440" w:hanging="290"/>
        <w:jc w:val="both"/>
      </w:pPr>
      <w:r>
        <w:rPr>
          <w:rFonts w:ascii="Arial" w:cs="Arial" w:eastAsia="Arial" w:hAnsi="Arial"/>
          <w:color w:val="000000"/>
          <w:sz w:val="20"/>
          <w:szCs w:val="20"/>
        </w:rPr>
        <w:t xml:space="preserve">3.  </w:t>
      </w:r>
      <w:r>
        <w:rPr>
          <w:rFonts w:ascii="Arial" w:cs="Arial" w:eastAsia="Arial" w:hAnsi="Arial"/>
          <w:b/>
          <w:bCs/>
          <w:color w:val="000000"/>
          <w:sz w:val="20"/>
          <w:szCs w:val="20"/>
        </w:rPr>
        <w:t xml:space="preserve">Notice.</w:t>
      </w:r>
      <w:r>
        <w:rPr>
          <w:rFonts w:ascii="Arial" w:cs="Arial" w:eastAsia="Arial" w:hAnsi="Arial"/>
          <w:color w:val="000000"/>
          <w:sz w:val="20"/>
          <w:szCs w:val="20"/>
        </w:rPr>
        <w:t xml:space="preserve"> Did the defendant have actual, implied or constructive notice of its status?</w:t>
      </w:r>
    </w:p>
    <w:p>
      <w:pPr>
        <w:spacing w:after="75" w:line="272"/>
        <w:ind w:left="440" w:hanging="290"/>
        <w:jc w:val="both"/>
      </w:pPr>
      <w:r>
        <w:rPr>
          <w:rFonts w:ascii="Arial" w:cs="Arial" w:eastAsia="Arial" w:hAnsi="Arial"/>
          <w:color w:val="000000"/>
          <w:sz w:val="20"/>
          <w:szCs w:val="20"/>
        </w:rPr>
        <w:t xml:space="preserve">4.  </w:t>
      </w:r>
      <w:r>
        <w:rPr>
          <w:rFonts w:ascii="Arial" w:cs="Arial" w:eastAsia="Arial" w:hAnsi="Arial"/>
          <w:b/>
          <w:bCs/>
          <w:color w:val="000000"/>
          <w:sz w:val="20"/>
          <w:szCs w:val="20"/>
        </w:rPr>
        <w:t xml:space="preserve">Access.</w:t>
      </w:r>
      <w:r>
        <w:rPr>
          <w:rFonts w:ascii="Arial" w:cs="Arial" w:eastAsia="Arial" w:hAnsi="Arial"/>
          <w:color w:val="000000"/>
          <w:sz w:val="20"/>
          <w:szCs w:val="20"/>
        </w:rPr>
        <w:t xml:space="preserve"> Did the defendant have access to it?</w:t>
      </w:r>
    </w:p>
    <w:p>
      <w:pPr>
        <w:spacing w:after="130" w:line="276"/>
        <w:jc w:val="both"/>
      </w:pPr>
      <w:r>
        <w:rPr>
          <w:rFonts w:ascii="Arial" w:cs="Arial" w:eastAsia="Arial" w:hAnsi="Arial"/>
          <w:color w:val="000000"/>
          <w:sz w:val="20"/>
          <w:szCs w:val="20"/>
        </w:rPr>
        <w:t xml:space="preserve">The typical access pattern is worth memorising, because every Indian employee case follows it. An employee acquires the secret, resigns, joins a competitor, takes the secret along, discloses it, and the new employer then uses it.</w:t>
      </w:r>
    </w:p>
    <w:p>
      <w:pPr>
        <w:pStyle w:val="Heading2"/>
        <w:spacing w:after="95" w:before="250"/>
      </w:pPr>
      <w:r>
        <w:rPr>
          <w:rFonts w:ascii="Arial" w:cs="Arial" w:eastAsia="Arial" w:hAnsi="Arial"/>
          <w:b/>
          <w:bCs/>
          <w:color w:val="1F3864"/>
          <w:sz w:val="23"/>
          <w:szCs w:val="23"/>
        </w:rPr>
        <w:t xml:space="preserve">2.4  Ownership and the four class hypotheticals</w:t>
      </w:r>
    </w:p>
    <w:p>
      <w:pPr>
        <w:spacing w:after="130" w:line="276"/>
        <w:jc w:val="both"/>
      </w:pPr>
      <w:r>
        <w:rPr>
          <w:rFonts w:ascii="Arial" w:cs="Arial" w:eastAsia="Arial" w:hAnsi="Arial"/>
          <w:b/>
          <w:bCs/>
          <w:color w:val="000000"/>
          <w:sz w:val="20"/>
          <w:szCs w:val="20"/>
        </w:rPr>
        <w:t xml:space="preserve">The work for hire doctrine belongs to the United States Copyright Act and does not apply to trade secrets.</w:t>
      </w:r>
      <w:r>
        <w:rPr>
          <w:rFonts w:ascii="Arial" w:cs="Arial" w:eastAsia="Arial" w:hAnsi="Arial"/>
          <w:color w:val="000000"/>
          <w:sz w:val="20"/>
          <w:szCs w:val="20"/>
        </w:rPr>
        <w:t xml:space="preserve"> There must therefore be an assignment from everyone involved in creating the information. The four hypotheticals show where the line falls:</w:t>
      </w:r>
    </w:p>
    <w:p>
      <w:pPr>
        <w:spacing w:after="75" w:line="272"/>
        <w:ind w:left="440" w:hanging="290"/>
        <w:jc w:val="both"/>
      </w:pPr>
      <w:r>
        <w:rPr>
          <w:rFonts w:ascii="Arial" w:cs="Arial" w:eastAsia="Arial" w:hAnsi="Arial"/>
          <w:color w:val="000000"/>
          <w:sz w:val="20"/>
          <w:szCs w:val="20"/>
        </w:rPr>
        <w:t xml:space="preserve">1.  A employs B, a chemist, to develop new products. B develops a floor cleaner formula in that employment and, after leaving, is induced by competitor C to disclose it. </w:t>
      </w:r>
      <w:r>
        <w:rPr>
          <w:rFonts w:ascii="Arial" w:cs="Arial" w:eastAsia="Arial" w:hAnsi="Arial"/>
          <w:b/>
          <w:bCs/>
          <w:color w:val="000000"/>
          <w:sz w:val="20"/>
          <w:szCs w:val="20"/>
        </w:rPr>
        <w:t xml:space="preserve">Both B and C are liable</w:t>
      </w:r>
      <w:r>
        <w:rPr>
          <w:rFonts w:ascii="Arial" w:cs="Arial" w:eastAsia="Arial" w:hAnsi="Arial"/>
          <w:color w:val="000000"/>
          <w:sz w:val="20"/>
          <w:szCs w:val="20"/>
        </w:rPr>
        <w:t xml:space="preserve">, because B was hired to do that work and C induced the disclosure knowingly.</w:t>
      </w:r>
    </w:p>
    <w:p>
      <w:pPr>
        <w:spacing w:after="75" w:line="272"/>
        <w:ind w:left="440" w:hanging="290"/>
        <w:jc w:val="both"/>
      </w:pPr>
      <w:r>
        <w:rPr>
          <w:rFonts w:ascii="Arial" w:cs="Arial" w:eastAsia="Arial" w:hAnsi="Arial"/>
          <w:color w:val="000000"/>
          <w:sz w:val="20"/>
          <w:szCs w:val="20"/>
        </w:rPr>
        <w:t xml:space="preserve">2.  B is hired by A to analyse competitors' formulas, and after leaving does the same work for C using the general skill acquired with A. </w:t>
      </w:r>
      <w:r>
        <w:rPr>
          <w:rFonts w:ascii="Arial" w:cs="Arial" w:eastAsia="Arial" w:hAnsi="Arial"/>
          <w:b/>
          <w:bCs/>
          <w:color w:val="000000"/>
          <w:sz w:val="20"/>
          <w:szCs w:val="20"/>
        </w:rPr>
        <w:t xml:space="preserve">Neither is liable</w:t>
      </w:r>
      <w:r>
        <w:rPr>
          <w:rFonts w:ascii="Arial" w:cs="Arial" w:eastAsia="Arial" w:hAnsi="Arial"/>
          <w:color w:val="000000"/>
          <w:sz w:val="20"/>
          <w:szCs w:val="20"/>
        </w:rPr>
        <w:t xml:space="preserve">, because B carries away skill and not A's secret.</w:t>
      </w:r>
    </w:p>
    <w:p>
      <w:pPr>
        <w:spacing w:after="75" w:line="272"/>
        <w:ind w:left="440" w:hanging="290"/>
        <w:jc w:val="both"/>
      </w:pPr>
      <w:r>
        <w:rPr>
          <w:rFonts w:ascii="Arial" w:cs="Arial" w:eastAsia="Arial" w:hAnsi="Arial"/>
          <w:color w:val="000000"/>
          <w:sz w:val="20"/>
          <w:szCs w:val="20"/>
        </w:rPr>
        <w:t xml:space="preserve">3.  B, a toy designer with A, invents a new manufacturing process, leaves, and helps implement it at a rival. </w:t>
      </w:r>
      <w:r>
        <w:rPr>
          <w:rFonts w:ascii="Arial" w:cs="Arial" w:eastAsia="Arial" w:hAnsi="Arial"/>
          <w:b/>
          <w:bCs/>
          <w:color w:val="000000"/>
          <w:sz w:val="20"/>
          <w:szCs w:val="20"/>
        </w:rPr>
        <w:t xml:space="preserve">Rights belong to B</w:t>
      </w:r>
      <w:r>
        <w:rPr>
          <w:rFonts w:ascii="Arial" w:cs="Arial" w:eastAsia="Arial" w:hAnsi="Arial"/>
          <w:color w:val="000000"/>
          <w:sz w:val="20"/>
          <w:szCs w:val="20"/>
        </w:rPr>
        <w:t xml:space="preserve"> absent agreement, because the process was not part of B's assigned duties, but A may have a </w:t>
      </w:r>
      <w:r>
        <w:rPr>
          <w:rFonts w:ascii="Arial" w:cs="Arial" w:eastAsia="Arial" w:hAnsi="Arial"/>
          <w:b/>
          <w:bCs/>
          <w:color w:val="000000"/>
          <w:sz w:val="20"/>
          <w:szCs w:val="20"/>
        </w:rPr>
        <w:t xml:space="preserve">shop right</w:t>
      </w:r>
      <w:r>
        <w:rPr>
          <w:rFonts w:ascii="Arial" w:cs="Arial" w:eastAsia="Arial" w:hAnsi="Arial"/>
          <w:color w:val="000000"/>
          <w:sz w:val="20"/>
          <w:szCs w:val="20"/>
        </w:rPr>
        <w:t xml:space="preserve"> if B used A's time, personnel, facilities or equipment.</w:t>
      </w:r>
    </w:p>
    <w:p>
      <w:pPr>
        <w:spacing w:after="75" w:line="272"/>
        <w:ind w:left="440" w:hanging="290"/>
        <w:jc w:val="both"/>
      </w:pPr>
      <w:r>
        <w:rPr>
          <w:rFonts w:ascii="Arial" w:cs="Arial" w:eastAsia="Arial" w:hAnsi="Arial"/>
          <w:color w:val="000000"/>
          <w:sz w:val="20"/>
          <w:szCs w:val="20"/>
        </w:rPr>
        <w:t xml:space="preserve">4.  A third party acquires the same secret lawfully, by reverse engineering or independent development. </w:t>
      </w:r>
      <w:r>
        <w:rPr>
          <w:rFonts w:ascii="Arial" w:cs="Arial" w:eastAsia="Arial" w:hAnsi="Arial"/>
          <w:b/>
          <w:bCs/>
          <w:color w:val="000000"/>
          <w:sz w:val="20"/>
          <w:szCs w:val="20"/>
        </w:rPr>
        <w:t xml:space="preserve">That party becomes an owner too</w:t>
      </w:r>
      <w:r>
        <w:rPr>
          <w:rFonts w:ascii="Arial" w:cs="Arial" w:eastAsia="Arial" w:hAnsi="Arial"/>
          <w:color w:val="000000"/>
          <w:sz w:val="20"/>
          <w:szCs w:val="20"/>
        </w:rPr>
        <w:t xml:space="preserve">, and cannot be sued for misappropriation.</w:t>
      </w:r>
    </w:p>
    <w:p>
      <w:pPr>
        <w:spacing w:after="130" w:line="276"/>
        <w:jc w:val="both"/>
      </w:pPr>
      <w:r>
        <w:rPr>
          <w:rFonts w:ascii="Arial" w:cs="Arial" w:eastAsia="Arial" w:hAnsi="Arial"/>
          <w:color w:val="000000"/>
          <w:sz w:val="20"/>
          <w:szCs w:val="20"/>
        </w:rPr>
        <w:t xml:space="preserve">Two employees can do almost the same thing and reach opposite results. What decides it is whether the information was the product of the assigned duties, and whether what the employee carries away is the employer's secret or the employee's own skill.</w:t>
      </w:r>
    </w:p>
    <w:p>
      <w:pPr>
        <w:pStyle w:val="Heading2"/>
        <w:spacing w:after="95" w:before="250"/>
      </w:pPr>
      <w:r>
        <w:rPr>
          <w:rFonts w:ascii="Arial" w:cs="Arial" w:eastAsia="Arial" w:hAnsi="Arial"/>
          <w:b/>
          <w:bCs/>
          <w:color w:val="1F3864"/>
          <w:sz w:val="23"/>
          <w:szCs w:val="23"/>
        </w:rPr>
        <w:t xml:space="preserve">2.5  The burden of proof, in four steps</w:t>
      </w:r>
    </w:p>
    <w:p>
      <w:pPr>
        <w:spacing w:after="75" w:line="272"/>
        <w:ind w:left="440" w:hanging="290"/>
        <w:jc w:val="both"/>
      </w:pPr>
      <w:r>
        <w:rPr>
          <w:rFonts w:ascii="Arial" w:cs="Arial" w:eastAsia="Arial" w:hAnsi="Arial"/>
          <w:color w:val="000000"/>
          <w:sz w:val="20"/>
          <w:szCs w:val="20"/>
        </w:rPr>
        <w:t xml:space="preserve">1.  </w:t>
      </w:r>
      <w:r>
        <w:rPr>
          <w:rFonts w:ascii="Arial" w:cs="Arial" w:eastAsia="Arial" w:hAnsi="Arial"/>
          <w:b/>
          <w:bCs/>
          <w:color w:val="000000"/>
          <w:sz w:val="20"/>
          <w:szCs w:val="20"/>
        </w:rPr>
        <w:t xml:space="preserve">Establish the secret character.</w:t>
      </w:r>
      <w:r>
        <w:rPr>
          <w:rFonts w:ascii="Arial" w:cs="Arial" w:eastAsia="Arial" w:hAnsi="Arial"/>
          <w:color w:val="000000"/>
          <w:sz w:val="20"/>
          <w:szCs w:val="20"/>
        </w:rPr>
        <w:t xml:space="preserve"> Prove the specific information was not publicly known and was treated as confidential. Internal or unpublished is not enough.</w:t>
      </w:r>
    </w:p>
    <w:p>
      <w:pPr>
        <w:spacing w:after="75" w:line="272"/>
        <w:ind w:left="440" w:hanging="290"/>
        <w:jc w:val="both"/>
      </w:pPr>
      <w:r>
        <w:rPr>
          <w:rFonts w:ascii="Arial" w:cs="Arial" w:eastAsia="Arial" w:hAnsi="Arial"/>
          <w:color w:val="000000"/>
          <w:sz w:val="20"/>
          <w:szCs w:val="20"/>
        </w:rPr>
        <w:t xml:space="preserve">2.  </w:t>
      </w:r>
      <w:r>
        <w:rPr>
          <w:rFonts w:ascii="Arial" w:cs="Arial" w:eastAsia="Arial" w:hAnsi="Arial"/>
          <w:b/>
          <w:bCs/>
          <w:color w:val="000000"/>
          <w:sz w:val="20"/>
          <w:szCs w:val="20"/>
        </w:rPr>
        <w:t xml:space="preserve">Demonstrate reasonable steps</w:t>
      </w:r>
      <w:r>
        <w:rPr>
          <w:rFonts w:ascii="Arial" w:cs="Arial" w:eastAsia="Arial" w:hAnsi="Arial"/>
          <w:color w:val="000000"/>
          <w:sz w:val="20"/>
          <w:szCs w:val="20"/>
        </w:rPr>
        <w:t xml:space="preserve">, documented through restricted access, passwords, training and signed agreements.</w:t>
      </w:r>
    </w:p>
    <w:p>
      <w:pPr>
        <w:spacing w:after="75" w:line="272"/>
        <w:ind w:left="440" w:hanging="290"/>
        <w:jc w:val="both"/>
      </w:pPr>
      <w:r>
        <w:rPr>
          <w:rFonts w:ascii="Arial" w:cs="Arial" w:eastAsia="Arial" w:hAnsi="Arial"/>
          <w:color w:val="000000"/>
          <w:sz w:val="20"/>
          <w:szCs w:val="20"/>
        </w:rPr>
        <w:t xml:space="preserve">3.  </w:t>
      </w:r>
      <w:r>
        <w:rPr>
          <w:rFonts w:ascii="Arial" w:cs="Arial" w:eastAsia="Arial" w:hAnsi="Arial"/>
          <w:b/>
          <w:bCs/>
          <w:color w:val="000000"/>
          <w:sz w:val="20"/>
          <w:szCs w:val="20"/>
        </w:rPr>
        <w:t xml:space="preserve">Distinguish skill from secret</w:t>
      </w:r>
      <w:r>
        <w:rPr>
          <w:rFonts w:ascii="Arial" w:cs="Arial" w:eastAsia="Arial" w:hAnsi="Arial"/>
          <w:color w:val="000000"/>
          <w:sz w:val="20"/>
          <w:szCs w:val="20"/>
        </w:rPr>
        <w:t xml:space="preserve">, drawing a clear line between what belongs to the employer and what belongs to the employee.</w:t>
      </w:r>
    </w:p>
    <w:p>
      <w:pPr>
        <w:spacing w:after="75" w:line="272"/>
        <w:ind w:left="440" w:hanging="290"/>
        <w:jc w:val="both"/>
      </w:pPr>
      <w:r>
        <w:rPr>
          <w:rFonts w:ascii="Arial" w:cs="Arial" w:eastAsia="Arial" w:hAnsi="Arial"/>
          <w:color w:val="000000"/>
          <w:sz w:val="20"/>
          <w:szCs w:val="20"/>
        </w:rPr>
        <w:t xml:space="preserve">4.  </w:t>
      </w:r>
      <w:r>
        <w:rPr>
          <w:rFonts w:ascii="Arial" w:cs="Arial" w:eastAsia="Arial" w:hAnsi="Arial"/>
          <w:b/>
          <w:bCs/>
          <w:color w:val="000000"/>
          <w:sz w:val="20"/>
          <w:szCs w:val="20"/>
        </w:rPr>
        <w:t xml:space="preserve">Prove actual or threatened misuse.</w:t>
      </w:r>
      <w:r>
        <w:rPr>
          <w:rFonts w:ascii="Arial" w:cs="Arial" w:eastAsia="Arial" w:hAnsi="Arial"/>
          <w:color w:val="000000"/>
          <w:sz w:val="20"/>
          <w:szCs w:val="20"/>
        </w:rPr>
        <w:t xml:space="preserve"> After </w:t>
      </w:r>
      <w:r>
        <w:rPr>
          <w:rFonts w:ascii="Arial" w:cs="Arial" w:eastAsia="Arial" w:hAnsi="Arial"/>
          <w:b/>
          <w:bCs/>
          <w:i/>
          <w:iCs/>
          <w:color w:val="000000"/>
          <w:sz w:val="20"/>
          <w:szCs w:val="20"/>
        </w:rPr>
        <w:t xml:space="preserve">Varun Tyagi</w:t>
      </w:r>
      <w:r>
        <w:rPr>
          <w:rFonts w:ascii="Arial" w:cs="Arial" w:eastAsia="Arial" w:hAnsi="Arial"/>
          <w:color w:val="000000"/>
          <w:sz w:val="20"/>
          <w:szCs w:val="20"/>
        </w:rPr>
        <w:t xml:space="preserve">, mere employment with a competitor is not enough.</w:t>
      </w:r>
    </w:p>
    <w:p>
      <w:pPr>
        <w:pBdr>
          <w:top w:val="single" w:color="D6B656" w:sz="2" w:space="6"/>
          <w:bottom w:val="single" w:color="D6B656" w:sz="2" w:space="6"/>
          <w:left w:val="single" w:color="D6B656" w:sz="2" w:space="6"/>
          <w:right w:val="single" w:color="D6B656" w:sz="2" w:space="6"/>
        </w:pBdr>
        <w:shd w:fill="FFF2CC" w:val="clear"/>
        <w:spacing w:after="180" w:before="120" w:line="276"/>
        <w:ind w:left="170" w:right="170"/>
        <w:jc w:val="both"/>
      </w:pPr>
      <w:r>
        <w:rPr>
          <w:rFonts w:ascii="Arial" w:cs="Arial" w:eastAsia="Arial" w:hAnsi="Arial"/>
          <w:b/>
          <w:bCs/>
          <w:color w:val="000000"/>
          <w:sz w:val="20"/>
          <w:szCs w:val="20"/>
        </w:rPr>
        <w:t xml:space="preserve">Best revision device in the module.</w:t>
      </w:r>
      <w:r>
        <w:rPr>
          <w:rFonts w:ascii="Arial" w:cs="Arial" w:eastAsia="Arial" w:hAnsi="Arial"/>
          <w:color w:val="000000"/>
          <w:sz w:val="20"/>
          <w:szCs w:val="20"/>
        </w:rPr>
        <w:t xml:space="preserve"> Every Indian case fails or succeeds at an identifiable rung. </w:t>
      </w:r>
      <w:r>
        <w:rPr>
          <w:rFonts w:ascii="Arial" w:cs="Arial" w:eastAsia="Arial" w:hAnsi="Arial"/>
          <w:b/>
          <w:bCs/>
          <w:i/>
          <w:iCs/>
          <w:color w:val="000000"/>
          <w:sz w:val="20"/>
          <w:szCs w:val="20"/>
        </w:rPr>
        <w:t xml:space="preserve">Priya Puri</w:t>
      </w:r>
      <w:r>
        <w:rPr>
          <w:rFonts w:ascii="Arial" w:cs="Arial" w:eastAsia="Arial" w:hAnsi="Arial"/>
          <w:color w:val="000000"/>
          <w:sz w:val="20"/>
          <w:szCs w:val="20"/>
        </w:rPr>
        <w:t xml:space="preserve"> fails at rung one on secret character, </w:t>
      </w:r>
      <w:r>
        <w:rPr>
          <w:rFonts w:ascii="Arial" w:cs="Arial" w:eastAsia="Arial" w:hAnsi="Arial"/>
          <w:b/>
          <w:bCs/>
          <w:i/>
          <w:iCs/>
          <w:color w:val="000000"/>
          <w:sz w:val="20"/>
          <w:szCs w:val="20"/>
        </w:rPr>
        <w:t xml:space="preserve">Navigators Logistics</w:t>
      </w:r>
      <w:r>
        <w:rPr>
          <w:rFonts w:ascii="Arial" w:cs="Arial" w:eastAsia="Arial" w:hAnsi="Arial"/>
          <w:color w:val="000000"/>
          <w:sz w:val="20"/>
          <w:szCs w:val="20"/>
        </w:rPr>
        <w:t xml:space="preserve"> fails at rung one on pleading, and </w:t>
      </w:r>
      <w:r>
        <w:rPr>
          <w:rFonts w:ascii="Arial" w:cs="Arial" w:eastAsia="Arial" w:hAnsi="Arial"/>
          <w:b/>
          <w:bCs/>
          <w:i/>
          <w:iCs/>
          <w:color w:val="000000"/>
          <w:sz w:val="20"/>
          <w:szCs w:val="20"/>
        </w:rPr>
        <w:t xml:space="preserve">Varun Tyagi</w:t>
      </w:r>
      <w:r>
        <w:rPr>
          <w:rFonts w:ascii="Arial" w:cs="Arial" w:eastAsia="Arial" w:hAnsi="Arial"/>
          <w:color w:val="000000"/>
          <w:sz w:val="20"/>
          <w:szCs w:val="20"/>
        </w:rPr>
        <w:t xml:space="preserve"> fails at rung four.</w:t>
      </w:r>
    </w:p>
    <w:p>
      <w:pPr>
        <w:pStyle w:val="Heading1"/>
        <w:pBdr>
          <w:bottom w:val="single" w:color="1F3864" w:sz="8" w:space="6"/>
        </w:pBdr>
        <w:spacing w:after="170" w:before="380"/>
      </w:pPr>
      <w:r>
        <w:rPr>
          <w:rFonts w:ascii="Arial" w:cs="Arial" w:eastAsia="Arial" w:hAnsi="Arial"/>
          <w:b/>
          <w:bCs/>
          <w:color w:val="1F3864"/>
          <w:sz w:val="28"/>
          <w:szCs w:val="28"/>
        </w:rPr>
        <w:t xml:space="preserve">Part 3.  The international rules</w:t>
      </w:r>
    </w:p>
    <w:p>
      <w:pPr>
        <w:pStyle w:val="Heading2"/>
        <w:spacing w:after="95" w:before="250"/>
      </w:pPr>
      <w:r>
        <w:rPr>
          <w:rFonts w:ascii="Arial" w:cs="Arial" w:eastAsia="Arial" w:hAnsi="Arial"/>
          <w:b/>
          <w:bCs/>
          <w:color w:val="1F3864"/>
          <w:sz w:val="23"/>
          <w:szCs w:val="23"/>
        </w:rPr>
        <w:t xml:space="preserve">3.1  Paris Convention, 1883</w:t>
      </w:r>
    </w:p>
    <w:p>
      <w:pPr>
        <w:spacing w:after="130" w:line="276"/>
        <w:jc w:val="both"/>
      </w:pPr>
      <w:r>
        <w:rPr>
          <w:rFonts w:ascii="Arial" w:cs="Arial" w:eastAsia="Arial" w:hAnsi="Arial"/>
          <w:color w:val="000000"/>
          <w:sz w:val="20"/>
          <w:szCs w:val="20"/>
        </w:rPr>
        <w:t xml:space="preserve">Paris does not list trade secrets as a category. Protection rests on </w:t>
      </w:r>
      <w:r>
        <w:rPr>
          <w:rFonts w:ascii="Arial" w:cs="Arial" w:eastAsia="Arial" w:hAnsi="Arial"/>
          <w:b/>
          <w:bCs/>
          <w:color w:val="000000"/>
          <w:sz w:val="20"/>
          <w:szCs w:val="20"/>
        </w:rPr>
        <w:t xml:space="preserve">Article 10bis</w:t>
      </w:r>
      <w:r>
        <w:rPr>
          <w:rFonts w:ascii="Arial" w:cs="Arial" w:eastAsia="Arial" w:hAnsi="Arial"/>
          <w:color w:val="000000"/>
          <w:sz w:val="20"/>
          <w:szCs w:val="20"/>
        </w:rPr>
        <w:t xml:space="preserve">, which requires effective protection against </w:t>
      </w:r>
      <w:r>
        <w:rPr>
          <w:rFonts w:ascii="Arial" w:cs="Arial" w:eastAsia="Arial" w:hAnsi="Arial"/>
          <w:b/>
          <w:bCs/>
          <w:color w:val="000000"/>
          <w:sz w:val="20"/>
          <w:szCs w:val="20"/>
        </w:rPr>
        <w:t xml:space="preserve">unfair competition</w:t>
      </w:r>
      <w:r>
        <w:rPr>
          <w:rFonts w:ascii="Arial" w:cs="Arial" w:eastAsia="Arial" w:hAnsi="Arial"/>
          <w:color w:val="000000"/>
          <w:sz w:val="20"/>
          <w:szCs w:val="20"/>
        </w:rPr>
        <w:t xml:space="preserve">, meaning any act of competition contrary to honest practices in industrial or commercial matters. </w:t>
      </w:r>
      <w:r>
        <w:rPr>
          <w:rFonts w:ascii="Arial" w:cs="Arial" w:eastAsia="Arial" w:hAnsi="Arial"/>
          <w:b/>
          <w:bCs/>
          <w:color w:val="000000"/>
          <w:sz w:val="20"/>
          <w:szCs w:val="20"/>
        </w:rPr>
        <w:t xml:space="preserve">Article 10ter</w:t>
      </w:r>
      <w:r>
        <w:rPr>
          <w:rFonts w:ascii="Arial" w:cs="Arial" w:eastAsia="Arial" w:hAnsi="Arial"/>
          <w:color w:val="000000"/>
          <w:sz w:val="20"/>
          <w:szCs w:val="20"/>
        </w:rPr>
        <w:t xml:space="preserve"> requires appropriate legal remedies.</w:t>
      </w:r>
    </w:p>
    <w:p>
      <w:pPr>
        <w:spacing w:after="130" w:line="276"/>
        <w:jc w:val="both"/>
      </w:pPr>
      <w:r>
        <w:rPr>
          <w:rFonts w:ascii="Arial" w:cs="Arial" w:eastAsia="Arial" w:hAnsi="Arial"/>
          <w:i/>
          <w:iCs/>
          <w:color w:val="000000"/>
          <w:sz w:val="20"/>
          <w:szCs w:val="20"/>
        </w:rPr>
        <w:t xml:space="preserve">Slide error.</w:t>
      </w:r>
      <w:r>
        <w:rPr>
          <w:rFonts w:ascii="Arial" w:cs="Arial" w:eastAsia="Arial" w:hAnsi="Arial"/>
          <w:color w:val="000000"/>
          <w:sz w:val="20"/>
          <w:szCs w:val="20"/>
        </w:rPr>
        <w:t xml:space="preserve"> The deck cites Article 10. </w:t>
      </w:r>
      <w:r>
        <w:rPr>
          <w:rFonts w:ascii="Arial" w:cs="Arial" w:eastAsia="Arial" w:hAnsi="Arial"/>
          <w:b/>
          <w:bCs/>
          <w:color w:val="000000"/>
          <w:sz w:val="20"/>
          <w:szCs w:val="20"/>
        </w:rPr>
        <w:t xml:space="preserve">Article 10 deals with false indications of source. The unfair competition provision is Article 10bis.</w:t>
      </w:r>
    </w:p>
    <w:p>
      <w:pPr>
        <w:pStyle w:val="Heading2"/>
        <w:spacing w:after="95" w:before="250"/>
      </w:pPr>
      <w:r>
        <w:rPr>
          <w:rFonts w:ascii="Arial" w:cs="Arial" w:eastAsia="Arial" w:hAnsi="Arial"/>
          <w:b/>
          <w:bCs/>
          <w:color w:val="1F3864"/>
          <w:sz w:val="23"/>
          <w:szCs w:val="23"/>
        </w:rPr>
        <w:t xml:space="preserve">3.2  TRIPS Article 39</w:t>
      </w:r>
    </w:p>
    <w:p>
      <w:pPr>
        <w:spacing w:after="130" w:line="276"/>
        <w:jc w:val="both"/>
      </w:pPr>
      <w:r>
        <w:rPr>
          <w:rFonts w:ascii="Arial" w:cs="Arial" w:eastAsia="Arial" w:hAnsi="Arial"/>
          <w:color w:val="000000"/>
          <w:sz w:val="20"/>
          <w:szCs w:val="20"/>
        </w:rPr>
        <w:t xml:space="preserve">Article 39 is headed </w:t>
      </w:r>
      <w:r>
        <w:rPr>
          <w:rFonts w:ascii="Arial" w:cs="Arial" w:eastAsia="Arial" w:hAnsi="Arial"/>
          <w:i/>
          <w:iCs/>
          <w:color w:val="000000"/>
          <w:sz w:val="20"/>
          <w:szCs w:val="20"/>
        </w:rPr>
        <w:t xml:space="preserve">Protection of Undisclosed Information</w:t>
      </w:r>
      <w:r>
        <w:rPr>
          <w:rFonts w:ascii="Arial" w:cs="Arial" w:eastAsia="Arial" w:hAnsi="Arial"/>
          <w:color w:val="000000"/>
          <w:sz w:val="20"/>
          <w:szCs w:val="20"/>
        </w:rPr>
        <w:t xml:space="preserve">. It is the first time a multilateral treaty obliged States to protect trade secrets.</w:t>
      </w:r>
    </w:p>
    <w:p>
      <w:pPr>
        <w:spacing w:after="75" w:line="272"/>
        <w:ind w:left="440" w:hanging="290"/>
        <w:jc w:val="both"/>
      </w:pPr>
      <w:r>
        <w:rPr>
          <w:rFonts w:ascii="Arial" w:cs="Arial" w:eastAsia="Arial" w:hAnsi="Arial"/>
          <w:color w:val="000000"/>
          <w:sz w:val="20"/>
          <w:szCs w:val="20"/>
        </w:rPr>
        <w:t xml:space="preserve">1.  </w:t>
      </w:r>
      <w:r>
        <w:rPr>
          <w:rFonts w:ascii="Arial" w:cs="Arial" w:eastAsia="Arial" w:hAnsi="Arial"/>
          <w:b/>
          <w:bCs/>
          <w:color w:val="000000"/>
          <w:sz w:val="20"/>
          <w:szCs w:val="20"/>
        </w:rPr>
        <w:t xml:space="preserve">Article 39(1)</w:t>
      </w:r>
      <w:r>
        <w:rPr>
          <w:rFonts w:ascii="Arial" w:cs="Arial" w:eastAsia="Arial" w:hAnsi="Arial"/>
          <w:color w:val="000000"/>
          <w:sz w:val="20"/>
          <w:szCs w:val="20"/>
        </w:rPr>
        <w:t xml:space="preserve"> ties the obligation to Article 10bis of Paris.</w:t>
      </w:r>
    </w:p>
    <w:p>
      <w:pPr>
        <w:spacing w:after="75" w:line="272"/>
        <w:ind w:left="440" w:hanging="290"/>
        <w:jc w:val="both"/>
      </w:pPr>
      <w:r>
        <w:rPr>
          <w:rFonts w:ascii="Arial" w:cs="Arial" w:eastAsia="Arial" w:hAnsi="Arial"/>
          <w:color w:val="000000"/>
          <w:sz w:val="20"/>
          <w:szCs w:val="20"/>
        </w:rPr>
        <w:t xml:space="preserve">2.  </w:t>
      </w:r>
      <w:r>
        <w:rPr>
          <w:rFonts w:ascii="Arial" w:cs="Arial" w:eastAsia="Arial" w:hAnsi="Arial"/>
          <w:b/>
          <w:bCs/>
          <w:color w:val="000000"/>
          <w:sz w:val="20"/>
          <w:szCs w:val="20"/>
        </w:rPr>
        <w:t xml:space="preserve">Article 39(2)</w:t>
      </w:r>
      <w:r>
        <w:rPr>
          <w:rFonts w:ascii="Arial" w:cs="Arial" w:eastAsia="Arial" w:hAnsi="Arial"/>
          <w:color w:val="000000"/>
          <w:sz w:val="20"/>
          <w:szCs w:val="20"/>
        </w:rPr>
        <w:t xml:space="preserve"> requires that persons have the possibility of preventing information lawfully in their control from being disclosed, acquired or used without consent </w:t>
      </w:r>
      <w:r>
        <w:rPr>
          <w:rFonts w:ascii="Arial" w:cs="Arial" w:eastAsia="Arial" w:hAnsi="Arial"/>
          <w:b/>
          <w:bCs/>
          <w:color w:val="000000"/>
          <w:sz w:val="20"/>
          <w:szCs w:val="20"/>
        </w:rPr>
        <w:t xml:space="preserve">in a manner contrary to honest commercial practices</w:t>
      </w:r>
      <w:r>
        <w:rPr>
          <w:rFonts w:ascii="Arial" w:cs="Arial" w:eastAsia="Arial" w:hAnsi="Arial"/>
          <w:color w:val="000000"/>
          <w:sz w:val="20"/>
          <w:szCs w:val="20"/>
        </w:rPr>
        <w:t xml:space="preserve">, provided the three ingredients are satisfied. That phrase means at least breach of contract, breach of confidence and inducement to breach, and it covers third parties who </w:t>
      </w:r>
      <w:r>
        <w:rPr>
          <w:rFonts w:ascii="Arial" w:cs="Arial" w:eastAsia="Arial" w:hAnsi="Arial"/>
          <w:b/>
          <w:bCs/>
          <w:color w:val="000000"/>
          <w:sz w:val="20"/>
          <w:szCs w:val="20"/>
        </w:rPr>
        <w:t xml:space="preserve">knew, or were grossly negligent in failing to know</w:t>
      </w:r>
      <w:r>
        <w:rPr>
          <w:rFonts w:ascii="Arial" w:cs="Arial" w:eastAsia="Arial" w:hAnsi="Arial"/>
          <w:color w:val="000000"/>
          <w:sz w:val="20"/>
          <w:szCs w:val="20"/>
        </w:rPr>
        <w:t xml:space="preserve">, of such practices.</w:t>
      </w:r>
    </w:p>
    <w:p>
      <w:pPr>
        <w:spacing w:after="75" w:line="272"/>
        <w:ind w:left="440" w:hanging="290"/>
        <w:jc w:val="both"/>
      </w:pPr>
      <w:r>
        <w:rPr>
          <w:rFonts w:ascii="Arial" w:cs="Arial" w:eastAsia="Arial" w:hAnsi="Arial"/>
          <w:color w:val="000000"/>
          <w:sz w:val="20"/>
          <w:szCs w:val="20"/>
        </w:rPr>
        <w:t xml:space="preserve">3.  </w:t>
      </w:r>
      <w:r>
        <w:rPr>
          <w:rFonts w:ascii="Arial" w:cs="Arial" w:eastAsia="Arial" w:hAnsi="Arial"/>
          <w:b/>
          <w:bCs/>
          <w:color w:val="000000"/>
          <w:sz w:val="20"/>
          <w:szCs w:val="20"/>
        </w:rPr>
        <w:t xml:space="preserve">Article 39(3)</w:t>
      </w:r>
      <w:r>
        <w:rPr>
          <w:rFonts w:ascii="Arial" w:cs="Arial" w:eastAsia="Arial" w:hAnsi="Arial"/>
          <w:color w:val="000000"/>
          <w:sz w:val="20"/>
          <w:szCs w:val="20"/>
        </w:rPr>
        <w:t xml:space="preserve"> protects regulatory data. Undisclosed test data whose origination involved considerable effort, submitted to obtain marketing approval for pharmaceutical or agricultural chemical products using new chemical entities, must be protected against unfair commercial use and against disclosure.</w:t>
      </w:r>
    </w:p>
    <w:p>
      <w:pPr>
        <w:spacing w:after="130" w:line="276"/>
        <w:jc w:val="both"/>
      </w:pPr>
      <w:r>
        <w:rPr>
          <w:rFonts w:ascii="Arial" w:cs="Arial" w:eastAsia="Arial" w:hAnsi="Arial"/>
          <w:color w:val="000000"/>
          <w:sz w:val="20"/>
          <w:szCs w:val="20"/>
        </w:rPr>
        <w:t xml:space="preserve">Three procedural articles support it. </w:t>
      </w:r>
      <w:r>
        <w:rPr>
          <w:rFonts w:ascii="Arial" w:cs="Arial" w:eastAsia="Arial" w:hAnsi="Arial"/>
          <w:b/>
          <w:bCs/>
          <w:color w:val="000000"/>
          <w:sz w:val="20"/>
          <w:szCs w:val="20"/>
        </w:rPr>
        <w:t xml:space="preserve">Article 42</w:t>
      </w:r>
      <w:r>
        <w:rPr>
          <w:rFonts w:ascii="Arial" w:cs="Arial" w:eastAsia="Arial" w:hAnsi="Arial"/>
          <w:color w:val="000000"/>
          <w:sz w:val="20"/>
          <w:szCs w:val="20"/>
        </w:rPr>
        <w:t xml:space="preserve"> requires fair and equitable procedures, including protection of the parties' confidential information. </w:t>
      </w:r>
      <w:r>
        <w:rPr>
          <w:rFonts w:ascii="Arial" w:cs="Arial" w:eastAsia="Arial" w:hAnsi="Arial"/>
          <w:b/>
          <w:bCs/>
          <w:color w:val="000000"/>
          <w:sz w:val="20"/>
          <w:szCs w:val="20"/>
        </w:rPr>
        <w:t xml:space="preserve">Article 44</w:t>
      </w:r>
      <w:r>
        <w:rPr>
          <w:rFonts w:ascii="Arial" w:cs="Arial" w:eastAsia="Arial" w:hAnsi="Arial"/>
          <w:color w:val="000000"/>
          <w:sz w:val="20"/>
          <w:szCs w:val="20"/>
        </w:rPr>
        <w:t xml:space="preserve"> requires power to grant injunctions, including against infringing imports after customs clearance. </w:t>
      </w:r>
      <w:r>
        <w:rPr>
          <w:rFonts w:ascii="Arial" w:cs="Arial" w:eastAsia="Arial" w:hAnsi="Arial"/>
          <w:b/>
          <w:bCs/>
          <w:color w:val="000000"/>
          <w:sz w:val="20"/>
          <w:szCs w:val="20"/>
        </w:rPr>
        <w:t xml:space="preserve">Article 45</w:t>
      </w:r>
      <w:r>
        <w:rPr>
          <w:rFonts w:ascii="Arial" w:cs="Arial" w:eastAsia="Arial" w:hAnsi="Arial"/>
          <w:color w:val="000000"/>
          <w:sz w:val="20"/>
          <w:szCs w:val="20"/>
        </w:rPr>
        <w:t xml:space="preserve"> requires power to award damages and expenses, which may include attorney fees.</w:t>
      </w:r>
    </w:p>
    <w:p>
      <w:pPr>
        <w:pBdr>
          <w:top w:val="single" w:color="D6B656" w:sz="2" w:space="6"/>
          <w:bottom w:val="single" w:color="D6B656" w:sz="2" w:space="6"/>
          <w:left w:val="single" w:color="D6B656" w:sz="2" w:space="6"/>
          <w:right w:val="single" w:color="D6B656" w:sz="2" w:space="6"/>
        </w:pBdr>
        <w:shd w:fill="FFF2CC" w:val="clear"/>
        <w:spacing w:after="180" w:before="120" w:line="276"/>
        <w:ind w:left="170" w:right="170"/>
        <w:jc w:val="both"/>
      </w:pPr>
      <w:r>
        <w:rPr>
          <w:rFonts w:ascii="Arial" w:cs="Arial" w:eastAsia="Arial" w:hAnsi="Arial"/>
          <w:b/>
          <w:bCs/>
          <w:color w:val="000000"/>
          <w:sz w:val="20"/>
          <w:szCs w:val="20"/>
        </w:rPr>
        <w:t xml:space="preserve">The pivot of the whole Indian debate.</w:t>
      </w:r>
      <w:r>
        <w:rPr>
          <w:rFonts w:ascii="Arial" w:cs="Arial" w:eastAsia="Arial" w:hAnsi="Arial"/>
          <w:color w:val="000000"/>
          <w:sz w:val="20"/>
          <w:szCs w:val="20"/>
        </w:rPr>
        <w:t xml:space="preserve"> Article 39(2) requires only the </w:t>
      </w:r>
      <w:r>
        <w:rPr>
          <w:rFonts w:ascii="Arial" w:cs="Arial" w:eastAsia="Arial" w:hAnsi="Arial"/>
          <w:b/>
          <w:bCs/>
          <w:color w:val="000000"/>
          <w:sz w:val="20"/>
          <w:szCs w:val="20"/>
        </w:rPr>
        <w:t xml:space="preserve">possibility</w:t>
      </w:r>
      <w:r>
        <w:rPr>
          <w:rFonts w:ascii="Arial" w:cs="Arial" w:eastAsia="Arial" w:hAnsi="Arial"/>
          <w:color w:val="000000"/>
          <w:sz w:val="20"/>
          <w:szCs w:val="20"/>
        </w:rPr>
        <w:t xml:space="preserve"> of preventing misuse. It does not prescribe a statute. That single word is why India can claim TRIPS compliance with no trade secret Act.</w:t>
      </w:r>
    </w:p>
    <w:p>
      <w:pPr>
        <w:pStyle w:val="Heading1"/>
        <w:pBdr>
          <w:bottom w:val="single" w:color="1F3864" w:sz="8" w:space="6"/>
        </w:pBdr>
        <w:spacing w:after="170" w:before="380"/>
      </w:pPr>
      <w:r>
        <w:rPr>
          <w:rFonts w:ascii="Arial" w:cs="Arial" w:eastAsia="Arial" w:hAnsi="Arial"/>
          <w:b/>
          <w:bCs/>
          <w:color w:val="1F3864"/>
          <w:sz w:val="28"/>
          <w:szCs w:val="28"/>
        </w:rPr>
        <w:t xml:space="preserve">Part 4.  United States law</w:t>
      </w:r>
    </w:p>
    <w:p>
      <w:pPr>
        <w:pStyle w:val="Heading2"/>
        <w:spacing w:after="95" w:before="250"/>
      </w:pPr>
      <w:r>
        <w:rPr>
          <w:rFonts w:ascii="Arial" w:cs="Arial" w:eastAsia="Arial" w:hAnsi="Arial"/>
          <w:b/>
          <w:bCs/>
          <w:color w:val="1F3864"/>
          <w:sz w:val="23"/>
          <w:szCs w:val="23"/>
        </w:rPr>
        <w:t xml:space="preserve">4.1  The five layers</w:t>
      </w:r>
    </w:p>
    <w:p>
      <w:pPr>
        <w:spacing w:after="75" w:line="272"/>
        <w:ind w:left="440" w:hanging="290"/>
        <w:jc w:val="both"/>
      </w:pPr>
      <w:r>
        <w:rPr>
          <w:rFonts w:ascii="Arial" w:cs="Arial" w:eastAsia="Arial" w:hAnsi="Arial"/>
          <w:color w:val="000000"/>
          <w:sz w:val="20"/>
          <w:szCs w:val="20"/>
        </w:rPr>
        <w:t xml:space="preserve">1.  </w:t>
      </w:r>
      <w:r>
        <w:rPr>
          <w:rFonts w:ascii="Arial" w:cs="Arial" w:eastAsia="Arial" w:hAnsi="Arial"/>
          <w:b/>
          <w:bCs/>
          <w:color w:val="000000"/>
          <w:sz w:val="20"/>
          <w:szCs w:val="20"/>
        </w:rPr>
        <w:t xml:space="preserve">Common law.</w:t>
      </w:r>
      <w:r>
        <w:rPr>
          <w:rFonts w:ascii="Arial" w:cs="Arial" w:eastAsia="Arial" w:hAnsi="Arial"/>
          <w:color w:val="000000"/>
          <w:sz w:val="20"/>
          <w:szCs w:val="20"/>
        </w:rPr>
        <w:t xml:space="preserve"> Restatement of Torts, 1939 and Restatement (Third) of Unfair Competition, 1993. Not law, but formulations courts adopted.</w:t>
      </w:r>
    </w:p>
    <w:p>
      <w:pPr>
        <w:spacing w:after="75" w:line="272"/>
        <w:ind w:left="440" w:hanging="290"/>
        <w:jc w:val="both"/>
      </w:pPr>
      <w:r>
        <w:rPr>
          <w:rFonts w:ascii="Arial" w:cs="Arial" w:eastAsia="Arial" w:hAnsi="Arial"/>
          <w:color w:val="000000"/>
          <w:sz w:val="20"/>
          <w:szCs w:val="20"/>
        </w:rPr>
        <w:t xml:space="preserve">2.  </w:t>
      </w:r>
      <w:r>
        <w:rPr>
          <w:rFonts w:ascii="Arial" w:cs="Arial" w:eastAsia="Arial" w:hAnsi="Arial"/>
          <w:b/>
          <w:bCs/>
          <w:color w:val="000000"/>
          <w:sz w:val="20"/>
          <w:szCs w:val="20"/>
        </w:rPr>
        <w:t xml:space="preserve">State statute.</w:t>
      </w:r>
      <w:r>
        <w:rPr>
          <w:rFonts w:ascii="Arial" w:cs="Arial" w:eastAsia="Arial" w:hAnsi="Arial"/>
          <w:color w:val="000000"/>
          <w:sz w:val="20"/>
          <w:szCs w:val="20"/>
        </w:rPr>
        <w:t xml:space="preserve"> Uniform Trade Secrets Act, 1979, amended 1985.</w:t>
      </w:r>
    </w:p>
    <w:p>
      <w:pPr>
        <w:spacing w:after="75" w:line="272"/>
        <w:ind w:left="440" w:hanging="290"/>
        <w:jc w:val="both"/>
      </w:pPr>
      <w:r>
        <w:rPr>
          <w:rFonts w:ascii="Arial" w:cs="Arial" w:eastAsia="Arial" w:hAnsi="Arial"/>
          <w:color w:val="000000"/>
          <w:sz w:val="20"/>
          <w:szCs w:val="20"/>
        </w:rPr>
        <w:t xml:space="preserve">3.  </w:t>
      </w:r>
      <w:r>
        <w:rPr>
          <w:rFonts w:ascii="Arial" w:cs="Arial" w:eastAsia="Arial" w:hAnsi="Arial"/>
          <w:b/>
          <w:bCs/>
          <w:color w:val="000000"/>
          <w:sz w:val="20"/>
          <w:szCs w:val="20"/>
        </w:rPr>
        <w:t xml:space="preserve">Federal, official secrecy.</w:t>
      </w:r>
      <w:r>
        <w:rPr>
          <w:rFonts w:ascii="Arial" w:cs="Arial" w:eastAsia="Arial" w:hAnsi="Arial"/>
          <w:color w:val="000000"/>
          <w:sz w:val="20"/>
          <w:szCs w:val="20"/>
        </w:rPr>
        <w:t xml:space="preserve"> Trade Secrets Act, 1948, at 18 USC 1905.</w:t>
      </w:r>
    </w:p>
    <w:p>
      <w:pPr>
        <w:spacing w:after="75" w:line="272"/>
        <w:ind w:left="440" w:hanging="290"/>
        <w:jc w:val="both"/>
      </w:pPr>
      <w:r>
        <w:rPr>
          <w:rFonts w:ascii="Arial" w:cs="Arial" w:eastAsia="Arial" w:hAnsi="Arial"/>
          <w:color w:val="000000"/>
          <w:sz w:val="20"/>
          <w:szCs w:val="20"/>
        </w:rPr>
        <w:t xml:space="preserve">4.  </w:t>
      </w:r>
      <w:r>
        <w:rPr>
          <w:rFonts w:ascii="Arial" w:cs="Arial" w:eastAsia="Arial" w:hAnsi="Arial"/>
          <w:b/>
          <w:bCs/>
          <w:color w:val="000000"/>
          <w:sz w:val="20"/>
          <w:szCs w:val="20"/>
        </w:rPr>
        <w:t xml:space="preserve">Federal, criminal.</w:t>
      </w:r>
      <w:r>
        <w:rPr>
          <w:rFonts w:ascii="Arial" w:cs="Arial" w:eastAsia="Arial" w:hAnsi="Arial"/>
          <w:color w:val="000000"/>
          <w:sz w:val="20"/>
          <w:szCs w:val="20"/>
        </w:rPr>
        <w:t xml:space="preserve"> Economic Espionage Act, 1996, at 18 USC 1831 to 1839.</w:t>
      </w:r>
    </w:p>
    <w:p>
      <w:pPr>
        <w:spacing w:after="75" w:line="272"/>
        <w:ind w:left="440" w:hanging="290"/>
        <w:jc w:val="both"/>
      </w:pPr>
      <w:r>
        <w:rPr>
          <w:rFonts w:ascii="Arial" w:cs="Arial" w:eastAsia="Arial" w:hAnsi="Arial"/>
          <w:color w:val="000000"/>
          <w:sz w:val="20"/>
          <w:szCs w:val="20"/>
        </w:rPr>
        <w:t xml:space="preserve">5.  </w:t>
      </w:r>
      <w:r>
        <w:rPr>
          <w:rFonts w:ascii="Arial" w:cs="Arial" w:eastAsia="Arial" w:hAnsi="Arial"/>
          <w:b/>
          <w:bCs/>
          <w:color w:val="000000"/>
          <w:sz w:val="20"/>
          <w:szCs w:val="20"/>
        </w:rPr>
        <w:t xml:space="preserve">Federal, civil.</w:t>
      </w:r>
      <w:r>
        <w:rPr>
          <w:rFonts w:ascii="Arial" w:cs="Arial" w:eastAsia="Arial" w:hAnsi="Arial"/>
          <w:color w:val="000000"/>
          <w:sz w:val="20"/>
          <w:szCs w:val="20"/>
        </w:rPr>
        <w:t xml:space="preserve"> Defend Trade Secrets Act, 2016.</w:t>
      </w:r>
    </w:p>
    <w:p>
      <w:pPr>
        <w:pStyle w:val="Heading2"/>
        <w:spacing w:after="95" w:before="250"/>
      </w:pPr>
      <w:r>
        <w:rPr>
          <w:rFonts w:ascii="Arial" w:cs="Arial" w:eastAsia="Arial" w:hAnsi="Arial"/>
          <w:b/>
          <w:bCs/>
          <w:color w:val="1F3864"/>
          <w:sz w:val="23"/>
          <w:szCs w:val="23"/>
        </w:rPr>
        <w:t xml:space="preserve">4.2  Uniform Trade Secrets Act</w:t>
      </w:r>
    </w:p>
    <w:p>
      <w:pPr>
        <w:spacing w:after="130" w:line="276"/>
        <w:jc w:val="both"/>
      </w:pPr>
      <w:r>
        <w:rPr>
          <w:rFonts w:ascii="Arial" w:cs="Arial" w:eastAsia="Arial" w:hAnsi="Arial"/>
          <w:color w:val="000000"/>
          <w:sz w:val="20"/>
          <w:szCs w:val="20"/>
        </w:rPr>
        <w:t xml:space="preserve">Issued in </w:t>
      </w:r>
      <w:r>
        <w:rPr>
          <w:rFonts w:ascii="Arial" w:cs="Arial" w:eastAsia="Arial" w:hAnsi="Arial"/>
          <w:b/>
          <w:bCs/>
          <w:color w:val="000000"/>
          <w:sz w:val="20"/>
          <w:szCs w:val="20"/>
        </w:rPr>
        <w:t xml:space="preserve">1979</w:t>
      </w:r>
      <w:r>
        <w:rPr>
          <w:rFonts w:ascii="Arial" w:cs="Arial" w:eastAsia="Arial" w:hAnsi="Arial"/>
          <w:color w:val="000000"/>
          <w:sz w:val="20"/>
          <w:szCs w:val="20"/>
        </w:rPr>
        <w:t xml:space="preserve"> by the National Conference of Commissioners on Uniform State Laws and amended in </w:t>
      </w:r>
      <w:r>
        <w:rPr>
          <w:rFonts w:ascii="Arial" w:cs="Arial" w:eastAsia="Arial" w:hAnsi="Arial"/>
          <w:b/>
          <w:bCs/>
          <w:color w:val="000000"/>
          <w:sz w:val="20"/>
          <w:szCs w:val="20"/>
        </w:rPr>
        <w:t xml:space="preserve">1985</w:t>
      </w:r>
      <w:r>
        <w:rPr>
          <w:rFonts w:ascii="Arial" w:cs="Arial" w:eastAsia="Arial" w:hAnsi="Arial"/>
          <w:color w:val="000000"/>
          <w:sz w:val="20"/>
          <w:szCs w:val="20"/>
        </w:rPr>
        <w:t xml:space="preserve">. The Conference has no legislative authority, so the Act becomes law only where a State enacts it. It supplies a definition of a trade secret, a definition of misappropriation, and remedies.</w:t>
      </w:r>
    </w:p>
    <w:p>
      <w:pPr>
        <w:spacing w:after="130" w:line="276"/>
        <w:jc w:val="both"/>
      </w:pPr>
      <w:r>
        <w:rPr>
          <w:rFonts w:ascii="Arial" w:cs="Arial" w:eastAsia="Arial" w:hAnsi="Arial"/>
          <w:b/>
          <w:bCs/>
          <w:color w:val="000000"/>
          <w:sz w:val="20"/>
          <w:szCs w:val="20"/>
        </w:rPr>
        <w:t xml:space="preserve">Misappropriation</w:t>
      </w:r>
      <w:r>
        <w:rPr>
          <w:rFonts w:ascii="Arial" w:cs="Arial" w:eastAsia="Arial" w:hAnsi="Arial"/>
          <w:color w:val="000000"/>
          <w:sz w:val="20"/>
          <w:szCs w:val="20"/>
        </w:rPr>
        <w:t xml:space="preserve"> covers acquisition by a person who knows or has reason to know the secret was acquired by improper means, and disclosure or use without consent by a person who used improper means, or knew or had reason to know the knowledge came from someone who used improper means or owed a duty of secrecy, or who before a material change of position knew it was a trade secret acquired by accident or mistake.</w:t>
      </w:r>
    </w:p>
    <w:p>
      <w:pPr>
        <w:spacing w:after="130" w:line="276"/>
        <w:jc w:val="both"/>
      </w:pPr>
      <w:r>
        <w:rPr>
          <w:rFonts w:ascii="Arial" w:cs="Arial" w:eastAsia="Arial" w:hAnsi="Arial"/>
          <w:b/>
          <w:bCs/>
          <w:color w:val="000000"/>
          <w:sz w:val="20"/>
          <w:szCs w:val="20"/>
        </w:rPr>
        <w:t xml:space="preserve">Remedies</w:t>
      </w:r>
      <w:r>
        <w:rPr>
          <w:rFonts w:ascii="Arial" w:cs="Arial" w:eastAsia="Arial" w:hAnsi="Arial"/>
          <w:color w:val="000000"/>
          <w:sz w:val="20"/>
          <w:szCs w:val="20"/>
        </w:rPr>
        <w:t xml:space="preserve"> are injunctive relief for actual or threatened misappropriation, lost profits, unjust enrichment, a reasonable royalty, exemplary damages for wilful and malicious conduct capped at </w:t>
      </w:r>
      <w:r>
        <w:rPr>
          <w:rFonts w:ascii="Arial" w:cs="Arial" w:eastAsia="Arial" w:hAnsi="Arial"/>
          <w:b/>
          <w:bCs/>
          <w:color w:val="000000"/>
          <w:sz w:val="20"/>
          <w:szCs w:val="20"/>
        </w:rPr>
        <w:t xml:space="preserve">twice</w:t>
      </w:r>
      <w:r>
        <w:rPr>
          <w:rFonts w:ascii="Arial" w:cs="Arial" w:eastAsia="Arial" w:hAnsi="Arial"/>
          <w:color w:val="000000"/>
          <w:sz w:val="20"/>
          <w:szCs w:val="20"/>
        </w:rPr>
        <w:t xml:space="preserve"> the compensatory award, and attorney fees in defined cases.</w:t>
      </w:r>
    </w:p>
    <w:p>
      <w:pPr>
        <w:spacing w:after="130" w:line="276"/>
        <w:jc w:val="both"/>
      </w:pPr>
      <w:r>
        <w:rPr>
          <w:rFonts w:ascii="Arial" w:cs="Arial" w:eastAsia="Arial" w:hAnsi="Arial"/>
          <w:i/>
          <w:iCs/>
          <w:color w:val="000000"/>
          <w:sz w:val="20"/>
          <w:szCs w:val="20"/>
        </w:rPr>
        <w:t xml:space="preserve">Slide error.</w:t>
      </w:r>
      <w:r>
        <w:rPr>
          <w:rFonts w:ascii="Arial" w:cs="Arial" w:eastAsia="Arial" w:hAnsi="Arial"/>
          <w:color w:val="000000"/>
          <w:sz w:val="20"/>
          <w:szCs w:val="20"/>
        </w:rPr>
        <w:t xml:space="preserve"> The deck says the Act was adopted by all the States, as of November 2026. It has been enacted by </w:t>
      </w:r>
      <w:r>
        <w:rPr>
          <w:rFonts w:ascii="Arial" w:cs="Arial" w:eastAsia="Arial" w:hAnsi="Arial"/>
          <w:b/>
          <w:bCs/>
          <w:color w:val="000000"/>
          <w:sz w:val="20"/>
          <w:szCs w:val="20"/>
        </w:rPr>
        <w:t xml:space="preserve">forty nine States</w:t>
      </w:r>
      <w:r>
        <w:rPr>
          <w:rFonts w:ascii="Arial" w:cs="Arial" w:eastAsia="Arial" w:hAnsi="Arial"/>
          <w:color w:val="000000"/>
          <w:sz w:val="20"/>
          <w:szCs w:val="20"/>
        </w:rPr>
        <w:t xml:space="preserve">, the District of Columbia, Puerto Rico and the United States Virgin Islands. </w:t>
      </w:r>
      <w:r>
        <w:rPr>
          <w:rFonts w:ascii="Arial" w:cs="Arial" w:eastAsia="Arial" w:hAnsi="Arial"/>
          <w:b/>
          <w:bCs/>
          <w:color w:val="000000"/>
          <w:sz w:val="20"/>
          <w:szCs w:val="20"/>
        </w:rPr>
        <w:t xml:space="preserve">New York has not adopted it</w:t>
      </w:r>
      <w:r>
        <w:rPr>
          <w:rFonts w:ascii="Arial" w:cs="Arial" w:eastAsia="Arial" w:hAnsi="Arial"/>
          <w:color w:val="000000"/>
          <w:sz w:val="20"/>
          <w:szCs w:val="20"/>
        </w:rPr>
        <w:t xml:space="preserve">, and there is no November 2026 milestone.</w:t>
      </w:r>
    </w:p>
    <w:p>
      <w:pPr>
        <w:pStyle w:val="Heading2"/>
        <w:spacing w:after="95" w:before="250"/>
      </w:pPr>
      <w:r>
        <w:rPr>
          <w:rFonts w:ascii="Arial" w:cs="Arial" w:eastAsia="Arial" w:hAnsi="Arial"/>
          <w:b/>
          <w:bCs/>
          <w:color w:val="1F3864"/>
          <w:sz w:val="23"/>
          <w:szCs w:val="23"/>
        </w:rPr>
        <w:t xml:space="preserve">4.3  Trade Secrets Act, 1948</w:t>
      </w:r>
    </w:p>
    <w:p>
      <w:pPr>
        <w:spacing w:after="130" w:line="276"/>
        <w:jc w:val="both"/>
      </w:pPr>
      <w:r>
        <w:rPr>
          <w:rFonts w:ascii="Arial" w:cs="Arial" w:eastAsia="Arial" w:hAnsi="Arial"/>
          <w:color w:val="000000"/>
          <w:sz w:val="20"/>
          <w:szCs w:val="20"/>
        </w:rPr>
        <w:t xml:space="preserve">Much narrower than the name suggests. Codified at </w:t>
      </w:r>
      <w:r>
        <w:rPr>
          <w:rFonts w:ascii="Arial" w:cs="Arial" w:eastAsia="Arial" w:hAnsi="Arial"/>
          <w:b/>
          <w:bCs/>
          <w:color w:val="000000"/>
          <w:sz w:val="20"/>
          <w:szCs w:val="20"/>
        </w:rPr>
        <w:t xml:space="preserve">18 USC 1905</w:t>
      </w:r>
      <w:r>
        <w:rPr>
          <w:rFonts w:ascii="Arial" w:cs="Arial" w:eastAsia="Arial" w:hAnsi="Arial"/>
          <w:color w:val="000000"/>
          <w:sz w:val="20"/>
          <w:szCs w:val="20"/>
        </w:rPr>
        <w:t xml:space="preserve">, it forbids </w:t>
      </w:r>
      <w:r>
        <w:rPr>
          <w:rFonts w:ascii="Arial" w:cs="Arial" w:eastAsia="Arial" w:hAnsi="Arial"/>
          <w:b/>
          <w:bCs/>
          <w:color w:val="000000"/>
          <w:sz w:val="20"/>
          <w:szCs w:val="20"/>
        </w:rPr>
        <w:t xml:space="preserve">federal employees and government contractors</w:t>
      </w:r>
      <w:r>
        <w:rPr>
          <w:rFonts w:ascii="Arial" w:cs="Arial" w:eastAsia="Arial" w:hAnsi="Arial"/>
          <w:color w:val="000000"/>
          <w:sz w:val="20"/>
          <w:szCs w:val="20"/>
        </w:rPr>
        <w:t xml:space="preserve"> from unauthorised disclosure of confidential government information, including trade secrets, with removal from office plus a fine or imprisonment of not more than one year. It does not apply to State or local actors or to private employees, so it is not a general trade secret law.</w:t>
      </w:r>
    </w:p>
    <w:p>
      <w:pPr>
        <w:pStyle w:val="Heading2"/>
        <w:spacing w:after="95" w:before="250"/>
      </w:pPr>
      <w:r>
        <w:rPr>
          <w:rFonts w:ascii="Arial" w:cs="Arial" w:eastAsia="Arial" w:hAnsi="Arial"/>
          <w:b/>
          <w:bCs/>
          <w:color w:val="1F3864"/>
          <w:sz w:val="23"/>
          <w:szCs w:val="23"/>
        </w:rPr>
        <w:t xml:space="preserve">4.4  Economic Espionage Act, 1996</w:t>
      </w:r>
    </w:p>
    <w:p>
      <w:pPr>
        <w:spacing w:after="130" w:line="276"/>
        <w:jc w:val="both"/>
      </w:pPr>
      <w:r>
        <w:rPr>
          <w:rFonts w:ascii="Arial" w:cs="Arial" w:eastAsia="Arial" w:hAnsi="Arial"/>
          <w:color w:val="000000"/>
          <w:sz w:val="20"/>
          <w:szCs w:val="20"/>
        </w:rPr>
        <w:t xml:space="preserve">The Act creates two offences, distinguished only by who benefits:</w:t>
      </w:r>
    </w:p>
    <w:p>
      <w:pPr>
        <w:spacing w:after="75" w:line="272"/>
        <w:ind w:left="440" w:hanging="290"/>
        <w:jc w:val="both"/>
      </w:pPr>
      <w:r>
        <w:rPr>
          <w:rFonts w:ascii="Arial" w:cs="Arial" w:eastAsia="Arial" w:hAnsi="Arial"/>
          <w:color w:val="000000"/>
          <w:sz w:val="20"/>
          <w:szCs w:val="20"/>
        </w:rPr>
        <w:t xml:space="preserve">1.  </w:t>
      </w:r>
      <w:r>
        <w:rPr>
          <w:rFonts w:ascii="Arial" w:cs="Arial" w:eastAsia="Arial" w:hAnsi="Arial"/>
          <w:b/>
          <w:bCs/>
          <w:color w:val="000000"/>
          <w:sz w:val="20"/>
          <w:szCs w:val="20"/>
        </w:rPr>
        <w:t xml:space="preserve">Section 1831, economic espionage.</w:t>
      </w:r>
      <w:r>
        <w:rPr>
          <w:rFonts w:ascii="Arial" w:cs="Arial" w:eastAsia="Arial" w:hAnsi="Arial"/>
          <w:color w:val="000000"/>
          <w:sz w:val="20"/>
          <w:szCs w:val="20"/>
        </w:rPr>
        <w:t xml:space="preserve"> The offender intends or knows the offence will benefit a </w:t>
      </w:r>
      <w:r>
        <w:rPr>
          <w:rFonts w:ascii="Arial" w:cs="Arial" w:eastAsia="Arial" w:hAnsi="Arial"/>
          <w:b/>
          <w:bCs/>
          <w:color w:val="000000"/>
          <w:sz w:val="20"/>
          <w:szCs w:val="20"/>
        </w:rPr>
        <w:t xml:space="preserve">foreign government, instrumentality or agent</w:t>
      </w:r>
      <w:r>
        <w:rPr>
          <w:rFonts w:ascii="Arial" w:cs="Arial" w:eastAsia="Arial" w:hAnsi="Arial"/>
          <w:color w:val="000000"/>
          <w:sz w:val="20"/>
          <w:szCs w:val="20"/>
        </w:rPr>
        <w:t xml:space="preserve">.</w:t>
      </w:r>
    </w:p>
    <w:p>
      <w:pPr>
        <w:spacing w:after="75" w:line="272"/>
        <w:ind w:left="440" w:hanging="290"/>
        <w:jc w:val="both"/>
      </w:pPr>
      <w:r>
        <w:rPr>
          <w:rFonts w:ascii="Arial" w:cs="Arial" w:eastAsia="Arial" w:hAnsi="Arial"/>
          <w:color w:val="000000"/>
          <w:sz w:val="20"/>
          <w:szCs w:val="20"/>
        </w:rPr>
        <w:t xml:space="preserve">2.  </w:t>
      </w:r>
      <w:r>
        <w:rPr>
          <w:rFonts w:ascii="Arial" w:cs="Arial" w:eastAsia="Arial" w:hAnsi="Arial"/>
          <w:b/>
          <w:bCs/>
          <w:color w:val="000000"/>
          <w:sz w:val="20"/>
          <w:szCs w:val="20"/>
        </w:rPr>
        <w:t xml:space="preserve">Section 1832, theft of trade secrets.</w:t>
      </w:r>
      <w:r>
        <w:rPr>
          <w:rFonts w:ascii="Arial" w:cs="Arial" w:eastAsia="Arial" w:hAnsi="Arial"/>
          <w:color w:val="000000"/>
          <w:sz w:val="20"/>
          <w:szCs w:val="20"/>
        </w:rPr>
        <w:t xml:space="preserve"> The offender intends to confer an </w:t>
      </w:r>
      <w:r>
        <w:rPr>
          <w:rFonts w:ascii="Arial" w:cs="Arial" w:eastAsia="Arial" w:hAnsi="Arial"/>
          <w:b/>
          <w:bCs/>
          <w:color w:val="000000"/>
          <w:sz w:val="20"/>
          <w:szCs w:val="20"/>
        </w:rPr>
        <w:t xml:space="preserve">economic benefit on another party</w:t>
      </w:r>
      <w:r>
        <w:rPr>
          <w:rFonts w:ascii="Arial" w:cs="Arial" w:eastAsia="Arial" w:hAnsi="Arial"/>
          <w:color w:val="000000"/>
          <w:sz w:val="20"/>
          <w:szCs w:val="20"/>
        </w:rPr>
        <w:t xml:space="preserve">, and the secret relates to a product or service used in or intended for interstate or foreign commerce.</w:t>
      </w:r>
    </w:p>
    <w:p>
      <w:pPr>
        <w:spacing w:after="130" w:line="276"/>
        <w:jc w:val="both"/>
      </w:pPr>
      <w:r>
        <w:rPr>
          <w:rFonts w:ascii="Arial" w:cs="Arial" w:eastAsia="Arial" w:hAnsi="Arial"/>
          <w:color w:val="000000"/>
          <w:sz w:val="20"/>
          <w:szCs w:val="20"/>
        </w:rPr>
        <w:t xml:space="preserve">Both require the information to qualify as a trade secret, and the definition in </w:t>
      </w:r>
      <w:r>
        <w:rPr>
          <w:rFonts w:ascii="Arial" w:cs="Arial" w:eastAsia="Arial" w:hAnsi="Arial"/>
          <w:b/>
          <w:bCs/>
          <w:color w:val="000000"/>
          <w:sz w:val="20"/>
          <w:szCs w:val="20"/>
        </w:rPr>
        <w:t xml:space="preserve">Section 1839(3)</w:t>
      </w:r>
      <w:r>
        <w:rPr>
          <w:rFonts w:ascii="Arial" w:cs="Arial" w:eastAsia="Arial" w:hAnsi="Arial"/>
          <w:color w:val="000000"/>
          <w:sz w:val="20"/>
          <w:szCs w:val="20"/>
        </w:rPr>
        <w:t xml:space="preserve"> is deliberately wide. </w:t>
      </w:r>
      <w:r>
        <w:rPr>
          <w:rFonts w:ascii="Arial" w:cs="Arial" w:eastAsia="Arial" w:hAnsi="Arial"/>
          <w:b/>
          <w:bCs/>
          <w:color w:val="000000"/>
          <w:sz w:val="20"/>
          <w:szCs w:val="20"/>
        </w:rPr>
        <w:t xml:space="preserve">Section 1833</w:t>
      </w:r>
      <w:r>
        <w:rPr>
          <w:rFonts w:ascii="Arial" w:cs="Arial" w:eastAsia="Arial" w:hAnsi="Arial"/>
          <w:color w:val="000000"/>
          <w:sz w:val="20"/>
          <w:szCs w:val="20"/>
        </w:rPr>
        <w:t xml:space="preserve"> preserves lawful activity and reporting a suspected violation to a government entity. </w:t>
      </w:r>
      <w:r>
        <w:rPr>
          <w:rFonts w:ascii="Arial" w:cs="Arial" w:eastAsia="Arial" w:hAnsi="Arial"/>
          <w:b/>
          <w:bCs/>
          <w:color w:val="000000"/>
          <w:sz w:val="20"/>
          <w:szCs w:val="20"/>
        </w:rPr>
        <w:t xml:space="preserve">Section 1837</w:t>
      </w:r>
      <w:r>
        <w:rPr>
          <w:rFonts w:ascii="Arial" w:cs="Arial" w:eastAsia="Arial" w:hAnsi="Arial"/>
          <w:color w:val="000000"/>
          <w:sz w:val="20"/>
          <w:szCs w:val="20"/>
        </w:rPr>
        <w:t xml:space="preserve"> gives extraterritorial reach where the offender is a United States person or an act in furtherance occurred in the United States.</w:t>
      </w:r>
    </w:p>
    <w:p>
      <w:pPr>
        <w:spacing w:after="130" w:line="276"/>
        <w:jc w:val="both"/>
      </w:pPr>
      <w:r>
        <w:rPr>
          <w:rFonts w:ascii="Arial" w:cs="Arial" w:eastAsia="Arial" w:hAnsi="Arial"/>
          <w:color w:val="000000"/>
          <w:sz w:val="20"/>
          <w:szCs w:val="20"/>
        </w:rPr>
        <w:t xml:space="preserve">The great gap was that the Act created </w:t>
      </w:r>
      <w:r>
        <w:rPr>
          <w:rFonts w:ascii="Arial" w:cs="Arial" w:eastAsia="Arial" w:hAnsi="Arial"/>
          <w:b/>
          <w:bCs/>
          <w:color w:val="000000"/>
          <w:sz w:val="20"/>
          <w:szCs w:val="20"/>
        </w:rPr>
        <w:t xml:space="preserve">no private right of action</w:t>
      </w:r>
      <w:r>
        <w:rPr>
          <w:rFonts w:ascii="Arial" w:cs="Arial" w:eastAsia="Arial" w:hAnsi="Arial"/>
          <w:color w:val="000000"/>
          <w:sz w:val="20"/>
          <w:szCs w:val="20"/>
        </w:rPr>
        <w:t xml:space="preserve">, so a victim could ask prosecutors to act but could not sue, and four bills to add a civil remedy failed before 2016. Two amendments of 2012 widened the products covered and raised the penalties, and the Act does not preempt the Computer Fraud and Abuse Act, the National Stolen Property Act or the wire fraud provisions.</w:t>
      </w:r>
    </w:p>
    <w:p>
      <w:pPr>
        <w:pStyle w:val="Heading2"/>
        <w:spacing w:after="95" w:before="250"/>
      </w:pPr>
      <w:r>
        <w:rPr>
          <w:rFonts w:ascii="Arial" w:cs="Arial" w:eastAsia="Arial" w:hAnsi="Arial"/>
          <w:b/>
          <w:bCs/>
          <w:color w:val="1F3864"/>
          <w:sz w:val="23"/>
          <w:szCs w:val="23"/>
        </w:rPr>
        <w:t xml:space="preserve">4.5  Defend Trade Secrets Act, 2016</w:t>
      </w:r>
    </w:p>
    <w:p>
      <w:pPr>
        <w:spacing w:after="130" w:line="276"/>
        <w:jc w:val="both"/>
      </w:pPr>
      <w:r>
        <w:rPr>
          <w:rFonts w:ascii="Arial" w:cs="Arial" w:eastAsia="Arial" w:hAnsi="Arial"/>
          <w:color w:val="000000"/>
          <w:sz w:val="20"/>
          <w:szCs w:val="20"/>
        </w:rPr>
        <w:t xml:space="preserve">This created a </w:t>
      </w:r>
      <w:r>
        <w:rPr>
          <w:rFonts w:ascii="Arial" w:cs="Arial" w:eastAsia="Arial" w:hAnsi="Arial"/>
          <w:b/>
          <w:bCs/>
          <w:color w:val="000000"/>
          <w:sz w:val="20"/>
          <w:szCs w:val="20"/>
        </w:rPr>
        <w:t xml:space="preserve">federal civil cause of action</w:t>
      </w:r>
      <w:r>
        <w:rPr>
          <w:rFonts w:ascii="Arial" w:cs="Arial" w:eastAsia="Arial" w:hAnsi="Arial"/>
          <w:color w:val="000000"/>
          <w:sz w:val="20"/>
          <w:szCs w:val="20"/>
        </w:rPr>
        <w:t xml:space="preserve"> for the first time, for an owner of a trade secret related to a product or service used in or intended for use in interstate or foreign commerce. It borrows the Economic Espionage Act definitions, and </w:t>
      </w:r>
      <w:r>
        <w:rPr>
          <w:rFonts w:ascii="Arial" w:cs="Arial" w:eastAsia="Arial" w:hAnsi="Arial"/>
          <w:b/>
          <w:bCs/>
          <w:color w:val="000000"/>
          <w:sz w:val="20"/>
          <w:szCs w:val="20"/>
        </w:rPr>
        <w:t xml:space="preserve">improper means expressly excludes reverse engineering, independent derivation and any other lawful means</w:t>
      </w:r>
      <w:r>
        <w:rPr>
          <w:rFonts w:ascii="Arial" w:cs="Arial" w:eastAsia="Arial" w:hAnsi="Arial"/>
          <w:color w:val="000000"/>
          <w:sz w:val="20"/>
          <w:szCs w:val="20"/>
        </w:rPr>
        <w:t xml:space="preserve">.</w:t>
      </w:r>
    </w:p>
    <w:p>
      <w:pPr>
        <w:spacing w:after="130" w:line="276"/>
        <w:jc w:val="both"/>
      </w:pPr>
      <w:r>
        <w:rPr>
          <w:rFonts w:ascii="Arial" w:cs="Arial" w:eastAsia="Arial" w:hAnsi="Arial"/>
          <w:color w:val="000000"/>
          <w:sz w:val="20"/>
          <w:szCs w:val="20"/>
        </w:rPr>
        <w:t xml:space="preserve">Remedies are injunctions, damages for actual loss, damages for unjust enrichment, or in the alternative a reasonable royalty, exemplary damages up to </w:t>
      </w:r>
      <w:r>
        <w:rPr>
          <w:rFonts w:ascii="Arial" w:cs="Arial" w:eastAsia="Arial" w:hAnsi="Arial"/>
          <w:b/>
          <w:bCs/>
          <w:color w:val="000000"/>
          <w:sz w:val="20"/>
          <w:szCs w:val="20"/>
        </w:rPr>
        <w:t xml:space="preserve">twice</w:t>
      </w:r>
      <w:r>
        <w:rPr>
          <w:rFonts w:ascii="Arial" w:cs="Arial" w:eastAsia="Arial" w:hAnsi="Arial"/>
          <w:color w:val="000000"/>
          <w:sz w:val="20"/>
          <w:szCs w:val="20"/>
        </w:rPr>
        <w:t xml:space="preserve"> the compensatory award for wilful and malicious misappropriation, and attorney fees. The limitation period is </w:t>
      </w:r>
      <w:r>
        <w:rPr>
          <w:rFonts w:ascii="Arial" w:cs="Arial" w:eastAsia="Arial" w:hAnsi="Arial"/>
          <w:b/>
          <w:bCs/>
          <w:color w:val="000000"/>
          <w:sz w:val="20"/>
          <w:szCs w:val="20"/>
        </w:rPr>
        <w:t xml:space="preserve">three years</w:t>
      </w:r>
      <w:r>
        <w:rPr>
          <w:rFonts w:ascii="Arial" w:cs="Arial" w:eastAsia="Arial" w:hAnsi="Arial"/>
          <w:color w:val="000000"/>
          <w:sz w:val="20"/>
          <w:szCs w:val="20"/>
        </w:rPr>
        <w:t xml:space="preserve"> from discovery or from when discovery should reasonably have occurred.</w:t>
      </w:r>
    </w:p>
    <w:p>
      <w:pPr>
        <w:pStyle w:val="Heading3"/>
        <w:spacing w:after="80" w:before="200"/>
      </w:pPr>
      <w:r>
        <w:rPr>
          <w:rFonts w:ascii="Arial" w:cs="Arial" w:eastAsia="Arial" w:hAnsi="Arial"/>
          <w:b/>
          <w:bCs/>
          <w:color w:val="1F3864"/>
          <w:sz w:val="20"/>
          <w:szCs w:val="20"/>
        </w:rPr>
        <w:t xml:space="preserve">Civil seizure: the eight conditions</w:t>
      </w:r>
    </w:p>
    <w:p>
      <w:pPr>
        <w:spacing w:after="130" w:line="276"/>
        <w:jc w:val="both"/>
      </w:pPr>
      <w:r>
        <w:rPr>
          <w:rFonts w:ascii="Arial" w:cs="Arial" w:eastAsia="Arial" w:hAnsi="Arial"/>
          <w:color w:val="000000"/>
          <w:sz w:val="20"/>
          <w:szCs w:val="20"/>
        </w:rPr>
        <w:t xml:space="preserve">On an </w:t>
      </w:r>
      <w:r>
        <w:rPr>
          <w:rFonts w:ascii="Arial" w:cs="Arial" w:eastAsia="Arial" w:hAnsi="Arial"/>
          <w:i/>
          <w:iCs/>
          <w:color w:val="000000"/>
          <w:sz w:val="20"/>
          <w:szCs w:val="20"/>
        </w:rPr>
        <w:t xml:space="preserve">ex parte</w:t>
      </w:r>
      <w:r>
        <w:rPr>
          <w:rFonts w:ascii="Arial" w:cs="Arial" w:eastAsia="Arial" w:hAnsi="Arial"/>
          <w:color w:val="000000"/>
          <w:sz w:val="20"/>
          <w:szCs w:val="20"/>
        </w:rPr>
        <w:t xml:space="preserve"> application the court may order law enforcement to seize property to prevent propagation of the secret, but only in extraordinary circumstances and only on findings that:</w:t>
      </w:r>
    </w:p>
    <w:p>
      <w:pPr>
        <w:spacing w:after="65" w:line="272"/>
        <w:ind w:left="840" w:hanging="290"/>
        <w:jc w:val="both"/>
      </w:pPr>
      <w:r>
        <w:rPr>
          <w:rFonts w:ascii="Arial" w:cs="Arial" w:eastAsia="Arial" w:hAnsi="Arial"/>
          <w:color w:val="000000"/>
          <w:sz w:val="20"/>
          <w:szCs w:val="20"/>
        </w:rPr>
        <w:t xml:space="preserve">(a)  ordinary equitable relief would be inadequate, because the party would evade or not comply;</w:t>
      </w:r>
    </w:p>
    <w:p>
      <w:pPr>
        <w:spacing w:after="65" w:line="272"/>
        <w:ind w:left="840" w:hanging="290"/>
        <w:jc w:val="both"/>
      </w:pPr>
      <w:r>
        <w:rPr>
          <w:rFonts w:ascii="Arial" w:cs="Arial" w:eastAsia="Arial" w:hAnsi="Arial"/>
          <w:color w:val="000000"/>
          <w:sz w:val="20"/>
          <w:szCs w:val="20"/>
        </w:rPr>
        <w:t xml:space="preserve">(b)  immediate and irreparable injury will occur without seizure;</w:t>
      </w:r>
    </w:p>
    <w:p>
      <w:pPr>
        <w:spacing w:after="65" w:line="272"/>
        <w:ind w:left="840" w:hanging="290"/>
        <w:jc w:val="both"/>
      </w:pPr>
      <w:r>
        <w:rPr>
          <w:rFonts w:ascii="Arial" w:cs="Arial" w:eastAsia="Arial" w:hAnsi="Arial"/>
          <w:color w:val="000000"/>
          <w:sz w:val="20"/>
          <w:szCs w:val="20"/>
        </w:rPr>
        <w:t xml:space="preserve">(c)  the harm of refusing outweighs the harm to the person seized against, and substantially outweighs harm to third parties;</w:t>
      </w:r>
    </w:p>
    <w:p>
      <w:pPr>
        <w:spacing w:after="65" w:line="272"/>
        <w:ind w:left="840" w:hanging="290"/>
        <w:jc w:val="both"/>
      </w:pPr>
      <w:r>
        <w:rPr>
          <w:rFonts w:ascii="Arial" w:cs="Arial" w:eastAsia="Arial" w:hAnsi="Arial"/>
          <w:color w:val="000000"/>
          <w:sz w:val="20"/>
          <w:szCs w:val="20"/>
        </w:rPr>
        <w:t xml:space="preserve">(d)  the applicant is likely to show the information is a trade secret and was misappropriated by improper means;</w:t>
      </w:r>
    </w:p>
    <w:p>
      <w:pPr>
        <w:spacing w:after="65" w:line="272"/>
        <w:ind w:left="840" w:hanging="290"/>
        <w:jc w:val="both"/>
      </w:pPr>
      <w:r>
        <w:rPr>
          <w:rFonts w:ascii="Arial" w:cs="Arial" w:eastAsia="Arial" w:hAnsi="Arial"/>
          <w:color w:val="000000"/>
          <w:sz w:val="20"/>
          <w:szCs w:val="20"/>
        </w:rPr>
        <w:t xml:space="preserve">(e)  that person actually possesses the secret and the property;</w:t>
      </w:r>
    </w:p>
    <w:p>
      <w:pPr>
        <w:spacing w:after="65" w:line="272"/>
        <w:ind w:left="840" w:hanging="290"/>
        <w:jc w:val="both"/>
      </w:pPr>
      <w:r>
        <w:rPr>
          <w:rFonts w:ascii="Arial" w:cs="Arial" w:eastAsia="Arial" w:hAnsi="Arial"/>
          <w:color w:val="000000"/>
          <w:sz w:val="20"/>
          <w:szCs w:val="20"/>
        </w:rPr>
        <w:t xml:space="preserve">(f)  the application describes the matter with reasonable particularity and, so far as reasonable, its location;</w:t>
      </w:r>
    </w:p>
    <w:p>
      <w:pPr>
        <w:spacing w:after="65" w:line="272"/>
        <w:ind w:left="840" w:hanging="290"/>
        <w:jc w:val="both"/>
      </w:pPr>
      <w:r>
        <w:rPr>
          <w:rFonts w:ascii="Arial" w:cs="Arial" w:eastAsia="Arial" w:hAnsi="Arial"/>
          <w:color w:val="000000"/>
          <w:sz w:val="20"/>
          <w:szCs w:val="20"/>
        </w:rPr>
        <w:t xml:space="preserve">(g)  that person would destroy, move or hide the matter if the applicant proceeded on notice; and</w:t>
      </w:r>
    </w:p>
    <w:p>
      <w:pPr>
        <w:spacing w:after="65" w:line="272"/>
        <w:ind w:left="840" w:hanging="290"/>
        <w:jc w:val="both"/>
      </w:pPr>
      <w:r>
        <w:rPr>
          <w:rFonts w:ascii="Arial" w:cs="Arial" w:eastAsia="Arial" w:hAnsi="Arial"/>
          <w:color w:val="000000"/>
          <w:sz w:val="20"/>
          <w:szCs w:val="20"/>
        </w:rPr>
        <w:t xml:space="preserve">(h)  the applicant has not publicised the requested seizure.</w:t>
      </w:r>
    </w:p>
    <w:p>
      <w:pPr>
        <w:spacing w:after="130" w:line="276"/>
        <w:jc w:val="both"/>
      </w:pPr>
      <w:r>
        <w:rPr>
          <w:rFonts w:ascii="Arial" w:cs="Arial" w:eastAsia="Arial" w:hAnsi="Arial"/>
          <w:color w:val="000000"/>
          <w:sz w:val="20"/>
          <w:szCs w:val="20"/>
        </w:rPr>
        <w:t xml:space="preserve">The court must fix a hearing no later than </w:t>
      </w:r>
      <w:r>
        <w:rPr>
          <w:rFonts w:ascii="Arial" w:cs="Arial" w:eastAsia="Arial" w:hAnsi="Arial"/>
          <w:b/>
          <w:bCs/>
          <w:color w:val="000000"/>
          <w:sz w:val="20"/>
          <w:szCs w:val="20"/>
        </w:rPr>
        <w:t xml:space="preserve">seven days</w:t>
      </w:r>
      <w:r>
        <w:rPr>
          <w:rFonts w:ascii="Arial" w:cs="Arial" w:eastAsia="Arial" w:hAnsi="Arial"/>
          <w:color w:val="000000"/>
          <w:sz w:val="20"/>
          <w:szCs w:val="20"/>
        </w:rPr>
        <w:t xml:space="preserve"> after the order and must require security, and a person harmed by a wrongful or excessive seizure has a cause of action for damages.</w:t>
      </w:r>
    </w:p>
    <w:p>
      <w:pPr>
        <w:pStyle w:val="Heading3"/>
        <w:spacing w:after="80" w:before="200"/>
      </w:pPr>
      <w:r>
        <w:rPr>
          <w:rFonts w:ascii="Arial" w:cs="Arial" w:eastAsia="Arial" w:hAnsi="Arial"/>
          <w:b/>
          <w:bCs/>
          <w:color w:val="1F3864"/>
          <w:sz w:val="20"/>
          <w:szCs w:val="20"/>
        </w:rPr>
        <w:t xml:space="preserve">Three further features</w:t>
      </w:r>
    </w:p>
    <w:p>
      <w:pPr>
        <w:spacing w:after="75" w:line="272"/>
        <w:ind w:left="440" w:hanging="290"/>
        <w:jc w:val="both"/>
      </w:pPr>
      <w:r>
        <w:rPr>
          <w:rFonts w:ascii="Arial" w:cs="Arial" w:eastAsia="Arial" w:hAnsi="Arial"/>
          <w:color w:val="000000"/>
          <w:sz w:val="20"/>
          <w:szCs w:val="20"/>
        </w:rPr>
        <w:t xml:space="preserve">1.  </w:t>
      </w:r>
      <w:r>
        <w:rPr>
          <w:rFonts w:ascii="Arial" w:cs="Arial" w:eastAsia="Arial" w:hAnsi="Arial"/>
          <w:b/>
          <w:bCs/>
          <w:color w:val="000000"/>
          <w:sz w:val="20"/>
          <w:szCs w:val="20"/>
        </w:rPr>
        <w:t xml:space="preserve">Rejection of inevitable disclosure.</w:t>
      </w:r>
      <w:r>
        <w:rPr>
          <w:rFonts w:ascii="Arial" w:cs="Arial" w:eastAsia="Arial" w:hAnsi="Arial"/>
          <w:color w:val="000000"/>
          <w:sz w:val="20"/>
          <w:szCs w:val="20"/>
        </w:rPr>
        <w:t xml:space="preserve"> Under </w:t>
      </w:r>
      <w:r>
        <w:rPr>
          <w:rFonts w:ascii="Arial" w:cs="Arial" w:eastAsia="Arial" w:hAnsi="Arial"/>
          <w:b/>
          <w:bCs/>
          <w:color w:val="000000"/>
          <w:sz w:val="20"/>
          <w:szCs w:val="20"/>
        </w:rPr>
        <w:t xml:space="preserve">18 USC 1836(b)(3)(A)</w:t>
      </w:r>
      <w:r>
        <w:rPr>
          <w:rFonts w:ascii="Arial" w:cs="Arial" w:eastAsia="Arial" w:hAnsi="Arial"/>
          <w:color w:val="000000"/>
          <w:sz w:val="20"/>
          <w:szCs w:val="20"/>
        </w:rPr>
        <w:t xml:space="preserve"> a court may not grant an injunction preventing a person from entering an employment relationship, and any condition on the employment must rest on evidence of threatened misappropriation and </w:t>
      </w:r>
      <w:r>
        <w:rPr>
          <w:rFonts w:ascii="Arial" w:cs="Arial" w:eastAsia="Arial" w:hAnsi="Arial"/>
          <w:b/>
          <w:bCs/>
          <w:color w:val="000000"/>
          <w:sz w:val="20"/>
          <w:szCs w:val="20"/>
        </w:rPr>
        <w:t xml:space="preserve">not merely on the information the person knows</w:t>
      </w:r>
      <w:r>
        <w:rPr>
          <w:rFonts w:ascii="Arial" w:cs="Arial" w:eastAsia="Arial" w:hAnsi="Arial"/>
          <w:color w:val="000000"/>
          <w:sz w:val="20"/>
          <w:szCs w:val="20"/>
        </w:rPr>
        <w:t xml:space="preserve">.</w:t>
      </w:r>
    </w:p>
    <w:p>
      <w:pPr>
        <w:spacing w:after="75" w:line="272"/>
        <w:ind w:left="440" w:hanging="290"/>
        <w:jc w:val="both"/>
      </w:pPr>
      <w:r>
        <w:rPr>
          <w:rFonts w:ascii="Arial" w:cs="Arial" w:eastAsia="Arial" w:hAnsi="Arial"/>
          <w:color w:val="000000"/>
          <w:sz w:val="20"/>
          <w:szCs w:val="20"/>
        </w:rPr>
        <w:t xml:space="preserve">2.  </w:t>
      </w:r>
      <w:r>
        <w:rPr>
          <w:rFonts w:ascii="Arial" w:cs="Arial" w:eastAsia="Arial" w:hAnsi="Arial"/>
          <w:b/>
          <w:bCs/>
          <w:color w:val="000000"/>
          <w:sz w:val="20"/>
          <w:szCs w:val="20"/>
        </w:rPr>
        <w:t xml:space="preserve">Whistleblower immunity</w:t>
      </w:r>
      <w:r>
        <w:rPr>
          <w:rFonts w:ascii="Arial" w:cs="Arial" w:eastAsia="Arial" w:hAnsi="Arial"/>
          <w:color w:val="000000"/>
          <w:sz w:val="20"/>
          <w:szCs w:val="20"/>
        </w:rPr>
        <w:t xml:space="preserve"> for disclosing a trade secret in confidence to a government official or an attorney solely to report or investigate a suspected violation of law, or in a sealed court filing.</w:t>
      </w:r>
    </w:p>
    <w:p>
      <w:pPr>
        <w:spacing w:after="75" w:line="272"/>
        <w:ind w:left="440" w:hanging="290"/>
        <w:jc w:val="both"/>
      </w:pPr>
      <w:r>
        <w:rPr>
          <w:rFonts w:ascii="Arial" w:cs="Arial" w:eastAsia="Arial" w:hAnsi="Arial"/>
          <w:color w:val="000000"/>
          <w:sz w:val="20"/>
          <w:szCs w:val="20"/>
        </w:rPr>
        <w:t xml:space="preserve">3.  </w:t>
      </w:r>
      <w:r>
        <w:rPr>
          <w:rFonts w:ascii="Arial" w:cs="Arial" w:eastAsia="Arial" w:hAnsi="Arial"/>
          <w:b/>
          <w:bCs/>
          <w:color w:val="000000"/>
          <w:sz w:val="20"/>
          <w:szCs w:val="20"/>
        </w:rPr>
        <w:t xml:space="preserve">Notice requirement.</w:t>
      </w:r>
      <w:r>
        <w:rPr>
          <w:rFonts w:ascii="Arial" w:cs="Arial" w:eastAsia="Arial" w:hAnsi="Arial"/>
          <w:color w:val="000000"/>
          <w:sz w:val="20"/>
          <w:szCs w:val="20"/>
        </w:rPr>
        <w:t xml:space="preserve"> The employer must give notice of that immunity in any agreement with an employee governing use of a trade secret. If it does not, </w:t>
      </w:r>
      <w:r>
        <w:rPr>
          <w:rFonts w:ascii="Arial" w:cs="Arial" w:eastAsia="Arial" w:hAnsi="Arial"/>
          <w:b/>
          <w:bCs/>
          <w:color w:val="000000"/>
          <w:sz w:val="20"/>
          <w:szCs w:val="20"/>
        </w:rPr>
        <w:t xml:space="preserve">it cannot recover exemplary damages or attorney fees against that employee</w:t>
      </w:r>
      <w:r>
        <w:rPr>
          <w:rFonts w:ascii="Arial" w:cs="Arial" w:eastAsia="Arial" w:hAnsi="Arial"/>
          <w:color w:val="000000"/>
          <w:sz w:val="20"/>
          <w:szCs w:val="20"/>
        </w:rPr>
        <w:t xml:space="preserve">, though the claim itself survives.</w:t>
      </w:r>
    </w:p>
    <w:p>
      <w:pPr>
        <w:pStyle w:val="Heading2"/>
        <w:spacing w:after="95" w:before="250"/>
      </w:pPr>
      <w:r>
        <w:rPr>
          <w:rFonts w:ascii="Arial" w:cs="Arial" w:eastAsia="Arial" w:hAnsi="Arial"/>
          <w:b/>
          <w:bCs/>
          <w:color w:val="1F3864"/>
          <w:sz w:val="23"/>
          <w:szCs w:val="23"/>
        </w:rPr>
        <w:t xml:space="preserve">4.6  Inevitable disclosure</w:t>
      </w:r>
    </w:p>
    <w:p>
      <w:pPr>
        <w:spacing w:after="130" w:line="276"/>
        <w:jc w:val="both"/>
      </w:pPr>
      <w:r>
        <w:rPr>
          <w:rFonts w:ascii="Arial" w:cs="Arial" w:eastAsia="Arial" w:hAnsi="Arial"/>
          <w:color w:val="000000"/>
          <w:sz w:val="20"/>
          <w:szCs w:val="20"/>
        </w:rPr>
        <w:t xml:space="preserve">The doctrine allows a pre emptive injunction where an employee's new role makes it virtually certain that the former employer's secrets will be used, even without conscious intention. Its position is easy to state: </w:t>
      </w:r>
      <w:r>
        <w:rPr>
          <w:rFonts w:ascii="Arial" w:cs="Arial" w:eastAsia="Arial" w:hAnsi="Arial"/>
          <w:b/>
          <w:bCs/>
          <w:color w:val="000000"/>
          <w:sz w:val="20"/>
          <w:szCs w:val="20"/>
        </w:rPr>
        <w:t xml:space="preserve">accepted</w:t>
      </w:r>
      <w:r>
        <w:rPr>
          <w:rFonts w:ascii="Arial" w:cs="Arial" w:eastAsia="Arial" w:hAnsi="Arial"/>
          <w:color w:val="000000"/>
          <w:sz w:val="20"/>
          <w:szCs w:val="20"/>
        </w:rPr>
        <w:t xml:space="preserve"> in several States, most prominently Illinois after </w:t>
      </w:r>
      <w:r>
        <w:rPr>
          <w:rFonts w:ascii="Arial" w:cs="Arial" w:eastAsia="Arial" w:hAnsi="Arial"/>
          <w:b/>
          <w:bCs/>
          <w:i/>
          <w:iCs/>
          <w:color w:val="000000"/>
          <w:sz w:val="20"/>
          <w:szCs w:val="20"/>
        </w:rPr>
        <w:t xml:space="preserve">PepsiCo v Redmond</w:t>
      </w:r>
      <w:r>
        <w:rPr>
          <w:rFonts w:ascii="Arial" w:cs="Arial" w:eastAsia="Arial" w:hAnsi="Arial"/>
          <w:color w:val="000000"/>
          <w:sz w:val="20"/>
          <w:szCs w:val="20"/>
        </w:rPr>
        <w:t xml:space="preserve">; </w:t>
      </w:r>
      <w:r>
        <w:rPr>
          <w:rFonts w:ascii="Arial" w:cs="Arial" w:eastAsia="Arial" w:hAnsi="Arial"/>
          <w:b/>
          <w:bCs/>
          <w:color w:val="000000"/>
          <w:sz w:val="20"/>
          <w:szCs w:val="20"/>
        </w:rPr>
        <w:t xml:space="preserve">rejected in California</w:t>
      </w:r>
      <w:r>
        <w:rPr>
          <w:rFonts w:ascii="Arial" w:cs="Arial" w:eastAsia="Arial" w:hAnsi="Arial"/>
          <w:color w:val="000000"/>
          <w:sz w:val="20"/>
          <w:szCs w:val="20"/>
        </w:rPr>
        <w:t xml:space="preserve">, where non competes are unenforceable; </w:t>
      </w:r>
      <w:r>
        <w:rPr>
          <w:rFonts w:ascii="Arial" w:cs="Arial" w:eastAsia="Arial" w:hAnsi="Arial"/>
          <w:b/>
          <w:bCs/>
          <w:color w:val="000000"/>
          <w:sz w:val="20"/>
          <w:szCs w:val="20"/>
        </w:rPr>
        <w:t xml:space="preserve">declined at federal level</w:t>
      </w:r>
      <w:r>
        <w:rPr>
          <w:rFonts w:ascii="Arial" w:cs="Arial" w:eastAsia="Arial" w:hAnsi="Arial"/>
          <w:color w:val="000000"/>
          <w:sz w:val="20"/>
          <w:szCs w:val="20"/>
        </w:rPr>
        <w:t xml:space="preserve"> by the Defend Trade Secrets Act; and </w:t>
      </w:r>
      <w:r>
        <w:rPr>
          <w:rFonts w:ascii="Arial" w:cs="Arial" w:eastAsia="Arial" w:hAnsi="Arial"/>
          <w:b/>
          <w:bCs/>
          <w:color w:val="000000"/>
          <w:sz w:val="20"/>
          <w:szCs w:val="20"/>
        </w:rPr>
        <w:t xml:space="preserve">rejected in India</w:t>
      </w:r>
      <w:r>
        <w:rPr>
          <w:rFonts w:ascii="Arial" w:cs="Arial" w:eastAsia="Arial" w:hAnsi="Arial"/>
          <w:color w:val="000000"/>
          <w:sz w:val="20"/>
          <w:szCs w:val="20"/>
        </w:rPr>
        <w:t xml:space="preserve">, which requires proof of actual or specifically threatened misuse.</w:t>
      </w:r>
    </w:p>
    <w:p>
      <w:pPr>
        <w:pBdr>
          <w:top w:val="single" w:color="D6B656" w:sz="2" w:space="6"/>
          <w:bottom w:val="single" w:color="D6B656" w:sz="2" w:space="6"/>
          <w:left w:val="single" w:color="D6B656" w:sz="2" w:space="6"/>
          <w:right w:val="single" w:color="D6B656" w:sz="2" w:space="6"/>
        </w:pBdr>
        <w:shd w:fill="FFF2CC" w:val="clear"/>
        <w:spacing w:after="180" w:before="120" w:line="276"/>
        <w:ind w:left="170" w:right="170"/>
        <w:jc w:val="both"/>
      </w:pPr>
      <w:r>
        <w:rPr>
          <w:rFonts w:ascii="Arial" w:cs="Arial" w:eastAsia="Arial" w:hAnsi="Arial"/>
          <w:b/>
          <w:bCs/>
          <w:color w:val="000000"/>
          <w:sz w:val="20"/>
          <w:szCs w:val="20"/>
        </w:rPr>
        <w:t xml:space="preserve">Examination point.</w:t>
      </w:r>
      <w:r>
        <w:rPr>
          <w:rFonts w:ascii="Arial" w:cs="Arial" w:eastAsia="Arial" w:hAnsi="Arial"/>
          <w:color w:val="000000"/>
          <w:sz w:val="20"/>
          <w:szCs w:val="20"/>
        </w:rPr>
        <w:t xml:space="preserve"> The United States invented inevitable disclosure, the federal statute then declined it, and India never accepted it. That arc answers any question on employee mobility.</w:t>
      </w:r>
    </w:p>
    <w:p>
      <w:pPr>
        <w:pStyle w:val="Heading2"/>
        <w:spacing w:after="95" w:before="250"/>
      </w:pPr>
      <w:r>
        <w:rPr>
          <w:rFonts w:ascii="Arial" w:cs="Arial" w:eastAsia="Arial" w:hAnsi="Arial"/>
          <w:b/>
          <w:bCs/>
          <w:color w:val="1F3864"/>
          <w:sz w:val="23"/>
          <w:szCs w:val="23"/>
        </w:rPr>
        <w:t xml:space="preserve">4.7  United States cases</w:t>
      </w:r>
    </w:p>
    <w:p>
      <w:pPr>
        <w:pStyle w:val="Heading3"/>
        <w:spacing w:after="80" w:before="200"/>
      </w:pPr>
      <w:r>
        <w:rPr>
          <w:rFonts w:ascii="Arial" w:cs="Arial" w:eastAsia="Arial" w:hAnsi="Arial"/>
          <w:b/>
          <w:bCs/>
          <w:color w:val="1F3864"/>
          <w:sz w:val="20"/>
          <w:szCs w:val="20"/>
        </w:rPr>
        <w:t xml:space="preserve">PepsiCo Inc v Redmond</w:t>
      </w:r>
    </w:p>
    <w:p>
      <w:pPr>
        <w:spacing w:after="95" w:line="272"/>
      </w:pPr>
      <w:r>
        <w:rPr>
          <w:rFonts w:ascii="Arial" w:cs="Arial" w:eastAsia="Arial" w:hAnsi="Arial"/>
          <w:b/>
          <w:bCs/>
          <w:i/>
          <w:iCs/>
          <w:color w:val="000000"/>
          <w:sz w:val="19"/>
          <w:szCs w:val="19"/>
        </w:rPr>
        <w:t xml:space="preserve">PepsiCo Inc v Redmond</w:t>
      </w:r>
      <w:r>
        <w:rPr>
          <w:rFonts w:ascii="Arial" w:cs="Arial" w:eastAsia="Arial" w:hAnsi="Arial"/>
          <w:color w:val="000000"/>
          <w:sz w:val="19"/>
          <w:szCs w:val="19"/>
        </w:rPr>
        <w:t xml:space="preserve">, 54 F.3d 1262 (Seventh Circuit, 1995). Bauer, Coffey and Flaum JJ, opinion by Flaum J, 11 May 1995.</w:t>
      </w:r>
    </w:p>
    <w:p>
      <w:pPr>
        <w:spacing w:after="130" w:line="276"/>
        <w:jc w:val="both"/>
      </w:pPr>
      <w:r>
        <w:rPr>
          <w:rFonts w:ascii="Arial" w:cs="Arial" w:eastAsia="Arial" w:hAnsi="Arial"/>
          <w:b/>
          <w:bCs/>
          <w:color w:val="000000"/>
          <w:sz w:val="20"/>
          <w:szCs w:val="20"/>
        </w:rPr>
        <w:t xml:space="preserve">Facts.</w:t>
      </w:r>
      <w:r>
        <w:rPr>
          <w:rFonts w:ascii="Arial" w:cs="Arial" w:eastAsia="Arial" w:hAnsi="Arial"/>
          <w:color w:val="000000"/>
          <w:sz w:val="20"/>
          <w:szCs w:val="20"/>
        </w:rPr>
        <w:t xml:space="preserve"> Redmond was General Manager of PepsiCo's California business unit with access to strategic plans and to pricing, distribution and marketing information for the All Sport drink. He secretly negotiated with Quaker Oats, owner of Gatorade and Snapple, and accepted the post of Vice President, Field Operations.</w:t>
      </w:r>
    </w:p>
    <w:p>
      <w:pPr>
        <w:spacing w:after="130" w:line="276"/>
        <w:jc w:val="both"/>
      </w:pPr>
      <w:r>
        <w:rPr>
          <w:rFonts w:ascii="Arial" w:cs="Arial" w:eastAsia="Arial" w:hAnsi="Arial"/>
          <w:b/>
          <w:bCs/>
          <w:color w:val="000000"/>
          <w:sz w:val="20"/>
          <w:szCs w:val="20"/>
        </w:rPr>
        <w:t xml:space="preserve">Decision.</w:t>
      </w:r>
      <w:r>
        <w:rPr>
          <w:rFonts w:ascii="Arial" w:cs="Arial" w:eastAsia="Arial" w:hAnsi="Arial"/>
          <w:color w:val="000000"/>
          <w:sz w:val="20"/>
          <w:szCs w:val="20"/>
        </w:rPr>
        <w:t xml:space="preserve"> Preliminary injunction affirmed under the Illinois Trade Secrets Act.</w:t>
      </w:r>
    </w:p>
    <w:p>
      <w:pPr>
        <w:spacing w:after="130" w:line="276"/>
        <w:jc w:val="both"/>
      </w:pPr>
      <w:r>
        <w:rPr>
          <w:rFonts w:ascii="Arial" w:cs="Arial" w:eastAsia="Arial" w:hAnsi="Arial"/>
          <w:b/>
          <w:bCs/>
          <w:color w:val="000000"/>
          <w:sz w:val="20"/>
          <w:szCs w:val="20"/>
        </w:rPr>
        <w:t xml:space="preserve">Principle.</w:t>
      </w:r>
      <w:r>
        <w:rPr>
          <w:rFonts w:ascii="Arial" w:cs="Arial" w:eastAsia="Arial" w:hAnsi="Arial"/>
          <w:color w:val="000000"/>
          <w:sz w:val="20"/>
          <w:szCs w:val="20"/>
        </w:rPr>
        <w:t xml:space="preserve"> A plaintiff may prove threatened misappropriation by showing that the new employment will </w:t>
      </w:r>
      <w:r>
        <w:rPr>
          <w:rFonts w:ascii="Arial" w:cs="Arial" w:eastAsia="Arial" w:hAnsi="Arial"/>
          <w:b/>
          <w:bCs/>
          <w:color w:val="000000"/>
          <w:sz w:val="20"/>
          <w:szCs w:val="20"/>
        </w:rPr>
        <w:t xml:space="preserve">inevitably lead to reliance</w:t>
      </w:r>
      <w:r>
        <w:rPr>
          <w:rFonts w:ascii="Arial" w:cs="Arial" w:eastAsia="Arial" w:hAnsi="Arial"/>
          <w:color w:val="000000"/>
          <w:sz w:val="20"/>
          <w:szCs w:val="20"/>
        </w:rPr>
        <w:t xml:space="preserve"> on the plaintiff's secrets. General skills may be carried anywhere, but particularised strategic plans are protectable.</w:t>
      </w:r>
    </w:p>
    <w:p>
      <w:pPr>
        <w:pStyle w:val="Heading3"/>
        <w:spacing w:after="80" w:before="200"/>
      </w:pPr>
      <w:r>
        <w:rPr>
          <w:rFonts w:ascii="Arial" w:cs="Arial" w:eastAsia="Arial" w:hAnsi="Arial"/>
          <w:b/>
          <w:bCs/>
          <w:color w:val="1F3864"/>
          <w:sz w:val="20"/>
          <w:szCs w:val="20"/>
        </w:rPr>
        <w:t xml:space="preserve">United States v Lange</w:t>
      </w:r>
    </w:p>
    <w:p>
      <w:pPr>
        <w:spacing w:after="95" w:line="272"/>
      </w:pPr>
      <w:r>
        <w:rPr>
          <w:rFonts w:ascii="Arial" w:cs="Arial" w:eastAsia="Arial" w:hAnsi="Arial"/>
          <w:b/>
          <w:bCs/>
          <w:i/>
          <w:iCs/>
          <w:color w:val="000000"/>
          <w:sz w:val="19"/>
          <w:szCs w:val="19"/>
        </w:rPr>
        <w:t xml:space="preserve">United States v Lange</w:t>
      </w:r>
      <w:r>
        <w:rPr>
          <w:rFonts w:ascii="Arial" w:cs="Arial" w:eastAsia="Arial" w:hAnsi="Arial"/>
          <w:color w:val="000000"/>
          <w:sz w:val="19"/>
          <w:szCs w:val="19"/>
        </w:rPr>
        <w:t xml:space="preserve">, 312 F.3d 263 (Seventh Circuit, 2002).</w:t>
      </w:r>
    </w:p>
    <w:p>
      <w:pPr>
        <w:spacing w:after="130" w:line="276"/>
        <w:jc w:val="both"/>
      </w:pPr>
      <w:r>
        <w:rPr>
          <w:rFonts w:ascii="Arial" w:cs="Arial" w:eastAsia="Arial" w:hAnsi="Arial"/>
          <w:b/>
          <w:bCs/>
          <w:color w:val="000000"/>
          <w:sz w:val="20"/>
          <w:szCs w:val="20"/>
        </w:rPr>
        <w:t xml:space="preserve">Facts.</w:t>
      </w:r>
      <w:r>
        <w:rPr>
          <w:rFonts w:ascii="Arial" w:cs="Arial" w:eastAsia="Arial" w:hAnsi="Arial"/>
          <w:color w:val="000000"/>
          <w:sz w:val="20"/>
          <w:szCs w:val="20"/>
        </w:rPr>
        <w:t xml:space="preserve"> Lange, a disgruntled former employee of RAPCO, an aircraft parts maker, offered to sell its secret manufacturing processes. RAPCO reported him and he was arrested in a sting with an undercover agent.</w:t>
      </w:r>
    </w:p>
    <w:p>
      <w:pPr>
        <w:spacing w:after="130" w:line="276"/>
        <w:jc w:val="both"/>
      </w:pPr>
      <w:r>
        <w:rPr>
          <w:rFonts w:ascii="Arial" w:cs="Arial" w:eastAsia="Arial" w:hAnsi="Arial"/>
          <w:b/>
          <w:bCs/>
          <w:color w:val="000000"/>
          <w:sz w:val="20"/>
          <w:szCs w:val="20"/>
        </w:rPr>
        <w:t xml:space="preserve">Decision.</w:t>
      </w:r>
      <w:r>
        <w:rPr>
          <w:rFonts w:ascii="Arial" w:cs="Arial" w:eastAsia="Arial" w:hAnsi="Arial"/>
          <w:color w:val="000000"/>
          <w:sz w:val="20"/>
          <w:szCs w:val="20"/>
        </w:rPr>
        <w:t xml:space="preserve"> Convicted under the Economic Espionage Act, sentenced to thirty months.</w:t>
      </w:r>
    </w:p>
    <w:p>
      <w:pPr>
        <w:spacing w:after="130" w:line="276"/>
        <w:jc w:val="both"/>
      </w:pPr>
      <w:r>
        <w:rPr>
          <w:rFonts w:ascii="Arial" w:cs="Arial" w:eastAsia="Arial" w:hAnsi="Arial"/>
          <w:b/>
          <w:bCs/>
          <w:color w:val="000000"/>
          <w:sz w:val="20"/>
          <w:szCs w:val="20"/>
        </w:rPr>
        <w:t xml:space="preserve">Principle.</w:t>
      </w:r>
      <w:r>
        <w:rPr>
          <w:rFonts w:ascii="Arial" w:cs="Arial" w:eastAsia="Arial" w:hAnsi="Arial"/>
          <w:color w:val="000000"/>
          <w:sz w:val="20"/>
          <w:szCs w:val="20"/>
        </w:rPr>
        <w:t xml:space="preserve"> The Act works in ordinary commercial theft, not only in foreign espionage.</w:t>
      </w:r>
    </w:p>
    <w:p>
      <w:pPr>
        <w:pStyle w:val="Heading3"/>
        <w:spacing w:after="80" w:before="200"/>
      </w:pPr>
      <w:r>
        <w:rPr>
          <w:rFonts w:ascii="Arial" w:cs="Arial" w:eastAsia="Arial" w:hAnsi="Arial"/>
          <w:b/>
          <w:bCs/>
          <w:color w:val="1F3864"/>
          <w:sz w:val="20"/>
          <w:szCs w:val="20"/>
        </w:rPr>
        <w:t xml:space="preserve">United States v Aleynikov</w:t>
      </w:r>
    </w:p>
    <w:p>
      <w:pPr>
        <w:spacing w:after="95" w:line="272"/>
      </w:pPr>
      <w:r>
        <w:rPr>
          <w:rFonts w:ascii="Arial" w:cs="Arial" w:eastAsia="Arial" w:hAnsi="Arial"/>
          <w:b/>
          <w:bCs/>
          <w:i/>
          <w:iCs/>
          <w:color w:val="000000"/>
          <w:sz w:val="19"/>
          <w:szCs w:val="19"/>
        </w:rPr>
        <w:t xml:space="preserve">United States v Aleynikov</w:t>
      </w:r>
      <w:r>
        <w:rPr>
          <w:rFonts w:ascii="Arial" w:cs="Arial" w:eastAsia="Arial" w:hAnsi="Arial"/>
          <w:color w:val="000000"/>
          <w:sz w:val="19"/>
          <w:szCs w:val="19"/>
        </w:rPr>
        <w:t xml:space="preserve">, 676 F.3d 71 (Second Circuit, 2012).</w:t>
      </w:r>
    </w:p>
    <w:p>
      <w:pPr>
        <w:spacing w:after="130" w:line="276"/>
        <w:jc w:val="both"/>
      </w:pPr>
      <w:r>
        <w:rPr>
          <w:rFonts w:ascii="Arial" w:cs="Arial" w:eastAsia="Arial" w:hAnsi="Arial"/>
          <w:b/>
          <w:bCs/>
          <w:color w:val="000000"/>
          <w:sz w:val="20"/>
          <w:szCs w:val="20"/>
        </w:rPr>
        <w:t xml:space="preserve">Facts.</w:t>
      </w:r>
      <w:r>
        <w:rPr>
          <w:rFonts w:ascii="Arial" w:cs="Arial" w:eastAsia="Arial" w:hAnsi="Arial"/>
          <w:color w:val="000000"/>
          <w:sz w:val="20"/>
          <w:szCs w:val="20"/>
        </w:rPr>
        <w:t xml:space="preserve"> A Goldman Sachs programmer copied source code for the firm's high frequency trading system on his last day.</w:t>
      </w:r>
    </w:p>
    <w:p>
      <w:pPr>
        <w:spacing w:after="130" w:line="276"/>
        <w:jc w:val="both"/>
      </w:pPr>
      <w:r>
        <w:rPr>
          <w:rFonts w:ascii="Arial" w:cs="Arial" w:eastAsia="Arial" w:hAnsi="Arial"/>
          <w:b/>
          <w:bCs/>
          <w:color w:val="000000"/>
          <w:sz w:val="20"/>
          <w:szCs w:val="20"/>
        </w:rPr>
        <w:t xml:space="preserve">Decision.</w:t>
      </w:r>
      <w:r>
        <w:rPr>
          <w:rFonts w:ascii="Arial" w:cs="Arial" w:eastAsia="Arial" w:hAnsi="Arial"/>
          <w:color w:val="000000"/>
          <w:sz w:val="20"/>
          <w:szCs w:val="20"/>
        </w:rPr>
        <w:t xml:space="preserve"> Conviction </w:t>
      </w:r>
      <w:r>
        <w:rPr>
          <w:rFonts w:ascii="Arial" w:cs="Arial" w:eastAsia="Arial" w:hAnsi="Arial"/>
          <w:b/>
          <w:bCs/>
          <w:color w:val="000000"/>
          <w:sz w:val="20"/>
          <w:szCs w:val="20"/>
        </w:rPr>
        <w:t xml:space="preserve">reversed</w:t>
      </w:r>
      <w:r>
        <w:rPr>
          <w:rFonts w:ascii="Arial" w:cs="Arial" w:eastAsia="Arial" w:hAnsi="Arial"/>
          <w:color w:val="000000"/>
          <w:sz w:val="20"/>
          <w:szCs w:val="20"/>
        </w:rPr>
        <w:t xml:space="preserve">.</w:t>
      </w:r>
    </w:p>
    <w:p>
      <w:pPr>
        <w:spacing w:after="130" w:line="276"/>
        <w:jc w:val="both"/>
      </w:pPr>
      <w:r>
        <w:rPr>
          <w:rFonts w:ascii="Arial" w:cs="Arial" w:eastAsia="Arial" w:hAnsi="Arial"/>
          <w:b/>
          <w:bCs/>
          <w:color w:val="000000"/>
          <w:sz w:val="20"/>
          <w:szCs w:val="20"/>
        </w:rPr>
        <w:t xml:space="preserve">Principle.</w:t>
      </w:r>
      <w:r>
        <w:rPr>
          <w:rFonts w:ascii="Arial" w:cs="Arial" w:eastAsia="Arial" w:hAnsi="Arial"/>
          <w:color w:val="000000"/>
          <w:sz w:val="20"/>
          <w:szCs w:val="20"/>
        </w:rPr>
        <w:t xml:space="preserve"> The system was used internally and never licensed or sold, so it was not a product produced for or placed in interstate commerce under the Act as it then stood, and intangible code was not goods, wares or merchandise under the National Stolen Property Act. </w:t>
      </w:r>
      <w:r>
        <w:rPr>
          <w:rFonts w:ascii="Arial" w:cs="Arial" w:eastAsia="Arial" w:hAnsi="Arial"/>
          <w:i/>
          <w:iCs/>
          <w:color w:val="000000"/>
          <w:sz w:val="20"/>
          <w:szCs w:val="20"/>
        </w:rPr>
        <w:t xml:space="preserve">This is the American version of the difficulty India faces in fitting information into theft and criminal breach of trust.</w:t>
      </w:r>
    </w:p>
    <w:p>
      <w:pPr>
        <w:pStyle w:val="Heading3"/>
        <w:spacing w:after="80" w:before="200"/>
      </w:pPr>
      <w:r>
        <w:rPr>
          <w:rFonts w:ascii="Arial" w:cs="Arial" w:eastAsia="Arial" w:hAnsi="Arial"/>
          <w:b/>
          <w:bCs/>
          <w:color w:val="1F3864"/>
          <w:sz w:val="20"/>
          <w:szCs w:val="20"/>
        </w:rPr>
        <w:t xml:space="preserve">Epic Systems Corporation v Tata Consultancy Services</w:t>
      </w:r>
    </w:p>
    <w:p>
      <w:pPr>
        <w:spacing w:after="95" w:line="272"/>
      </w:pPr>
      <w:r>
        <w:rPr>
          <w:rFonts w:ascii="Arial" w:cs="Arial" w:eastAsia="Arial" w:hAnsi="Arial"/>
          <w:b/>
          <w:bCs/>
          <w:i/>
          <w:iCs/>
          <w:color w:val="000000"/>
          <w:sz w:val="19"/>
          <w:szCs w:val="19"/>
        </w:rPr>
        <w:t xml:space="preserve">Epic Systems Corporation v Tata Consultancy Services</w:t>
      </w:r>
      <w:r>
        <w:rPr>
          <w:rFonts w:ascii="Arial" w:cs="Arial" w:eastAsia="Arial" w:hAnsi="Arial"/>
          <w:color w:val="000000"/>
          <w:sz w:val="19"/>
          <w:szCs w:val="19"/>
        </w:rPr>
        <w:t xml:space="preserve">, 980 F.3d 1117 (Seventh Circuit, 2020).</w:t>
      </w:r>
    </w:p>
    <w:p>
      <w:pPr>
        <w:spacing w:after="130" w:line="276"/>
        <w:jc w:val="both"/>
      </w:pPr>
      <w:r>
        <w:rPr>
          <w:rFonts w:ascii="Arial" w:cs="Arial" w:eastAsia="Arial" w:hAnsi="Arial"/>
          <w:b/>
          <w:bCs/>
          <w:color w:val="000000"/>
          <w:sz w:val="20"/>
          <w:szCs w:val="20"/>
        </w:rPr>
        <w:t xml:space="preserve">Facts.</w:t>
      </w:r>
      <w:r>
        <w:rPr>
          <w:rFonts w:ascii="Arial" w:cs="Arial" w:eastAsia="Arial" w:hAnsi="Arial"/>
          <w:color w:val="000000"/>
          <w:sz w:val="20"/>
          <w:szCs w:val="20"/>
        </w:rPr>
        <w:t xml:space="preserve"> A mutual customer gave Tata access to Epic's web portal for the limited purpose of testing at that customer's installation. Tata employees used the access to download large quantities of Epic's confidential documentation for a competing product.</w:t>
      </w:r>
    </w:p>
    <w:p>
      <w:pPr>
        <w:spacing w:after="130" w:line="276"/>
        <w:jc w:val="both"/>
      </w:pPr>
      <w:r>
        <w:rPr>
          <w:rFonts w:ascii="Arial" w:cs="Arial" w:eastAsia="Arial" w:hAnsi="Arial"/>
          <w:b/>
          <w:bCs/>
          <w:color w:val="000000"/>
          <w:sz w:val="20"/>
          <w:szCs w:val="20"/>
        </w:rPr>
        <w:t xml:space="preserve">Decision.</w:t>
      </w:r>
      <w:r>
        <w:rPr>
          <w:rFonts w:ascii="Arial" w:cs="Arial" w:eastAsia="Arial" w:hAnsi="Arial"/>
          <w:color w:val="000000"/>
          <w:sz w:val="20"/>
          <w:szCs w:val="20"/>
        </w:rPr>
        <w:t xml:space="preserve"> Liability established, with very large compensatory and punitive awards later reduced on review. The figures differ between sources, so state them with care.</w:t>
      </w:r>
    </w:p>
    <w:p>
      <w:pPr>
        <w:spacing w:after="130" w:line="276"/>
        <w:jc w:val="both"/>
      </w:pPr>
      <w:r>
        <w:rPr>
          <w:rFonts w:ascii="Arial" w:cs="Arial" w:eastAsia="Arial" w:hAnsi="Arial"/>
          <w:b/>
          <w:bCs/>
          <w:color w:val="000000"/>
          <w:sz w:val="20"/>
          <w:szCs w:val="20"/>
        </w:rPr>
        <w:t xml:space="preserve">Principle.</w:t>
      </w:r>
      <w:r>
        <w:rPr>
          <w:rFonts w:ascii="Arial" w:cs="Arial" w:eastAsia="Arial" w:hAnsi="Arial"/>
          <w:color w:val="000000"/>
          <w:sz w:val="20"/>
          <w:szCs w:val="20"/>
        </w:rPr>
        <w:t xml:space="preserve"> </w:t>
      </w:r>
      <w:r>
        <w:rPr>
          <w:rFonts w:ascii="Arial" w:cs="Arial" w:eastAsia="Arial" w:hAnsi="Arial"/>
          <w:b/>
          <w:bCs/>
          <w:color w:val="000000"/>
          <w:sz w:val="20"/>
          <w:szCs w:val="20"/>
        </w:rPr>
        <w:t xml:space="preserve">Access granted for one limited purpose does not authorise use for another.</w:t>
      </w:r>
      <w:r>
        <w:rPr>
          <w:rFonts w:ascii="Arial" w:cs="Arial" w:eastAsia="Arial" w:hAnsi="Arial"/>
          <w:color w:val="000000"/>
          <w:sz w:val="20"/>
          <w:szCs w:val="20"/>
        </w:rPr>
        <w:t xml:space="preserve"> This is the leading outsourcing risk case.</w:t>
      </w:r>
    </w:p>
    <w:p>
      <w:pPr>
        <w:pStyle w:val="Heading3"/>
        <w:spacing w:after="80" w:before="200"/>
      </w:pPr>
      <w:r>
        <w:rPr>
          <w:rFonts w:ascii="Arial" w:cs="Arial" w:eastAsia="Arial" w:hAnsi="Arial"/>
          <w:b/>
          <w:bCs/>
          <w:color w:val="1F3864"/>
          <w:sz w:val="20"/>
          <w:szCs w:val="20"/>
        </w:rPr>
        <w:t xml:space="preserve">TianRui Group Co Ltd v International Trade Commission</w:t>
      </w:r>
    </w:p>
    <w:p>
      <w:pPr>
        <w:spacing w:after="95" w:line="272"/>
      </w:pPr>
      <w:r>
        <w:rPr>
          <w:rFonts w:ascii="Arial" w:cs="Arial" w:eastAsia="Arial" w:hAnsi="Arial"/>
          <w:b/>
          <w:bCs/>
          <w:i/>
          <w:iCs/>
          <w:color w:val="000000"/>
          <w:sz w:val="19"/>
          <w:szCs w:val="19"/>
        </w:rPr>
        <w:t xml:space="preserve">TianRui Group Co Ltd v International Trade Commission</w:t>
      </w:r>
      <w:r>
        <w:rPr>
          <w:rFonts w:ascii="Arial" w:cs="Arial" w:eastAsia="Arial" w:hAnsi="Arial"/>
          <w:color w:val="000000"/>
          <w:sz w:val="19"/>
          <w:szCs w:val="19"/>
        </w:rPr>
        <w:t xml:space="preserve">, 661 F.3d 1322 (Federal Circuit, 2011).</w:t>
      </w:r>
    </w:p>
    <w:p>
      <w:pPr>
        <w:spacing w:after="130" w:line="276"/>
        <w:jc w:val="both"/>
      </w:pPr>
      <w:r>
        <w:rPr>
          <w:rFonts w:ascii="Arial" w:cs="Arial" w:eastAsia="Arial" w:hAnsi="Arial"/>
          <w:b/>
          <w:bCs/>
          <w:color w:val="000000"/>
          <w:sz w:val="20"/>
          <w:szCs w:val="20"/>
        </w:rPr>
        <w:t xml:space="preserve">Facts.</w:t>
      </w:r>
      <w:r>
        <w:rPr>
          <w:rFonts w:ascii="Arial" w:cs="Arial" w:eastAsia="Arial" w:hAnsi="Arial"/>
          <w:color w:val="000000"/>
          <w:sz w:val="20"/>
          <w:szCs w:val="20"/>
        </w:rPr>
        <w:t xml:space="preserve"> A Chinese manufacturer acquired a United States company's cast steel railway wheel process through former employees of the licensee in China, and exported the wheels into the United States.</w:t>
      </w:r>
    </w:p>
    <w:p>
      <w:pPr>
        <w:spacing w:after="130" w:line="276"/>
        <w:jc w:val="both"/>
      </w:pPr>
      <w:r>
        <w:rPr>
          <w:rFonts w:ascii="Arial" w:cs="Arial" w:eastAsia="Arial" w:hAnsi="Arial"/>
          <w:b/>
          <w:bCs/>
          <w:color w:val="000000"/>
          <w:sz w:val="20"/>
          <w:szCs w:val="20"/>
        </w:rPr>
        <w:t xml:space="preserve">Decision.</w:t>
      </w:r>
      <w:r>
        <w:rPr>
          <w:rFonts w:ascii="Arial" w:cs="Arial" w:eastAsia="Arial" w:hAnsi="Arial"/>
          <w:color w:val="000000"/>
          <w:sz w:val="20"/>
          <w:szCs w:val="20"/>
        </w:rPr>
        <w:t xml:space="preserve"> The Commission could bar the imports under Section 337 of the Tariff Act.</w:t>
      </w:r>
    </w:p>
    <w:p>
      <w:pPr>
        <w:spacing w:after="130" w:line="276"/>
        <w:jc w:val="both"/>
      </w:pPr>
      <w:r>
        <w:rPr>
          <w:rFonts w:ascii="Arial" w:cs="Arial" w:eastAsia="Arial" w:hAnsi="Arial"/>
          <w:b/>
          <w:bCs/>
          <w:color w:val="000000"/>
          <w:sz w:val="20"/>
          <w:szCs w:val="20"/>
        </w:rPr>
        <w:t xml:space="preserve">Principle.</w:t>
      </w:r>
      <w:r>
        <w:rPr>
          <w:rFonts w:ascii="Arial" w:cs="Arial" w:eastAsia="Arial" w:hAnsi="Arial"/>
          <w:color w:val="000000"/>
          <w:sz w:val="20"/>
          <w:szCs w:val="20"/>
        </w:rPr>
        <w:t xml:space="preserve"> The relevant unfair act is the </w:t>
      </w:r>
      <w:r>
        <w:rPr>
          <w:rFonts w:ascii="Arial" w:cs="Arial" w:eastAsia="Arial" w:hAnsi="Arial"/>
          <w:b/>
          <w:bCs/>
          <w:color w:val="000000"/>
          <w:sz w:val="20"/>
          <w:szCs w:val="20"/>
        </w:rPr>
        <w:t xml:space="preserve">importation</w:t>
      </w:r>
      <w:r>
        <w:rPr>
          <w:rFonts w:ascii="Arial" w:cs="Arial" w:eastAsia="Arial" w:hAnsi="Arial"/>
          <w:color w:val="000000"/>
          <w:sz w:val="20"/>
          <w:szCs w:val="20"/>
        </w:rPr>
        <w:t xml:space="preserve">, which occurs in the United States; the misappropriation abroad is only the predicate. Enforcement happens at the border rather than in a courtroom.</w:t>
      </w:r>
    </w:p>
    <w:p>
      <w:pPr>
        <w:pStyle w:val="Heading1"/>
        <w:pBdr>
          <w:bottom w:val="single" w:color="1F3864" w:sz="8" w:space="6"/>
        </w:pBdr>
        <w:spacing w:after="170" w:before="380"/>
      </w:pPr>
      <w:r>
        <w:rPr>
          <w:rFonts w:ascii="Arial" w:cs="Arial" w:eastAsia="Arial" w:hAnsi="Arial"/>
          <w:b/>
          <w:bCs/>
          <w:color w:val="1F3864"/>
          <w:sz w:val="28"/>
          <w:szCs w:val="28"/>
        </w:rPr>
        <w:t xml:space="preserve">Part 5.  European Union</w:t>
      </w:r>
    </w:p>
    <w:p>
      <w:pPr>
        <w:pStyle w:val="Heading2"/>
        <w:spacing w:after="95" w:before="250"/>
      </w:pPr>
      <w:r>
        <w:rPr>
          <w:rFonts w:ascii="Arial" w:cs="Arial" w:eastAsia="Arial" w:hAnsi="Arial"/>
          <w:b/>
          <w:bCs/>
          <w:color w:val="1F3864"/>
          <w:sz w:val="23"/>
          <w:szCs w:val="23"/>
        </w:rPr>
        <w:t xml:space="preserve">5.1  Why the Directive was needed</w:t>
      </w:r>
    </w:p>
    <w:p>
      <w:pPr>
        <w:spacing w:after="130" w:line="276"/>
        <w:jc w:val="both"/>
      </w:pPr>
      <w:r>
        <w:rPr>
          <w:rFonts w:ascii="Arial" w:cs="Arial" w:eastAsia="Arial" w:hAnsi="Arial"/>
          <w:color w:val="000000"/>
          <w:sz w:val="20"/>
          <w:szCs w:val="20"/>
        </w:rPr>
        <w:t xml:space="preserve">Before 2016 protection was not equivalent across the Union. Some Member States had no definition of a trade secret at all. Cease and desist orders were not always available against third parties who were not competitors. States differed on the good faith third party who later learned of an earlier unlawful acquisition, on destruction of goods made using the secret, and on how to calculate damages for an intangible asset with no market value.</w:t>
      </w:r>
    </w:p>
    <w:p>
      <w:pPr>
        <w:pStyle w:val="Heading2"/>
        <w:spacing w:after="95" w:before="250"/>
      </w:pPr>
      <w:r>
        <w:rPr>
          <w:rFonts w:ascii="Arial" w:cs="Arial" w:eastAsia="Arial" w:hAnsi="Arial"/>
          <w:b/>
          <w:bCs/>
          <w:color w:val="1F3864"/>
          <w:sz w:val="23"/>
          <w:szCs w:val="23"/>
        </w:rPr>
        <w:t xml:space="preserve">5.2  Directive (EU) 2016/943</w:t>
      </w:r>
    </w:p>
    <w:p>
      <w:pPr>
        <w:spacing w:after="130" w:line="276"/>
        <w:jc w:val="both"/>
      </w:pPr>
      <w:r>
        <w:rPr>
          <w:rFonts w:ascii="Arial" w:cs="Arial" w:eastAsia="Arial" w:hAnsi="Arial"/>
          <w:color w:val="000000"/>
          <w:sz w:val="20"/>
          <w:szCs w:val="20"/>
        </w:rPr>
        <w:t xml:space="preserve">Adopted </w:t>
      </w:r>
      <w:r>
        <w:rPr>
          <w:rFonts w:ascii="Arial" w:cs="Arial" w:eastAsia="Arial" w:hAnsi="Arial"/>
          <w:b/>
          <w:bCs/>
          <w:color w:val="000000"/>
          <w:sz w:val="20"/>
          <w:szCs w:val="20"/>
        </w:rPr>
        <w:t xml:space="preserve">8 June 2016</w:t>
      </w:r>
      <w:r>
        <w:rPr>
          <w:rFonts w:ascii="Arial" w:cs="Arial" w:eastAsia="Arial" w:hAnsi="Arial"/>
          <w:color w:val="000000"/>
          <w:sz w:val="20"/>
          <w:szCs w:val="20"/>
        </w:rPr>
        <w:t xml:space="preserve">, with compliance due by </w:t>
      </w:r>
      <w:r>
        <w:rPr>
          <w:rFonts w:ascii="Arial" w:cs="Arial" w:eastAsia="Arial" w:hAnsi="Arial"/>
          <w:b/>
          <w:bCs/>
          <w:color w:val="000000"/>
          <w:sz w:val="20"/>
          <w:szCs w:val="20"/>
        </w:rPr>
        <w:t xml:space="preserve">9 June 2018</w:t>
      </w:r>
      <w:r>
        <w:rPr>
          <w:rFonts w:ascii="Arial" w:cs="Arial" w:eastAsia="Arial" w:hAnsi="Arial"/>
          <w:color w:val="000000"/>
          <w:sz w:val="20"/>
          <w:szCs w:val="20"/>
        </w:rPr>
        <w:t xml:space="preserve">. Being a directive it requires national transposition and sets a floor rather than a ceiling. It harmonises the definition in line with TRIPS, defines misappropriation, guarantees that reverse engineering and parallel innovation stay lawful, and harmonises the </w:t>
      </w:r>
      <w:r>
        <w:rPr>
          <w:rFonts w:ascii="Arial" w:cs="Arial" w:eastAsia="Arial" w:hAnsi="Arial"/>
          <w:b/>
          <w:bCs/>
          <w:color w:val="000000"/>
          <w:sz w:val="20"/>
          <w:szCs w:val="20"/>
        </w:rPr>
        <w:t xml:space="preserve">civil</w:t>
      </w:r>
      <w:r>
        <w:rPr>
          <w:rFonts w:ascii="Arial" w:cs="Arial" w:eastAsia="Arial" w:hAnsi="Arial"/>
          <w:color w:val="000000"/>
          <w:sz w:val="20"/>
          <w:szCs w:val="20"/>
        </w:rPr>
        <w:t xml:space="preserve"> means of protection. </w:t>
      </w:r>
      <w:r>
        <w:rPr>
          <w:rFonts w:ascii="Arial" w:cs="Arial" w:eastAsia="Arial" w:hAnsi="Arial"/>
          <w:b/>
          <w:bCs/>
          <w:color w:val="000000"/>
          <w:sz w:val="20"/>
          <w:szCs w:val="20"/>
        </w:rPr>
        <w:t xml:space="preserve">It creates no criminal sanctions at all.</w:t>
      </w:r>
    </w:p>
    <w:p>
      <w:pPr>
        <w:spacing w:after="130" w:line="276"/>
        <w:jc w:val="both"/>
      </w:pPr>
      <w:r>
        <w:rPr>
          <w:rFonts w:ascii="Arial" w:cs="Arial" w:eastAsia="Arial" w:hAnsi="Arial"/>
          <w:b/>
          <w:bCs/>
          <w:color w:val="000000"/>
          <w:sz w:val="20"/>
          <w:szCs w:val="20"/>
        </w:rPr>
        <w:t xml:space="preserve">Article 2(1)</w:t>
      </w:r>
      <w:r>
        <w:rPr>
          <w:rFonts w:ascii="Arial" w:cs="Arial" w:eastAsia="Arial" w:hAnsi="Arial"/>
          <w:color w:val="000000"/>
          <w:sz w:val="20"/>
          <w:szCs w:val="20"/>
        </w:rPr>
        <w:t xml:space="preserve"> defines a trade secret as information that is secret, meaning not, as a body or in the precise configuration and assembly of its components, generally known among or readily accessible to persons in the circles that normally deal with that kind of information; that has commercial value because it is secret; and that has been subject to reasonable steps by the person lawfully in control. The words about configuration and assembly matter, because they </w:t>
      </w:r>
      <w:r>
        <w:rPr>
          <w:rFonts w:ascii="Arial" w:cs="Arial" w:eastAsia="Arial" w:hAnsi="Arial"/>
          <w:b/>
          <w:bCs/>
          <w:color w:val="000000"/>
          <w:sz w:val="20"/>
          <w:szCs w:val="20"/>
        </w:rPr>
        <w:t xml:space="preserve">expressly protect compilations</w:t>
      </w:r>
      <w:r>
        <w:rPr>
          <w:rFonts w:ascii="Arial" w:cs="Arial" w:eastAsia="Arial" w:hAnsi="Arial"/>
          <w:color w:val="000000"/>
          <w:sz w:val="20"/>
          <w:szCs w:val="20"/>
        </w:rPr>
        <w:t xml:space="preserve"> whose individual elements are public. </w:t>
      </w:r>
      <w:r>
        <w:rPr>
          <w:rFonts w:ascii="Arial" w:cs="Arial" w:eastAsia="Arial" w:hAnsi="Arial"/>
          <w:b/>
          <w:bCs/>
          <w:color w:val="000000"/>
          <w:sz w:val="20"/>
          <w:szCs w:val="20"/>
        </w:rPr>
        <w:t xml:space="preserve">Article 2(4)</w:t>
      </w:r>
      <w:r>
        <w:rPr>
          <w:rFonts w:ascii="Arial" w:cs="Arial" w:eastAsia="Arial" w:hAnsi="Arial"/>
          <w:color w:val="000000"/>
          <w:sz w:val="20"/>
          <w:szCs w:val="20"/>
        </w:rPr>
        <w:t xml:space="preserve"> defines </w:t>
      </w:r>
      <w:r>
        <w:rPr>
          <w:rFonts w:ascii="Arial" w:cs="Arial" w:eastAsia="Arial" w:hAnsi="Arial"/>
          <w:b/>
          <w:bCs/>
          <w:color w:val="000000"/>
          <w:sz w:val="20"/>
          <w:szCs w:val="20"/>
        </w:rPr>
        <w:t xml:space="preserve">infringing goods</w:t>
      </w:r>
      <w:r>
        <w:rPr>
          <w:rFonts w:ascii="Arial" w:cs="Arial" w:eastAsia="Arial" w:hAnsi="Arial"/>
          <w:color w:val="000000"/>
          <w:sz w:val="20"/>
          <w:szCs w:val="20"/>
        </w:rPr>
        <w:t xml:space="preserve"> as goods whose design, characteristics, functioning, production or marketing significantly benefits from a secret unlawfully acquired, used or disclosed.</w:t>
      </w:r>
    </w:p>
    <w:p>
      <w:pPr>
        <w:spacing w:after="130" w:line="276"/>
        <w:jc w:val="both"/>
      </w:pPr>
      <w:r>
        <w:rPr>
          <w:rFonts w:ascii="Arial" w:cs="Arial" w:eastAsia="Arial" w:hAnsi="Arial"/>
          <w:b/>
          <w:bCs/>
          <w:color w:val="000000"/>
          <w:sz w:val="20"/>
          <w:szCs w:val="20"/>
        </w:rPr>
        <w:t xml:space="preserve">Article 3</w:t>
      </w:r>
      <w:r>
        <w:rPr>
          <w:rFonts w:ascii="Arial" w:cs="Arial" w:eastAsia="Arial" w:hAnsi="Arial"/>
          <w:color w:val="000000"/>
          <w:sz w:val="20"/>
          <w:szCs w:val="20"/>
        </w:rPr>
        <w:t xml:space="preserve"> lists lawful acquisition:</w:t>
      </w:r>
    </w:p>
    <w:p>
      <w:pPr>
        <w:spacing w:after="65" w:line="272"/>
        <w:ind w:left="840" w:hanging="290"/>
        <w:jc w:val="both"/>
      </w:pPr>
      <w:r>
        <w:rPr>
          <w:rFonts w:ascii="Arial" w:cs="Arial" w:eastAsia="Arial" w:hAnsi="Arial"/>
          <w:color w:val="000000"/>
          <w:sz w:val="20"/>
          <w:szCs w:val="20"/>
        </w:rPr>
        <w:t xml:space="preserve">(a)  independent discovery or creation;</w:t>
      </w:r>
    </w:p>
    <w:p>
      <w:pPr>
        <w:spacing w:after="65" w:line="272"/>
        <w:ind w:left="840" w:hanging="290"/>
        <w:jc w:val="both"/>
      </w:pPr>
      <w:r>
        <w:rPr>
          <w:rFonts w:ascii="Arial" w:cs="Arial" w:eastAsia="Arial" w:hAnsi="Arial"/>
          <w:color w:val="000000"/>
          <w:sz w:val="20"/>
          <w:szCs w:val="20"/>
        </w:rPr>
        <w:t xml:space="preserve">(b)  observation, study, disassembly or testing of a product made available to the public or lawfully possessed, being the express </w:t>
      </w:r>
      <w:r>
        <w:rPr>
          <w:rFonts w:ascii="Arial" w:cs="Arial" w:eastAsia="Arial" w:hAnsi="Arial"/>
          <w:b/>
          <w:bCs/>
          <w:color w:val="000000"/>
          <w:sz w:val="20"/>
          <w:szCs w:val="20"/>
        </w:rPr>
        <w:t xml:space="preserve">reverse engineering safe harbour</w:t>
      </w:r>
      <w:r>
        <w:rPr>
          <w:rFonts w:ascii="Arial" w:cs="Arial" w:eastAsia="Arial" w:hAnsi="Arial"/>
          <w:color w:val="000000"/>
          <w:sz w:val="20"/>
          <w:szCs w:val="20"/>
        </w:rPr>
        <w:t xml:space="preserve">;</w:t>
      </w:r>
    </w:p>
    <w:p>
      <w:pPr>
        <w:spacing w:after="65" w:line="272"/>
        <w:ind w:left="840" w:hanging="290"/>
        <w:jc w:val="both"/>
      </w:pPr>
      <w:r>
        <w:rPr>
          <w:rFonts w:ascii="Arial" w:cs="Arial" w:eastAsia="Arial" w:hAnsi="Arial"/>
          <w:color w:val="000000"/>
          <w:sz w:val="20"/>
          <w:szCs w:val="20"/>
        </w:rPr>
        <w:t xml:space="preserve">(c)  exercise of the right of workers or their representatives to information and consultation, a limb with </w:t>
      </w:r>
      <w:r>
        <w:rPr>
          <w:rFonts w:ascii="Arial" w:cs="Arial" w:eastAsia="Arial" w:hAnsi="Arial"/>
          <w:b/>
          <w:bCs/>
          <w:color w:val="000000"/>
          <w:sz w:val="20"/>
          <w:szCs w:val="20"/>
        </w:rPr>
        <w:t xml:space="preserve">no United States equivalent</w:t>
      </w:r>
      <w:r>
        <w:rPr>
          <w:rFonts w:ascii="Arial" w:cs="Arial" w:eastAsia="Arial" w:hAnsi="Arial"/>
          <w:color w:val="000000"/>
          <w:sz w:val="20"/>
          <w:szCs w:val="20"/>
        </w:rPr>
        <w:t xml:space="preserve">; and</w:t>
      </w:r>
    </w:p>
    <w:p>
      <w:pPr>
        <w:spacing w:after="65" w:line="272"/>
        <w:ind w:left="840" w:hanging="290"/>
        <w:jc w:val="both"/>
      </w:pPr>
      <w:r>
        <w:rPr>
          <w:rFonts w:ascii="Arial" w:cs="Arial" w:eastAsia="Arial" w:hAnsi="Arial"/>
          <w:color w:val="000000"/>
          <w:sz w:val="20"/>
          <w:szCs w:val="20"/>
        </w:rPr>
        <w:t xml:space="preserve">(d)  any other practice conforming to honest commercial practices.</w:t>
      </w:r>
    </w:p>
    <w:p>
      <w:pPr>
        <w:spacing w:after="130" w:line="276"/>
        <w:jc w:val="both"/>
      </w:pPr>
      <w:r>
        <w:rPr>
          <w:rFonts w:ascii="Arial" w:cs="Arial" w:eastAsia="Arial" w:hAnsi="Arial"/>
          <w:b/>
          <w:bCs/>
          <w:color w:val="000000"/>
          <w:sz w:val="20"/>
          <w:szCs w:val="20"/>
        </w:rPr>
        <w:t xml:space="preserve">Article 4</w:t>
      </w:r>
      <w:r>
        <w:rPr>
          <w:rFonts w:ascii="Arial" w:cs="Arial" w:eastAsia="Arial" w:hAnsi="Arial"/>
          <w:color w:val="000000"/>
          <w:sz w:val="20"/>
          <w:szCs w:val="20"/>
        </w:rPr>
        <w:t xml:space="preserve"> sets out what is unlawful:</w:t>
      </w:r>
    </w:p>
    <w:p>
      <w:pPr>
        <w:spacing w:after="75" w:line="272"/>
        <w:ind w:left="440" w:hanging="290"/>
        <w:jc w:val="both"/>
      </w:pPr>
      <w:r>
        <w:rPr>
          <w:rFonts w:ascii="Arial" w:cs="Arial" w:eastAsia="Arial" w:hAnsi="Arial"/>
          <w:color w:val="000000"/>
          <w:sz w:val="20"/>
          <w:szCs w:val="20"/>
        </w:rPr>
        <w:t xml:space="preserve">1.  </w:t>
      </w:r>
      <w:r>
        <w:rPr>
          <w:rFonts w:ascii="Arial" w:cs="Arial" w:eastAsia="Arial" w:hAnsi="Arial"/>
          <w:b/>
          <w:bCs/>
          <w:color w:val="000000"/>
          <w:sz w:val="20"/>
          <w:szCs w:val="20"/>
        </w:rPr>
        <w:t xml:space="preserve">Acquisition</w:t>
      </w:r>
      <w:r>
        <w:rPr>
          <w:rFonts w:ascii="Arial" w:cs="Arial" w:eastAsia="Arial" w:hAnsi="Arial"/>
          <w:color w:val="000000"/>
          <w:sz w:val="20"/>
          <w:szCs w:val="20"/>
        </w:rPr>
        <w:t xml:space="preserve"> by unauthorised access to, appropriation of or copying of documents, objects, materials or electronic files lawfully under the holder's control, or by any other conduct contrary to honest commercial practices.</w:t>
      </w:r>
    </w:p>
    <w:p>
      <w:pPr>
        <w:spacing w:after="75" w:line="272"/>
        <w:ind w:left="440" w:hanging="290"/>
        <w:jc w:val="both"/>
      </w:pPr>
      <w:r>
        <w:rPr>
          <w:rFonts w:ascii="Arial" w:cs="Arial" w:eastAsia="Arial" w:hAnsi="Arial"/>
          <w:color w:val="000000"/>
          <w:sz w:val="20"/>
          <w:szCs w:val="20"/>
        </w:rPr>
        <w:t xml:space="preserve">2.  </w:t>
      </w:r>
      <w:r>
        <w:rPr>
          <w:rFonts w:ascii="Arial" w:cs="Arial" w:eastAsia="Arial" w:hAnsi="Arial"/>
          <w:b/>
          <w:bCs/>
          <w:color w:val="000000"/>
          <w:sz w:val="20"/>
          <w:szCs w:val="20"/>
        </w:rPr>
        <w:t xml:space="preserve">Use or disclosure</w:t>
      </w:r>
      <w:r>
        <w:rPr>
          <w:rFonts w:ascii="Arial" w:cs="Arial" w:eastAsia="Arial" w:hAnsi="Arial"/>
          <w:color w:val="000000"/>
          <w:sz w:val="20"/>
          <w:szCs w:val="20"/>
        </w:rPr>
        <w:t xml:space="preserve"> where the person acquired the secret unlawfully, or breached a confidentiality agreement or other duty not to disclose, or breached a duty to limit use.</w:t>
      </w:r>
    </w:p>
    <w:p>
      <w:pPr>
        <w:spacing w:after="75" w:line="272"/>
        <w:ind w:left="440" w:hanging="290"/>
        <w:jc w:val="both"/>
      </w:pPr>
      <w:r>
        <w:rPr>
          <w:rFonts w:ascii="Arial" w:cs="Arial" w:eastAsia="Arial" w:hAnsi="Arial"/>
          <w:color w:val="000000"/>
          <w:sz w:val="20"/>
          <w:szCs w:val="20"/>
        </w:rPr>
        <w:t xml:space="preserve">3.  </w:t>
      </w:r>
      <w:r>
        <w:rPr>
          <w:rFonts w:ascii="Arial" w:cs="Arial" w:eastAsia="Arial" w:hAnsi="Arial"/>
          <w:b/>
          <w:bCs/>
          <w:color w:val="000000"/>
          <w:sz w:val="20"/>
          <w:szCs w:val="20"/>
        </w:rPr>
        <w:t xml:space="preserve">Third party liability</w:t>
      </w:r>
      <w:r>
        <w:rPr>
          <w:rFonts w:ascii="Arial" w:cs="Arial" w:eastAsia="Arial" w:hAnsi="Arial"/>
          <w:color w:val="000000"/>
          <w:sz w:val="20"/>
          <w:szCs w:val="20"/>
        </w:rPr>
        <w:t xml:space="preserve"> where a person </w:t>
      </w:r>
      <w:r>
        <w:rPr>
          <w:rFonts w:ascii="Arial" w:cs="Arial" w:eastAsia="Arial" w:hAnsi="Arial"/>
          <w:b/>
          <w:bCs/>
          <w:color w:val="000000"/>
          <w:sz w:val="20"/>
          <w:szCs w:val="20"/>
        </w:rPr>
        <w:t xml:space="preserve">knew or ought to have known</w:t>
      </w:r>
      <w:r>
        <w:rPr>
          <w:rFonts w:ascii="Arial" w:cs="Arial" w:eastAsia="Arial" w:hAnsi="Arial"/>
          <w:color w:val="000000"/>
          <w:sz w:val="20"/>
          <w:szCs w:val="20"/>
        </w:rPr>
        <w:t xml:space="preserve"> the secret came, directly or indirectly, from someone using or disclosing it unlawfully.</w:t>
      </w:r>
    </w:p>
    <w:p>
      <w:pPr>
        <w:spacing w:after="75" w:line="272"/>
        <w:ind w:left="440" w:hanging="290"/>
        <w:jc w:val="both"/>
      </w:pPr>
      <w:r>
        <w:rPr>
          <w:rFonts w:ascii="Arial" w:cs="Arial" w:eastAsia="Arial" w:hAnsi="Arial"/>
          <w:color w:val="000000"/>
          <w:sz w:val="20"/>
          <w:szCs w:val="20"/>
        </w:rPr>
        <w:t xml:space="preserve">4.  </w:t>
      </w:r>
      <w:r>
        <w:rPr>
          <w:rFonts w:ascii="Arial" w:cs="Arial" w:eastAsia="Arial" w:hAnsi="Arial"/>
          <w:b/>
          <w:bCs/>
          <w:color w:val="000000"/>
          <w:sz w:val="20"/>
          <w:szCs w:val="20"/>
        </w:rPr>
        <w:t xml:space="preserve">Infringing goods</w:t>
      </w:r>
      <w:r>
        <w:rPr>
          <w:rFonts w:ascii="Arial" w:cs="Arial" w:eastAsia="Arial" w:hAnsi="Arial"/>
          <w:color w:val="000000"/>
          <w:sz w:val="20"/>
          <w:szCs w:val="20"/>
        </w:rPr>
        <w:t xml:space="preserve">, covering production, offering, placing on the market, import, export or storage, where the person knew or ought to have known of the unlawful use.</w:t>
      </w:r>
    </w:p>
    <w:p>
      <w:pPr>
        <w:pBdr>
          <w:top w:val="single" w:color="D6B656" w:sz="2" w:space="6"/>
          <w:bottom w:val="single" w:color="D6B656" w:sz="2" w:space="6"/>
          <w:left w:val="single" w:color="D6B656" w:sz="2" w:space="6"/>
          <w:right w:val="single" w:color="D6B656" w:sz="2" w:space="6"/>
        </w:pBdr>
        <w:shd w:fill="FFF2CC" w:val="clear"/>
        <w:spacing w:after="180" w:before="120" w:line="276"/>
        <w:ind w:left="170" w:right="170"/>
        <w:jc w:val="both"/>
      </w:pPr>
      <w:r>
        <w:rPr>
          <w:rFonts w:ascii="Arial" w:cs="Arial" w:eastAsia="Arial" w:hAnsi="Arial"/>
          <w:b/>
          <w:bCs/>
          <w:color w:val="000000"/>
          <w:sz w:val="20"/>
          <w:szCs w:val="20"/>
        </w:rPr>
        <w:t xml:space="preserve">Article 4(5) is the Directive's biggest innovation and the clearest divergence from United States law.</w:t>
      </w:r>
      <w:r>
        <w:rPr>
          <w:rFonts w:ascii="Arial" w:cs="Arial" w:eastAsia="Arial" w:hAnsi="Arial"/>
          <w:color w:val="000000"/>
          <w:sz w:val="20"/>
          <w:szCs w:val="20"/>
        </w:rPr>
        <w:t xml:space="preserve"> It creates something close to a product based right, reaching downstream traders and importers. The Defend Trade Secrets Act has no equivalent.</w:t>
      </w:r>
    </w:p>
    <w:p>
      <w:pPr>
        <w:spacing w:after="130" w:line="276"/>
        <w:jc w:val="both"/>
      </w:pPr>
      <w:r>
        <w:rPr>
          <w:rFonts w:ascii="Arial" w:cs="Arial" w:eastAsia="Arial" w:hAnsi="Arial"/>
          <w:b/>
          <w:bCs/>
          <w:color w:val="000000"/>
          <w:sz w:val="20"/>
          <w:szCs w:val="20"/>
        </w:rPr>
        <w:t xml:space="preserve">Article 5</w:t>
      </w:r>
      <w:r>
        <w:rPr>
          <w:rFonts w:ascii="Arial" w:cs="Arial" w:eastAsia="Arial" w:hAnsi="Arial"/>
          <w:color w:val="000000"/>
          <w:sz w:val="20"/>
          <w:szCs w:val="20"/>
        </w:rPr>
        <w:t xml:space="preserve"> creates four exceptions: freedom of expression and information, including media freedom; revealing misconduct, wrongdoing or illegal activity in the general public interest; disclosure by workers to their representatives; and protection of a legitimate interest recognised by Union or national law. The last limb is criticised as too broad against the narrower United States provision, which is confined to reporting suspected violations to the authorities or a court.</w:t>
      </w:r>
    </w:p>
    <w:p>
      <w:pPr>
        <w:spacing w:after="130" w:line="276"/>
        <w:jc w:val="both"/>
      </w:pPr>
      <w:r>
        <w:rPr>
          <w:rFonts w:ascii="Arial" w:cs="Arial" w:eastAsia="Arial" w:hAnsi="Arial"/>
          <w:color w:val="000000"/>
          <w:sz w:val="20"/>
          <w:szCs w:val="20"/>
        </w:rPr>
        <w:t xml:space="preserve">On </w:t>
      </w:r>
      <w:r>
        <w:rPr>
          <w:rFonts w:ascii="Arial" w:cs="Arial" w:eastAsia="Arial" w:hAnsi="Arial"/>
          <w:b/>
          <w:bCs/>
          <w:color w:val="000000"/>
          <w:sz w:val="20"/>
          <w:szCs w:val="20"/>
        </w:rPr>
        <w:t xml:space="preserve">protecting the secret during the case</w:t>
      </w:r>
      <w:r>
        <w:rPr>
          <w:rFonts w:ascii="Arial" w:cs="Arial" w:eastAsia="Arial" w:hAnsi="Arial"/>
          <w:color w:val="000000"/>
          <w:sz w:val="20"/>
          <w:szCs w:val="20"/>
        </w:rPr>
        <w:t xml:space="preserve">, the Directive allows closed proceedings, confidentiality clubs and redacted judgments, but insists that at least one representative of every party have full access to all the information, so no party is condemned on evidence it has never seen. The United States practice instead confines access to attorneys of record and approved experts. </w:t>
      </w:r>
      <w:r>
        <w:rPr>
          <w:rFonts w:ascii="Arial" w:cs="Arial" w:eastAsia="Arial" w:hAnsi="Arial"/>
          <w:i/>
          <w:iCs/>
          <w:color w:val="000000"/>
          <w:sz w:val="20"/>
          <w:szCs w:val="20"/>
        </w:rPr>
        <w:t xml:space="preserve">Europe protects due process at the cost of leakage risk; the American approach reverses that trade off.</w:t>
      </w:r>
    </w:p>
    <w:p>
      <w:pPr>
        <w:pStyle w:val="Heading2"/>
        <w:spacing w:after="95" w:before="250"/>
      </w:pPr>
      <w:r>
        <w:rPr>
          <w:rFonts w:ascii="Arial" w:cs="Arial" w:eastAsia="Arial" w:hAnsi="Arial"/>
          <w:b/>
          <w:bCs/>
          <w:color w:val="1F3864"/>
          <w:sz w:val="23"/>
          <w:szCs w:val="23"/>
        </w:rPr>
        <w:t xml:space="preserve">5.3  The two systems compared</w:t>
      </w:r>
    </w:p>
    <w:p>
      <w:pPr>
        <w:spacing w:after="75" w:line="272"/>
        <w:ind w:left="440" w:hanging="290"/>
        <w:jc w:val="both"/>
      </w:pPr>
      <w:r>
        <w:rPr>
          <w:rFonts w:ascii="Arial" w:cs="Arial" w:eastAsia="Arial" w:hAnsi="Arial"/>
          <w:color w:val="000000"/>
          <w:sz w:val="20"/>
          <w:szCs w:val="20"/>
        </w:rPr>
        <w:t xml:space="preserve">1.  </w:t>
      </w:r>
      <w:r>
        <w:rPr>
          <w:rFonts w:ascii="Arial" w:cs="Arial" w:eastAsia="Arial" w:hAnsi="Arial"/>
          <w:b/>
          <w:bCs/>
          <w:color w:val="000000"/>
          <w:sz w:val="20"/>
          <w:szCs w:val="20"/>
        </w:rPr>
        <w:t xml:space="preserve">Definition.</w:t>
      </w:r>
      <w:r>
        <w:rPr>
          <w:rFonts w:ascii="Arial" w:cs="Arial" w:eastAsia="Arial" w:hAnsi="Arial"/>
          <w:color w:val="000000"/>
          <w:sz w:val="20"/>
          <w:szCs w:val="20"/>
        </w:rPr>
        <w:t xml:space="preserve"> Same destination by different routes. The European version is more explicit on compilations and speaks of the person lawfully in control rather than the owner, which suits licensees better.</w:t>
      </w:r>
    </w:p>
    <w:p>
      <w:pPr>
        <w:spacing w:after="75" w:line="272"/>
        <w:ind w:left="440" w:hanging="290"/>
        <w:jc w:val="both"/>
      </w:pPr>
      <w:r>
        <w:rPr>
          <w:rFonts w:ascii="Arial" w:cs="Arial" w:eastAsia="Arial" w:hAnsi="Arial"/>
          <w:color w:val="000000"/>
          <w:sz w:val="20"/>
          <w:szCs w:val="20"/>
        </w:rPr>
        <w:t xml:space="preserve">2.  </w:t>
      </w:r>
      <w:r>
        <w:rPr>
          <w:rFonts w:ascii="Arial" w:cs="Arial" w:eastAsia="Arial" w:hAnsi="Arial"/>
          <w:b/>
          <w:bCs/>
          <w:color w:val="000000"/>
          <w:sz w:val="20"/>
          <w:szCs w:val="20"/>
        </w:rPr>
        <w:t xml:space="preserve">Scope.</w:t>
      </w:r>
      <w:r>
        <w:rPr>
          <w:rFonts w:ascii="Arial" w:cs="Arial" w:eastAsia="Arial" w:hAnsi="Arial"/>
          <w:color w:val="000000"/>
          <w:sz w:val="20"/>
          <w:szCs w:val="20"/>
        </w:rPr>
        <w:t xml:space="preserve"> Europe reaches infringing goods and importers. The United States does not.</w:t>
      </w:r>
    </w:p>
    <w:p>
      <w:pPr>
        <w:spacing w:after="75" w:line="272"/>
        <w:ind w:left="440" w:hanging="290"/>
        <w:jc w:val="both"/>
      </w:pPr>
      <w:r>
        <w:rPr>
          <w:rFonts w:ascii="Arial" w:cs="Arial" w:eastAsia="Arial" w:hAnsi="Arial"/>
          <w:color w:val="000000"/>
          <w:sz w:val="20"/>
          <w:szCs w:val="20"/>
        </w:rPr>
        <w:t xml:space="preserve">3.  </w:t>
      </w:r>
      <w:r>
        <w:rPr>
          <w:rFonts w:ascii="Arial" w:cs="Arial" w:eastAsia="Arial" w:hAnsi="Arial"/>
          <w:b/>
          <w:bCs/>
          <w:color w:val="000000"/>
          <w:sz w:val="20"/>
          <w:szCs w:val="20"/>
        </w:rPr>
        <w:t xml:space="preserve">Detail.</w:t>
      </w:r>
      <w:r>
        <w:rPr>
          <w:rFonts w:ascii="Arial" w:cs="Arial" w:eastAsia="Arial" w:hAnsi="Arial"/>
          <w:color w:val="000000"/>
          <w:sz w:val="20"/>
          <w:szCs w:val="20"/>
        </w:rPr>
        <w:t xml:space="preserve"> The American definition includes an accident or mistake limb; the European Article 3 includes the worker consultation safe harbour.</w:t>
      </w:r>
    </w:p>
    <w:p>
      <w:pPr>
        <w:spacing w:after="75" w:line="272"/>
        <w:ind w:left="440" w:hanging="290"/>
        <w:jc w:val="both"/>
      </w:pPr>
      <w:r>
        <w:rPr>
          <w:rFonts w:ascii="Arial" w:cs="Arial" w:eastAsia="Arial" w:hAnsi="Arial"/>
          <w:color w:val="000000"/>
          <w:sz w:val="20"/>
          <w:szCs w:val="20"/>
        </w:rPr>
        <w:t xml:space="preserve">4.  </w:t>
      </w:r>
      <w:r>
        <w:rPr>
          <w:rFonts w:ascii="Arial" w:cs="Arial" w:eastAsia="Arial" w:hAnsi="Arial"/>
          <w:b/>
          <w:bCs/>
          <w:color w:val="000000"/>
          <w:sz w:val="20"/>
          <w:szCs w:val="20"/>
        </w:rPr>
        <w:t xml:space="preserve">Whistleblowers.</w:t>
      </w:r>
      <w:r>
        <w:rPr>
          <w:rFonts w:ascii="Arial" w:cs="Arial" w:eastAsia="Arial" w:hAnsi="Arial"/>
          <w:color w:val="000000"/>
          <w:sz w:val="20"/>
          <w:szCs w:val="20"/>
        </w:rPr>
        <w:t xml:space="preserve"> Europe is wider.</w:t>
      </w:r>
    </w:p>
    <w:p>
      <w:pPr>
        <w:spacing w:after="75" w:line="272"/>
        <w:ind w:left="440" w:hanging="290"/>
        <w:jc w:val="both"/>
      </w:pPr>
      <w:r>
        <w:rPr>
          <w:rFonts w:ascii="Arial" w:cs="Arial" w:eastAsia="Arial" w:hAnsi="Arial"/>
          <w:color w:val="000000"/>
          <w:sz w:val="20"/>
          <w:szCs w:val="20"/>
        </w:rPr>
        <w:t xml:space="preserve">5.  </w:t>
      </w:r>
      <w:r>
        <w:rPr>
          <w:rFonts w:ascii="Arial" w:cs="Arial" w:eastAsia="Arial" w:hAnsi="Arial"/>
          <w:b/>
          <w:bCs/>
          <w:color w:val="000000"/>
          <w:sz w:val="20"/>
          <w:szCs w:val="20"/>
        </w:rPr>
        <w:t xml:space="preserve">Criminal liability.</w:t>
      </w:r>
      <w:r>
        <w:rPr>
          <w:rFonts w:ascii="Arial" w:cs="Arial" w:eastAsia="Arial" w:hAnsi="Arial"/>
          <w:color w:val="000000"/>
          <w:sz w:val="20"/>
          <w:szCs w:val="20"/>
        </w:rPr>
        <w:t xml:space="preserve"> Total divergence. The United States criminalises theft federally with up to fifteen years, Europe creates no offence, and India has none either.</w:t>
      </w:r>
    </w:p>
    <w:p>
      <w:pPr>
        <w:pStyle w:val="Heading1"/>
        <w:pBdr>
          <w:bottom w:val="single" w:color="1F3864" w:sz="8" w:space="6"/>
        </w:pBdr>
        <w:spacing w:after="170" w:before="380"/>
      </w:pPr>
      <w:r>
        <w:rPr>
          <w:rFonts w:ascii="Arial" w:cs="Arial" w:eastAsia="Arial" w:hAnsi="Arial"/>
          <w:b/>
          <w:bCs/>
          <w:color w:val="1F3864"/>
          <w:sz w:val="28"/>
          <w:szCs w:val="28"/>
        </w:rPr>
        <w:t xml:space="preserve">Part 6.  India</w:t>
      </w:r>
    </w:p>
    <w:p>
      <w:pPr>
        <w:pStyle w:val="Heading2"/>
        <w:spacing w:after="95" w:before="250"/>
      </w:pPr>
      <w:r>
        <w:rPr>
          <w:rFonts w:ascii="Arial" w:cs="Arial" w:eastAsia="Arial" w:hAnsi="Arial"/>
          <w:b/>
          <w:bCs/>
          <w:color w:val="1F3864"/>
          <w:sz w:val="23"/>
          <w:szCs w:val="23"/>
        </w:rPr>
        <w:t xml:space="preserve">6.1  No statute, and what that means</w:t>
      </w:r>
    </w:p>
    <w:p>
      <w:pPr>
        <w:spacing w:after="130" w:line="276"/>
        <w:jc w:val="both"/>
      </w:pPr>
      <w:r>
        <w:rPr>
          <w:rFonts w:ascii="Arial" w:cs="Arial" w:eastAsia="Arial" w:hAnsi="Arial"/>
          <w:b/>
          <w:bCs/>
          <w:color w:val="000000"/>
          <w:sz w:val="20"/>
          <w:szCs w:val="20"/>
        </w:rPr>
        <w:t xml:space="preserve">India has no specific trade secret law.</w:t>
      </w:r>
      <w:r>
        <w:rPr>
          <w:rFonts w:ascii="Arial" w:cs="Arial" w:eastAsia="Arial" w:hAnsi="Arial"/>
          <w:color w:val="000000"/>
          <w:sz w:val="20"/>
          <w:szCs w:val="20"/>
        </w:rPr>
        <w:t xml:space="preserve"> Courts protect secrets through contract law, copyright law, the principles of equity, the common law action for breach of confidence, and parts of the Information Technology Act, 2000. The result, as the deck puts it, is costly litigation, judicial uncertainty and an uneven playing field for innovation driven enterprises.</w:t>
      </w:r>
    </w:p>
    <w:p>
      <w:pPr>
        <w:pBdr>
          <w:top w:val="single" w:color="D6B656" w:sz="2" w:space="6"/>
          <w:bottom w:val="single" w:color="D6B656" w:sz="2" w:space="6"/>
          <w:left w:val="single" w:color="D6B656" w:sz="2" w:space="6"/>
          <w:right w:val="single" w:color="D6B656" w:sz="2" w:space="6"/>
        </w:pBdr>
        <w:shd w:fill="FFF2CC" w:val="clear"/>
        <w:spacing w:after="180" w:before="120" w:line="276"/>
        <w:ind w:left="170" w:right="170"/>
        <w:jc w:val="both"/>
      </w:pPr>
      <w:r>
        <w:rPr>
          <w:rFonts w:ascii="Arial" w:cs="Arial" w:eastAsia="Arial" w:hAnsi="Arial"/>
          <w:b/>
          <w:bCs/>
          <w:color w:val="000000"/>
          <w:sz w:val="20"/>
          <w:szCs w:val="20"/>
        </w:rPr>
        <w:t xml:space="preserve">Is India in breach of TRIPS?</w:t>
      </w:r>
      <w:r>
        <w:rPr>
          <w:rFonts w:ascii="Arial" w:cs="Arial" w:eastAsia="Arial" w:hAnsi="Arial"/>
          <w:color w:val="000000"/>
          <w:sz w:val="20"/>
          <w:szCs w:val="20"/>
        </w:rPr>
        <w:t xml:space="preserve"> The orthodox answer is no, because Article 39 requires only the </w:t>
      </w:r>
      <w:r>
        <w:rPr>
          <w:rFonts w:ascii="Arial" w:cs="Arial" w:eastAsia="Arial" w:hAnsi="Arial"/>
          <w:i/>
          <w:iCs/>
          <w:color w:val="000000"/>
          <w:sz w:val="20"/>
          <w:szCs w:val="20"/>
        </w:rPr>
        <w:t xml:space="preserve">possibility</w:t>
      </w:r>
      <w:r>
        <w:rPr>
          <w:rFonts w:ascii="Arial" w:cs="Arial" w:eastAsia="Arial" w:hAnsi="Arial"/>
          <w:color w:val="000000"/>
          <w:sz w:val="20"/>
          <w:szCs w:val="20"/>
        </w:rPr>
        <w:t xml:space="preserve"> of preventing misuse, and contract plus equity arguably supplies it. The counter argument, accepted in substance by the Law Commission, is that the route is so uncertain and so poor in remedies that it is not </w:t>
      </w:r>
      <w:r>
        <w:rPr>
          <w:rFonts w:ascii="Arial" w:cs="Arial" w:eastAsia="Arial" w:hAnsi="Arial"/>
          <w:i/>
          <w:iCs/>
          <w:color w:val="000000"/>
          <w:sz w:val="20"/>
          <w:szCs w:val="20"/>
        </w:rPr>
        <w:t xml:space="preserve">effective</w:t>
      </w:r>
      <w:r>
        <w:rPr>
          <w:rFonts w:ascii="Arial" w:cs="Arial" w:eastAsia="Arial" w:hAnsi="Arial"/>
          <w:color w:val="000000"/>
          <w:sz w:val="20"/>
          <w:szCs w:val="20"/>
        </w:rPr>
        <w:t xml:space="preserve"> protection. </w:t>
      </w:r>
      <w:r>
        <w:rPr>
          <w:rFonts w:ascii="Arial" w:cs="Arial" w:eastAsia="Arial" w:hAnsi="Arial"/>
          <w:b/>
          <w:bCs/>
          <w:color w:val="000000"/>
          <w:sz w:val="20"/>
          <w:szCs w:val="20"/>
        </w:rPr>
        <w:t xml:space="preserve">State both sides. Never state only one.</w:t>
      </w:r>
    </w:p>
    <w:p>
      <w:pPr>
        <w:pStyle w:val="Heading2"/>
        <w:spacing w:after="95" w:before="250"/>
      </w:pPr>
      <w:r>
        <w:rPr>
          <w:rFonts w:ascii="Arial" w:cs="Arial" w:eastAsia="Arial" w:hAnsi="Arial"/>
          <w:b/>
          <w:bCs/>
          <w:color w:val="1F3864"/>
          <w:sz w:val="23"/>
          <w:szCs w:val="23"/>
        </w:rPr>
        <w:t xml:space="preserve">6.2  Section 27 of the Contract Act, 1872</w:t>
      </w:r>
    </w:p>
    <w:p>
      <w:pPr>
        <w:spacing w:after="130" w:line="276"/>
        <w:jc w:val="both"/>
      </w:pPr>
      <w:r>
        <w:rPr>
          <w:rFonts w:ascii="Arial" w:cs="Arial" w:eastAsia="Arial" w:hAnsi="Arial"/>
          <w:b/>
          <w:bCs/>
          <w:color w:val="000000"/>
          <w:sz w:val="20"/>
          <w:szCs w:val="20"/>
        </w:rPr>
        <w:t xml:space="preserve">Every agreement by which any one is restrained from exercising a lawful profession, trade or business of any kind is, to that extent, void.</w:t>
      </w:r>
    </w:p>
    <w:p>
      <w:pPr>
        <w:spacing w:after="130" w:line="276"/>
        <w:jc w:val="both"/>
      </w:pPr>
      <w:r>
        <w:rPr>
          <w:rFonts w:ascii="Arial" w:cs="Arial" w:eastAsia="Arial" w:hAnsi="Arial"/>
          <w:color w:val="000000"/>
          <w:sz w:val="20"/>
          <w:szCs w:val="20"/>
        </w:rPr>
        <w:t xml:space="preserve">There is exactly one exception in the section. </w:t>
      </w:r>
      <w:r>
        <w:rPr>
          <w:rFonts w:ascii="Arial" w:cs="Arial" w:eastAsia="Arial" w:hAnsi="Arial"/>
          <w:b/>
          <w:bCs/>
          <w:color w:val="000000"/>
          <w:sz w:val="20"/>
          <w:szCs w:val="20"/>
        </w:rPr>
        <w:t xml:space="preserve">Exception 1</w:t>
      </w:r>
      <w:r>
        <w:rPr>
          <w:rFonts w:ascii="Arial" w:cs="Arial" w:eastAsia="Arial" w:hAnsi="Arial"/>
          <w:color w:val="000000"/>
          <w:sz w:val="20"/>
          <w:szCs w:val="20"/>
        </w:rPr>
        <w:t xml:space="preserve"> saves an agreement by which a person who </w:t>
      </w:r>
      <w:r>
        <w:rPr>
          <w:rFonts w:ascii="Arial" w:cs="Arial" w:eastAsia="Arial" w:hAnsi="Arial"/>
          <w:b/>
          <w:bCs/>
          <w:color w:val="000000"/>
          <w:sz w:val="20"/>
          <w:szCs w:val="20"/>
        </w:rPr>
        <w:t xml:space="preserve">sells the goodwill of a business</w:t>
      </w:r>
      <w:r>
        <w:rPr>
          <w:rFonts w:ascii="Arial" w:cs="Arial" w:eastAsia="Arial" w:hAnsi="Arial"/>
          <w:color w:val="000000"/>
          <w:sz w:val="20"/>
          <w:szCs w:val="20"/>
        </w:rPr>
        <w:t xml:space="preserve"> agrees not to carry on a similar business within specified local limits, so long as the buyer or a successor carries on a like business there, and provided the limits appear reasonable to the court.</w:t>
      </w:r>
    </w:p>
    <w:p>
      <w:pPr>
        <w:spacing w:after="130" w:line="276"/>
        <w:jc w:val="both"/>
      </w:pPr>
      <w:r>
        <w:rPr>
          <w:rFonts w:ascii="Arial" w:cs="Arial" w:eastAsia="Arial" w:hAnsi="Arial"/>
          <w:i/>
          <w:iCs/>
          <w:color w:val="000000"/>
          <w:sz w:val="20"/>
          <w:szCs w:val="20"/>
        </w:rPr>
        <w:t xml:space="preserve">Slide error.</w:t>
      </w:r>
      <w:r>
        <w:rPr>
          <w:rFonts w:ascii="Arial" w:cs="Arial" w:eastAsia="Arial" w:hAnsi="Arial"/>
          <w:color w:val="000000"/>
          <w:sz w:val="20"/>
          <w:szCs w:val="20"/>
        </w:rPr>
        <w:t xml:space="preserve"> One slide describes a narrow </w:t>
      </w:r>
      <w:r>
        <w:rPr>
          <w:rFonts w:ascii="Arial" w:cs="Arial" w:eastAsia="Arial" w:hAnsi="Arial"/>
          <w:b/>
          <w:bCs/>
          <w:color w:val="000000"/>
          <w:sz w:val="20"/>
          <w:szCs w:val="20"/>
        </w:rPr>
        <w:t xml:space="preserve">partnership</w:t>
      </w:r>
      <w:r>
        <w:rPr>
          <w:rFonts w:ascii="Arial" w:cs="Arial" w:eastAsia="Arial" w:hAnsi="Arial"/>
          <w:color w:val="000000"/>
          <w:sz w:val="20"/>
          <w:szCs w:val="20"/>
        </w:rPr>
        <w:t xml:space="preserve"> exception. That is wrong. The only exception in Section 27 is the </w:t>
      </w:r>
      <w:r>
        <w:rPr>
          <w:rFonts w:ascii="Arial" w:cs="Arial" w:eastAsia="Arial" w:hAnsi="Arial"/>
          <w:b/>
          <w:bCs/>
          <w:color w:val="000000"/>
          <w:sz w:val="20"/>
          <w:szCs w:val="20"/>
        </w:rPr>
        <w:t xml:space="preserve">sale of goodwill</w:t>
      </w:r>
      <w:r>
        <w:rPr>
          <w:rFonts w:ascii="Arial" w:cs="Arial" w:eastAsia="Arial" w:hAnsi="Arial"/>
          <w:color w:val="000000"/>
          <w:sz w:val="20"/>
          <w:szCs w:val="20"/>
        </w:rPr>
        <w:t xml:space="preserve">. The partnership exceptions are in the </w:t>
      </w:r>
      <w:r>
        <w:rPr>
          <w:rFonts w:ascii="Arial" w:cs="Arial" w:eastAsia="Arial" w:hAnsi="Arial"/>
          <w:b/>
          <w:bCs/>
          <w:color w:val="000000"/>
          <w:sz w:val="20"/>
          <w:szCs w:val="20"/>
        </w:rPr>
        <w:t xml:space="preserve">Indian Partnership Act, 1932, Sections 11(2), 36(2), 54 and 55(3)</w:t>
      </w:r>
      <w:r>
        <w:rPr>
          <w:rFonts w:ascii="Arial" w:cs="Arial" w:eastAsia="Arial" w:hAnsi="Arial"/>
          <w:color w:val="000000"/>
          <w:sz w:val="20"/>
          <w:szCs w:val="20"/>
        </w:rPr>
        <w:t xml:space="preserve">.</w:t>
      </w:r>
    </w:p>
    <w:p>
      <w:pPr>
        <w:spacing w:after="130" w:line="276"/>
        <w:jc w:val="both"/>
      </w:pPr>
      <w:r>
        <w:rPr>
          <w:rFonts w:ascii="Arial" w:cs="Arial" w:eastAsia="Arial" w:hAnsi="Arial"/>
          <w:color w:val="000000"/>
          <w:sz w:val="20"/>
          <w:szCs w:val="20"/>
        </w:rPr>
        <w:t xml:space="preserve">Two features give the section its force. The voidness is </w:t>
      </w:r>
      <w:r>
        <w:rPr>
          <w:rFonts w:ascii="Arial" w:cs="Arial" w:eastAsia="Arial" w:hAnsi="Arial"/>
          <w:b/>
          <w:bCs/>
          <w:color w:val="000000"/>
          <w:sz w:val="20"/>
          <w:szCs w:val="20"/>
        </w:rPr>
        <w:t xml:space="preserve">not a presumption but the default position</w:t>
      </w:r>
      <w:r>
        <w:rPr>
          <w:rFonts w:ascii="Arial" w:cs="Arial" w:eastAsia="Arial" w:hAnsi="Arial"/>
          <w:color w:val="000000"/>
          <w:sz w:val="20"/>
          <w:szCs w:val="20"/>
        </w:rPr>
        <w:t xml:space="preserve">. And the section carries </w:t>
      </w:r>
      <w:r>
        <w:rPr>
          <w:rFonts w:ascii="Arial" w:cs="Arial" w:eastAsia="Arial" w:hAnsi="Arial"/>
          <w:b/>
          <w:bCs/>
          <w:color w:val="000000"/>
          <w:sz w:val="20"/>
          <w:szCs w:val="20"/>
        </w:rPr>
        <w:t xml:space="preserve">no qualification</w:t>
      </w:r>
      <w:r>
        <w:rPr>
          <w:rFonts w:ascii="Arial" w:cs="Arial" w:eastAsia="Arial" w:hAnsi="Arial"/>
          <w:color w:val="000000"/>
          <w:sz w:val="20"/>
          <w:szCs w:val="20"/>
        </w:rPr>
        <w:t xml:space="preserve">, so voidness applies regardless of the duration, the geography or the money paid, which is why Indian courts do not read in a reasonableness test for post termination restraints as English courts do. The tension is between the employer's interest in protecting proprietary knowledge and the employee's right to livelihood under </w:t>
      </w:r>
      <w:r>
        <w:rPr>
          <w:rFonts w:ascii="Arial" w:cs="Arial" w:eastAsia="Arial" w:hAnsi="Arial"/>
          <w:b/>
          <w:bCs/>
          <w:color w:val="000000"/>
          <w:sz w:val="20"/>
          <w:szCs w:val="20"/>
        </w:rPr>
        <w:t xml:space="preserve">Article 21</w:t>
      </w:r>
      <w:r>
        <w:rPr>
          <w:rFonts w:ascii="Arial" w:cs="Arial" w:eastAsia="Arial" w:hAnsi="Arial"/>
          <w:color w:val="000000"/>
          <w:sz w:val="20"/>
          <w:szCs w:val="20"/>
        </w:rPr>
        <w:t xml:space="preserve"> and to practise any profession under </w:t>
      </w:r>
      <w:r>
        <w:rPr>
          <w:rFonts w:ascii="Arial" w:cs="Arial" w:eastAsia="Arial" w:hAnsi="Arial"/>
          <w:b/>
          <w:bCs/>
          <w:color w:val="000000"/>
          <w:sz w:val="20"/>
          <w:szCs w:val="20"/>
        </w:rPr>
        <w:t xml:space="preserve">Article 19(1)(g)</w:t>
      </w:r>
      <w:r>
        <w:rPr>
          <w:rFonts w:ascii="Arial" w:cs="Arial" w:eastAsia="Arial" w:hAnsi="Arial"/>
          <w:color w:val="000000"/>
          <w:sz w:val="20"/>
          <w:szCs w:val="20"/>
        </w:rPr>
        <w:t xml:space="preserve">.</w:t>
      </w:r>
    </w:p>
    <w:p>
      <w:pPr>
        <w:pStyle w:val="Heading2"/>
        <w:spacing w:after="95" w:before="250"/>
      </w:pPr>
      <w:r>
        <w:rPr>
          <w:rFonts w:ascii="Arial" w:cs="Arial" w:eastAsia="Arial" w:hAnsi="Arial"/>
          <w:b/>
          <w:bCs/>
          <w:color w:val="1F3864"/>
          <w:sz w:val="23"/>
          <w:szCs w:val="23"/>
        </w:rPr>
        <w:t xml:space="preserve">6.3  The distinction that decides almost every case</w:t>
      </w:r>
    </w:p>
    <w:p>
      <w:pPr>
        <w:spacing w:after="75" w:line="272"/>
        <w:ind w:left="440" w:hanging="290"/>
        <w:jc w:val="both"/>
      </w:pPr>
      <w:r>
        <w:rPr>
          <w:rFonts w:ascii="Arial" w:cs="Arial" w:eastAsia="Arial" w:hAnsi="Arial"/>
          <w:color w:val="000000"/>
          <w:sz w:val="20"/>
          <w:szCs w:val="20"/>
        </w:rPr>
        <w:t xml:space="preserve">1.  A covenant operating </w:t>
      </w:r>
      <w:r>
        <w:rPr>
          <w:rFonts w:ascii="Arial" w:cs="Arial" w:eastAsia="Arial" w:hAnsi="Arial"/>
          <w:b/>
          <w:bCs/>
          <w:color w:val="000000"/>
          <w:sz w:val="20"/>
          <w:szCs w:val="20"/>
        </w:rPr>
        <w:t xml:space="preserve">during</w:t>
      </w:r>
      <w:r>
        <w:rPr>
          <w:rFonts w:ascii="Arial" w:cs="Arial" w:eastAsia="Arial" w:hAnsi="Arial"/>
          <w:color w:val="000000"/>
          <w:sz w:val="20"/>
          <w:szCs w:val="20"/>
        </w:rPr>
        <w:t xml:space="preserve"> the contract, binding the employee to serve exclusively, is </w:t>
      </w:r>
      <w:r>
        <w:rPr>
          <w:rFonts w:ascii="Arial" w:cs="Arial" w:eastAsia="Arial" w:hAnsi="Arial"/>
          <w:b/>
          <w:bCs/>
          <w:color w:val="000000"/>
          <w:sz w:val="20"/>
          <w:szCs w:val="20"/>
        </w:rPr>
        <w:t xml:space="preserve">valid</w:t>
      </w:r>
      <w:r>
        <w:rPr>
          <w:rFonts w:ascii="Arial" w:cs="Arial" w:eastAsia="Arial" w:hAnsi="Arial"/>
          <w:color w:val="000000"/>
          <w:sz w:val="20"/>
          <w:szCs w:val="20"/>
        </w:rPr>
        <w:t xml:space="preserve"> and outside Section 27. Authorities: </w:t>
      </w:r>
      <w:r>
        <w:rPr>
          <w:rFonts w:ascii="Arial" w:cs="Arial" w:eastAsia="Arial" w:hAnsi="Arial"/>
          <w:b/>
          <w:bCs/>
          <w:i/>
          <w:iCs/>
          <w:color w:val="000000"/>
          <w:sz w:val="20"/>
          <w:szCs w:val="20"/>
        </w:rPr>
        <w:t xml:space="preserve">Golikari</w:t>
      </w:r>
      <w:r>
        <w:rPr>
          <w:rFonts w:ascii="Arial" w:cs="Arial" w:eastAsia="Arial" w:hAnsi="Arial"/>
          <w:color w:val="000000"/>
          <w:sz w:val="20"/>
          <w:szCs w:val="20"/>
        </w:rPr>
        <w:t xml:space="preserve">, </w:t>
      </w:r>
      <w:r>
        <w:rPr>
          <w:rFonts w:ascii="Arial" w:cs="Arial" w:eastAsia="Arial" w:hAnsi="Arial"/>
          <w:b/>
          <w:bCs/>
          <w:i/>
          <w:iCs/>
          <w:color w:val="000000"/>
          <w:sz w:val="20"/>
          <w:szCs w:val="20"/>
        </w:rPr>
        <w:t xml:space="preserve">Gujarat Bottling</w:t>
      </w:r>
      <w:r>
        <w:rPr>
          <w:rFonts w:ascii="Arial" w:cs="Arial" w:eastAsia="Arial" w:hAnsi="Arial"/>
          <w:color w:val="000000"/>
          <w:sz w:val="20"/>
          <w:szCs w:val="20"/>
        </w:rPr>
        <w:t xml:space="preserve">, </w:t>
      </w:r>
      <w:r>
        <w:rPr>
          <w:rFonts w:ascii="Arial" w:cs="Arial" w:eastAsia="Arial" w:hAnsi="Arial"/>
          <w:b/>
          <w:bCs/>
          <w:i/>
          <w:iCs/>
          <w:color w:val="000000"/>
          <w:sz w:val="20"/>
          <w:szCs w:val="20"/>
        </w:rPr>
        <w:t xml:space="preserve">Indus Power Tech</w:t>
      </w:r>
      <w:r>
        <w:rPr>
          <w:rFonts w:ascii="Arial" w:cs="Arial" w:eastAsia="Arial" w:hAnsi="Arial"/>
          <w:color w:val="000000"/>
          <w:sz w:val="20"/>
          <w:szCs w:val="20"/>
        </w:rPr>
        <w:t xml:space="preserve">.</w:t>
      </w:r>
    </w:p>
    <w:p>
      <w:pPr>
        <w:spacing w:after="75" w:line="272"/>
        <w:ind w:left="440" w:hanging="290"/>
        <w:jc w:val="both"/>
      </w:pPr>
      <w:r>
        <w:rPr>
          <w:rFonts w:ascii="Arial" w:cs="Arial" w:eastAsia="Arial" w:hAnsi="Arial"/>
          <w:color w:val="000000"/>
          <w:sz w:val="20"/>
          <w:szCs w:val="20"/>
        </w:rPr>
        <w:t xml:space="preserve">2.  A covenant operating </w:t>
      </w:r>
      <w:r>
        <w:rPr>
          <w:rFonts w:ascii="Arial" w:cs="Arial" w:eastAsia="Arial" w:hAnsi="Arial"/>
          <w:b/>
          <w:bCs/>
          <w:color w:val="000000"/>
          <w:sz w:val="20"/>
          <w:szCs w:val="20"/>
        </w:rPr>
        <w:t xml:space="preserve">after</w:t>
      </w:r>
      <w:r>
        <w:rPr>
          <w:rFonts w:ascii="Arial" w:cs="Arial" w:eastAsia="Arial" w:hAnsi="Arial"/>
          <w:color w:val="000000"/>
          <w:sz w:val="20"/>
          <w:szCs w:val="20"/>
        </w:rPr>
        <w:t xml:space="preserve"> termination, restraining a competing trade or profession, is </w:t>
      </w:r>
      <w:r>
        <w:rPr>
          <w:rFonts w:ascii="Arial" w:cs="Arial" w:eastAsia="Arial" w:hAnsi="Arial"/>
          <w:b/>
          <w:bCs/>
          <w:color w:val="000000"/>
          <w:sz w:val="20"/>
          <w:szCs w:val="20"/>
        </w:rPr>
        <w:t xml:space="preserve">void</w:t>
      </w:r>
      <w:r>
        <w:rPr>
          <w:rFonts w:ascii="Arial" w:cs="Arial" w:eastAsia="Arial" w:hAnsi="Arial"/>
          <w:color w:val="000000"/>
          <w:sz w:val="20"/>
          <w:szCs w:val="20"/>
        </w:rPr>
        <w:t xml:space="preserve"> subject only to the goodwill exception. Authorities: Sen J in </w:t>
      </w:r>
      <w:r>
        <w:rPr>
          <w:rFonts w:ascii="Arial" w:cs="Arial" w:eastAsia="Arial" w:hAnsi="Arial"/>
          <w:b/>
          <w:bCs/>
          <w:i/>
          <w:iCs/>
          <w:color w:val="000000"/>
          <w:sz w:val="20"/>
          <w:szCs w:val="20"/>
        </w:rPr>
        <w:t xml:space="preserve">Krishan Murgai</w:t>
      </w:r>
      <w:r>
        <w:rPr>
          <w:rFonts w:ascii="Arial" w:cs="Arial" w:eastAsia="Arial" w:hAnsi="Arial"/>
          <w:color w:val="000000"/>
          <w:sz w:val="20"/>
          <w:szCs w:val="20"/>
        </w:rPr>
        <w:t xml:space="preserve">, </w:t>
      </w:r>
      <w:r>
        <w:rPr>
          <w:rFonts w:ascii="Arial" w:cs="Arial" w:eastAsia="Arial" w:hAnsi="Arial"/>
          <w:b/>
          <w:bCs/>
          <w:i/>
          <w:iCs/>
          <w:color w:val="000000"/>
          <w:sz w:val="20"/>
          <w:szCs w:val="20"/>
        </w:rPr>
        <w:t xml:space="preserve">Percept D'Mark</w:t>
      </w:r>
      <w:r>
        <w:rPr>
          <w:rFonts w:ascii="Arial" w:cs="Arial" w:eastAsia="Arial" w:hAnsi="Arial"/>
          <w:color w:val="000000"/>
          <w:sz w:val="20"/>
          <w:szCs w:val="20"/>
        </w:rPr>
        <w:t xml:space="preserve">, </w:t>
      </w:r>
      <w:r>
        <w:rPr>
          <w:rFonts w:ascii="Arial" w:cs="Arial" w:eastAsia="Arial" w:hAnsi="Arial"/>
          <w:b/>
          <w:bCs/>
          <w:i/>
          <w:iCs/>
          <w:color w:val="000000"/>
          <w:sz w:val="20"/>
          <w:szCs w:val="20"/>
        </w:rPr>
        <w:t xml:space="preserve">Varun Tyagi</w:t>
      </w:r>
      <w:r>
        <w:rPr>
          <w:rFonts w:ascii="Arial" w:cs="Arial" w:eastAsia="Arial" w:hAnsi="Arial"/>
          <w:color w:val="000000"/>
          <w:sz w:val="20"/>
          <w:szCs w:val="20"/>
        </w:rPr>
        <w:t xml:space="preserve">.</w:t>
      </w:r>
    </w:p>
    <w:p>
      <w:pPr>
        <w:spacing w:after="75" w:line="272"/>
        <w:ind w:left="440" w:hanging="290"/>
        <w:jc w:val="both"/>
      </w:pPr>
      <w:r>
        <w:rPr>
          <w:rFonts w:ascii="Arial" w:cs="Arial" w:eastAsia="Arial" w:hAnsi="Arial"/>
          <w:color w:val="000000"/>
          <w:sz w:val="20"/>
          <w:szCs w:val="20"/>
        </w:rPr>
        <w:t xml:space="preserve">3.  A </w:t>
      </w:r>
      <w:r>
        <w:rPr>
          <w:rFonts w:ascii="Arial" w:cs="Arial" w:eastAsia="Arial" w:hAnsi="Arial"/>
          <w:b/>
          <w:bCs/>
          <w:color w:val="000000"/>
          <w:sz w:val="20"/>
          <w:szCs w:val="20"/>
        </w:rPr>
        <w:t xml:space="preserve">confidentiality</w:t>
      </w:r>
      <w:r>
        <w:rPr>
          <w:rFonts w:ascii="Arial" w:cs="Arial" w:eastAsia="Arial" w:hAnsi="Arial"/>
          <w:color w:val="000000"/>
          <w:sz w:val="20"/>
          <w:szCs w:val="20"/>
        </w:rPr>
        <w:t xml:space="preserve"> obligation over identified information is </w:t>
      </w:r>
      <w:r>
        <w:rPr>
          <w:rFonts w:ascii="Arial" w:cs="Arial" w:eastAsia="Arial" w:hAnsi="Arial"/>
          <w:b/>
          <w:bCs/>
          <w:color w:val="000000"/>
          <w:sz w:val="20"/>
          <w:szCs w:val="20"/>
        </w:rPr>
        <w:t xml:space="preserve">valid after termination and can last indefinitely</w:t>
      </w:r>
      <w:r>
        <w:rPr>
          <w:rFonts w:ascii="Arial" w:cs="Arial" w:eastAsia="Arial" w:hAnsi="Arial"/>
          <w:color w:val="000000"/>
          <w:sz w:val="20"/>
          <w:szCs w:val="20"/>
        </w:rPr>
        <w:t xml:space="preserve">, ending only when the information enters the public domain.</w:t>
      </w:r>
    </w:p>
    <w:p>
      <w:pPr>
        <w:pBdr>
          <w:top w:val="single" w:color="D6B656" w:sz="2" w:space="6"/>
          <w:bottom w:val="single" w:color="D6B656" w:sz="2" w:space="6"/>
          <w:left w:val="single" w:color="D6B656" w:sz="2" w:space="6"/>
          <w:right w:val="single" w:color="D6B656" w:sz="2" w:space="6"/>
        </w:pBdr>
        <w:shd w:fill="FFF2CC" w:val="clear"/>
        <w:spacing w:after="180" w:before="120" w:line="276"/>
        <w:ind w:left="170" w:right="170"/>
        <w:jc w:val="both"/>
      </w:pPr>
      <w:r>
        <w:rPr>
          <w:rFonts w:ascii="Arial" w:cs="Arial" w:eastAsia="Arial" w:hAnsi="Arial"/>
          <w:b/>
          <w:bCs/>
          <w:color w:val="000000"/>
          <w:sz w:val="20"/>
          <w:szCs w:val="20"/>
        </w:rPr>
        <w:t xml:space="preserve">The single most useful practical conclusion in the module. In India, draft the confidentiality clause, not the non compete.</w:t>
      </w:r>
      <w:r>
        <w:rPr>
          <w:rFonts w:ascii="Arial" w:cs="Arial" w:eastAsia="Arial" w:hAnsi="Arial"/>
          <w:color w:val="000000"/>
          <w:sz w:val="20"/>
          <w:szCs w:val="20"/>
        </w:rPr>
        <w:t xml:space="preserve"> The non compete will fail. The confidentiality obligation will not.</w:t>
      </w:r>
    </w:p>
    <w:p>
      <w:pPr>
        <w:spacing w:after="130" w:line="276"/>
        <w:jc w:val="both"/>
      </w:pPr>
      <w:r>
        <w:rPr>
          <w:rFonts w:ascii="Arial" w:cs="Arial" w:eastAsia="Arial" w:hAnsi="Arial"/>
          <w:color w:val="000000"/>
          <w:sz w:val="20"/>
          <w:szCs w:val="20"/>
        </w:rPr>
        <w:t xml:space="preserve">The doctrine runs through four dates. </w:t>
      </w:r>
      <w:r>
        <w:rPr>
          <w:rFonts w:ascii="Arial" w:cs="Arial" w:eastAsia="Arial" w:hAnsi="Arial"/>
          <w:b/>
          <w:bCs/>
          <w:color w:val="000000"/>
          <w:sz w:val="20"/>
          <w:szCs w:val="20"/>
        </w:rPr>
        <w:t xml:space="preserve">1711</w:t>
      </w:r>
      <w:r>
        <w:rPr>
          <w:rFonts w:ascii="Arial" w:cs="Arial" w:eastAsia="Arial" w:hAnsi="Arial"/>
          <w:color w:val="000000"/>
          <w:sz w:val="20"/>
          <w:szCs w:val="20"/>
        </w:rPr>
        <w:t xml:space="preserve">, </w:t>
      </w:r>
      <w:r>
        <w:rPr>
          <w:rFonts w:ascii="Arial" w:cs="Arial" w:eastAsia="Arial" w:hAnsi="Arial"/>
          <w:b/>
          <w:bCs/>
          <w:i/>
          <w:iCs/>
          <w:color w:val="000000"/>
          <w:sz w:val="20"/>
          <w:szCs w:val="20"/>
        </w:rPr>
        <w:t xml:space="preserve">Mitchel v Reynolds</w:t>
      </w:r>
      <w:r>
        <w:rPr>
          <w:rFonts w:ascii="Arial" w:cs="Arial" w:eastAsia="Arial" w:hAnsi="Arial"/>
          <w:color w:val="000000"/>
          <w:sz w:val="20"/>
          <w:szCs w:val="20"/>
        </w:rPr>
        <w:t xml:space="preserve"> introduces the reasonableness test in English law. </w:t>
      </w:r>
      <w:r>
        <w:rPr>
          <w:rFonts w:ascii="Arial" w:cs="Arial" w:eastAsia="Arial" w:hAnsi="Arial"/>
          <w:b/>
          <w:bCs/>
          <w:color w:val="000000"/>
          <w:sz w:val="20"/>
          <w:szCs w:val="20"/>
        </w:rPr>
        <w:t xml:space="preserve">1872</w:t>
      </w:r>
      <w:r>
        <w:rPr>
          <w:rFonts w:ascii="Arial" w:cs="Arial" w:eastAsia="Arial" w:hAnsi="Arial"/>
          <w:color w:val="000000"/>
          <w:sz w:val="20"/>
          <w:szCs w:val="20"/>
        </w:rPr>
        <w:t xml:space="preserve">, Section 27 codifies a far stricter Indian position. </w:t>
      </w:r>
      <w:r>
        <w:rPr>
          <w:rFonts w:ascii="Arial" w:cs="Arial" w:eastAsia="Arial" w:hAnsi="Arial"/>
          <w:b/>
          <w:bCs/>
          <w:color w:val="000000"/>
          <w:sz w:val="20"/>
          <w:szCs w:val="20"/>
        </w:rPr>
        <w:t xml:space="preserve">1980</w:t>
      </w:r>
      <w:r>
        <w:rPr>
          <w:rFonts w:ascii="Arial" w:cs="Arial" w:eastAsia="Arial" w:hAnsi="Arial"/>
          <w:color w:val="000000"/>
          <w:sz w:val="20"/>
          <w:szCs w:val="20"/>
        </w:rPr>
        <w:t xml:space="preserve">, </w:t>
      </w:r>
      <w:r>
        <w:rPr>
          <w:rFonts w:ascii="Arial" w:cs="Arial" w:eastAsia="Arial" w:hAnsi="Arial"/>
          <w:b/>
          <w:bCs/>
          <w:i/>
          <w:iCs/>
          <w:color w:val="000000"/>
          <w:sz w:val="20"/>
          <w:szCs w:val="20"/>
        </w:rPr>
        <w:t xml:space="preserve">Krishan Murgai</w:t>
      </w:r>
      <w:r>
        <w:rPr>
          <w:rFonts w:ascii="Arial" w:cs="Arial" w:eastAsia="Arial" w:hAnsi="Arial"/>
          <w:color w:val="000000"/>
          <w:sz w:val="20"/>
          <w:szCs w:val="20"/>
        </w:rPr>
        <w:t xml:space="preserve"> reaches the Supreme Court, though the majority decided it on the construction of the clause. </w:t>
      </w:r>
      <w:r>
        <w:rPr>
          <w:rFonts w:ascii="Arial" w:cs="Arial" w:eastAsia="Arial" w:hAnsi="Arial"/>
          <w:b/>
          <w:bCs/>
          <w:color w:val="000000"/>
          <w:sz w:val="20"/>
          <w:szCs w:val="20"/>
        </w:rPr>
        <w:t xml:space="preserve">2024</w:t>
      </w:r>
      <w:r>
        <w:rPr>
          <w:rFonts w:ascii="Arial" w:cs="Arial" w:eastAsia="Arial" w:hAnsi="Arial"/>
          <w:color w:val="000000"/>
          <w:sz w:val="20"/>
          <w:szCs w:val="20"/>
        </w:rPr>
        <w:t xml:space="preserve">, the Law Commission proposes a Bill, still unenacted.</w:t>
      </w:r>
    </w:p>
    <w:p>
      <w:pPr>
        <w:pStyle w:val="Heading2"/>
        <w:spacing w:after="95" w:before="250"/>
      </w:pPr>
      <w:r>
        <w:rPr>
          <w:rFonts w:ascii="Arial" w:cs="Arial" w:eastAsia="Arial" w:hAnsi="Arial"/>
          <w:b/>
          <w:bCs/>
          <w:color w:val="1F3864"/>
          <w:sz w:val="23"/>
          <w:szCs w:val="23"/>
        </w:rPr>
        <w:t xml:space="preserve">6.4  Equity and breach of confidence</w:t>
      </w:r>
    </w:p>
    <w:p>
      <w:pPr>
        <w:spacing w:after="130" w:line="276"/>
        <w:jc w:val="both"/>
      </w:pPr>
      <w:r>
        <w:rPr>
          <w:rFonts w:ascii="Arial" w:cs="Arial" w:eastAsia="Arial" w:hAnsi="Arial"/>
          <w:color w:val="000000"/>
          <w:sz w:val="20"/>
          <w:szCs w:val="20"/>
        </w:rPr>
        <w:t xml:space="preserve">A confidentiality obligation can arise </w:t>
      </w:r>
      <w:r>
        <w:rPr>
          <w:rFonts w:ascii="Arial" w:cs="Arial" w:eastAsia="Arial" w:hAnsi="Arial"/>
          <w:b/>
          <w:bCs/>
          <w:color w:val="000000"/>
          <w:sz w:val="20"/>
          <w:szCs w:val="20"/>
        </w:rPr>
        <w:t xml:space="preserve">independently of any contract</w:t>
      </w:r>
      <w:r>
        <w:rPr>
          <w:rFonts w:ascii="Arial" w:cs="Arial" w:eastAsia="Arial" w:hAnsi="Arial"/>
          <w:color w:val="000000"/>
          <w:sz w:val="20"/>
          <w:szCs w:val="20"/>
        </w:rPr>
        <w:t xml:space="preserve">, because equity fills the space where legislation and contract are silent. The three requirements come from </w:t>
      </w:r>
      <w:r>
        <w:rPr>
          <w:rFonts w:ascii="Arial" w:cs="Arial" w:eastAsia="Arial" w:hAnsi="Arial"/>
          <w:b/>
          <w:bCs/>
          <w:i/>
          <w:iCs/>
          <w:color w:val="000000"/>
          <w:sz w:val="20"/>
          <w:szCs w:val="20"/>
        </w:rPr>
        <w:t xml:space="preserve">Coco v A N Clark</w:t>
      </w:r>
      <w:r>
        <w:rPr>
          <w:rFonts w:ascii="Arial" w:cs="Arial" w:eastAsia="Arial" w:hAnsi="Arial"/>
          <w:color w:val="000000"/>
          <w:sz w:val="20"/>
          <w:szCs w:val="20"/>
        </w:rPr>
        <w:t xml:space="preserve">:</w:t>
      </w:r>
    </w:p>
    <w:p>
      <w:pPr>
        <w:spacing w:after="65" w:line="272"/>
        <w:ind w:left="840" w:hanging="290"/>
        <w:jc w:val="both"/>
      </w:pPr>
      <w:r>
        <w:rPr>
          <w:rFonts w:ascii="Arial" w:cs="Arial" w:eastAsia="Arial" w:hAnsi="Arial"/>
          <w:color w:val="000000"/>
          <w:sz w:val="20"/>
          <w:szCs w:val="20"/>
        </w:rPr>
        <w:t xml:space="preserve">(a)  the information must have the quality of confidence;</w:t>
      </w:r>
    </w:p>
    <w:p>
      <w:pPr>
        <w:spacing w:after="65" w:line="272"/>
        <w:ind w:left="840" w:hanging="290"/>
        <w:jc w:val="both"/>
      </w:pPr>
      <w:r>
        <w:rPr>
          <w:rFonts w:ascii="Arial" w:cs="Arial" w:eastAsia="Arial" w:hAnsi="Arial"/>
          <w:color w:val="000000"/>
          <w:sz w:val="20"/>
          <w:szCs w:val="20"/>
        </w:rPr>
        <w:t xml:space="preserve">(b)  it must have been imparted in circumstances importing an obligation of confidence; and</w:t>
      </w:r>
    </w:p>
    <w:p>
      <w:pPr>
        <w:spacing w:after="65" w:line="272"/>
        <w:ind w:left="840" w:hanging="290"/>
        <w:jc w:val="both"/>
      </w:pPr>
      <w:r>
        <w:rPr>
          <w:rFonts w:ascii="Arial" w:cs="Arial" w:eastAsia="Arial" w:hAnsi="Arial"/>
          <w:color w:val="000000"/>
          <w:sz w:val="20"/>
          <w:szCs w:val="20"/>
        </w:rPr>
        <w:t xml:space="preserve">(c)  there must have been an unauthorised use of it.</w:t>
      </w:r>
    </w:p>
    <w:p>
      <w:pPr>
        <w:spacing w:after="130" w:line="276"/>
        <w:jc w:val="both"/>
      </w:pPr>
      <w:r>
        <w:rPr>
          <w:rFonts w:ascii="Arial" w:cs="Arial" w:eastAsia="Arial" w:hAnsi="Arial"/>
          <w:color w:val="000000"/>
          <w:sz w:val="20"/>
          <w:szCs w:val="20"/>
        </w:rPr>
        <w:t xml:space="preserve">The test runs </w:t>
      </w:r>
      <w:r>
        <w:rPr>
          <w:rFonts w:ascii="Arial" w:cs="Arial" w:eastAsia="Arial" w:hAnsi="Arial"/>
          <w:i/>
          <w:iCs/>
          <w:color w:val="000000"/>
          <w:sz w:val="20"/>
          <w:szCs w:val="20"/>
        </w:rPr>
        <w:t xml:space="preserve">concurrently</w:t>
      </w:r>
      <w:r>
        <w:rPr>
          <w:rFonts w:ascii="Arial" w:cs="Arial" w:eastAsia="Arial" w:hAnsi="Arial"/>
          <w:color w:val="000000"/>
          <w:sz w:val="20"/>
          <w:szCs w:val="20"/>
        </w:rPr>
        <w:t xml:space="preserve"> with contract claims. Equity adds two things contract cannot. It </w:t>
      </w:r>
      <w:r>
        <w:rPr>
          <w:rFonts w:ascii="Arial" w:cs="Arial" w:eastAsia="Arial" w:hAnsi="Arial"/>
          <w:b/>
          <w:bCs/>
          <w:color w:val="000000"/>
          <w:sz w:val="20"/>
          <w:szCs w:val="20"/>
        </w:rPr>
        <w:t xml:space="preserve">prevents unjust enrichment</w:t>
      </w:r>
      <w:r>
        <w:rPr>
          <w:rFonts w:ascii="Arial" w:cs="Arial" w:eastAsia="Arial" w:hAnsi="Arial"/>
          <w:color w:val="000000"/>
          <w:sz w:val="20"/>
          <w:szCs w:val="20"/>
        </w:rPr>
        <w:t xml:space="preserve">, allowing an account of profits and a constructive trust. And it </w:t>
      </w:r>
      <w:r>
        <w:rPr>
          <w:rFonts w:ascii="Arial" w:cs="Arial" w:eastAsia="Arial" w:hAnsi="Arial"/>
          <w:b/>
          <w:bCs/>
          <w:color w:val="000000"/>
          <w:sz w:val="20"/>
          <w:szCs w:val="20"/>
        </w:rPr>
        <w:t xml:space="preserve">reaches non parties</w:t>
      </w:r>
      <w:r>
        <w:rPr>
          <w:rFonts w:ascii="Arial" w:cs="Arial" w:eastAsia="Arial" w:hAnsi="Arial"/>
          <w:color w:val="000000"/>
          <w:sz w:val="20"/>
          <w:szCs w:val="20"/>
        </w:rPr>
        <w:t xml:space="preserve">, because contract binds only parties while equity reaches a third party who receives information with notice, which is why </w:t>
      </w:r>
      <w:r>
        <w:rPr>
          <w:rFonts w:ascii="Arial" w:cs="Arial" w:eastAsia="Arial" w:hAnsi="Arial"/>
          <w:b/>
          <w:bCs/>
          <w:i/>
          <w:iCs/>
          <w:color w:val="000000"/>
          <w:sz w:val="20"/>
          <w:szCs w:val="20"/>
        </w:rPr>
        <w:t xml:space="preserve">Homag India</w:t>
      </w:r>
      <w:r>
        <w:rPr>
          <w:rFonts w:ascii="Arial" w:cs="Arial" w:eastAsia="Arial" w:hAnsi="Arial"/>
          <w:color w:val="000000"/>
          <w:sz w:val="20"/>
          <w:szCs w:val="20"/>
        </w:rPr>
        <w:t xml:space="preserve"> mattered.</w:t>
      </w:r>
    </w:p>
    <w:p>
      <w:pPr>
        <w:pStyle w:val="Heading2"/>
        <w:spacing w:after="95" w:before="250"/>
      </w:pPr>
      <w:r>
        <w:rPr>
          <w:rFonts w:ascii="Arial" w:cs="Arial" w:eastAsia="Arial" w:hAnsi="Arial"/>
          <w:b/>
          <w:bCs/>
          <w:color w:val="1F3864"/>
          <w:sz w:val="23"/>
          <w:szCs w:val="23"/>
        </w:rPr>
        <w:t xml:space="preserve">6.5  The springboard doctrine</w:t>
      </w:r>
    </w:p>
    <w:p>
      <w:pPr>
        <w:spacing w:after="130" w:line="276"/>
        <w:jc w:val="both"/>
      </w:pPr>
      <w:r>
        <w:rPr>
          <w:rFonts w:ascii="Arial" w:cs="Arial" w:eastAsia="Arial" w:hAnsi="Arial"/>
          <w:color w:val="000000"/>
          <w:sz w:val="20"/>
          <w:szCs w:val="20"/>
        </w:rPr>
        <w:t xml:space="preserve">A person who obtains information in confidence may not use it as a </w:t>
      </w:r>
      <w:r>
        <w:rPr>
          <w:rFonts w:ascii="Arial" w:cs="Arial" w:eastAsia="Arial" w:hAnsi="Arial"/>
          <w:b/>
          <w:bCs/>
          <w:color w:val="000000"/>
          <w:sz w:val="20"/>
          <w:szCs w:val="20"/>
        </w:rPr>
        <w:t xml:space="preserve">springboard</w:t>
      </w:r>
      <w:r>
        <w:rPr>
          <w:rFonts w:ascii="Arial" w:cs="Arial" w:eastAsia="Arial" w:hAnsi="Arial"/>
          <w:color w:val="000000"/>
          <w:sz w:val="20"/>
          <w:szCs w:val="20"/>
        </w:rPr>
        <w:t xml:space="preserve"> for activities detrimental to the person who confided it, and it remains a springboard even after the features have been published or could be found by public inspection. </w:t>
      </w:r>
      <w:r>
        <w:rPr>
          <w:rFonts w:ascii="Arial" w:cs="Arial" w:eastAsia="Arial" w:hAnsi="Arial"/>
          <w:b/>
          <w:bCs/>
          <w:color w:val="000000"/>
          <w:sz w:val="20"/>
          <w:szCs w:val="20"/>
        </w:rPr>
        <w:t xml:space="preserve">The obligation survives publication</w:t>
      </w:r>
      <w:r>
        <w:rPr>
          <w:rFonts w:ascii="Arial" w:cs="Arial" w:eastAsia="Arial" w:hAnsi="Arial"/>
          <w:color w:val="000000"/>
          <w:sz w:val="20"/>
          <w:szCs w:val="20"/>
        </w:rPr>
        <w:t xml:space="preserve">, which ordinarily destroys a secret, so this is a doctrine about unfair advantage rather than about secrecy. The formulation comes from </w:t>
      </w:r>
      <w:r>
        <w:rPr>
          <w:rFonts w:ascii="Arial" w:cs="Arial" w:eastAsia="Arial" w:hAnsi="Arial"/>
          <w:b/>
          <w:bCs/>
          <w:i/>
          <w:iCs/>
          <w:color w:val="000000"/>
          <w:sz w:val="20"/>
          <w:szCs w:val="20"/>
        </w:rPr>
        <w:t xml:space="preserve">Terrapin Ltd v Builders' Supply Co (Hayes) Ltd</w:t>
      </w:r>
      <w:r>
        <w:rPr>
          <w:rFonts w:ascii="Arial" w:cs="Arial" w:eastAsia="Arial" w:hAnsi="Arial"/>
          <w:color w:val="000000"/>
          <w:sz w:val="20"/>
          <w:szCs w:val="20"/>
        </w:rPr>
        <w:t xml:space="preserve">, [1960] RPC 128, and in India it has applied since 1987 through </w:t>
      </w:r>
      <w:r>
        <w:rPr>
          <w:rFonts w:ascii="Arial" w:cs="Arial" w:eastAsia="Arial" w:hAnsi="Arial"/>
          <w:b/>
          <w:bCs/>
          <w:i/>
          <w:iCs/>
          <w:color w:val="000000"/>
          <w:sz w:val="20"/>
          <w:szCs w:val="20"/>
        </w:rPr>
        <w:t xml:space="preserve">John Richard Brady</w:t>
      </w:r>
      <w:r>
        <w:rPr>
          <w:rFonts w:ascii="Arial" w:cs="Arial" w:eastAsia="Arial" w:hAnsi="Arial"/>
          <w:color w:val="000000"/>
          <w:sz w:val="20"/>
          <w:szCs w:val="20"/>
        </w:rPr>
        <w:t xml:space="preserve">.</w:t>
      </w:r>
    </w:p>
    <w:p>
      <w:pPr>
        <w:pStyle w:val="Heading2"/>
        <w:spacing w:after="95" w:before="250"/>
      </w:pPr>
      <w:r>
        <w:rPr>
          <w:rFonts w:ascii="Arial" w:cs="Arial" w:eastAsia="Arial" w:hAnsi="Arial"/>
          <w:b/>
          <w:bCs/>
          <w:color w:val="1F3864"/>
          <w:sz w:val="23"/>
          <w:szCs w:val="23"/>
        </w:rPr>
        <w:t xml:space="preserve">6.6  Trade secrets and copyright</w:t>
      </w:r>
    </w:p>
    <w:p>
      <w:pPr>
        <w:spacing w:after="130" w:line="276"/>
        <w:jc w:val="both"/>
      </w:pPr>
      <w:r>
        <w:rPr>
          <w:rFonts w:ascii="Arial" w:cs="Arial" w:eastAsia="Arial" w:hAnsi="Arial"/>
          <w:color w:val="000000"/>
          <w:sz w:val="20"/>
          <w:szCs w:val="20"/>
        </w:rPr>
        <w:t xml:space="preserve">Databases are protected by copyright under </w:t>
      </w:r>
      <w:r>
        <w:rPr>
          <w:rFonts w:ascii="Arial" w:cs="Arial" w:eastAsia="Arial" w:hAnsi="Arial"/>
          <w:b/>
          <w:bCs/>
          <w:color w:val="000000"/>
          <w:sz w:val="20"/>
          <w:szCs w:val="20"/>
        </w:rPr>
        <w:t xml:space="preserve">Section 2(o)</w:t>
      </w:r>
      <w:r>
        <w:rPr>
          <w:rFonts w:ascii="Arial" w:cs="Arial" w:eastAsia="Arial" w:hAnsi="Arial"/>
          <w:color w:val="000000"/>
          <w:sz w:val="20"/>
          <w:szCs w:val="20"/>
        </w:rPr>
        <w:t xml:space="preserve"> of the Copyright Act, 1957. In theory copyright protects the </w:t>
      </w:r>
      <w:r>
        <w:rPr>
          <w:rFonts w:ascii="Arial" w:cs="Arial" w:eastAsia="Arial" w:hAnsi="Arial"/>
          <w:i/>
          <w:iCs/>
          <w:color w:val="000000"/>
          <w:sz w:val="20"/>
          <w:szCs w:val="20"/>
        </w:rPr>
        <w:t xml:space="preserve">expression</w:t>
      </w:r>
      <w:r>
        <w:rPr>
          <w:rFonts w:ascii="Arial" w:cs="Arial" w:eastAsia="Arial" w:hAnsi="Arial"/>
          <w:color w:val="000000"/>
          <w:sz w:val="20"/>
          <w:szCs w:val="20"/>
        </w:rPr>
        <w:t xml:space="preserve"> in a compilation and trade secret law protects the </w:t>
      </w:r>
      <w:r>
        <w:rPr>
          <w:rFonts w:ascii="Arial" w:cs="Arial" w:eastAsia="Arial" w:hAnsi="Arial"/>
          <w:i/>
          <w:iCs/>
          <w:color w:val="000000"/>
          <w:sz w:val="20"/>
          <w:szCs w:val="20"/>
        </w:rPr>
        <w:t xml:space="preserve">underlying data</w:t>
      </w:r>
      <w:r>
        <w:rPr>
          <w:rFonts w:ascii="Arial" w:cs="Arial" w:eastAsia="Arial" w:hAnsi="Arial"/>
          <w:color w:val="000000"/>
          <w:sz w:val="20"/>
          <w:szCs w:val="20"/>
        </w:rPr>
        <w:t xml:space="preserve">, so treating a database as a secret can be stronger. In practice the two converge.</w:t>
      </w:r>
    </w:p>
    <w:p>
      <w:pPr>
        <w:spacing w:after="130" w:line="276"/>
        <w:jc w:val="both"/>
      </w:pPr>
      <w:r>
        <w:rPr>
          <w:rFonts w:ascii="Arial" w:cs="Arial" w:eastAsia="Arial" w:hAnsi="Arial"/>
          <w:color w:val="000000"/>
          <w:sz w:val="20"/>
          <w:szCs w:val="20"/>
        </w:rPr>
        <w:t xml:space="preserve">The strategic point is that, with no trade secret statute, the </w:t>
      </w:r>
      <w:r>
        <w:rPr>
          <w:rFonts w:ascii="Arial" w:cs="Arial" w:eastAsia="Arial" w:hAnsi="Arial"/>
          <w:b/>
          <w:bCs/>
          <w:color w:val="000000"/>
          <w:sz w:val="20"/>
          <w:szCs w:val="20"/>
        </w:rPr>
        <w:t xml:space="preserve">copyright route is often easier</w:t>
      </w:r>
      <w:r>
        <w:rPr>
          <w:rFonts w:ascii="Arial" w:cs="Arial" w:eastAsia="Arial" w:hAnsi="Arial"/>
          <w:color w:val="000000"/>
          <w:sz w:val="20"/>
          <w:szCs w:val="20"/>
        </w:rPr>
        <w:t xml:space="preserve">, because it gives a statutory cause of action and statutory remedies and does not require proof of reasonable steps. A well advised Indian plaintiff pleads copyright infringement, breach of confidence and breach of contract in the alternative.</w:t>
      </w:r>
    </w:p>
    <w:p>
      <w:pPr>
        <w:pStyle w:val="Heading2"/>
        <w:spacing w:after="95" w:before="250"/>
      </w:pPr>
      <w:r>
        <w:rPr>
          <w:rFonts w:ascii="Arial" w:cs="Arial" w:eastAsia="Arial" w:hAnsi="Arial"/>
          <w:b/>
          <w:bCs/>
          <w:color w:val="1F3864"/>
          <w:sz w:val="23"/>
          <w:szCs w:val="23"/>
        </w:rPr>
        <w:t xml:space="preserve">6.7  Skill against secret</w:t>
      </w:r>
    </w:p>
    <w:p>
      <w:pPr>
        <w:spacing w:after="130" w:line="276"/>
        <w:jc w:val="both"/>
      </w:pPr>
      <w:r>
        <w:rPr>
          <w:rFonts w:ascii="Arial" w:cs="Arial" w:eastAsia="Arial" w:hAnsi="Arial"/>
          <w:color w:val="000000"/>
          <w:sz w:val="20"/>
          <w:szCs w:val="20"/>
        </w:rPr>
        <w:t xml:space="preserve">The most consequential distinction in Indian law is between what an employee </w:t>
      </w:r>
      <w:r>
        <w:rPr>
          <w:rFonts w:ascii="Arial" w:cs="Arial" w:eastAsia="Arial" w:hAnsi="Arial"/>
          <w:b/>
          <w:bCs/>
          <w:color w:val="000000"/>
          <w:sz w:val="20"/>
          <w:szCs w:val="20"/>
        </w:rPr>
        <w:t xml:space="preserve">learns</w:t>
      </w:r>
      <w:r>
        <w:rPr>
          <w:rFonts w:ascii="Arial" w:cs="Arial" w:eastAsia="Arial" w:hAnsi="Arial"/>
          <w:color w:val="000000"/>
          <w:sz w:val="20"/>
          <w:szCs w:val="20"/>
        </w:rPr>
        <w:t xml:space="preserve"> and what the employer </w:t>
      </w:r>
      <w:r>
        <w:rPr>
          <w:rFonts w:ascii="Arial" w:cs="Arial" w:eastAsia="Arial" w:hAnsi="Arial"/>
          <w:b/>
          <w:bCs/>
          <w:color w:val="000000"/>
          <w:sz w:val="20"/>
          <w:szCs w:val="20"/>
        </w:rPr>
        <w:t xml:space="preserve">owns</w:t>
      </w:r>
      <w:r>
        <w:rPr>
          <w:rFonts w:ascii="Arial" w:cs="Arial" w:eastAsia="Arial" w:hAnsi="Arial"/>
          <w:color w:val="000000"/>
          <w:sz w:val="20"/>
          <w:szCs w:val="20"/>
        </w:rPr>
        <w:t xml:space="preserve">:</w:t>
      </w:r>
    </w:p>
    <w:p>
      <w:pPr>
        <w:spacing w:after="75" w:line="272"/>
        <w:ind w:left="440" w:hanging="290"/>
        <w:jc w:val="both"/>
      </w:pPr>
      <w:r>
        <w:rPr>
          <w:rFonts w:ascii="Arial" w:cs="Arial" w:eastAsia="Arial" w:hAnsi="Arial"/>
          <w:color w:val="000000"/>
          <w:sz w:val="20"/>
          <w:szCs w:val="20"/>
        </w:rPr>
        <w:t xml:space="preserve">1.  </w:t>
      </w:r>
      <w:r>
        <w:rPr>
          <w:rFonts w:ascii="Arial" w:cs="Arial" w:eastAsia="Arial" w:hAnsi="Arial"/>
          <w:b/>
          <w:bCs/>
          <w:color w:val="000000"/>
          <w:sz w:val="20"/>
          <w:szCs w:val="20"/>
        </w:rPr>
        <w:t xml:space="preserve">General skill and knowledge</w:t>
      </w:r>
      <w:r>
        <w:rPr>
          <w:rFonts w:ascii="Arial" w:cs="Arial" w:eastAsia="Arial" w:hAnsi="Arial"/>
          <w:color w:val="000000"/>
          <w:sz w:val="20"/>
          <w:szCs w:val="20"/>
        </w:rPr>
        <w:t xml:space="preserve">, meaning technical know how, industry expertise and professional competence, belongs to the </w:t>
      </w:r>
      <w:r>
        <w:rPr>
          <w:rFonts w:ascii="Arial" w:cs="Arial" w:eastAsia="Arial" w:hAnsi="Arial"/>
          <w:b/>
          <w:bCs/>
          <w:color w:val="000000"/>
          <w:sz w:val="20"/>
          <w:szCs w:val="20"/>
        </w:rPr>
        <w:t xml:space="preserve">employee</w:t>
      </w:r>
      <w:r>
        <w:rPr>
          <w:rFonts w:ascii="Arial" w:cs="Arial" w:eastAsia="Arial" w:hAnsi="Arial"/>
          <w:color w:val="000000"/>
          <w:sz w:val="20"/>
          <w:szCs w:val="20"/>
        </w:rPr>
        <w:t xml:space="preserve">, and courts will not restrict its use whatever the agreement says.</w:t>
      </w:r>
    </w:p>
    <w:p>
      <w:pPr>
        <w:spacing w:after="75" w:line="272"/>
        <w:ind w:left="440" w:hanging="290"/>
        <w:jc w:val="both"/>
      </w:pPr>
      <w:r>
        <w:rPr>
          <w:rFonts w:ascii="Arial" w:cs="Arial" w:eastAsia="Arial" w:hAnsi="Arial"/>
          <w:color w:val="000000"/>
          <w:sz w:val="20"/>
          <w:szCs w:val="20"/>
        </w:rPr>
        <w:t xml:space="preserve">2.  </w:t>
      </w:r>
      <w:r>
        <w:rPr>
          <w:rFonts w:ascii="Arial" w:cs="Arial" w:eastAsia="Arial" w:hAnsi="Arial"/>
          <w:b/>
          <w:bCs/>
          <w:color w:val="000000"/>
          <w:sz w:val="20"/>
          <w:szCs w:val="20"/>
        </w:rPr>
        <w:t xml:space="preserve">A proprietary trade secret</w:t>
      </w:r>
      <w:r>
        <w:rPr>
          <w:rFonts w:ascii="Arial" w:cs="Arial" w:eastAsia="Arial" w:hAnsi="Arial"/>
          <w:color w:val="000000"/>
          <w:sz w:val="20"/>
          <w:szCs w:val="20"/>
        </w:rPr>
        <w:t xml:space="preserve">, meaning specific formulae, client databases, pricing algorithms and technical blueprints that are unique to the employer and actively guarded, belongs to the </w:t>
      </w:r>
      <w:r>
        <w:rPr>
          <w:rFonts w:ascii="Arial" w:cs="Arial" w:eastAsia="Arial" w:hAnsi="Arial"/>
          <w:b/>
          <w:bCs/>
          <w:color w:val="000000"/>
          <w:sz w:val="20"/>
          <w:szCs w:val="20"/>
        </w:rPr>
        <w:t xml:space="preserve">employer</w:t>
      </w:r>
      <w:r>
        <w:rPr>
          <w:rFonts w:ascii="Arial" w:cs="Arial" w:eastAsia="Arial" w:hAnsi="Arial"/>
          <w:color w:val="000000"/>
          <w:sz w:val="20"/>
          <w:szCs w:val="20"/>
        </w:rPr>
        <w:t xml:space="preserve">.</w:t>
      </w:r>
    </w:p>
    <w:p>
      <w:pPr>
        <w:spacing w:after="75" w:line="272"/>
        <w:ind w:left="440" w:hanging="290"/>
        <w:jc w:val="both"/>
      </w:pPr>
      <w:r>
        <w:rPr>
          <w:rFonts w:ascii="Arial" w:cs="Arial" w:eastAsia="Arial" w:hAnsi="Arial"/>
          <w:color w:val="000000"/>
          <w:sz w:val="20"/>
          <w:szCs w:val="20"/>
        </w:rPr>
        <w:t xml:space="preserve">3.  </w:t>
      </w:r>
      <w:r>
        <w:rPr>
          <w:rFonts w:ascii="Arial" w:cs="Arial" w:eastAsia="Arial" w:hAnsi="Arial"/>
          <w:b/>
          <w:bCs/>
          <w:color w:val="000000"/>
          <w:sz w:val="20"/>
          <w:szCs w:val="20"/>
        </w:rPr>
        <w:t xml:space="preserve">The danger zone</w:t>
      </w:r>
      <w:r>
        <w:rPr>
          <w:rFonts w:ascii="Arial" w:cs="Arial" w:eastAsia="Arial" w:hAnsi="Arial"/>
          <w:color w:val="000000"/>
          <w:sz w:val="20"/>
          <w:szCs w:val="20"/>
        </w:rPr>
        <w:t xml:space="preserve"> is labelling general familiarity as a trade secret to prevent labour mobility, which courts have firmly rejected as an impermissible restraint of trade.</w:t>
      </w:r>
    </w:p>
    <w:p>
      <w:pPr>
        <w:spacing w:after="130" w:line="276"/>
        <w:jc w:val="both"/>
      </w:pPr>
      <w:r>
        <w:rPr>
          <w:rFonts w:ascii="Arial" w:cs="Arial" w:eastAsia="Arial" w:hAnsi="Arial"/>
          <w:color w:val="000000"/>
          <w:sz w:val="20"/>
          <w:szCs w:val="20"/>
        </w:rPr>
        <w:t xml:space="preserve">The English authority is </w:t>
      </w:r>
      <w:r>
        <w:rPr>
          <w:rFonts w:ascii="Arial" w:cs="Arial" w:eastAsia="Arial" w:hAnsi="Arial"/>
          <w:b/>
          <w:bCs/>
          <w:i/>
          <w:iCs/>
          <w:color w:val="000000"/>
          <w:sz w:val="20"/>
          <w:szCs w:val="20"/>
        </w:rPr>
        <w:t xml:space="preserve">Faccenda Chicken Ltd v Fowler</w:t>
      </w:r>
      <w:r>
        <w:rPr>
          <w:rFonts w:ascii="Arial" w:cs="Arial" w:eastAsia="Arial" w:hAnsi="Arial"/>
          <w:color w:val="000000"/>
          <w:sz w:val="20"/>
          <w:szCs w:val="20"/>
        </w:rPr>
        <w:t xml:space="preserve">, [1987] Ch 117. The Indian applications are </w:t>
      </w:r>
      <w:r>
        <w:rPr>
          <w:rFonts w:ascii="Arial" w:cs="Arial" w:eastAsia="Arial" w:hAnsi="Arial"/>
          <w:b/>
          <w:bCs/>
          <w:i/>
          <w:iCs/>
          <w:color w:val="000000"/>
          <w:sz w:val="20"/>
          <w:szCs w:val="20"/>
        </w:rPr>
        <w:t xml:space="preserve">Priya Puri</w:t>
      </w:r>
      <w:r>
        <w:rPr>
          <w:rFonts w:ascii="Arial" w:cs="Arial" w:eastAsia="Arial" w:hAnsi="Arial"/>
          <w:color w:val="000000"/>
          <w:sz w:val="20"/>
          <w:szCs w:val="20"/>
        </w:rPr>
        <w:t xml:space="preserve"> and </w:t>
      </w:r>
      <w:r>
        <w:rPr>
          <w:rFonts w:ascii="Arial" w:cs="Arial" w:eastAsia="Arial" w:hAnsi="Arial"/>
          <w:b/>
          <w:bCs/>
          <w:i/>
          <w:iCs/>
          <w:color w:val="000000"/>
          <w:sz w:val="20"/>
          <w:szCs w:val="20"/>
        </w:rPr>
        <w:t xml:space="preserve">Varun Tyagi</w:t>
      </w:r>
      <w:r>
        <w:rPr>
          <w:rFonts w:ascii="Arial" w:cs="Arial" w:eastAsia="Arial" w:hAnsi="Arial"/>
          <w:color w:val="000000"/>
          <w:sz w:val="20"/>
          <w:szCs w:val="20"/>
        </w:rPr>
        <w:t xml:space="preserve">.</w:t>
      </w:r>
    </w:p>
    <w:p>
      <w:pPr>
        <w:pStyle w:val="Heading2"/>
        <w:spacing w:after="95" w:before="250"/>
      </w:pPr>
      <w:r>
        <w:rPr>
          <w:rFonts w:ascii="Arial" w:cs="Arial" w:eastAsia="Arial" w:hAnsi="Arial"/>
          <w:b/>
          <w:bCs/>
          <w:color w:val="1F3864"/>
          <w:sz w:val="23"/>
          <w:szCs w:val="23"/>
        </w:rPr>
        <w:t xml:space="preserve">6.8  Client solicitation</w:t>
      </w:r>
    </w:p>
    <w:p>
      <w:pPr>
        <w:spacing w:after="130" w:line="276"/>
        <w:jc w:val="both"/>
      </w:pPr>
      <w:r>
        <w:rPr>
          <w:rFonts w:ascii="Arial" w:cs="Arial" w:eastAsia="Arial" w:hAnsi="Arial"/>
          <w:color w:val="000000"/>
          <w:sz w:val="20"/>
          <w:szCs w:val="20"/>
        </w:rPr>
        <w:t xml:space="preserve">A </w:t>
      </w:r>
      <w:r>
        <w:rPr>
          <w:rFonts w:ascii="Arial" w:cs="Arial" w:eastAsia="Arial" w:hAnsi="Arial"/>
          <w:b/>
          <w:bCs/>
          <w:color w:val="000000"/>
          <w:sz w:val="20"/>
          <w:szCs w:val="20"/>
        </w:rPr>
        <w:t xml:space="preserve">systematically compiled client database</w:t>
      </w:r>
      <w:r>
        <w:rPr>
          <w:rFonts w:ascii="Arial" w:cs="Arial" w:eastAsia="Arial" w:hAnsi="Arial"/>
          <w:color w:val="000000"/>
          <w:sz w:val="20"/>
          <w:szCs w:val="20"/>
        </w:rPr>
        <w:t xml:space="preserve">, including purchasing histories, preference data and contact hierarchies, built at company expense and kept confidential, can be a trade secret. But where the relationship with a client rests on </w:t>
      </w:r>
      <w:r>
        <w:rPr>
          <w:rFonts w:ascii="Arial" w:cs="Arial" w:eastAsia="Arial" w:hAnsi="Arial"/>
          <w:b/>
          <w:bCs/>
          <w:color w:val="000000"/>
          <w:sz w:val="20"/>
          <w:szCs w:val="20"/>
        </w:rPr>
        <w:t xml:space="preserve">personal rapport and a reputation built independently</w:t>
      </w:r>
      <w:r>
        <w:rPr>
          <w:rFonts w:ascii="Arial" w:cs="Arial" w:eastAsia="Arial" w:hAnsi="Arial"/>
          <w:color w:val="000000"/>
          <w:sz w:val="20"/>
          <w:szCs w:val="20"/>
        </w:rPr>
        <w:t xml:space="preserve">, courts allow the employee to keep and service it. Courts prevent exploitation of proprietary client data while refusing to let employers monopolise an employee's professional network.</w:t>
      </w:r>
    </w:p>
    <w:p>
      <w:pPr>
        <w:pBdr>
          <w:top w:val="single" w:color="D6B656" w:sz="2" w:space="6"/>
          <w:bottom w:val="single" w:color="D6B656" w:sz="2" w:space="6"/>
          <w:left w:val="single" w:color="D6B656" w:sz="2" w:space="6"/>
          <w:right w:val="single" w:color="D6B656" w:sz="2" w:space="6"/>
        </w:pBdr>
        <w:shd w:fill="FFF2CC" w:val="clear"/>
        <w:spacing w:after="180" w:before="120" w:line="276"/>
        <w:ind w:left="170" w:right="170"/>
        <w:jc w:val="both"/>
      </w:pPr>
      <w:r>
        <w:rPr>
          <w:rFonts w:ascii="Arial" w:cs="Arial" w:eastAsia="Arial" w:hAnsi="Arial"/>
          <w:b/>
          <w:bCs/>
          <w:color w:val="000000"/>
          <w:sz w:val="20"/>
          <w:szCs w:val="20"/>
        </w:rPr>
        <w:t xml:space="preserve">The question is never whether the information is about clients. It is whether the employer built the information or merely knows the people.</w:t>
      </w:r>
      <w:r>
        <w:rPr>
          <w:rFonts w:ascii="Arial" w:cs="Arial" w:eastAsia="Arial" w:hAnsi="Arial"/>
          <w:color w:val="000000"/>
          <w:sz w:val="20"/>
          <w:szCs w:val="20"/>
        </w:rPr>
        <w:t xml:space="preserve"> That reconciles </w:t>
      </w:r>
      <w:r>
        <w:rPr>
          <w:rFonts w:ascii="Arial" w:cs="Arial" w:eastAsia="Arial" w:hAnsi="Arial"/>
          <w:b/>
          <w:bCs/>
          <w:i/>
          <w:iCs/>
          <w:color w:val="000000"/>
          <w:sz w:val="20"/>
          <w:szCs w:val="20"/>
        </w:rPr>
        <w:t xml:space="preserve">Priya Puri</w:t>
      </w:r>
      <w:r>
        <w:rPr>
          <w:rFonts w:ascii="Arial" w:cs="Arial" w:eastAsia="Arial" w:hAnsi="Arial"/>
          <w:color w:val="000000"/>
          <w:sz w:val="20"/>
          <w:szCs w:val="20"/>
        </w:rPr>
        <w:t xml:space="preserve">, where a publicly available list failed, with the cases where a compiled database succeeded.</w:t>
      </w:r>
    </w:p>
    <w:p>
      <w:pPr>
        <w:pStyle w:val="Heading2"/>
        <w:spacing w:after="95" w:before="250"/>
      </w:pPr>
      <w:r>
        <w:rPr>
          <w:rFonts w:ascii="Arial" w:cs="Arial" w:eastAsia="Arial" w:hAnsi="Arial"/>
          <w:b/>
          <w:bCs/>
          <w:color w:val="1F3864"/>
          <w:sz w:val="23"/>
          <w:szCs w:val="23"/>
        </w:rPr>
        <w:t xml:space="preserve">6.9  Criminal remedies</w:t>
      </w:r>
    </w:p>
    <w:p>
      <w:pPr>
        <w:spacing w:after="130" w:line="276"/>
        <w:jc w:val="both"/>
      </w:pPr>
      <w:r>
        <w:rPr>
          <w:rFonts w:ascii="Arial" w:cs="Arial" w:eastAsia="Arial" w:hAnsi="Arial"/>
          <w:color w:val="000000"/>
          <w:sz w:val="20"/>
          <w:szCs w:val="20"/>
        </w:rPr>
        <w:t xml:space="preserve">There is </w:t>
      </w:r>
      <w:r>
        <w:rPr>
          <w:rFonts w:ascii="Arial" w:cs="Arial" w:eastAsia="Arial" w:hAnsi="Arial"/>
          <w:b/>
          <w:bCs/>
          <w:color w:val="000000"/>
          <w:sz w:val="20"/>
          <w:szCs w:val="20"/>
        </w:rPr>
        <w:t xml:space="preserve">no offence of trade secret misappropriation</w:t>
      </w:r>
      <w:r>
        <w:rPr>
          <w:rFonts w:ascii="Arial" w:cs="Arial" w:eastAsia="Arial" w:hAnsi="Arial"/>
          <w:color w:val="000000"/>
          <w:sz w:val="20"/>
          <w:szCs w:val="20"/>
        </w:rPr>
        <w:t xml:space="preserve"> in Indian law. Prosecutions use general provisions such as theft, criminal breach of trust and cheating under the general penal law, formerly the Indian Penal Code, 1860 and now the Bharatiya Nyaya Sanhita, 2023, together with the computer offences in the Information Technology Act.</w:t>
      </w:r>
    </w:p>
    <w:p>
      <w:pPr>
        <w:spacing w:after="130" w:line="276"/>
        <w:jc w:val="both"/>
      </w:pPr>
      <w:r>
        <w:rPr>
          <w:rFonts w:ascii="Arial" w:cs="Arial" w:eastAsia="Arial" w:hAnsi="Arial"/>
          <w:color w:val="000000"/>
          <w:sz w:val="20"/>
          <w:szCs w:val="20"/>
        </w:rPr>
        <w:t xml:space="preserve">The difficulty is conceptual. </w:t>
      </w:r>
      <w:r>
        <w:rPr>
          <w:rFonts w:ascii="Arial" w:cs="Arial" w:eastAsia="Arial" w:hAnsi="Arial"/>
          <w:b/>
          <w:bCs/>
          <w:color w:val="000000"/>
          <w:sz w:val="20"/>
          <w:szCs w:val="20"/>
        </w:rPr>
        <w:t xml:space="preserve">Theft requires the dishonest taking of movable property</w:t>
      </w:r>
      <w:r>
        <w:rPr>
          <w:rFonts w:ascii="Arial" w:cs="Arial" w:eastAsia="Arial" w:hAnsi="Arial"/>
          <w:color w:val="000000"/>
          <w:sz w:val="20"/>
          <w:szCs w:val="20"/>
        </w:rPr>
        <w:t xml:space="preserve">, and information copied but left in place is not obviously taken, nor is information obviously movable property. That is the Indian version of the problem in </w:t>
      </w:r>
      <w:r>
        <w:rPr>
          <w:rFonts w:ascii="Arial" w:cs="Arial" w:eastAsia="Arial" w:hAnsi="Arial"/>
          <w:b/>
          <w:bCs/>
          <w:i/>
          <w:iCs/>
          <w:color w:val="000000"/>
          <w:sz w:val="20"/>
          <w:szCs w:val="20"/>
        </w:rPr>
        <w:t xml:space="preserve">Aleynikov</w:t>
      </w:r>
      <w:r>
        <w:rPr>
          <w:rFonts w:ascii="Arial" w:cs="Arial" w:eastAsia="Arial" w:hAnsi="Arial"/>
          <w:color w:val="000000"/>
          <w:sz w:val="20"/>
          <w:szCs w:val="20"/>
        </w:rPr>
        <w:t xml:space="preserve">.</w:t>
      </w:r>
    </w:p>
    <w:p>
      <w:pPr>
        <w:pStyle w:val="Heading2"/>
        <w:spacing w:after="95" w:before="250"/>
      </w:pPr>
      <w:r>
        <w:rPr>
          <w:rFonts w:ascii="Arial" w:cs="Arial" w:eastAsia="Arial" w:hAnsi="Arial"/>
          <w:b/>
          <w:bCs/>
          <w:color w:val="1F3864"/>
          <w:sz w:val="23"/>
          <w:szCs w:val="23"/>
        </w:rPr>
        <w:t xml:space="preserve">6.10  Information Technology Act, 2000</w:t>
      </w:r>
    </w:p>
    <w:p>
      <w:pPr>
        <w:spacing w:after="75" w:line="272"/>
        <w:ind w:left="440" w:hanging="290"/>
        <w:jc w:val="both"/>
      </w:pPr>
      <w:r>
        <w:rPr>
          <w:rFonts w:ascii="Arial" w:cs="Arial" w:eastAsia="Arial" w:hAnsi="Arial"/>
          <w:color w:val="000000"/>
          <w:sz w:val="20"/>
          <w:szCs w:val="20"/>
        </w:rPr>
        <w:t xml:space="preserve">1.  </w:t>
      </w:r>
      <w:r>
        <w:rPr>
          <w:rFonts w:ascii="Arial" w:cs="Arial" w:eastAsia="Arial" w:hAnsi="Arial"/>
          <w:b/>
          <w:bCs/>
          <w:color w:val="000000"/>
          <w:sz w:val="20"/>
          <w:szCs w:val="20"/>
        </w:rPr>
        <w:t xml:space="preserve">Section 72</w:t>
      </w:r>
      <w:r>
        <w:rPr>
          <w:rFonts w:ascii="Arial" w:cs="Arial" w:eastAsia="Arial" w:hAnsi="Arial"/>
          <w:color w:val="000000"/>
          <w:sz w:val="20"/>
          <w:szCs w:val="20"/>
        </w:rPr>
        <w:t xml:space="preserve"> penalises a person who, having secured access </w:t>
      </w:r>
      <w:r>
        <w:rPr>
          <w:rFonts w:ascii="Arial" w:cs="Arial" w:eastAsia="Arial" w:hAnsi="Arial"/>
          <w:i/>
          <w:iCs/>
          <w:color w:val="000000"/>
          <w:sz w:val="20"/>
          <w:szCs w:val="20"/>
        </w:rPr>
        <w:t xml:space="preserve">in pursuance of powers conferred under the Act, rules or regulations</w:t>
      </w:r>
      <w:r>
        <w:rPr>
          <w:rFonts w:ascii="Arial" w:cs="Arial" w:eastAsia="Arial" w:hAnsi="Arial"/>
          <w:color w:val="000000"/>
          <w:sz w:val="20"/>
          <w:szCs w:val="20"/>
        </w:rPr>
        <w:t xml:space="preserve">, discloses information without consent. Read those words: it binds persons who obtained access </w:t>
      </w:r>
      <w:r>
        <w:rPr>
          <w:rFonts w:ascii="Arial" w:cs="Arial" w:eastAsia="Arial" w:hAnsi="Arial"/>
          <w:b/>
          <w:bCs/>
          <w:color w:val="000000"/>
          <w:sz w:val="20"/>
          <w:szCs w:val="20"/>
        </w:rPr>
        <w:t xml:space="preserve">under statutory powers</w:t>
      </w:r>
      <w:r>
        <w:rPr>
          <w:rFonts w:ascii="Arial" w:cs="Arial" w:eastAsia="Arial" w:hAnsi="Arial"/>
          <w:color w:val="000000"/>
          <w:sz w:val="20"/>
          <w:szCs w:val="20"/>
        </w:rPr>
        <w:t xml:space="preserve">, principally officials, and is not a remedy against a private employee who steals data.</w:t>
      </w:r>
    </w:p>
    <w:p>
      <w:pPr>
        <w:spacing w:after="75" w:line="272"/>
        <w:ind w:left="440" w:hanging="290"/>
        <w:jc w:val="both"/>
      </w:pPr>
      <w:r>
        <w:rPr>
          <w:rFonts w:ascii="Arial" w:cs="Arial" w:eastAsia="Arial" w:hAnsi="Arial"/>
          <w:color w:val="000000"/>
          <w:sz w:val="20"/>
          <w:szCs w:val="20"/>
        </w:rPr>
        <w:t xml:space="preserve">2.  </w:t>
      </w:r>
      <w:r>
        <w:rPr>
          <w:rFonts w:ascii="Arial" w:cs="Arial" w:eastAsia="Arial" w:hAnsi="Arial"/>
          <w:b/>
          <w:bCs/>
          <w:color w:val="000000"/>
          <w:sz w:val="20"/>
          <w:szCs w:val="20"/>
        </w:rPr>
        <w:t xml:space="preserve">Section 43A</w:t>
      </w:r>
      <w:r>
        <w:rPr>
          <w:rFonts w:ascii="Arial" w:cs="Arial" w:eastAsia="Arial" w:hAnsi="Arial"/>
          <w:color w:val="000000"/>
          <w:sz w:val="20"/>
          <w:szCs w:val="20"/>
        </w:rPr>
        <w:t xml:space="preserve"> requires a body corporate handling sensitive personal data, negligent in implementing reasonable security practices and causing wrongful loss or gain, to pay compensation.</w:t>
      </w:r>
    </w:p>
    <w:p>
      <w:pPr>
        <w:spacing w:after="75" w:line="272"/>
        <w:ind w:left="440" w:hanging="290"/>
        <w:jc w:val="both"/>
      </w:pPr>
      <w:r>
        <w:rPr>
          <w:rFonts w:ascii="Arial" w:cs="Arial" w:eastAsia="Arial" w:hAnsi="Arial"/>
          <w:color w:val="000000"/>
          <w:sz w:val="20"/>
          <w:szCs w:val="20"/>
        </w:rPr>
        <w:t xml:space="preserve">3.  </w:t>
      </w:r>
      <w:r>
        <w:rPr>
          <w:rFonts w:ascii="Arial" w:cs="Arial" w:eastAsia="Arial" w:hAnsi="Arial"/>
          <w:b/>
          <w:bCs/>
          <w:color w:val="000000"/>
          <w:sz w:val="20"/>
          <w:szCs w:val="20"/>
        </w:rPr>
        <w:t xml:space="preserve">Section 72A</w:t>
      </w:r>
      <w:r>
        <w:rPr>
          <w:rFonts w:ascii="Arial" w:cs="Arial" w:eastAsia="Arial" w:hAnsi="Arial"/>
          <w:color w:val="000000"/>
          <w:sz w:val="20"/>
          <w:szCs w:val="20"/>
        </w:rPr>
        <w:t xml:space="preserve"> penalises disclosure of personal information by a person providing services under a lawful contract, without consent or in breach of it, with intent to cause or knowledge of likely wrongful loss or gain.</w:t>
      </w:r>
    </w:p>
    <w:p>
      <w:pPr>
        <w:spacing w:after="75" w:line="272"/>
        <w:ind w:left="440" w:hanging="290"/>
        <w:jc w:val="both"/>
      </w:pPr>
      <w:r>
        <w:rPr>
          <w:rFonts w:ascii="Arial" w:cs="Arial" w:eastAsia="Arial" w:hAnsi="Arial"/>
          <w:color w:val="000000"/>
          <w:sz w:val="20"/>
          <w:szCs w:val="20"/>
        </w:rPr>
        <w:t xml:space="preserve">4.  </w:t>
      </w:r>
      <w:r>
        <w:rPr>
          <w:rFonts w:ascii="Arial" w:cs="Arial" w:eastAsia="Arial" w:hAnsi="Arial"/>
          <w:b/>
          <w:bCs/>
          <w:color w:val="000000"/>
          <w:sz w:val="20"/>
          <w:szCs w:val="20"/>
        </w:rPr>
        <w:t xml:space="preserve">Section 66 read with Section 43</w:t>
      </w:r>
      <w:r>
        <w:rPr>
          <w:rFonts w:ascii="Arial" w:cs="Arial" w:eastAsia="Arial" w:hAnsi="Arial"/>
          <w:color w:val="000000"/>
          <w:sz w:val="20"/>
          <w:szCs w:val="20"/>
        </w:rPr>
        <w:t xml:space="preserve"> covers unauthorised access, downloading and copying of data. In practice this is the provision that actually helps in a data theft case.</w:t>
      </w:r>
    </w:p>
    <w:p>
      <w:pPr>
        <w:pBdr>
          <w:top w:val="single" w:color="D6B656" w:sz="2" w:space="6"/>
          <w:bottom w:val="single" w:color="D6B656" w:sz="2" w:space="6"/>
          <w:left w:val="single" w:color="D6B656" w:sz="2" w:space="6"/>
          <w:right w:val="single" w:color="D6B656" w:sz="2" w:space="6"/>
        </w:pBdr>
        <w:shd w:fill="FFF2CC" w:val="clear"/>
        <w:spacing w:after="180" w:before="120" w:line="276"/>
        <w:ind w:left="170" w:right="170"/>
        <w:jc w:val="both"/>
      </w:pPr>
      <w:r>
        <w:rPr>
          <w:rFonts w:ascii="Arial" w:cs="Arial" w:eastAsia="Arial" w:hAnsi="Arial"/>
          <w:b/>
          <w:bCs/>
          <w:color w:val="000000"/>
          <w:sz w:val="20"/>
          <w:szCs w:val="20"/>
        </w:rPr>
        <w:t xml:space="preserve">The Information Technology Act is a data security and privacy statute, not a trade secret statute.</w:t>
      </w:r>
      <w:r>
        <w:rPr>
          <w:rFonts w:ascii="Arial" w:cs="Arial" w:eastAsia="Arial" w:hAnsi="Arial"/>
          <w:color w:val="000000"/>
          <w:sz w:val="20"/>
          <w:szCs w:val="20"/>
        </w:rPr>
        <w:t xml:space="preserve"> It helps where there was unauthorised computer access. It does not define, or protect as such, a trade secret.</w:t>
      </w:r>
    </w:p>
    <w:p>
      <w:pPr>
        <w:pStyle w:val="Heading2"/>
        <w:spacing w:after="95" w:before="250"/>
      </w:pPr>
      <w:r>
        <w:rPr>
          <w:rFonts w:ascii="Arial" w:cs="Arial" w:eastAsia="Arial" w:hAnsi="Arial"/>
          <w:b/>
          <w:bCs/>
          <w:color w:val="1F3864"/>
          <w:sz w:val="23"/>
          <w:szCs w:val="23"/>
        </w:rPr>
        <w:t xml:space="preserve">6.11  Remedies and the Anton Piller danger</w:t>
      </w:r>
    </w:p>
    <w:p>
      <w:pPr>
        <w:spacing w:after="130" w:line="276"/>
        <w:jc w:val="both"/>
      </w:pPr>
      <w:r>
        <w:rPr>
          <w:rFonts w:ascii="Arial" w:cs="Arial" w:eastAsia="Arial" w:hAnsi="Arial"/>
          <w:color w:val="000000"/>
          <w:sz w:val="20"/>
          <w:szCs w:val="20"/>
        </w:rPr>
        <w:t xml:space="preserve">The civil remedies are an injunction, including an </w:t>
      </w:r>
      <w:r>
        <w:rPr>
          <w:rFonts w:ascii="Arial" w:cs="Arial" w:eastAsia="Arial" w:hAnsi="Arial"/>
          <w:i/>
          <w:iCs/>
          <w:color w:val="000000"/>
          <w:sz w:val="20"/>
          <w:szCs w:val="20"/>
        </w:rPr>
        <w:t xml:space="preserve">ex parte</w:t>
      </w:r>
      <w:r>
        <w:rPr>
          <w:rFonts w:ascii="Arial" w:cs="Arial" w:eastAsia="Arial" w:hAnsi="Arial"/>
          <w:color w:val="000000"/>
          <w:sz w:val="20"/>
          <w:szCs w:val="20"/>
        </w:rPr>
        <w:t xml:space="preserve"> ad interim injunction; damages for breach of contract or an account of profits in equity; delivery up or destruction of documents; a declaration; appointment of a local commissioner for search and seizure; and John Doe or Ashok Kumar orders where the misappropriator is unidentified.</w:t>
      </w:r>
    </w:p>
    <w:p>
      <w:pPr>
        <w:spacing w:after="130" w:line="276"/>
        <w:jc w:val="both"/>
      </w:pPr>
      <w:r>
        <w:rPr>
          <w:rFonts w:ascii="Arial" w:cs="Arial" w:eastAsia="Arial" w:hAnsi="Arial"/>
          <w:color w:val="000000"/>
          <w:sz w:val="20"/>
          <w:szCs w:val="20"/>
        </w:rPr>
        <w:t xml:space="preserve">An </w:t>
      </w:r>
      <w:r>
        <w:rPr>
          <w:rFonts w:ascii="Arial" w:cs="Arial" w:eastAsia="Arial" w:hAnsi="Arial"/>
          <w:b/>
          <w:bCs/>
          <w:color w:val="000000"/>
          <w:sz w:val="20"/>
          <w:szCs w:val="20"/>
        </w:rPr>
        <w:t xml:space="preserve">Anton Piller order</w:t>
      </w:r>
      <w:r>
        <w:rPr>
          <w:rFonts w:ascii="Arial" w:cs="Arial" w:eastAsia="Arial" w:hAnsi="Arial"/>
          <w:color w:val="000000"/>
          <w:sz w:val="20"/>
          <w:szCs w:val="20"/>
        </w:rPr>
        <w:t xml:space="preserve">, now called a search order, is an </w:t>
      </w:r>
      <w:r>
        <w:rPr>
          <w:rFonts w:ascii="Arial" w:cs="Arial" w:eastAsia="Arial" w:hAnsi="Arial"/>
          <w:i/>
          <w:iCs/>
          <w:color w:val="000000"/>
          <w:sz w:val="20"/>
          <w:szCs w:val="20"/>
        </w:rPr>
        <w:t xml:space="preserve">ex parte</w:t>
      </w:r>
      <w:r>
        <w:rPr>
          <w:rFonts w:ascii="Arial" w:cs="Arial" w:eastAsia="Arial" w:hAnsi="Arial"/>
          <w:color w:val="000000"/>
          <w:sz w:val="20"/>
          <w:szCs w:val="20"/>
        </w:rPr>
        <w:t xml:space="preserve"> civil search order allowing the plaintiff to enter the defendant's premises and seize evidence </w:t>
      </w:r>
      <w:r>
        <w:rPr>
          <w:rFonts w:ascii="Arial" w:cs="Arial" w:eastAsia="Arial" w:hAnsi="Arial"/>
          <w:b/>
          <w:bCs/>
          <w:color w:val="000000"/>
          <w:sz w:val="20"/>
          <w:szCs w:val="20"/>
        </w:rPr>
        <w:t xml:space="preserve">before the defendant is notified</w:t>
      </w:r>
      <w:r>
        <w:rPr>
          <w:rFonts w:ascii="Arial" w:cs="Arial" w:eastAsia="Arial" w:hAnsi="Arial"/>
          <w:color w:val="000000"/>
          <w:sz w:val="20"/>
          <w:szCs w:val="20"/>
        </w:rPr>
        <w:t xml:space="preserve">. The conditions were laid down by Ormrod LJ in </w:t>
      </w:r>
      <w:r>
        <w:rPr>
          <w:rFonts w:ascii="Arial" w:cs="Arial" w:eastAsia="Arial" w:hAnsi="Arial"/>
          <w:b/>
          <w:bCs/>
          <w:i/>
          <w:iCs/>
          <w:color w:val="000000"/>
          <w:sz w:val="20"/>
          <w:szCs w:val="20"/>
        </w:rPr>
        <w:t xml:space="preserve">Anton Piller KG v Manufacturing Processes Ltd</w:t>
      </w:r>
      <w:r>
        <w:rPr>
          <w:rFonts w:ascii="Arial" w:cs="Arial" w:eastAsia="Arial" w:hAnsi="Arial"/>
          <w:color w:val="000000"/>
          <w:sz w:val="20"/>
          <w:szCs w:val="20"/>
        </w:rPr>
        <w:t xml:space="preserve">, [1976] Ch 55:</w:t>
      </w:r>
    </w:p>
    <w:p>
      <w:pPr>
        <w:spacing w:after="65" w:line="272"/>
        <w:ind w:left="840" w:hanging="290"/>
        <w:jc w:val="both"/>
      </w:pPr>
      <w:r>
        <w:rPr>
          <w:rFonts w:ascii="Arial" w:cs="Arial" w:eastAsia="Arial" w:hAnsi="Arial"/>
          <w:color w:val="000000"/>
          <w:sz w:val="20"/>
          <w:szCs w:val="20"/>
        </w:rPr>
        <w:t xml:space="preserve">(a)  an extremely strong </w:t>
      </w:r>
      <w:r>
        <w:rPr>
          <w:rFonts w:ascii="Arial" w:cs="Arial" w:eastAsia="Arial" w:hAnsi="Arial"/>
          <w:i/>
          <w:iCs/>
          <w:color w:val="000000"/>
          <w:sz w:val="20"/>
          <w:szCs w:val="20"/>
        </w:rPr>
        <w:t xml:space="preserve">prima facie</w:t>
      </w:r>
      <w:r>
        <w:rPr>
          <w:rFonts w:ascii="Arial" w:cs="Arial" w:eastAsia="Arial" w:hAnsi="Arial"/>
          <w:color w:val="000000"/>
          <w:sz w:val="20"/>
          <w:szCs w:val="20"/>
        </w:rPr>
        <w:t xml:space="preserve"> case;</w:t>
      </w:r>
    </w:p>
    <w:p>
      <w:pPr>
        <w:spacing w:after="65" w:line="272"/>
        <w:ind w:left="840" w:hanging="290"/>
        <w:jc w:val="both"/>
      </w:pPr>
      <w:r>
        <w:rPr>
          <w:rFonts w:ascii="Arial" w:cs="Arial" w:eastAsia="Arial" w:hAnsi="Arial"/>
          <w:color w:val="000000"/>
          <w:sz w:val="20"/>
          <w:szCs w:val="20"/>
        </w:rPr>
        <w:t xml:space="preserve">(b)  very serious actual or potential damage to the applicant; and</w:t>
      </w:r>
    </w:p>
    <w:p>
      <w:pPr>
        <w:spacing w:after="65" w:line="272"/>
        <w:ind w:left="840" w:hanging="290"/>
        <w:jc w:val="both"/>
      </w:pPr>
      <w:r>
        <w:rPr>
          <w:rFonts w:ascii="Arial" w:cs="Arial" w:eastAsia="Arial" w:hAnsi="Arial"/>
          <w:color w:val="000000"/>
          <w:sz w:val="20"/>
          <w:szCs w:val="20"/>
        </w:rPr>
        <w:t xml:space="preserve">(c)  clear evidence that the defendants possess incriminating material and a real possibility that they will destroy it before an application on notice.</w:t>
      </w:r>
    </w:p>
    <w:p>
      <w:pPr>
        <w:spacing w:after="130" w:line="276"/>
        <w:jc w:val="both"/>
      </w:pPr>
      <w:r>
        <w:rPr>
          <w:rFonts w:ascii="Arial" w:cs="Arial" w:eastAsia="Arial" w:hAnsi="Arial"/>
          <w:color w:val="000000"/>
          <w:sz w:val="20"/>
          <w:szCs w:val="20"/>
        </w:rPr>
        <w:t xml:space="preserve">Lord Denning stressed that the order operates </w:t>
      </w:r>
      <w:r>
        <w:rPr>
          <w:rFonts w:ascii="Arial" w:cs="Arial" w:eastAsia="Arial" w:hAnsi="Arial"/>
          <w:i/>
          <w:iCs/>
          <w:color w:val="000000"/>
          <w:sz w:val="20"/>
          <w:szCs w:val="20"/>
        </w:rPr>
        <w:t xml:space="preserve">in personam</w:t>
      </w:r>
      <w:r>
        <w:rPr>
          <w:rFonts w:ascii="Arial" w:cs="Arial" w:eastAsia="Arial" w:hAnsi="Arial"/>
          <w:color w:val="000000"/>
          <w:sz w:val="20"/>
          <w:szCs w:val="20"/>
        </w:rPr>
        <w:t xml:space="preserve">, compelling permission to enter rather than authorising forcible entry, and that it lies at the extremity of the court's powers. Safeguards were added in </w:t>
      </w:r>
      <w:r>
        <w:rPr>
          <w:rFonts w:ascii="Arial" w:cs="Arial" w:eastAsia="Arial" w:hAnsi="Arial"/>
          <w:b/>
          <w:bCs/>
          <w:i/>
          <w:iCs/>
          <w:color w:val="000000"/>
          <w:sz w:val="20"/>
          <w:szCs w:val="20"/>
        </w:rPr>
        <w:t xml:space="preserve">Columbia Picture Industries v Robinson</w:t>
      </w:r>
      <w:r>
        <w:rPr>
          <w:rFonts w:ascii="Arial" w:cs="Arial" w:eastAsia="Arial" w:hAnsi="Arial"/>
          <w:color w:val="000000"/>
          <w:sz w:val="20"/>
          <w:szCs w:val="20"/>
        </w:rPr>
        <w:t xml:space="preserve">, [1987] Ch 38 and </w:t>
      </w:r>
      <w:r>
        <w:rPr>
          <w:rFonts w:ascii="Arial" w:cs="Arial" w:eastAsia="Arial" w:hAnsi="Arial"/>
          <w:b/>
          <w:bCs/>
          <w:i/>
          <w:iCs/>
          <w:color w:val="000000"/>
          <w:sz w:val="20"/>
          <w:szCs w:val="20"/>
        </w:rPr>
        <w:t xml:space="preserve">Universal Thermosensors Ltd v Hibben</w:t>
      </w:r>
      <w:r>
        <w:rPr>
          <w:rFonts w:ascii="Arial" w:cs="Arial" w:eastAsia="Arial" w:hAnsi="Arial"/>
          <w:color w:val="000000"/>
          <w:sz w:val="20"/>
          <w:szCs w:val="20"/>
        </w:rPr>
        <w:t xml:space="preserve">, [1992] 1 WLR 840, requiring execution in office hours, a supervising solicitor and a list of items before removal.</w:t>
      </w:r>
    </w:p>
    <w:p>
      <w:pPr>
        <w:spacing w:after="130" w:line="276"/>
        <w:jc w:val="both"/>
      </w:pPr>
      <w:r>
        <w:rPr>
          <w:rFonts w:ascii="Arial" w:cs="Arial" w:eastAsia="Arial" w:hAnsi="Arial"/>
          <w:color w:val="000000"/>
          <w:sz w:val="20"/>
          <w:szCs w:val="20"/>
        </w:rPr>
        <w:t xml:space="preserve">The criticism is the </w:t>
      </w:r>
      <w:r>
        <w:rPr>
          <w:rFonts w:ascii="Arial" w:cs="Arial" w:eastAsia="Arial" w:hAnsi="Arial"/>
          <w:b/>
          <w:bCs/>
          <w:color w:val="000000"/>
          <w:sz w:val="20"/>
          <w:szCs w:val="20"/>
        </w:rPr>
        <w:t xml:space="preserve">asymmetric burden</w:t>
      </w:r>
      <w:r>
        <w:rPr>
          <w:rFonts w:ascii="Arial" w:cs="Arial" w:eastAsia="Arial" w:hAnsi="Arial"/>
          <w:color w:val="000000"/>
          <w:sz w:val="20"/>
          <w:szCs w:val="20"/>
        </w:rPr>
        <w:t xml:space="preserve"> on defendants, who have no notice and no hearing before the search, which lets a competitor disrupt operations, reach privileged communications and cause reputational harm before any substantive issue is argued.</w:t>
      </w:r>
    </w:p>
    <w:p>
      <w:pPr>
        <w:spacing w:after="130" w:line="276"/>
        <w:jc w:val="both"/>
      </w:pPr>
      <w:r>
        <w:rPr>
          <w:rFonts w:ascii="Arial" w:cs="Arial" w:eastAsia="Arial" w:hAnsi="Arial"/>
          <w:i/>
          <w:iCs/>
          <w:color w:val="000000"/>
          <w:sz w:val="20"/>
          <w:szCs w:val="20"/>
        </w:rPr>
        <w:t xml:space="preserve">Slide caution.</w:t>
      </w:r>
      <w:r>
        <w:rPr>
          <w:rFonts w:ascii="Arial" w:cs="Arial" w:eastAsia="Arial" w:hAnsi="Arial"/>
          <w:color w:val="000000"/>
          <w:sz w:val="20"/>
          <w:szCs w:val="20"/>
        </w:rPr>
        <w:t xml:space="preserve"> The deck links this to </w:t>
      </w:r>
      <w:r>
        <w:rPr>
          <w:rFonts w:ascii="Arial" w:cs="Arial" w:eastAsia="Arial" w:hAnsi="Arial"/>
          <w:b/>
          <w:bCs/>
          <w:i/>
          <w:iCs/>
          <w:color w:val="000000"/>
          <w:sz w:val="20"/>
          <w:szCs w:val="20"/>
        </w:rPr>
        <w:t xml:space="preserve">M Sivasamy v Vestergaard Frandsen</w:t>
      </w:r>
      <w:r>
        <w:rPr>
          <w:rFonts w:ascii="Arial" w:cs="Arial" w:eastAsia="Arial" w:hAnsi="Arial"/>
          <w:color w:val="000000"/>
          <w:sz w:val="20"/>
          <w:szCs w:val="20"/>
        </w:rPr>
        <w:t xml:space="preserve">. Vestergaard did obtain a search and seizure order on 2 April 2007, but the reported Delhi High Court decision, </w:t>
      </w:r>
      <w:r>
        <w:rPr>
          <w:rFonts w:ascii="Arial" w:cs="Arial" w:eastAsia="Arial" w:hAnsi="Arial"/>
          <w:b/>
          <w:bCs/>
          <w:color w:val="000000"/>
          <w:sz w:val="20"/>
          <w:szCs w:val="20"/>
        </w:rPr>
        <w:t xml:space="preserve">2009 SCC OnLine Del 2310</w:t>
      </w:r>
      <w:r>
        <w:rPr>
          <w:rFonts w:ascii="Arial" w:cs="Arial" w:eastAsia="Arial" w:hAnsi="Arial"/>
          <w:color w:val="000000"/>
          <w:sz w:val="20"/>
          <w:szCs w:val="20"/>
        </w:rPr>
        <w:t xml:space="preserve"> of 7 August 2009, concerns </w:t>
      </w:r>
      <w:r>
        <w:rPr>
          <w:rFonts w:ascii="Arial" w:cs="Arial" w:eastAsia="Arial" w:hAnsi="Arial"/>
          <w:b/>
          <w:bCs/>
          <w:color w:val="000000"/>
          <w:sz w:val="20"/>
          <w:szCs w:val="20"/>
        </w:rPr>
        <w:t xml:space="preserve">discovery and production of documents</w:t>
      </w:r>
      <w:r>
        <w:rPr>
          <w:rFonts w:ascii="Arial" w:cs="Arial" w:eastAsia="Arial" w:hAnsi="Arial"/>
          <w:color w:val="000000"/>
          <w:sz w:val="20"/>
          <w:szCs w:val="20"/>
        </w:rPr>
        <w:t xml:space="preserve"> and sealed cover confidentiality, not Anton Piller safeguards. </w:t>
      </w:r>
      <w:r>
        <w:rPr>
          <w:rFonts w:ascii="Arial" w:cs="Arial" w:eastAsia="Arial" w:hAnsi="Arial"/>
          <w:b/>
          <w:bCs/>
          <w:i/>
          <w:iCs/>
          <w:color w:val="000000"/>
          <w:sz w:val="20"/>
          <w:szCs w:val="20"/>
        </w:rPr>
        <w:t xml:space="preserve">Vestergaard Frandsen A/S v Bestnet Europe Ltd</w:t>
      </w:r>
      <w:r>
        <w:rPr>
          <w:rFonts w:ascii="Arial" w:cs="Arial" w:eastAsia="Arial" w:hAnsi="Arial"/>
          <w:color w:val="000000"/>
          <w:sz w:val="20"/>
          <w:szCs w:val="20"/>
        </w:rPr>
        <w:t xml:space="preserve">, [2013] UKSC 31, is a separate case in which Lord Neuberger held that a person who neither acquired nor knew of the misuse is not liable, because the action rests on conscience.</w:t>
      </w:r>
    </w:p>
    <w:p>
      <w:pPr>
        <w:pBdr>
          <w:top w:val="single" w:color="D6B656" w:sz="2" w:space="6"/>
          <w:bottom w:val="single" w:color="D6B656" w:sz="2" w:space="6"/>
          <w:left w:val="single" w:color="D6B656" w:sz="2" w:space="6"/>
          <w:right w:val="single" w:color="D6B656" w:sz="2" w:space="6"/>
        </w:pBdr>
        <w:shd w:fill="FFF2CC" w:val="clear"/>
        <w:spacing w:after="180" w:before="120" w:line="276"/>
        <w:ind w:left="170" w:right="170"/>
        <w:jc w:val="both"/>
      </w:pPr>
      <w:r>
        <w:rPr>
          <w:rFonts w:ascii="Arial" w:cs="Arial" w:eastAsia="Arial" w:hAnsi="Arial"/>
          <w:b/>
          <w:bCs/>
          <w:color w:val="000000"/>
          <w:sz w:val="20"/>
          <w:szCs w:val="20"/>
        </w:rPr>
        <w:t xml:space="preserve">Best comparative point on remedies.</w:t>
      </w:r>
      <w:r>
        <w:rPr>
          <w:rFonts w:ascii="Arial" w:cs="Arial" w:eastAsia="Arial" w:hAnsi="Arial"/>
          <w:color w:val="000000"/>
          <w:sz w:val="20"/>
          <w:szCs w:val="20"/>
        </w:rPr>
        <w:t xml:space="preserve"> Contrast the </w:t>
      </w:r>
      <w:r>
        <w:rPr>
          <w:rFonts w:ascii="Arial" w:cs="Arial" w:eastAsia="Arial" w:hAnsi="Arial"/>
          <w:b/>
          <w:bCs/>
          <w:color w:val="000000"/>
          <w:sz w:val="20"/>
          <w:szCs w:val="20"/>
        </w:rPr>
        <w:t xml:space="preserve">three judge made</w:t>
      </w:r>
      <w:r>
        <w:rPr>
          <w:rFonts w:ascii="Arial" w:cs="Arial" w:eastAsia="Arial" w:hAnsi="Arial"/>
          <w:color w:val="000000"/>
          <w:sz w:val="20"/>
          <w:szCs w:val="20"/>
        </w:rPr>
        <w:t xml:space="preserve"> Anton Piller conditions with the </w:t>
      </w:r>
      <w:r>
        <w:rPr>
          <w:rFonts w:ascii="Arial" w:cs="Arial" w:eastAsia="Arial" w:hAnsi="Arial"/>
          <w:b/>
          <w:bCs/>
          <w:color w:val="000000"/>
          <w:sz w:val="20"/>
          <w:szCs w:val="20"/>
        </w:rPr>
        <w:t xml:space="preserve">eight codified</w:t>
      </w:r>
      <w:r>
        <w:rPr>
          <w:rFonts w:ascii="Arial" w:cs="Arial" w:eastAsia="Arial" w:hAnsi="Arial"/>
          <w:color w:val="000000"/>
          <w:sz w:val="20"/>
          <w:szCs w:val="20"/>
        </w:rPr>
        <w:t xml:space="preserve"> conditions for civil seizure under the Defend Trade Secrets Act, its hearing within seven days, its security requirement and its remedy for wrongful seizure. India has judicial discretion; the United States has a statutory checklist.</w:t>
      </w:r>
    </w:p>
    <w:p>
      <w:pPr>
        <w:pStyle w:val="Heading2"/>
        <w:spacing w:after="95" w:before="250"/>
      </w:pPr>
      <w:r>
        <w:rPr>
          <w:rFonts w:ascii="Arial" w:cs="Arial" w:eastAsia="Arial" w:hAnsi="Arial"/>
          <w:b/>
          <w:bCs/>
          <w:color w:val="1F3864"/>
          <w:sz w:val="23"/>
          <w:szCs w:val="23"/>
        </w:rPr>
        <w:t xml:space="preserve">6.12  Three judicial discrepancies</w:t>
      </w:r>
    </w:p>
    <w:p>
      <w:pPr>
        <w:spacing w:after="75" w:line="272"/>
        <w:ind w:left="440" w:hanging="290"/>
        <w:jc w:val="both"/>
      </w:pPr>
      <w:r>
        <w:rPr>
          <w:rFonts w:ascii="Arial" w:cs="Arial" w:eastAsia="Arial" w:hAnsi="Arial"/>
          <w:color w:val="000000"/>
          <w:sz w:val="20"/>
          <w:szCs w:val="20"/>
        </w:rPr>
        <w:t xml:space="preserve">1.  </w:t>
      </w:r>
      <w:r>
        <w:rPr>
          <w:rFonts w:ascii="Arial" w:cs="Arial" w:eastAsia="Arial" w:hAnsi="Arial"/>
          <w:b/>
          <w:bCs/>
          <w:color w:val="000000"/>
          <w:sz w:val="20"/>
          <w:szCs w:val="20"/>
        </w:rPr>
        <w:t xml:space="preserve">The specificity standard.</w:t>
      </w:r>
      <w:r>
        <w:rPr>
          <w:rFonts w:ascii="Arial" w:cs="Arial" w:eastAsia="Arial" w:hAnsi="Arial"/>
          <w:color w:val="000000"/>
          <w:sz w:val="20"/>
          <w:szCs w:val="20"/>
        </w:rPr>
        <w:t xml:space="preserve"> </w:t>
      </w:r>
      <w:r>
        <w:rPr>
          <w:rFonts w:ascii="Arial" w:cs="Arial" w:eastAsia="Arial" w:hAnsi="Arial"/>
          <w:b/>
          <w:bCs/>
          <w:i/>
          <w:iCs/>
          <w:color w:val="000000"/>
          <w:sz w:val="20"/>
          <w:szCs w:val="20"/>
        </w:rPr>
        <w:t xml:space="preserve">Navigators Logistics</w:t>
      </w:r>
      <w:r>
        <w:rPr>
          <w:rFonts w:ascii="Arial" w:cs="Arial" w:eastAsia="Arial" w:hAnsi="Arial"/>
          <w:color w:val="000000"/>
          <w:sz w:val="20"/>
          <w:szCs w:val="20"/>
        </w:rPr>
        <w:t xml:space="preserve"> requires precise identification of the secret, yet other benches have granted injunctions on broadly described confidential information, so outcomes are unpredictable and pre litigation advice has no principled basis.</w:t>
      </w:r>
    </w:p>
    <w:p>
      <w:pPr>
        <w:spacing w:after="75" w:line="272"/>
        <w:ind w:left="440" w:hanging="290"/>
        <w:jc w:val="both"/>
      </w:pPr>
      <w:r>
        <w:rPr>
          <w:rFonts w:ascii="Arial" w:cs="Arial" w:eastAsia="Arial" w:hAnsi="Arial"/>
          <w:color w:val="000000"/>
          <w:sz w:val="20"/>
          <w:szCs w:val="20"/>
        </w:rPr>
        <w:t xml:space="preserve">2.  </w:t>
      </w:r>
      <w:r>
        <w:rPr>
          <w:rFonts w:ascii="Arial" w:cs="Arial" w:eastAsia="Arial" w:hAnsi="Arial"/>
          <w:b/>
          <w:bCs/>
          <w:color w:val="000000"/>
          <w:sz w:val="20"/>
          <w:szCs w:val="20"/>
        </w:rPr>
        <w:t xml:space="preserve">The Anton Piller threshold.</w:t>
      </w:r>
      <w:r>
        <w:rPr>
          <w:rFonts w:ascii="Arial" w:cs="Arial" w:eastAsia="Arial" w:hAnsi="Arial"/>
          <w:color w:val="000000"/>
          <w:sz w:val="20"/>
          <w:szCs w:val="20"/>
        </w:rPr>
        <w:t xml:space="preserve"> Some courts grant search orders on thin affidavit evidence while others demand a detailed showing of urgency, harm and the futility of an order on notice. With no codified standard the threshold rests wholly on discretion.</w:t>
      </w:r>
    </w:p>
    <w:p>
      <w:pPr>
        <w:spacing w:after="75" w:line="272"/>
        <w:ind w:left="440" w:hanging="290"/>
        <w:jc w:val="both"/>
      </w:pPr>
      <w:r>
        <w:rPr>
          <w:rFonts w:ascii="Arial" w:cs="Arial" w:eastAsia="Arial" w:hAnsi="Arial"/>
          <w:color w:val="000000"/>
          <w:sz w:val="20"/>
          <w:szCs w:val="20"/>
        </w:rPr>
        <w:t xml:space="preserve">3.  </w:t>
      </w:r>
      <w:r>
        <w:rPr>
          <w:rFonts w:ascii="Arial" w:cs="Arial" w:eastAsia="Arial" w:hAnsi="Arial"/>
          <w:b/>
          <w:bCs/>
          <w:color w:val="000000"/>
          <w:sz w:val="20"/>
          <w:szCs w:val="20"/>
        </w:rPr>
        <w:t xml:space="preserve">The duration of equity.</w:t>
      </w:r>
      <w:r>
        <w:rPr>
          <w:rFonts w:ascii="Arial" w:cs="Arial" w:eastAsia="Arial" w:hAnsi="Arial"/>
          <w:color w:val="000000"/>
          <w:sz w:val="20"/>
          <w:szCs w:val="20"/>
        </w:rPr>
        <w:t xml:space="preserve"> Courts disagree on how long an obligation of confidence lasts after employment, some applying a perpetual standard tied to continued secrecy and others a reasonable temporal limit.</w:t>
      </w:r>
    </w:p>
    <w:p>
      <w:pPr>
        <w:pStyle w:val="Heading1"/>
        <w:pBdr>
          <w:bottom w:val="single" w:color="1F3864" w:sz="8" w:space="6"/>
        </w:pBdr>
        <w:spacing w:after="170" w:before="380"/>
      </w:pPr>
      <w:r>
        <w:rPr>
          <w:rFonts w:ascii="Arial" w:cs="Arial" w:eastAsia="Arial" w:hAnsi="Arial"/>
          <w:b/>
          <w:bCs/>
          <w:color w:val="1F3864"/>
          <w:sz w:val="28"/>
          <w:szCs w:val="28"/>
        </w:rPr>
        <w:t xml:space="preserve">Part 7.  Indian cases</w:t>
      </w:r>
    </w:p>
    <w:p>
      <w:pPr>
        <w:pStyle w:val="Heading2"/>
        <w:spacing w:after="95" w:before="250"/>
      </w:pPr>
      <w:r>
        <w:rPr>
          <w:rFonts w:ascii="Arial" w:cs="Arial" w:eastAsia="Arial" w:hAnsi="Arial"/>
          <w:b/>
          <w:bCs/>
          <w:color w:val="1F3864"/>
          <w:sz w:val="23"/>
          <w:szCs w:val="23"/>
        </w:rPr>
        <w:t xml:space="preserve">7.1  John Richard Brady v Chemical Process Equipments P Ltd</w:t>
      </w:r>
    </w:p>
    <w:p>
      <w:pPr>
        <w:spacing w:after="95" w:line="272"/>
      </w:pPr>
      <w:r>
        <w:rPr>
          <w:rFonts w:ascii="Arial" w:cs="Arial" w:eastAsia="Arial" w:hAnsi="Arial"/>
          <w:b/>
          <w:bCs/>
          <w:color w:val="000000"/>
          <w:sz w:val="19"/>
          <w:szCs w:val="19"/>
        </w:rPr>
        <w:t xml:space="preserve">AIR 1987 Delhi 372.</w:t>
      </w:r>
      <w:r>
        <w:rPr>
          <w:rFonts w:ascii="Arial" w:cs="Arial" w:eastAsia="Arial" w:hAnsi="Arial"/>
          <w:color w:val="000000"/>
          <w:sz w:val="19"/>
          <w:szCs w:val="19"/>
        </w:rPr>
        <w:t xml:space="preserve"> Delhi High Court, Justice A B Saharya, 6 July 1987. Interim injunction application.</w:t>
      </w:r>
    </w:p>
    <w:p>
      <w:pPr>
        <w:spacing w:after="130" w:line="276"/>
        <w:jc w:val="both"/>
      </w:pPr>
      <w:r>
        <w:rPr>
          <w:rFonts w:ascii="Arial" w:cs="Arial" w:eastAsia="Arial" w:hAnsi="Arial"/>
          <w:b/>
          <w:bCs/>
          <w:color w:val="000000"/>
          <w:sz w:val="20"/>
          <w:szCs w:val="20"/>
        </w:rPr>
        <w:t xml:space="preserve">Facts.</w:t>
      </w:r>
      <w:r>
        <w:rPr>
          <w:rFonts w:ascii="Arial" w:cs="Arial" w:eastAsia="Arial" w:hAnsi="Arial"/>
          <w:color w:val="000000"/>
          <w:sz w:val="20"/>
          <w:szCs w:val="20"/>
        </w:rPr>
        <w:t xml:space="preserve"> Brady had invented a fodder production unit. To have it made in India he approached the defendant for specialised thermal panels and shared technical material, know how, drawings and specifications. The defendant could not supply the panels, no order was placed, and the defendant then produced its own similar unit.</w:t>
      </w:r>
    </w:p>
    <w:p>
      <w:pPr>
        <w:spacing w:after="130" w:line="276"/>
        <w:jc w:val="both"/>
      </w:pPr>
      <w:r>
        <w:rPr>
          <w:rFonts w:ascii="Arial" w:cs="Arial" w:eastAsia="Arial" w:hAnsi="Arial"/>
          <w:b/>
          <w:bCs/>
          <w:color w:val="000000"/>
          <w:sz w:val="20"/>
          <w:szCs w:val="20"/>
        </w:rPr>
        <w:t xml:space="preserve">Decision.</w:t>
      </w:r>
      <w:r>
        <w:rPr>
          <w:rFonts w:ascii="Arial" w:cs="Arial" w:eastAsia="Arial" w:hAnsi="Arial"/>
          <w:color w:val="000000"/>
          <w:sz w:val="20"/>
          <w:szCs w:val="20"/>
        </w:rPr>
        <w:t xml:space="preserve"> Interim injunction granted, both for breach of confidence and on copyright in the technical drawings.</w:t>
      </w:r>
    </w:p>
    <w:p>
      <w:pPr>
        <w:spacing w:after="130" w:line="276"/>
        <w:jc w:val="both"/>
      </w:pPr>
      <w:r>
        <w:rPr>
          <w:rFonts w:ascii="Arial" w:cs="Arial" w:eastAsia="Arial" w:hAnsi="Arial"/>
          <w:b/>
          <w:bCs/>
          <w:color w:val="000000"/>
          <w:sz w:val="20"/>
          <w:szCs w:val="20"/>
        </w:rPr>
        <w:t xml:space="preserve">Principle.</w:t>
      </w:r>
      <w:r>
        <w:rPr>
          <w:rFonts w:ascii="Arial" w:cs="Arial" w:eastAsia="Arial" w:hAnsi="Arial"/>
          <w:color w:val="000000"/>
          <w:sz w:val="20"/>
          <w:szCs w:val="20"/>
        </w:rPr>
        <w:t xml:space="preserve"> </w:t>
      </w:r>
      <w:r>
        <w:rPr>
          <w:rFonts w:ascii="Arial" w:cs="Arial" w:eastAsia="Arial" w:hAnsi="Arial"/>
          <w:b/>
          <w:bCs/>
          <w:color w:val="000000"/>
          <w:sz w:val="20"/>
          <w:szCs w:val="20"/>
        </w:rPr>
        <w:t xml:space="preserve">Confidentiality is implied even without an express clause.</w:t>
      </w:r>
      <w:r>
        <w:rPr>
          <w:rFonts w:ascii="Arial" w:cs="Arial" w:eastAsia="Arial" w:hAnsi="Arial"/>
          <w:color w:val="000000"/>
          <w:sz w:val="20"/>
          <w:szCs w:val="20"/>
        </w:rPr>
        <w:t xml:space="preserve"> Following </w:t>
      </w:r>
      <w:r>
        <w:rPr>
          <w:rFonts w:ascii="Arial" w:cs="Arial" w:eastAsia="Arial" w:hAnsi="Arial"/>
          <w:b/>
          <w:bCs/>
          <w:i/>
          <w:iCs/>
          <w:color w:val="000000"/>
          <w:sz w:val="20"/>
          <w:szCs w:val="20"/>
        </w:rPr>
        <w:t xml:space="preserve">Saltman Engineering Co Ltd v Campbell Engineering Co Ltd</w:t>
      </w:r>
      <w:r>
        <w:rPr>
          <w:rFonts w:ascii="Arial" w:cs="Arial" w:eastAsia="Arial" w:hAnsi="Arial"/>
          <w:color w:val="000000"/>
          <w:sz w:val="20"/>
          <w:szCs w:val="20"/>
        </w:rPr>
        <w:t xml:space="preserve">, (1948) 65 RPC 203, breach of confidence rests on the equitable principle that a person who receives information in confidence shall not take unfair advantage of it, and does not depend on any contract. The court also applied the springboard doctrine. </w:t>
      </w:r>
      <w:r>
        <w:rPr>
          <w:rFonts w:ascii="Arial" w:cs="Arial" w:eastAsia="Arial" w:hAnsi="Arial"/>
          <w:b/>
          <w:bCs/>
          <w:color w:val="000000"/>
          <w:sz w:val="20"/>
          <w:szCs w:val="20"/>
        </w:rPr>
        <w:t xml:space="preserve">This is the leading Indian authority that a duty of confidence arises from the nature of the relationship alone.</w:t>
      </w:r>
    </w:p>
    <w:p>
      <w:pPr>
        <w:pStyle w:val="Heading2"/>
        <w:spacing w:after="95" w:before="250"/>
      </w:pPr>
      <w:r>
        <w:rPr>
          <w:rFonts w:ascii="Arial" w:cs="Arial" w:eastAsia="Arial" w:hAnsi="Arial"/>
          <w:b/>
          <w:bCs/>
          <w:color w:val="1F3864"/>
          <w:sz w:val="23"/>
          <w:szCs w:val="23"/>
        </w:rPr>
        <w:t xml:space="preserve">7.2  Zee Telefilms Ltd v Sundial Communications Pvt Ltd</w:t>
      </w:r>
    </w:p>
    <w:p>
      <w:pPr>
        <w:spacing w:after="95" w:line="272"/>
      </w:pPr>
      <w:r>
        <w:rPr>
          <w:rFonts w:ascii="Arial" w:cs="Arial" w:eastAsia="Arial" w:hAnsi="Arial"/>
          <w:b/>
          <w:bCs/>
          <w:color w:val="000000"/>
          <w:sz w:val="19"/>
          <w:szCs w:val="19"/>
        </w:rPr>
        <w:t xml:space="preserve">2003 (5) Bom CR 404; 2003 (27) PTC 457.</w:t>
      </w:r>
      <w:r>
        <w:rPr>
          <w:rFonts w:ascii="Arial" w:cs="Arial" w:eastAsia="Arial" w:hAnsi="Arial"/>
          <w:color w:val="000000"/>
          <w:sz w:val="19"/>
          <w:szCs w:val="19"/>
        </w:rPr>
        <w:t xml:space="preserve"> Bombay High Court, Division Bench, Justice A P Shah and Justice D K Deshmukh, 27 March 2003.</w:t>
      </w:r>
    </w:p>
    <w:p>
      <w:pPr>
        <w:spacing w:after="130" w:line="276"/>
        <w:jc w:val="both"/>
      </w:pPr>
      <w:r>
        <w:rPr>
          <w:rFonts w:ascii="Arial" w:cs="Arial" w:eastAsia="Arial" w:hAnsi="Arial"/>
          <w:b/>
          <w:bCs/>
          <w:color w:val="000000"/>
          <w:sz w:val="20"/>
          <w:szCs w:val="20"/>
        </w:rPr>
        <w:t xml:space="preserve">Facts.</w:t>
      </w:r>
      <w:r>
        <w:rPr>
          <w:rFonts w:ascii="Arial" w:cs="Arial" w:eastAsia="Arial" w:hAnsi="Arial"/>
          <w:color w:val="000000"/>
          <w:sz w:val="20"/>
          <w:szCs w:val="20"/>
        </w:rPr>
        <w:t xml:space="preserve"> Sundial developed a concept for a television serial about Lord Krishna as a child, with concept notes, character sketches and plots, and disclosed it in confidence to Zee. Negotiations lapsed, and Zee then produced a strikingly similar serial.</w:t>
      </w:r>
    </w:p>
    <w:p>
      <w:pPr>
        <w:spacing w:after="130" w:line="276"/>
        <w:jc w:val="both"/>
      </w:pPr>
      <w:r>
        <w:rPr>
          <w:rFonts w:ascii="Arial" w:cs="Arial" w:eastAsia="Arial" w:hAnsi="Arial"/>
          <w:b/>
          <w:bCs/>
          <w:color w:val="000000"/>
          <w:sz w:val="20"/>
          <w:szCs w:val="20"/>
        </w:rPr>
        <w:t xml:space="preserve">Decision.</w:t>
      </w:r>
      <w:r>
        <w:rPr>
          <w:rFonts w:ascii="Arial" w:cs="Arial" w:eastAsia="Arial" w:hAnsi="Arial"/>
          <w:color w:val="000000"/>
          <w:sz w:val="20"/>
          <w:szCs w:val="20"/>
        </w:rPr>
        <w:t xml:space="preserve"> Relief granted for breach of confidence. The similarities were not coincidental.</w:t>
      </w:r>
    </w:p>
    <w:p>
      <w:pPr>
        <w:spacing w:after="130" w:line="276"/>
        <w:jc w:val="both"/>
      </w:pPr>
      <w:r>
        <w:rPr>
          <w:rFonts w:ascii="Arial" w:cs="Arial" w:eastAsia="Arial" w:hAnsi="Arial"/>
          <w:b/>
          <w:bCs/>
          <w:color w:val="000000"/>
          <w:sz w:val="20"/>
          <w:szCs w:val="20"/>
        </w:rPr>
        <w:t xml:space="preserve">Principle.</w:t>
      </w:r>
      <w:r>
        <w:rPr>
          <w:rFonts w:ascii="Arial" w:cs="Arial" w:eastAsia="Arial" w:hAnsi="Arial"/>
          <w:color w:val="000000"/>
          <w:sz w:val="20"/>
          <w:szCs w:val="20"/>
        </w:rPr>
        <w:t xml:space="preserve"> </w:t>
      </w:r>
      <w:r>
        <w:rPr>
          <w:rFonts w:ascii="Arial" w:cs="Arial" w:eastAsia="Arial" w:hAnsi="Arial"/>
          <w:b/>
          <w:bCs/>
          <w:color w:val="000000"/>
          <w:sz w:val="20"/>
          <w:szCs w:val="20"/>
        </w:rPr>
        <w:t xml:space="preserve">The law of confidence is broader than and distinct from copyright.</w:t>
      </w:r>
      <w:r>
        <w:rPr>
          <w:rFonts w:ascii="Arial" w:cs="Arial" w:eastAsia="Arial" w:hAnsi="Arial"/>
          <w:color w:val="000000"/>
          <w:sz w:val="20"/>
          <w:szCs w:val="20"/>
        </w:rPr>
        <w:t xml:space="preserve"> There is no copyright in an idea, but information imparted in confidence is protectable in its own right. A claimant must identify the information, show it was handed over in confidence, show it could be treated as confidential, and show unauthorised use or threatened use.</w:t>
      </w:r>
    </w:p>
    <w:p>
      <w:pPr>
        <w:spacing w:after="130" w:line="276"/>
        <w:jc w:val="both"/>
      </w:pPr>
      <w:r>
        <w:rPr>
          <w:rFonts w:ascii="Arial" w:cs="Arial" w:eastAsia="Arial" w:hAnsi="Arial"/>
          <w:i/>
          <w:iCs/>
          <w:color w:val="000000"/>
          <w:sz w:val="20"/>
          <w:szCs w:val="20"/>
        </w:rPr>
        <w:t xml:space="preserve">Slide error.</w:t>
      </w:r>
      <w:r>
        <w:rPr>
          <w:rFonts w:ascii="Arial" w:cs="Arial" w:eastAsia="Arial" w:hAnsi="Arial"/>
          <w:color w:val="000000"/>
          <w:sz w:val="20"/>
          <w:szCs w:val="20"/>
        </w:rPr>
        <w:t xml:space="preserve"> The deck quotes a sentence from this case, that there is no specific legislation in India dealing with trade secrets. </w:t>
      </w:r>
      <w:r>
        <w:rPr>
          <w:rFonts w:ascii="Arial" w:cs="Arial" w:eastAsia="Arial" w:hAnsi="Arial"/>
          <w:b/>
          <w:bCs/>
          <w:color w:val="000000"/>
          <w:sz w:val="20"/>
          <w:szCs w:val="20"/>
        </w:rPr>
        <w:t xml:space="preserve">That quotation could not be verified in the judgment. Do not reproduce it as a quotation.</w:t>
      </w:r>
      <w:r>
        <w:rPr>
          <w:rFonts w:ascii="Arial" w:cs="Arial" w:eastAsia="Arial" w:hAnsi="Arial"/>
          <w:color w:val="000000"/>
          <w:sz w:val="20"/>
          <w:szCs w:val="20"/>
        </w:rPr>
        <w:t xml:space="preserve"> State the proposition in your own words and cite the case for the reasoning.</w:t>
      </w:r>
    </w:p>
    <w:p>
      <w:pPr>
        <w:pStyle w:val="Heading2"/>
        <w:spacing w:after="95" w:before="250"/>
      </w:pPr>
      <w:r>
        <w:rPr>
          <w:rFonts w:ascii="Arial" w:cs="Arial" w:eastAsia="Arial" w:hAnsi="Arial"/>
          <w:b/>
          <w:bCs/>
          <w:color w:val="1F3864"/>
          <w:sz w:val="23"/>
          <w:szCs w:val="23"/>
        </w:rPr>
        <w:t xml:space="preserve">7.3  American Express Bank Ltd v Priya Puri</w:t>
      </w:r>
    </w:p>
    <w:p>
      <w:pPr>
        <w:spacing w:after="95" w:line="272"/>
      </w:pPr>
      <w:r>
        <w:rPr>
          <w:rFonts w:ascii="Arial" w:cs="Arial" w:eastAsia="Arial" w:hAnsi="Arial"/>
          <w:b/>
          <w:bCs/>
          <w:color w:val="000000"/>
          <w:sz w:val="19"/>
          <w:szCs w:val="19"/>
        </w:rPr>
        <w:t xml:space="preserve">(2006) III LLJ 540 (Delhi); 2006 SCC OnLine Del 638.</w:t>
      </w:r>
      <w:r>
        <w:rPr>
          <w:rFonts w:ascii="Arial" w:cs="Arial" w:eastAsia="Arial" w:hAnsi="Arial"/>
          <w:color w:val="000000"/>
          <w:sz w:val="19"/>
          <w:szCs w:val="19"/>
        </w:rPr>
        <w:t xml:space="preserve"> Delhi High Court, Justice Anil Kumar, 24 May 2006. Interim injunction stage.</w:t>
      </w:r>
    </w:p>
    <w:p>
      <w:pPr>
        <w:spacing w:after="130" w:line="276"/>
        <w:jc w:val="both"/>
      </w:pPr>
      <w:r>
        <w:rPr>
          <w:rFonts w:ascii="Arial" w:cs="Arial" w:eastAsia="Arial" w:hAnsi="Arial"/>
          <w:b/>
          <w:bCs/>
          <w:color w:val="000000"/>
          <w:sz w:val="20"/>
          <w:szCs w:val="20"/>
        </w:rPr>
        <w:t xml:space="preserve">Facts.</w:t>
      </w:r>
      <w:r>
        <w:rPr>
          <w:rFonts w:ascii="Arial" w:cs="Arial" w:eastAsia="Arial" w:hAnsi="Arial"/>
          <w:color w:val="000000"/>
          <w:sz w:val="20"/>
          <w:szCs w:val="20"/>
        </w:rPr>
        <w:t xml:space="preserve"> Priya Puri headed wealth management at the bank, met clients and advised on investments, and developed personal contact with them. She resigned and joined a competitor. The bank alleged that the </w:t>
      </w:r>
      <w:r>
        <w:rPr>
          <w:rFonts w:ascii="Arial" w:cs="Arial" w:eastAsia="Arial" w:hAnsi="Arial"/>
          <w:b/>
          <w:bCs/>
          <w:color w:val="000000"/>
          <w:sz w:val="20"/>
          <w:szCs w:val="20"/>
        </w:rPr>
        <w:t xml:space="preserve">client list</w:t>
      </w:r>
      <w:r>
        <w:rPr>
          <w:rFonts w:ascii="Arial" w:cs="Arial" w:eastAsia="Arial" w:hAnsi="Arial"/>
          <w:color w:val="000000"/>
          <w:sz w:val="20"/>
          <w:szCs w:val="20"/>
        </w:rPr>
        <w:t xml:space="preserve"> was confidential information she had taken.</w:t>
      </w:r>
    </w:p>
    <w:p>
      <w:pPr>
        <w:spacing w:after="130" w:line="276"/>
        <w:jc w:val="both"/>
      </w:pPr>
      <w:r>
        <w:rPr>
          <w:rFonts w:ascii="Arial" w:cs="Arial" w:eastAsia="Arial" w:hAnsi="Arial"/>
          <w:b/>
          <w:bCs/>
          <w:color w:val="000000"/>
          <w:sz w:val="20"/>
          <w:szCs w:val="20"/>
        </w:rPr>
        <w:t xml:space="preserve">Decision.</w:t>
      </w:r>
      <w:r>
        <w:rPr>
          <w:rFonts w:ascii="Arial" w:cs="Arial" w:eastAsia="Arial" w:hAnsi="Arial"/>
          <w:color w:val="000000"/>
          <w:sz w:val="20"/>
          <w:szCs w:val="20"/>
        </w:rPr>
        <w:t xml:space="preserve"> The client list was </w:t>
      </w:r>
      <w:r>
        <w:rPr>
          <w:rFonts w:ascii="Arial" w:cs="Arial" w:eastAsia="Arial" w:hAnsi="Arial"/>
          <w:b/>
          <w:bCs/>
          <w:color w:val="000000"/>
          <w:sz w:val="20"/>
          <w:szCs w:val="20"/>
        </w:rPr>
        <w:t xml:space="preserve">not</w:t>
      </w:r>
      <w:r>
        <w:rPr>
          <w:rFonts w:ascii="Arial" w:cs="Arial" w:eastAsia="Arial" w:hAnsi="Arial"/>
          <w:color w:val="000000"/>
          <w:sz w:val="20"/>
          <w:szCs w:val="20"/>
        </w:rPr>
        <w:t xml:space="preserve"> a trade secret. Injunction refused.</w:t>
      </w:r>
    </w:p>
    <w:p>
      <w:pPr>
        <w:spacing w:after="130" w:line="276"/>
        <w:jc w:val="both"/>
      </w:pPr>
      <w:r>
        <w:rPr>
          <w:rFonts w:ascii="Arial" w:cs="Arial" w:eastAsia="Arial" w:hAnsi="Arial"/>
          <w:b/>
          <w:bCs/>
          <w:color w:val="000000"/>
          <w:sz w:val="20"/>
          <w:szCs w:val="20"/>
        </w:rPr>
        <w:t xml:space="preserve">Principle.</w:t>
      </w:r>
      <w:r>
        <w:rPr>
          <w:rFonts w:ascii="Arial" w:cs="Arial" w:eastAsia="Arial" w:hAnsi="Arial"/>
          <w:color w:val="000000"/>
          <w:sz w:val="20"/>
          <w:szCs w:val="20"/>
        </w:rPr>
        <w:t xml:space="preserve"> Four strands. Client data that is largely publicly available or known to the customer is </w:t>
      </w:r>
      <w:r>
        <w:rPr>
          <w:rFonts w:ascii="Arial" w:cs="Arial" w:eastAsia="Arial" w:hAnsi="Arial"/>
          <w:b/>
          <w:bCs/>
          <w:color w:val="000000"/>
          <w:sz w:val="20"/>
          <w:szCs w:val="20"/>
        </w:rPr>
        <w:t xml:space="preserve">not secret</w:t>
      </w:r>
      <w:r>
        <w:rPr>
          <w:rFonts w:ascii="Arial" w:cs="Arial" w:eastAsia="Arial" w:hAnsi="Arial"/>
          <w:color w:val="000000"/>
          <w:sz w:val="20"/>
          <w:szCs w:val="20"/>
        </w:rPr>
        <w:t xml:space="preserve">. Much of what she carried away was </w:t>
      </w:r>
      <w:r>
        <w:rPr>
          <w:rFonts w:ascii="Arial" w:cs="Arial" w:eastAsia="Arial" w:hAnsi="Arial"/>
          <w:b/>
          <w:bCs/>
          <w:color w:val="000000"/>
          <w:sz w:val="20"/>
          <w:szCs w:val="20"/>
        </w:rPr>
        <w:t xml:space="preserve">her own skill</w:t>
      </w:r>
      <w:r>
        <w:rPr>
          <w:rFonts w:ascii="Arial" w:cs="Arial" w:eastAsia="Arial" w:hAnsi="Arial"/>
          <w:color w:val="000000"/>
          <w:sz w:val="20"/>
          <w:szCs w:val="20"/>
        </w:rPr>
        <w:t xml:space="preserve">, and restraining that engages her right to livelihood. An employer cannot use confidentiality to create a </w:t>
      </w:r>
      <w:r>
        <w:rPr>
          <w:rFonts w:ascii="Arial" w:cs="Arial" w:eastAsia="Arial" w:hAnsi="Arial"/>
          <w:b/>
          <w:bCs/>
          <w:color w:val="000000"/>
          <w:sz w:val="20"/>
          <w:szCs w:val="20"/>
        </w:rPr>
        <w:t xml:space="preserve">monopoly over customers</w:t>
      </w:r>
      <w:r>
        <w:rPr>
          <w:rFonts w:ascii="Arial" w:cs="Arial" w:eastAsia="Arial" w:hAnsi="Arial"/>
          <w:color w:val="000000"/>
          <w:sz w:val="20"/>
          <w:szCs w:val="20"/>
        </w:rPr>
        <w:t xml:space="preserve">. And post termination restrictions are void under Section 27.</w:t>
      </w:r>
    </w:p>
    <w:p>
      <w:pPr>
        <w:pBdr>
          <w:top w:val="single" w:color="D6B656" w:sz="2" w:space="6"/>
          <w:bottom w:val="single" w:color="D6B656" w:sz="2" w:space="6"/>
          <w:left w:val="single" w:color="D6B656" w:sz="2" w:space="6"/>
          <w:right w:val="single" w:color="D6B656" w:sz="2" w:space="6"/>
        </w:pBdr>
        <w:shd w:fill="FFF2CC" w:val="clear"/>
        <w:spacing w:after="180" w:before="120" w:line="276"/>
        <w:ind w:left="170" w:right="170"/>
        <w:jc w:val="both"/>
      </w:pPr>
      <w:r>
        <w:rPr>
          <w:rFonts w:ascii="Arial" w:cs="Arial" w:eastAsia="Arial" w:hAnsi="Arial"/>
          <w:b/>
          <w:bCs/>
          <w:color w:val="000000"/>
          <w:sz w:val="20"/>
          <w:szCs w:val="20"/>
        </w:rPr>
        <w:t xml:space="preserve">This is India's answer to inevitable disclosure.</w:t>
      </w:r>
      <w:r>
        <w:rPr>
          <w:rFonts w:ascii="Arial" w:cs="Arial" w:eastAsia="Arial" w:hAnsi="Arial"/>
          <w:color w:val="000000"/>
          <w:sz w:val="20"/>
          <w:szCs w:val="20"/>
        </w:rPr>
        <w:t xml:space="preserve"> A real apprehension that a former employee knows the customers and will approach them is not enough, because some information is inseparable from a person's mind.</w:t>
      </w:r>
    </w:p>
    <w:p>
      <w:pPr>
        <w:spacing w:after="130" w:line="276"/>
        <w:jc w:val="both"/>
      </w:pPr>
      <w:r>
        <w:rPr>
          <w:rFonts w:ascii="Arial" w:cs="Arial" w:eastAsia="Arial" w:hAnsi="Arial"/>
          <w:i/>
          <w:iCs/>
          <w:color w:val="000000"/>
          <w:sz w:val="20"/>
          <w:szCs w:val="20"/>
        </w:rPr>
        <w:t xml:space="preserve">Citation note.</w:t>
      </w:r>
      <w:r>
        <w:rPr>
          <w:rFonts w:ascii="Arial" w:cs="Arial" w:eastAsia="Arial" w:hAnsi="Arial"/>
          <w:color w:val="000000"/>
          <w:sz w:val="20"/>
          <w:szCs w:val="20"/>
        </w:rPr>
        <w:t xml:space="preserve"> The case is correctly styled </w:t>
      </w:r>
      <w:r>
        <w:rPr>
          <w:rFonts w:ascii="Arial" w:cs="Arial" w:eastAsia="Arial" w:hAnsi="Arial"/>
          <w:b/>
          <w:bCs/>
          <w:i/>
          <w:iCs/>
          <w:color w:val="000000"/>
          <w:sz w:val="20"/>
          <w:szCs w:val="20"/>
        </w:rPr>
        <w:t xml:space="preserve">American Express Bank Ltd v Ms Priya Puri</w:t>
      </w:r>
      <w:r>
        <w:rPr>
          <w:rFonts w:ascii="Arial" w:cs="Arial" w:eastAsia="Arial" w:hAnsi="Arial"/>
          <w:color w:val="000000"/>
          <w:sz w:val="20"/>
          <w:szCs w:val="20"/>
        </w:rPr>
        <w:t xml:space="preserve">. The judgment in </w:t>
      </w:r>
      <w:r>
        <w:rPr>
          <w:rFonts w:ascii="Arial" w:cs="Arial" w:eastAsia="Arial" w:hAnsi="Arial"/>
          <w:b/>
          <w:bCs/>
          <w:i/>
          <w:iCs/>
          <w:color w:val="000000"/>
          <w:sz w:val="20"/>
          <w:szCs w:val="20"/>
        </w:rPr>
        <w:t xml:space="preserve">Varun Tyagi</w:t>
      </w:r>
      <w:r>
        <w:rPr>
          <w:rFonts w:ascii="Arial" w:cs="Arial" w:eastAsia="Arial" w:hAnsi="Arial"/>
          <w:color w:val="000000"/>
          <w:sz w:val="20"/>
          <w:szCs w:val="20"/>
        </w:rPr>
        <w:t xml:space="preserve"> wrongly names the respondent Priya Malik.</w:t>
      </w:r>
    </w:p>
    <w:p>
      <w:pPr>
        <w:pStyle w:val="Heading2"/>
        <w:spacing w:after="95" w:before="250"/>
      </w:pPr>
      <w:r>
        <w:rPr>
          <w:rFonts w:ascii="Arial" w:cs="Arial" w:eastAsia="Arial" w:hAnsi="Arial"/>
          <w:b/>
          <w:bCs/>
          <w:color w:val="1F3864"/>
          <w:sz w:val="23"/>
          <w:szCs w:val="23"/>
        </w:rPr>
        <w:t xml:space="preserve">7.4  Superintendence Company of India v Krishan Murgai</w:t>
      </w:r>
    </w:p>
    <w:p>
      <w:pPr>
        <w:spacing w:after="95" w:line="272"/>
      </w:pPr>
      <w:r>
        <w:rPr>
          <w:rFonts w:ascii="Arial" w:cs="Arial" w:eastAsia="Arial" w:hAnsi="Arial"/>
          <w:b/>
          <w:bCs/>
          <w:color w:val="000000"/>
          <w:sz w:val="19"/>
          <w:szCs w:val="19"/>
        </w:rPr>
        <w:t xml:space="preserve">AIR 1980 SC 1717; (1981) 2 SCC 246.</w:t>
      </w:r>
      <w:r>
        <w:rPr>
          <w:rFonts w:ascii="Arial" w:cs="Arial" w:eastAsia="Arial" w:hAnsi="Arial"/>
          <w:color w:val="000000"/>
          <w:sz w:val="19"/>
          <w:szCs w:val="19"/>
        </w:rPr>
        <w:t xml:space="preserve"> Supreme Court, Justice V D Tulzapurkar, Justice N L Untwalia and Justice A P Sen, 9 May 1980. Appeal against an interlocutory order refusing a temporary injunction.</w:t>
      </w:r>
    </w:p>
    <w:p>
      <w:pPr>
        <w:spacing w:after="130" w:line="276"/>
        <w:jc w:val="both"/>
      </w:pPr>
      <w:r>
        <w:rPr>
          <w:rFonts w:ascii="Arial" w:cs="Arial" w:eastAsia="Arial" w:hAnsi="Arial"/>
          <w:b/>
          <w:bCs/>
          <w:color w:val="000000"/>
          <w:sz w:val="20"/>
          <w:szCs w:val="20"/>
        </w:rPr>
        <w:t xml:space="preserve">Facts.</w:t>
      </w:r>
      <w:r>
        <w:rPr>
          <w:rFonts w:ascii="Arial" w:cs="Arial" w:eastAsia="Arial" w:hAnsi="Arial"/>
          <w:color w:val="000000"/>
          <w:sz w:val="20"/>
          <w:szCs w:val="20"/>
        </w:rPr>
        <w:t xml:space="preserve"> Murgai was Branch Manager at New Delhi. Clause 10 barred him for two years after leaving from serving or engaging in any competing business. The company </w:t>
      </w:r>
      <w:r>
        <w:rPr>
          <w:rFonts w:ascii="Arial" w:cs="Arial" w:eastAsia="Arial" w:hAnsi="Arial"/>
          <w:b/>
          <w:bCs/>
          <w:color w:val="000000"/>
          <w:sz w:val="20"/>
          <w:szCs w:val="20"/>
        </w:rPr>
        <w:t xml:space="preserve">terminated</w:t>
      </w:r>
      <w:r>
        <w:rPr>
          <w:rFonts w:ascii="Arial" w:cs="Arial" w:eastAsia="Arial" w:hAnsi="Arial"/>
          <w:color w:val="000000"/>
          <w:sz w:val="20"/>
          <w:szCs w:val="20"/>
        </w:rPr>
        <w:t xml:space="preserve"> his services in December 1978, and he set up his own competing business.</w:t>
      </w:r>
    </w:p>
    <w:p>
      <w:pPr>
        <w:spacing w:after="130" w:line="276"/>
        <w:jc w:val="both"/>
      </w:pPr>
      <w:r>
        <w:rPr>
          <w:rFonts w:ascii="Arial" w:cs="Arial" w:eastAsia="Arial" w:hAnsi="Arial"/>
          <w:b/>
          <w:bCs/>
          <w:color w:val="000000"/>
          <w:sz w:val="20"/>
          <w:szCs w:val="20"/>
        </w:rPr>
        <w:t xml:space="preserve">Decision.</w:t>
      </w:r>
      <w:r>
        <w:rPr>
          <w:rFonts w:ascii="Arial" w:cs="Arial" w:eastAsia="Arial" w:hAnsi="Arial"/>
          <w:color w:val="000000"/>
          <w:sz w:val="20"/>
          <w:szCs w:val="20"/>
        </w:rPr>
        <w:t xml:space="preserve"> Appeal dismissed and injunction refused, but </w:t>
      </w:r>
      <w:r>
        <w:rPr>
          <w:rFonts w:ascii="Arial" w:cs="Arial" w:eastAsia="Arial" w:hAnsi="Arial"/>
          <w:b/>
          <w:bCs/>
          <w:color w:val="000000"/>
          <w:sz w:val="20"/>
          <w:szCs w:val="20"/>
        </w:rPr>
        <w:t xml:space="preserve">the Court was divided in its reasoning</w:t>
      </w:r>
      <w:r>
        <w:rPr>
          <w:rFonts w:ascii="Arial" w:cs="Arial" w:eastAsia="Arial" w:hAnsi="Arial"/>
          <w:color w:val="000000"/>
          <w:sz w:val="20"/>
          <w:szCs w:val="20"/>
        </w:rPr>
        <w:t xml:space="preserve">.</w:t>
      </w:r>
    </w:p>
    <w:p>
      <w:pPr>
        <w:spacing w:after="130" w:line="276"/>
        <w:jc w:val="both"/>
      </w:pPr>
      <w:r>
        <w:rPr>
          <w:rFonts w:ascii="Arial" w:cs="Arial" w:eastAsia="Arial" w:hAnsi="Arial"/>
          <w:b/>
          <w:bCs/>
          <w:color w:val="000000"/>
          <w:sz w:val="20"/>
          <w:szCs w:val="20"/>
        </w:rPr>
        <w:t xml:space="preserve">Principle.</w:t>
      </w:r>
      <w:r>
        <w:rPr>
          <w:rFonts w:ascii="Arial" w:cs="Arial" w:eastAsia="Arial" w:hAnsi="Arial"/>
          <w:color w:val="000000"/>
          <w:sz w:val="20"/>
          <w:szCs w:val="20"/>
        </w:rPr>
        <w:t xml:space="preserve"> The majority, Tulzapurkar and Untwalia JJ, decided the case on the </w:t>
      </w:r>
      <w:r>
        <w:rPr>
          <w:rFonts w:ascii="Arial" w:cs="Arial" w:eastAsia="Arial" w:hAnsi="Arial"/>
          <w:b/>
          <w:bCs/>
          <w:color w:val="000000"/>
          <w:sz w:val="20"/>
          <w:szCs w:val="20"/>
        </w:rPr>
        <w:t xml:space="preserve">construction of clause 10</w:t>
      </w:r>
      <w:r>
        <w:rPr>
          <w:rFonts w:ascii="Arial" w:cs="Arial" w:eastAsia="Arial" w:hAnsi="Arial"/>
          <w:color w:val="000000"/>
          <w:sz w:val="20"/>
          <w:szCs w:val="20"/>
        </w:rPr>
        <w:t xml:space="preserve">, holding it applied only where the employee </w:t>
      </w:r>
      <w:r>
        <w:rPr>
          <w:rFonts w:ascii="Arial" w:cs="Arial" w:eastAsia="Arial" w:hAnsi="Arial"/>
          <w:b/>
          <w:bCs/>
          <w:color w:val="000000"/>
          <w:sz w:val="20"/>
          <w:szCs w:val="20"/>
        </w:rPr>
        <w:t xml:space="preserve">left of his own volition</w:t>
      </w:r>
      <w:r>
        <w:rPr>
          <w:rFonts w:ascii="Arial" w:cs="Arial" w:eastAsia="Arial" w:hAnsi="Arial"/>
          <w:color w:val="000000"/>
          <w:sz w:val="20"/>
          <w:szCs w:val="20"/>
        </w:rPr>
        <w:t xml:space="preserve"> and not where the employer </w:t>
      </w:r>
      <w:r>
        <w:rPr>
          <w:rFonts w:ascii="Arial" w:cs="Arial" w:eastAsia="Arial" w:hAnsi="Arial"/>
          <w:b/>
          <w:bCs/>
          <w:color w:val="000000"/>
          <w:sz w:val="20"/>
          <w:szCs w:val="20"/>
        </w:rPr>
        <w:t xml:space="preserve">terminated</w:t>
      </w:r>
      <w:r>
        <w:rPr>
          <w:rFonts w:ascii="Arial" w:cs="Arial" w:eastAsia="Arial" w:hAnsi="Arial"/>
          <w:color w:val="000000"/>
          <w:sz w:val="20"/>
          <w:szCs w:val="20"/>
        </w:rPr>
        <w:t xml:space="preserve"> him, so Section 27 did not have to be decided. </w:t>
      </w:r>
      <w:r>
        <w:rPr>
          <w:rFonts w:ascii="Arial" w:cs="Arial" w:eastAsia="Arial" w:hAnsi="Arial"/>
          <w:b/>
          <w:bCs/>
          <w:color w:val="000000"/>
          <w:sz w:val="20"/>
          <w:szCs w:val="20"/>
        </w:rPr>
        <w:t xml:space="preserve">Justice Sen, separately, held that a post service restrictive covenant is void under Section 27 regardless of reasonableness</w:t>
      </w:r>
      <w:r>
        <w:rPr>
          <w:rFonts w:ascii="Arial" w:cs="Arial" w:eastAsia="Arial" w:hAnsi="Arial"/>
          <w:color w:val="000000"/>
          <w:sz w:val="20"/>
          <w:szCs w:val="20"/>
        </w:rPr>
        <w:t xml:space="preserve">, rejecting the English partial restraint doctrine.</w:t>
      </w:r>
    </w:p>
    <w:p>
      <w:pPr>
        <w:spacing w:after="130" w:line="276"/>
        <w:jc w:val="both"/>
      </w:pPr>
      <w:r>
        <w:rPr>
          <w:rFonts w:ascii="Arial" w:cs="Arial" w:eastAsia="Arial" w:hAnsi="Arial"/>
          <w:i/>
          <w:iCs/>
          <w:color w:val="000000"/>
          <w:sz w:val="20"/>
          <w:szCs w:val="20"/>
        </w:rPr>
        <w:t xml:space="preserve">Slide error.</w:t>
      </w:r>
      <w:r>
        <w:rPr>
          <w:rFonts w:ascii="Arial" w:cs="Arial" w:eastAsia="Arial" w:hAnsi="Arial"/>
          <w:color w:val="000000"/>
          <w:sz w:val="20"/>
          <w:szCs w:val="20"/>
        </w:rPr>
        <w:t xml:space="preserve"> The deck says the Court laid down the definitive </w:t>
      </w:r>
      <w:r>
        <w:rPr>
          <w:rFonts w:ascii="Arial" w:cs="Arial" w:eastAsia="Arial" w:hAnsi="Arial"/>
          <w:b/>
          <w:bCs/>
          <w:color w:val="000000"/>
          <w:sz w:val="20"/>
          <w:szCs w:val="20"/>
        </w:rPr>
        <w:t xml:space="preserve">reasonableness test</w:t>
      </w:r>
      <w:r>
        <w:rPr>
          <w:rFonts w:ascii="Arial" w:cs="Arial" w:eastAsia="Arial" w:hAnsi="Arial"/>
          <w:color w:val="000000"/>
          <w:sz w:val="20"/>
          <w:szCs w:val="20"/>
        </w:rPr>
        <w:t xml:space="preserve"> and calls the case the constitutional precedent for negative covenants. Both are inaccurate. The majority construed the clause and applied no reasonableness test, Sen J held the opposite of a reasonableness enquiry, and the case turns on the Contract Act and not on constitutional law. </w:t>
      </w:r>
      <w:r>
        <w:rPr>
          <w:rFonts w:ascii="Arial" w:cs="Arial" w:eastAsia="Arial" w:hAnsi="Arial"/>
          <w:b/>
          <w:bCs/>
          <w:color w:val="000000"/>
          <w:sz w:val="20"/>
          <w:szCs w:val="20"/>
        </w:rPr>
        <w:t xml:space="preserve">Say that the Court was divided; examiners reward that.</w:t>
      </w:r>
    </w:p>
    <w:p>
      <w:pPr>
        <w:pStyle w:val="Heading2"/>
        <w:spacing w:after="95" w:before="250"/>
      </w:pPr>
      <w:r>
        <w:rPr>
          <w:rFonts w:ascii="Arial" w:cs="Arial" w:eastAsia="Arial" w:hAnsi="Arial"/>
          <w:b/>
          <w:bCs/>
          <w:color w:val="1F3864"/>
          <w:sz w:val="23"/>
          <w:szCs w:val="23"/>
        </w:rPr>
        <w:t xml:space="preserve">7.5  Niranjan Shankar Golikari v Century Spinning</w:t>
      </w:r>
    </w:p>
    <w:p>
      <w:pPr>
        <w:spacing w:after="95" w:line="272"/>
      </w:pPr>
      <w:r>
        <w:rPr>
          <w:rFonts w:ascii="Arial" w:cs="Arial" w:eastAsia="Arial" w:hAnsi="Arial"/>
          <w:b/>
          <w:bCs/>
          <w:color w:val="000000"/>
          <w:sz w:val="19"/>
          <w:szCs w:val="19"/>
        </w:rPr>
        <w:t xml:space="preserve">AIR 1967 SC 1098.</w:t>
      </w:r>
      <w:r>
        <w:rPr>
          <w:rFonts w:ascii="Arial" w:cs="Arial" w:eastAsia="Arial" w:hAnsi="Arial"/>
          <w:color w:val="000000"/>
          <w:sz w:val="19"/>
          <w:szCs w:val="19"/>
        </w:rPr>
        <w:t xml:space="preserve"> Supreme Court, Justice J M Shelat and Justice R S Bachawat, 17 January 1967.</w:t>
      </w:r>
    </w:p>
    <w:p>
      <w:pPr>
        <w:spacing w:after="130" w:line="276"/>
        <w:jc w:val="both"/>
      </w:pPr>
      <w:r>
        <w:rPr>
          <w:rFonts w:ascii="Arial" w:cs="Arial" w:eastAsia="Arial" w:hAnsi="Arial"/>
          <w:b/>
          <w:bCs/>
          <w:color w:val="000000"/>
          <w:sz w:val="20"/>
          <w:szCs w:val="20"/>
        </w:rPr>
        <w:t xml:space="preserve">Facts.</w:t>
      </w:r>
      <w:r>
        <w:rPr>
          <w:rFonts w:ascii="Arial" w:cs="Arial" w:eastAsia="Arial" w:hAnsi="Arial"/>
          <w:color w:val="000000"/>
          <w:sz w:val="20"/>
          <w:szCs w:val="20"/>
        </w:rPr>
        <w:t xml:space="preserve"> Golikari joined Century Rayon at Kalyan as Shift Supervisor on a five year contract with a negative covenant barring similar employment elsewhere </w:t>
      </w:r>
      <w:r>
        <w:rPr>
          <w:rFonts w:ascii="Arial" w:cs="Arial" w:eastAsia="Arial" w:hAnsi="Arial"/>
          <w:b/>
          <w:bCs/>
          <w:color w:val="000000"/>
          <w:sz w:val="20"/>
          <w:szCs w:val="20"/>
        </w:rPr>
        <w:t xml:space="preserve">during the term</w:t>
      </w:r>
      <w:r>
        <w:rPr>
          <w:rFonts w:ascii="Arial" w:cs="Arial" w:eastAsia="Arial" w:hAnsi="Arial"/>
          <w:color w:val="000000"/>
          <w:sz w:val="20"/>
          <w:szCs w:val="20"/>
        </w:rPr>
        <w:t xml:space="preserve"> and requiring secrecy about a tyre cord yarn process obtained from a foreign collaborator. After about nine months of training he joined a competitor at Kotah.</w:t>
      </w:r>
    </w:p>
    <w:p>
      <w:pPr>
        <w:spacing w:after="130" w:line="276"/>
        <w:jc w:val="both"/>
      </w:pPr>
      <w:r>
        <w:rPr>
          <w:rFonts w:ascii="Arial" w:cs="Arial" w:eastAsia="Arial" w:hAnsi="Arial"/>
          <w:b/>
          <w:bCs/>
          <w:color w:val="000000"/>
          <w:sz w:val="20"/>
          <w:szCs w:val="20"/>
        </w:rPr>
        <w:t xml:space="preserve">Decision.</w:t>
      </w:r>
      <w:r>
        <w:rPr>
          <w:rFonts w:ascii="Arial" w:cs="Arial" w:eastAsia="Arial" w:hAnsi="Arial"/>
          <w:color w:val="000000"/>
          <w:sz w:val="20"/>
          <w:szCs w:val="20"/>
        </w:rPr>
        <w:t xml:space="preserve"> Injunction upheld.</w:t>
      </w:r>
    </w:p>
    <w:p>
      <w:pPr>
        <w:spacing w:after="130" w:line="276"/>
        <w:jc w:val="both"/>
      </w:pPr>
      <w:r>
        <w:rPr>
          <w:rFonts w:ascii="Arial" w:cs="Arial" w:eastAsia="Arial" w:hAnsi="Arial"/>
          <w:b/>
          <w:bCs/>
          <w:color w:val="000000"/>
          <w:sz w:val="20"/>
          <w:szCs w:val="20"/>
        </w:rPr>
        <w:t xml:space="preserve">Principle.</w:t>
      </w:r>
      <w:r>
        <w:rPr>
          <w:rFonts w:ascii="Arial" w:cs="Arial" w:eastAsia="Arial" w:hAnsi="Arial"/>
          <w:color w:val="000000"/>
          <w:sz w:val="20"/>
          <w:szCs w:val="20"/>
        </w:rPr>
        <w:t xml:space="preserve"> </w:t>
      </w:r>
      <w:r>
        <w:rPr>
          <w:rFonts w:ascii="Arial" w:cs="Arial" w:eastAsia="Arial" w:hAnsi="Arial"/>
          <w:b/>
          <w:bCs/>
          <w:color w:val="000000"/>
          <w:sz w:val="20"/>
          <w:szCs w:val="20"/>
        </w:rPr>
        <w:t xml:space="preserve">A negative covenant operating during the term is not a restraint of trade and is outside Section 27</w:t>
      </w:r>
      <w:r>
        <w:rPr>
          <w:rFonts w:ascii="Arial" w:cs="Arial" w:eastAsia="Arial" w:hAnsi="Arial"/>
          <w:color w:val="000000"/>
          <w:sz w:val="20"/>
          <w:szCs w:val="20"/>
        </w:rPr>
        <w:t xml:space="preserve">, unless unconscionable, excessively harsh, unreasonable or one sided. The restraint here was limited in time, area and type of employment, and protected genuine confidential technical knowledge.</w:t>
      </w:r>
    </w:p>
    <w:p>
      <w:pPr>
        <w:pStyle w:val="Heading2"/>
        <w:spacing w:after="95" w:before="250"/>
      </w:pPr>
      <w:r>
        <w:rPr>
          <w:rFonts w:ascii="Arial" w:cs="Arial" w:eastAsia="Arial" w:hAnsi="Arial"/>
          <w:b/>
          <w:bCs/>
          <w:color w:val="1F3864"/>
          <w:sz w:val="23"/>
          <w:szCs w:val="23"/>
        </w:rPr>
        <w:t xml:space="preserve">7.6  Gujarat Bottling Co Ltd v Coca Cola Co</w:t>
      </w:r>
    </w:p>
    <w:p>
      <w:pPr>
        <w:spacing w:after="95" w:line="272"/>
      </w:pPr>
      <w:r>
        <w:rPr>
          <w:rFonts w:ascii="Arial" w:cs="Arial" w:eastAsia="Arial" w:hAnsi="Arial"/>
          <w:b/>
          <w:bCs/>
          <w:color w:val="000000"/>
          <w:sz w:val="19"/>
          <w:szCs w:val="19"/>
        </w:rPr>
        <w:t xml:space="preserve">(1995) 5 SCC 545.</w:t>
      </w:r>
      <w:r>
        <w:rPr>
          <w:rFonts w:ascii="Arial" w:cs="Arial" w:eastAsia="Arial" w:hAnsi="Arial"/>
          <w:color w:val="000000"/>
          <w:sz w:val="19"/>
          <w:szCs w:val="19"/>
        </w:rPr>
        <w:t xml:space="preserve"> Supreme Court, Justice S C Agrawal and Justice S Saghir Ahmad, 4 August 1995.</w:t>
      </w:r>
    </w:p>
    <w:p>
      <w:pPr>
        <w:spacing w:after="130" w:line="276"/>
        <w:jc w:val="both"/>
      </w:pPr>
      <w:r>
        <w:rPr>
          <w:rFonts w:ascii="Arial" w:cs="Arial" w:eastAsia="Arial" w:hAnsi="Arial"/>
          <w:b/>
          <w:bCs/>
          <w:color w:val="000000"/>
          <w:sz w:val="20"/>
          <w:szCs w:val="20"/>
        </w:rPr>
        <w:t xml:space="preserve">Facts.</w:t>
      </w:r>
      <w:r>
        <w:rPr>
          <w:rFonts w:ascii="Arial" w:cs="Arial" w:eastAsia="Arial" w:hAnsi="Arial"/>
          <w:color w:val="000000"/>
          <w:sz w:val="20"/>
          <w:szCs w:val="20"/>
        </w:rPr>
        <w:t xml:space="preserve"> A bottling and franchise agreement barred Gujarat Bottling, during the term, from dealing in competing products.</w:t>
      </w:r>
    </w:p>
    <w:p>
      <w:pPr>
        <w:spacing w:after="130" w:line="276"/>
        <w:jc w:val="both"/>
      </w:pPr>
      <w:r>
        <w:rPr>
          <w:rFonts w:ascii="Arial" w:cs="Arial" w:eastAsia="Arial" w:hAnsi="Arial"/>
          <w:b/>
          <w:bCs/>
          <w:color w:val="000000"/>
          <w:sz w:val="20"/>
          <w:szCs w:val="20"/>
        </w:rPr>
        <w:t xml:space="preserve">Decision.</w:t>
      </w:r>
      <w:r>
        <w:rPr>
          <w:rFonts w:ascii="Arial" w:cs="Arial" w:eastAsia="Arial" w:hAnsi="Arial"/>
          <w:color w:val="000000"/>
          <w:sz w:val="20"/>
          <w:szCs w:val="20"/>
        </w:rPr>
        <w:t xml:space="preserve"> Not in restraint of trade, and enforceable.</w:t>
      </w:r>
    </w:p>
    <w:p>
      <w:pPr>
        <w:spacing w:after="130" w:line="276"/>
        <w:jc w:val="both"/>
      </w:pPr>
      <w:r>
        <w:rPr>
          <w:rFonts w:ascii="Arial" w:cs="Arial" w:eastAsia="Arial" w:hAnsi="Arial"/>
          <w:b/>
          <w:bCs/>
          <w:color w:val="000000"/>
          <w:sz w:val="20"/>
          <w:szCs w:val="20"/>
        </w:rPr>
        <w:t xml:space="preserve">Principle.</w:t>
      </w:r>
      <w:r>
        <w:rPr>
          <w:rFonts w:ascii="Arial" w:cs="Arial" w:eastAsia="Arial" w:hAnsi="Arial"/>
          <w:color w:val="000000"/>
          <w:sz w:val="20"/>
          <w:szCs w:val="20"/>
        </w:rPr>
        <w:t xml:space="preserve"> Section 27 addresses restraints operating </w:t>
      </w:r>
      <w:r>
        <w:rPr>
          <w:rFonts w:ascii="Arial" w:cs="Arial" w:eastAsia="Arial" w:hAnsi="Arial"/>
          <w:b/>
          <w:bCs/>
          <w:color w:val="000000"/>
          <w:sz w:val="20"/>
          <w:szCs w:val="20"/>
        </w:rPr>
        <w:t xml:space="preserve">after</w:t>
      </w:r>
      <w:r>
        <w:rPr>
          <w:rFonts w:ascii="Arial" w:cs="Arial" w:eastAsia="Arial" w:hAnsi="Arial"/>
          <w:color w:val="000000"/>
          <w:sz w:val="20"/>
          <w:szCs w:val="20"/>
        </w:rPr>
        <w:t xml:space="preserve"> an agreement ends. During the currency of the agreement the parties have chosen to deal exclusively with each other, which furthers rather than restrains trade. </w:t>
      </w:r>
      <w:r>
        <w:rPr>
          <w:rFonts w:ascii="Arial" w:cs="Arial" w:eastAsia="Arial" w:hAnsi="Arial"/>
          <w:b/>
          <w:bCs/>
          <w:i/>
          <w:iCs/>
          <w:color w:val="000000"/>
          <w:sz w:val="20"/>
          <w:szCs w:val="20"/>
        </w:rPr>
        <w:t xml:space="preserve">Golikari</w:t>
      </w:r>
      <w:r>
        <w:rPr>
          <w:rFonts w:ascii="Arial" w:cs="Arial" w:eastAsia="Arial" w:hAnsi="Arial"/>
          <w:color w:val="000000"/>
          <w:sz w:val="20"/>
          <w:szCs w:val="20"/>
        </w:rPr>
        <w:t xml:space="preserve"> is the employment version of this rule and </w:t>
      </w:r>
      <w:r>
        <w:rPr>
          <w:rFonts w:ascii="Arial" w:cs="Arial" w:eastAsia="Arial" w:hAnsi="Arial"/>
          <w:b/>
          <w:bCs/>
          <w:i/>
          <w:iCs/>
          <w:color w:val="000000"/>
          <w:sz w:val="20"/>
          <w:szCs w:val="20"/>
        </w:rPr>
        <w:t xml:space="preserve">Gujarat Bottling</w:t>
      </w:r>
      <w:r>
        <w:rPr>
          <w:rFonts w:ascii="Arial" w:cs="Arial" w:eastAsia="Arial" w:hAnsi="Arial"/>
          <w:color w:val="000000"/>
          <w:sz w:val="20"/>
          <w:szCs w:val="20"/>
        </w:rPr>
        <w:t xml:space="preserve"> the commercial version, so cite both together.</w:t>
      </w:r>
    </w:p>
    <w:p>
      <w:pPr>
        <w:pStyle w:val="Heading2"/>
        <w:spacing w:after="95" w:before="250"/>
      </w:pPr>
      <w:r>
        <w:rPr>
          <w:rFonts w:ascii="Arial" w:cs="Arial" w:eastAsia="Arial" w:hAnsi="Arial"/>
          <w:b/>
          <w:bCs/>
          <w:color w:val="1F3864"/>
          <w:sz w:val="23"/>
          <w:szCs w:val="23"/>
        </w:rPr>
        <w:t xml:space="preserve">7.7  Percept D'Mark (India) Pvt Ltd v Zaheer Khan</w:t>
      </w:r>
    </w:p>
    <w:p>
      <w:pPr>
        <w:spacing w:after="95" w:line="272"/>
      </w:pPr>
      <w:r>
        <w:rPr>
          <w:rFonts w:ascii="Arial" w:cs="Arial" w:eastAsia="Arial" w:hAnsi="Arial"/>
          <w:b/>
          <w:bCs/>
          <w:color w:val="000000"/>
          <w:sz w:val="19"/>
          <w:szCs w:val="19"/>
        </w:rPr>
        <w:t xml:space="preserve">(2006) 4 SCC 227.</w:t>
      </w:r>
      <w:r>
        <w:rPr>
          <w:rFonts w:ascii="Arial" w:cs="Arial" w:eastAsia="Arial" w:hAnsi="Arial"/>
          <w:color w:val="000000"/>
          <w:sz w:val="19"/>
          <w:szCs w:val="19"/>
        </w:rPr>
        <w:t xml:space="preserve"> Supreme Court, Justice H K Sema and Justice Dr AR Lakshmanan, 22 March 2006. Arising from a petition under Section 9 of the Arbitration and Conciliation Act, 1996 for interim relief.</w:t>
      </w:r>
    </w:p>
    <w:p>
      <w:pPr>
        <w:spacing w:after="130" w:line="276"/>
        <w:jc w:val="both"/>
      </w:pPr>
      <w:r>
        <w:rPr>
          <w:rFonts w:ascii="Arial" w:cs="Arial" w:eastAsia="Arial" w:hAnsi="Arial"/>
          <w:b/>
          <w:bCs/>
          <w:color w:val="000000"/>
          <w:sz w:val="20"/>
          <w:szCs w:val="20"/>
        </w:rPr>
        <w:t xml:space="preserve">Facts.</w:t>
      </w:r>
      <w:r>
        <w:rPr>
          <w:rFonts w:ascii="Arial" w:cs="Arial" w:eastAsia="Arial" w:hAnsi="Arial"/>
          <w:color w:val="000000"/>
          <w:sz w:val="20"/>
          <w:szCs w:val="20"/>
        </w:rPr>
        <w:t xml:space="preserve"> Zaheer Khan's promotion agreement with Percept contained </w:t>
      </w:r>
      <w:r>
        <w:rPr>
          <w:rFonts w:ascii="Arial" w:cs="Arial" w:eastAsia="Arial" w:hAnsi="Arial"/>
          <w:b/>
          <w:bCs/>
          <w:color w:val="000000"/>
          <w:sz w:val="20"/>
          <w:szCs w:val="20"/>
        </w:rPr>
        <w:t xml:space="preserve">clause 31(b)</w:t>
      </w:r>
      <w:r>
        <w:rPr>
          <w:rFonts w:ascii="Arial" w:cs="Arial" w:eastAsia="Arial" w:hAnsi="Arial"/>
          <w:color w:val="000000"/>
          <w:sz w:val="20"/>
          <w:szCs w:val="20"/>
        </w:rPr>
        <w:t xml:space="preserve">, a right of first refusal requiring him, after the agreement ended, to offer Percept the chance to match any third party offer. On expiry he contracted with another agency.</w:t>
      </w:r>
    </w:p>
    <w:p>
      <w:pPr>
        <w:spacing w:after="130" w:line="276"/>
        <w:jc w:val="both"/>
      </w:pPr>
      <w:r>
        <w:rPr>
          <w:rFonts w:ascii="Arial" w:cs="Arial" w:eastAsia="Arial" w:hAnsi="Arial"/>
          <w:b/>
          <w:bCs/>
          <w:color w:val="000000"/>
          <w:sz w:val="20"/>
          <w:szCs w:val="20"/>
        </w:rPr>
        <w:t xml:space="preserve">Decision.</w:t>
      </w:r>
      <w:r>
        <w:rPr>
          <w:rFonts w:ascii="Arial" w:cs="Arial" w:eastAsia="Arial" w:hAnsi="Arial"/>
          <w:color w:val="000000"/>
          <w:sz w:val="20"/>
          <w:szCs w:val="20"/>
        </w:rPr>
        <w:t xml:space="preserve"> Relief refused.</w:t>
      </w:r>
    </w:p>
    <w:p>
      <w:pPr>
        <w:spacing w:after="130" w:line="276"/>
        <w:jc w:val="both"/>
      </w:pPr>
      <w:r>
        <w:rPr>
          <w:rFonts w:ascii="Arial" w:cs="Arial" w:eastAsia="Arial" w:hAnsi="Arial"/>
          <w:b/>
          <w:bCs/>
          <w:color w:val="000000"/>
          <w:sz w:val="20"/>
          <w:szCs w:val="20"/>
        </w:rPr>
        <w:t xml:space="preserve">Principle.</w:t>
      </w:r>
      <w:r>
        <w:rPr>
          <w:rFonts w:ascii="Arial" w:cs="Arial" w:eastAsia="Arial" w:hAnsi="Arial"/>
          <w:color w:val="000000"/>
          <w:sz w:val="20"/>
          <w:szCs w:val="20"/>
        </w:rPr>
        <w:t xml:space="preserve"> Clause 31(b) was hit by Section 27 because it restricted his </w:t>
      </w:r>
      <w:r>
        <w:rPr>
          <w:rFonts w:ascii="Arial" w:cs="Arial" w:eastAsia="Arial" w:hAnsi="Arial"/>
          <w:b/>
          <w:bCs/>
          <w:color w:val="000000"/>
          <w:sz w:val="20"/>
          <w:szCs w:val="20"/>
        </w:rPr>
        <w:t xml:space="preserve">future</w:t>
      </w:r>
      <w:r>
        <w:rPr>
          <w:rFonts w:ascii="Arial" w:cs="Arial" w:eastAsia="Arial" w:hAnsi="Arial"/>
          <w:color w:val="000000"/>
          <w:sz w:val="20"/>
          <w:szCs w:val="20"/>
        </w:rPr>
        <w:t xml:space="preserve"> liberty to deal with persons of his choice beyond the term. The doctrine of restraint of trade does not apply during a contract but does apply once it ends. The Court </w:t>
      </w:r>
      <w:r>
        <w:rPr>
          <w:rFonts w:ascii="Arial" w:cs="Arial" w:eastAsia="Arial" w:hAnsi="Arial"/>
          <w:b/>
          <w:bCs/>
          <w:color w:val="000000"/>
          <w:sz w:val="20"/>
          <w:szCs w:val="20"/>
        </w:rPr>
        <w:t xml:space="preserve">also refused the injunction in its discretion</w:t>
      </w:r>
      <w:r>
        <w:rPr>
          <w:rFonts w:ascii="Arial" w:cs="Arial" w:eastAsia="Arial" w:hAnsi="Arial"/>
          <w:color w:val="000000"/>
          <w:sz w:val="20"/>
          <w:szCs w:val="20"/>
        </w:rPr>
        <w:t xml:space="preserve">, because money could compensate Percept and an injunction would amount to specific performance of a personal service contract with eroded trust. </w:t>
      </w:r>
      <w:r>
        <w:rPr>
          <w:rFonts w:ascii="Arial" w:cs="Arial" w:eastAsia="Arial" w:hAnsi="Arial"/>
          <w:b/>
          <w:bCs/>
          <w:color w:val="000000"/>
          <w:sz w:val="20"/>
          <w:szCs w:val="20"/>
        </w:rPr>
        <w:t xml:space="preserve">The case extends the post termination voidness rule beyond employment to service relationships generally.</w:t>
      </w:r>
    </w:p>
    <w:p>
      <w:pPr>
        <w:spacing w:after="130" w:line="276"/>
        <w:jc w:val="both"/>
      </w:pPr>
      <w:r>
        <w:rPr>
          <w:rFonts w:ascii="Arial" w:cs="Arial" w:eastAsia="Arial" w:hAnsi="Arial"/>
          <w:i/>
          <w:iCs/>
          <w:color w:val="000000"/>
          <w:sz w:val="20"/>
          <w:szCs w:val="20"/>
        </w:rPr>
        <w:t xml:space="preserve">Slide error.</w:t>
      </w:r>
      <w:r>
        <w:rPr>
          <w:rFonts w:ascii="Arial" w:cs="Arial" w:eastAsia="Arial" w:hAnsi="Arial"/>
          <w:color w:val="000000"/>
          <w:sz w:val="20"/>
          <w:szCs w:val="20"/>
        </w:rPr>
        <w:t xml:space="preserve"> Describing the covenants as </w:t>
      </w:r>
      <w:r>
        <w:rPr>
          <w:rFonts w:ascii="Arial" w:cs="Arial" w:eastAsia="Arial" w:hAnsi="Arial"/>
          <w:b/>
          <w:bCs/>
          <w:color w:val="000000"/>
          <w:sz w:val="20"/>
          <w:szCs w:val="20"/>
        </w:rPr>
        <w:t xml:space="preserve">categorically void</w:t>
      </w:r>
      <w:r>
        <w:rPr>
          <w:rFonts w:ascii="Arial" w:cs="Arial" w:eastAsia="Arial" w:hAnsi="Arial"/>
          <w:color w:val="000000"/>
          <w:sz w:val="20"/>
          <w:szCs w:val="20"/>
        </w:rPr>
        <w:t xml:space="preserve"> overstates a decision given at the interim relief stage that rested substantially on discretion as well as on Section 27.</w:t>
      </w:r>
    </w:p>
    <w:p>
      <w:pPr>
        <w:pStyle w:val="Heading2"/>
        <w:spacing w:after="95" w:before="250"/>
      </w:pPr>
      <w:r>
        <w:rPr>
          <w:rFonts w:ascii="Arial" w:cs="Arial" w:eastAsia="Arial" w:hAnsi="Arial"/>
          <w:b/>
          <w:bCs/>
          <w:color w:val="1F3864"/>
          <w:sz w:val="23"/>
          <w:szCs w:val="23"/>
        </w:rPr>
        <w:t xml:space="preserve">7.8  Homag India Pvt Ltd v Ulfath Ali Khan</w:t>
      </w:r>
    </w:p>
    <w:p>
      <w:pPr>
        <w:spacing w:after="95" w:line="272"/>
      </w:pPr>
      <w:r>
        <w:rPr>
          <w:rFonts w:ascii="Arial" w:cs="Arial" w:eastAsia="Arial" w:hAnsi="Arial"/>
          <w:b/>
          <w:bCs/>
          <w:color w:val="000000"/>
          <w:sz w:val="19"/>
          <w:szCs w:val="19"/>
        </w:rPr>
        <w:t xml:space="preserve">MANU/KA/1569/2012.</w:t>
      </w:r>
      <w:r>
        <w:rPr>
          <w:rFonts w:ascii="Arial" w:cs="Arial" w:eastAsia="Arial" w:hAnsi="Arial"/>
          <w:color w:val="000000"/>
          <w:sz w:val="19"/>
          <w:szCs w:val="19"/>
        </w:rPr>
        <w:t xml:space="preserve"> Karnataka High Court, 10 October 2012. Appeal on a temporary injunction application.</w:t>
      </w:r>
    </w:p>
    <w:p>
      <w:pPr>
        <w:spacing w:after="130" w:line="276"/>
        <w:jc w:val="both"/>
      </w:pPr>
      <w:r>
        <w:rPr>
          <w:rFonts w:ascii="Arial" w:cs="Arial" w:eastAsia="Arial" w:hAnsi="Arial"/>
          <w:b/>
          <w:bCs/>
          <w:color w:val="000000"/>
          <w:sz w:val="20"/>
          <w:szCs w:val="20"/>
        </w:rPr>
        <w:t xml:space="preserve">Facts.</w:t>
      </w:r>
      <w:r>
        <w:rPr>
          <w:rFonts w:ascii="Arial" w:cs="Arial" w:eastAsia="Arial" w:hAnsi="Arial"/>
          <w:color w:val="000000"/>
          <w:sz w:val="20"/>
          <w:szCs w:val="20"/>
        </w:rPr>
        <w:t xml:space="preserve"> Homag's former employee allegedly emailed confidential customer information to the competitor IMA AG Asia Pacific and signed with IMA before resigning. The trial judge injuncted the employee but refused relief against IMA for want of </w:t>
      </w:r>
      <w:r>
        <w:rPr>
          <w:rFonts w:ascii="Arial" w:cs="Arial" w:eastAsia="Arial" w:hAnsi="Arial"/>
          <w:b/>
          <w:bCs/>
          <w:color w:val="000000"/>
          <w:sz w:val="20"/>
          <w:szCs w:val="20"/>
        </w:rPr>
        <w:t xml:space="preserve">privity of contract</w:t>
      </w:r>
      <w:r>
        <w:rPr>
          <w:rFonts w:ascii="Arial" w:cs="Arial" w:eastAsia="Arial" w:hAnsi="Arial"/>
          <w:color w:val="000000"/>
          <w:sz w:val="20"/>
          <w:szCs w:val="20"/>
        </w:rPr>
        <w:t xml:space="preserve">.</w:t>
      </w:r>
    </w:p>
    <w:p>
      <w:pPr>
        <w:spacing w:after="130" w:line="276"/>
        <w:jc w:val="both"/>
      </w:pPr>
      <w:r>
        <w:rPr>
          <w:rFonts w:ascii="Arial" w:cs="Arial" w:eastAsia="Arial" w:hAnsi="Arial"/>
          <w:b/>
          <w:bCs/>
          <w:color w:val="000000"/>
          <w:sz w:val="20"/>
          <w:szCs w:val="20"/>
        </w:rPr>
        <w:t xml:space="preserve">Decision.</w:t>
      </w:r>
      <w:r>
        <w:rPr>
          <w:rFonts w:ascii="Arial" w:cs="Arial" w:eastAsia="Arial" w:hAnsi="Arial"/>
          <w:color w:val="000000"/>
          <w:sz w:val="20"/>
          <w:szCs w:val="20"/>
        </w:rPr>
        <w:t xml:space="preserve"> The absence of a contract between Homag and IMA does not mean there is no actionable right.</w:t>
      </w:r>
    </w:p>
    <w:p>
      <w:pPr>
        <w:spacing w:after="130" w:line="276"/>
        <w:jc w:val="both"/>
      </w:pPr>
      <w:r>
        <w:rPr>
          <w:rFonts w:ascii="Arial" w:cs="Arial" w:eastAsia="Arial" w:hAnsi="Arial"/>
          <w:b/>
          <w:bCs/>
          <w:color w:val="000000"/>
          <w:sz w:val="20"/>
          <w:szCs w:val="20"/>
        </w:rPr>
        <w:t xml:space="preserve">Principle.</w:t>
      </w:r>
      <w:r>
        <w:rPr>
          <w:rFonts w:ascii="Arial" w:cs="Arial" w:eastAsia="Arial" w:hAnsi="Arial"/>
          <w:color w:val="000000"/>
          <w:sz w:val="20"/>
          <w:szCs w:val="20"/>
        </w:rPr>
        <w:t xml:space="preserve"> Relying on </w:t>
      </w:r>
      <w:r>
        <w:rPr>
          <w:rFonts w:ascii="Arial" w:cs="Arial" w:eastAsia="Arial" w:hAnsi="Arial"/>
          <w:b/>
          <w:bCs/>
          <w:i/>
          <w:iCs/>
          <w:color w:val="000000"/>
          <w:sz w:val="20"/>
          <w:szCs w:val="20"/>
        </w:rPr>
        <w:t xml:space="preserve">Saltman</w:t>
      </w:r>
      <w:r>
        <w:rPr>
          <w:rFonts w:ascii="Arial" w:cs="Arial" w:eastAsia="Arial" w:hAnsi="Arial"/>
          <w:color w:val="000000"/>
          <w:sz w:val="20"/>
          <w:szCs w:val="20"/>
        </w:rPr>
        <w:t xml:space="preserve">, secrecy is maintained either through the </w:t>
      </w:r>
      <w:r>
        <w:rPr>
          <w:rFonts w:ascii="Arial" w:cs="Arial" w:eastAsia="Arial" w:hAnsi="Arial"/>
          <w:b/>
          <w:bCs/>
          <w:color w:val="000000"/>
          <w:sz w:val="20"/>
          <w:szCs w:val="20"/>
        </w:rPr>
        <w:t xml:space="preserve">principles of equity</w:t>
      </w:r>
      <w:r>
        <w:rPr>
          <w:rFonts w:ascii="Arial" w:cs="Arial" w:eastAsia="Arial" w:hAnsi="Arial"/>
          <w:color w:val="000000"/>
          <w:sz w:val="20"/>
          <w:szCs w:val="20"/>
        </w:rPr>
        <w:t xml:space="preserve"> or through the common law action for breach of confidence. </w:t>
      </w:r>
      <w:r>
        <w:rPr>
          <w:rFonts w:ascii="Arial" w:cs="Arial" w:eastAsia="Arial" w:hAnsi="Arial"/>
          <w:b/>
          <w:bCs/>
          <w:color w:val="000000"/>
          <w:sz w:val="20"/>
          <w:szCs w:val="20"/>
        </w:rPr>
        <w:t xml:space="preserve">Equity reaches beyond privity</w:t>
      </w:r>
      <w:r>
        <w:rPr>
          <w:rFonts w:ascii="Arial" w:cs="Arial" w:eastAsia="Arial" w:hAnsi="Arial"/>
          <w:color w:val="000000"/>
          <w:sz w:val="20"/>
          <w:szCs w:val="20"/>
        </w:rPr>
        <w:t xml:space="preserve">, so a third party who receives or incites the supply of confidential information can be restrained. Read with </w:t>
      </w:r>
      <w:r>
        <w:rPr>
          <w:rFonts w:ascii="Arial" w:cs="Arial" w:eastAsia="Arial" w:hAnsi="Arial"/>
          <w:b/>
          <w:bCs/>
          <w:i/>
          <w:iCs/>
          <w:color w:val="000000"/>
          <w:sz w:val="20"/>
          <w:szCs w:val="20"/>
        </w:rPr>
        <w:t xml:space="preserve">Brady</w:t>
      </w:r>
      <w:r>
        <w:rPr>
          <w:rFonts w:ascii="Arial" w:cs="Arial" w:eastAsia="Arial" w:hAnsi="Arial"/>
          <w:color w:val="000000"/>
          <w:sz w:val="20"/>
          <w:szCs w:val="20"/>
        </w:rPr>
        <w:t xml:space="preserve">: Brady says confidentiality does not depend on contract, and Homag says the remedy does not depend on privity.</w:t>
      </w:r>
    </w:p>
    <w:p>
      <w:pPr>
        <w:pStyle w:val="Heading2"/>
        <w:spacing w:after="95" w:before="250"/>
      </w:pPr>
      <w:r>
        <w:rPr>
          <w:rFonts w:ascii="Arial" w:cs="Arial" w:eastAsia="Arial" w:hAnsi="Arial"/>
          <w:b/>
          <w:bCs/>
          <w:color w:val="1F3864"/>
          <w:sz w:val="23"/>
          <w:szCs w:val="23"/>
        </w:rPr>
        <w:t xml:space="preserve">7.9  Navigators Logistics Ltd v Kashif Qureshi</w:t>
      </w:r>
    </w:p>
    <w:p>
      <w:pPr>
        <w:spacing w:after="95" w:line="272"/>
      </w:pPr>
      <w:r>
        <w:rPr>
          <w:rFonts w:ascii="Arial" w:cs="Arial" w:eastAsia="Arial" w:hAnsi="Arial"/>
          <w:b/>
          <w:bCs/>
          <w:color w:val="000000"/>
          <w:sz w:val="19"/>
          <w:szCs w:val="19"/>
        </w:rPr>
        <w:t xml:space="preserve">2018 SCC OnLine Del 11321.</w:t>
      </w:r>
      <w:r>
        <w:rPr>
          <w:rFonts w:ascii="Arial" w:cs="Arial" w:eastAsia="Arial" w:hAnsi="Arial"/>
          <w:color w:val="000000"/>
          <w:sz w:val="19"/>
          <w:szCs w:val="19"/>
        </w:rPr>
        <w:t xml:space="preserve"> Delhi High Court, Justice Rajiv Sahai Endlaw, 17 September 2018, CS(COMM) 735 of 2016. Application to reject the plaint under Order VII Rule 11.</w:t>
      </w:r>
    </w:p>
    <w:p>
      <w:pPr>
        <w:spacing w:after="130" w:line="276"/>
        <w:jc w:val="both"/>
      </w:pPr>
      <w:r>
        <w:rPr>
          <w:rFonts w:ascii="Arial" w:cs="Arial" w:eastAsia="Arial" w:hAnsi="Arial"/>
          <w:b/>
          <w:bCs/>
          <w:color w:val="000000"/>
          <w:sz w:val="20"/>
          <w:szCs w:val="20"/>
        </w:rPr>
        <w:t xml:space="preserve">Facts.</w:t>
      </w:r>
      <w:r>
        <w:rPr>
          <w:rFonts w:ascii="Arial" w:cs="Arial" w:eastAsia="Arial" w:hAnsi="Arial"/>
          <w:color w:val="000000"/>
          <w:sz w:val="20"/>
          <w:szCs w:val="20"/>
        </w:rPr>
        <w:t xml:space="preserve"> A freight forwarding company sued twelve defendants, including eight former employees alleged, from recovered Skype chats, to have conspired to divert business to a competitor. It claimed copyright in customer databases and templates, breach of confidentiality and breach of a one year non compete.</w:t>
      </w:r>
    </w:p>
    <w:p>
      <w:pPr>
        <w:spacing w:after="130" w:line="276"/>
        <w:jc w:val="both"/>
      </w:pPr>
      <w:r>
        <w:rPr>
          <w:rFonts w:ascii="Arial" w:cs="Arial" w:eastAsia="Arial" w:hAnsi="Arial"/>
          <w:b/>
          <w:bCs/>
          <w:color w:val="000000"/>
          <w:sz w:val="20"/>
          <w:szCs w:val="20"/>
        </w:rPr>
        <w:t xml:space="preserve">Decision.</w:t>
      </w:r>
      <w:r>
        <w:rPr>
          <w:rFonts w:ascii="Arial" w:cs="Arial" w:eastAsia="Arial" w:hAnsi="Arial"/>
          <w:color w:val="000000"/>
          <w:sz w:val="20"/>
          <w:szCs w:val="20"/>
        </w:rPr>
        <w:t xml:space="preserve"> Plaint rejected and suit dismissed.</w:t>
      </w:r>
    </w:p>
    <w:p>
      <w:pPr>
        <w:spacing w:after="130" w:line="276"/>
        <w:jc w:val="both"/>
      </w:pPr>
      <w:r>
        <w:rPr>
          <w:rFonts w:ascii="Arial" w:cs="Arial" w:eastAsia="Arial" w:hAnsi="Arial"/>
          <w:b/>
          <w:bCs/>
          <w:color w:val="000000"/>
          <w:sz w:val="20"/>
          <w:szCs w:val="20"/>
        </w:rPr>
        <w:t xml:space="preserve">Principle.</w:t>
      </w:r>
      <w:r>
        <w:rPr>
          <w:rFonts w:ascii="Arial" w:cs="Arial" w:eastAsia="Arial" w:hAnsi="Arial"/>
          <w:color w:val="000000"/>
          <w:sz w:val="20"/>
          <w:szCs w:val="20"/>
        </w:rPr>
        <w:t xml:space="preserve"> Four holdings. On </w:t>
      </w:r>
      <w:r>
        <w:rPr>
          <w:rFonts w:ascii="Arial" w:cs="Arial" w:eastAsia="Arial" w:hAnsi="Arial"/>
          <w:b/>
          <w:bCs/>
          <w:color w:val="000000"/>
          <w:sz w:val="20"/>
          <w:szCs w:val="20"/>
        </w:rPr>
        <w:t xml:space="preserve">specificity</w:t>
      </w:r>
      <w:r>
        <w:rPr>
          <w:rFonts w:ascii="Arial" w:cs="Arial" w:eastAsia="Arial" w:hAnsi="Arial"/>
          <w:color w:val="000000"/>
          <w:sz w:val="20"/>
          <w:szCs w:val="20"/>
        </w:rPr>
        <w:t xml:space="preserve">, vague pleadings that do not identify the confidential information cannot support an injunction, because such an injunction would be unenforceable. On </w:t>
      </w:r>
      <w:r>
        <w:rPr>
          <w:rFonts w:ascii="Arial" w:cs="Arial" w:eastAsia="Arial" w:hAnsi="Arial"/>
          <w:b/>
          <w:bCs/>
          <w:color w:val="000000"/>
          <w:sz w:val="20"/>
          <w:szCs w:val="20"/>
        </w:rPr>
        <w:t xml:space="preserve">customer lists</w:t>
      </w:r>
      <w:r>
        <w:rPr>
          <w:rFonts w:ascii="Arial" w:cs="Arial" w:eastAsia="Arial" w:hAnsi="Arial"/>
          <w:color w:val="000000"/>
          <w:sz w:val="20"/>
          <w:szCs w:val="20"/>
        </w:rPr>
        <w:t xml:space="preserve">, a list of customers with publicly available contact details is not a trade secret unless the secrecy itself has economic value. On </w:t>
      </w:r>
      <w:r>
        <w:rPr>
          <w:rFonts w:ascii="Arial" w:cs="Arial" w:eastAsia="Arial" w:hAnsi="Arial"/>
          <w:b/>
          <w:bCs/>
          <w:color w:val="000000"/>
          <w:sz w:val="20"/>
          <w:szCs w:val="20"/>
        </w:rPr>
        <w:t xml:space="preserve">copyright in databases</w:t>
      </w:r>
      <w:r>
        <w:rPr>
          <w:rFonts w:ascii="Arial" w:cs="Arial" w:eastAsia="Arial" w:hAnsi="Arial"/>
          <w:color w:val="000000"/>
          <w:sz w:val="20"/>
          <w:szCs w:val="20"/>
        </w:rPr>
        <w:t xml:space="preserve">, the claim failed for want of a disclosed author and of pleaded skill and judgment after </w:t>
      </w:r>
      <w:r>
        <w:rPr>
          <w:rFonts w:ascii="Arial" w:cs="Arial" w:eastAsia="Arial" w:hAnsi="Arial"/>
          <w:b/>
          <w:bCs/>
          <w:i/>
          <w:iCs/>
          <w:color w:val="000000"/>
          <w:sz w:val="20"/>
          <w:szCs w:val="20"/>
        </w:rPr>
        <w:t xml:space="preserve">Eastern Book Company v D B Modak</w:t>
      </w:r>
      <w:r>
        <w:rPr>
          <w:rFonts w:ascii="Arial" w:cs="Arial" w:eastAsia="Arial" w:hAnsi="Arial"/>
          <w:color w:val="000000"/>
          <w:sz w:val="20"/>
          <w:szCs w:val="20"/>
        </w:rPr>
        <w:t xml:space="preserve">. On </w:t>
      </w:r>
      <w:r>
        <w:rPr>
          <w:rFonts w:ascii="Arial" w:cs="Arial" w:eastAsia="Arial" w:hAnsi="Arial"/>
          <w:b/>
          <w:bCs/>
          <w:color w:val="000000"/>
          <w:sz w:val="20"/>
          <w:szCs w:val="20"/>
        </w:rPr>
        <w:t xml:space="preserve">Section 27</w:t>
      </w:r>
      <w:r>
        <w:rPr>
          <w:rFonts w:ascii="Arial" w:cs="Arial" w:eastAsia="Arial" w:hAnsi="Arial"/>
          <w:color w:val="000000"/>
          <w:sz w:val="20"/>
          <w:szCs w:val="20"/>
        </w:rPr>
        <w:t xml:space="preserve">, the non compete was void.</w:t>
      </w:r>
    </w:p>
    <w:p>
      <w:pPr>
        <w:spacing w:after="130" w:line="276"/>
        <w:jc w:val="both"/>
      </w:pPr>
      <w:r>
        <w:rPr>
          <w:rFonts w:ascii="Arial" w:cs="Arial" w:eastAsia="Arial" w:hAnsi="Arial"/>
          <w:i/>
          <w:iCs/>
          <w:color w:val="000000"/>
          <w:sz w:val="20"/>
          <w:szCs w:val="20"/>
        </w:rPr>
        <w:t xml:space="preserve">Update.</w:t>
      </w:r>
      <w:r>
        <w:rPr>
          <w:rFonts w:ascii="Arial" w:cs="Arial" w:eastAsia="Arial" w:hAnsi="Arial"/>
          <w:color w:val="000000"/>
          <w:sz w:val="20"/>
          <w:szCs w:val="20"/>
        </w:rPr>
        <w:t xml:space="preserve"> A Division Bench of the Delhi High Court gave judgment on </w:t>
      </w:r>
      <w:r>
        <w:rPr>
          <w:rFonts w:ascii="Arial" w:cs="Arial" w:eastAsia="Arial" w:hAnsi="Arial"/>
          <w:b/>
          <w:bCs/>
          <w:color w:val="000000"/>
          <w:sz w:val="20"/>
          <w:szCs w:val="20"/>
        </w:rPr>
        <w:t xml:space="preserve">20 November 2024</w:t>
      </w:r>
      <w:r>
        <w:rPr>
          <w:rFonts w:ascii="Arial" w:cs="Arial" w:eastAsia="Arial" w:hAnsi="Arial"/>
          <w:color w:val="000000"/>
          <w:sz w:val="20"/>
          <w:szCs w:val="20"/>
        </w:rPr>
        <w:t xml:space="preserve"> and partly relieved the appellant against the rejection of the plaint, so mention the appeal if you cite the case.</w:t>
      </w:r>
    </w:p>
    <w:p>
      <w:pPr>
        <w:pStyle w:val="Heading2"/>
        <w:spacing w:after="95" w:before="250"/>
      </w:pPr>
      <w:r>
        <w:rPr>
          <w:rFonts w:ascii="Arial" w:cs="Arial" w:eastAsia="Arial" w:hAnsi="Arial"/>
          <w:b/>
          <w:bCs/>
          <w:color w:val="1F3864"/>
          <w:sz w:val="23"/>
          <w:szCs w:val="23"/>
        </w:rPr>
        <w:t xml:space="preserve">7.10  Varun Tyagi v Daffodil Software Private Limited</w:t>
      </w:r>
    </w:p>
    <w:p>
      <w:pPr>
        <w:spacing w:after="95" w:line="272"/>
      </w:pPr>
      <w:r>
        <w:rPr>
          <w:rFonts w:ascii="Arial" w:cs="Arial" w:eastAsia="Arial" w:hAnsi="Arial"/>
          <w:b/>
          <w:bCs/>
          <w:color w:val="000000"/>
          <w:sz w:val="19"/>
          <w:szCs w:val="19"/>
        </w:rPr>
        <w:t xml:space="preserve">2025:DHC:5015; 2025 SCC OnLine Del 4589.</w:t>
      </w:r>
      <w:r>
        <w:rPr>
          <w:rFonts w:ascii="Arial" w:cs="Arial" w:eastAsia="Arial" w:hAnsi="Arial"/>
          <w:color w:val="000000"/>
          <w:sz w:val="19"/>
          <w:szCs w:val="19"/>
        </w:rPr>
        <w:t xml:space="preserve"> Delhi High Court, Justice Tejas Karia, 25 June 2025, FAO 167 of 2025. Appeal against an interim injunction of 3 June 2025.</w:t>
      </w:r>
    </w:p>
    <w:p>
      <w:pPr>
        <w:spacing w:after="130" w:line="276"/>
        <w:jc w:val="both"/>
      </w:pPr>
      <w:r>
        <w:rPr>
          <w:rFonts w:ascii="Arial" w:cs="Arial" w:eastAsia="Arial" w:hAnsi="Arial"/>
          <w:b/>
          <w:bCs/>
          <w:color w:val="000000"/>
          <w:sz w:val="20"/>
          <w:szCs w:val="20"/>
        </w:rPr>
        <w:t xml:space="preserve">Facts.</w:t>
      </w:r>
      <w:r>
        <w:rPr>
          <w:rFonts w:ascii="Arial" w:cs="Arial" w:eastAsia="Arial" w:hAnsi="Arial"/>
          <w:color w:val="000000"/>
          <w:sz w:val="20"/>
          <w:szCs w:val="20"/>
        </w:rPr>
        <w:t xml:space="preserve"> Tyagi's employment agreement with Daffodil contained </w:t>
      </w:r>
      <w:r>
        <w:rPr>
          <w:rFonts w:ascii="Arial" w:cs="Arial" w:eastAsia="Arial" w:hAnsi="Arial"/>
          <w:b/>
          <w:bCs/>
          <w:color w:val="000000"/>
          <w:sz w:val="20"/>
          <w:szCs w:val="20"/>
        </w:rPr>
        <w:t xml:space="preserve">clause 2.16</w:t>
      </w:r>
      <w:r>
        <w:rPr>
          <w:rFonts w:ascii="Arial" w:cs="Arial" w:eastAsia="Arial" w:hAnsi="Arial"/>
          <w:color w:val="000000"/>
          <w:sz w:val="20"/>
          <w:szCs w:val="20"/>
        </w:rPr>
        <w:t xml:space="preserve">, barring him for three years after cessation from engaging with any Business Associate. Daffodil had been engaged by </w:t>
      </w:r>
      <w:r>
        <w:rPr>
          <w:rFonts w:ascii="Arial" w:cs="Arial" w:eastAsia="Arial" w:hAnsi="Arial"/>
          <w:b/>
          <w:bCs/>
          <w:color w:val="000000"/>
          <w:sz w:val="20"/>
          <w:szCs w:val="20"/>
        </w:rPr>
        <w:t xml:space="preserve">Digital India Corporation</w:t>
      </w:r>
      <w:r>
        <w:rPr>
          <w:rFonts w:ascii="Arial" w:cs="Arial" w:eastAsia="Arial" w:hAnsi="Arial"/>
          <w:color w:val="000000"/>
          <w:sz w:val="20"/>
          <w:szCs w:val="20"/>
        </w:rPr>
        <w:t xml:space="preserve"> to supply developers for the Government's </w:t>
      </w:r>
      <w:r>
        <w:rPr>
          <w:rFonts w:ascii="Arial" w:cs="Arial" w:eastAsia="Arial" w:hAnsi="Arial"/>
          <w:b/>
          <w:bCs/>
          <w:color w:val="000000"/>
          <w:sz w:val="20"/>
          <w:szCs w:val="20"/>
        </w:rPr>
        <w:t xml:space="preserve">POSHAN Tracker</w:t>
      </w:r>
      <w:r>
        <w:rPr>
          <w:rFonts w:ascii="Arial" w:cs="Arial" w:eastAsia="Arial" w:hAnsi="Arial"/>
          <w:color w:val="000000"/>
          <w:sz w:val="20"/>
          <w:szCs w:val="20"/>
        </w:rPr>
        <w:t xml:space="preserve"> project. Tyagi worked on the project, resigned, served his notice period, and joined Digital India Corporation itself.</w:t>
      </w:r>
    </w:p>
    <w:p>
      <w:pPr>
        <w:spacing w:after="130" w:line="276"/>
        <w:jc w:val="both"/>
      </w:pPr>
      <w:r>
        <w:rPr>
          <w:rFonts w:ascii="Arial" w:cs="Arial" w:eastAsia="Arial" w:hAnsi="Arial"/>
          <w:b/>
          <w:bCs/>
          <w:color w:val="000000"/>
          <w:sz w:val="20"/>
          <w:szCs w:val="20"/>
        </w:rPr>
        <w:t xml:space="preserve">Decision.</w:t>
      </w:r>
      <w:r>
        <w:rPr>
          <w:rFonts w:ascii="Arial" w:cs="Arial" w:eastAsia="Arial" w:hAnsi="Arial"/>
          <w:color w:val="000000"/>
          <w:sz w:val="20"/>
          <w:szCs w:val="20"/>
        </w:rPr>
        <w:t xml:space="preserve"> Appeal allowed and the injunction quashed.</w:t>
      </w:r>
    </w:p>
    <w:p>
      <w:pPr>
        <w:spacing w:after="130" w:line="276"/>
        <w:jc w:val="both"/>
      </w:pPr>
      <w:r>
        <w:rPr>
          <w:rFonts w:ascii="Arial" w:cs="Arial" w:eastAsia="Arial" w:hAnsi="Arial"/>
          <w:b/>
          <w:bCs/>
          <w:color w:val="000000"/>
          <w:sz w:val="20"/>
          <w:szCs w:val="20"/>
        </w:rPr>
        <w:t xml:space="preserve">Principle.</w:t>
      </w:r>
      <w:r>
        <w:rPr>
          <w:rFonts w:ascii="Arial" w:cs="Arial" w:eastAsia="Arial" w:hAnsi="Arial"/>
          <w:color w:val="000000"/>
          <w:sz w:val="20"/>
          <w:szCs w:val="20"/>
        </w:rPr>
        <w:t xml:space="preserve"> Any term restricting an employee's right to be employed after termination is </w:t>
      </w:r>
      <w:r>
        <w:rPr>
          <w:rFonts w:ascii="Arial" w:cs="Arial" w:eastAsia="Arial" w:hAnsi="Arial"/>
          <w:b/>
          <w:bCs/>
          <w:color w:val="000000"/>
          <w:sz w:val="20"/>
          <w:szCs w:val="20"/>
        </w:rPr>
        <w:t xml:space="preserve">void under Section 27</w:t>
      </w:r>
      <w:r>
        <w:rPr>
          <w:rFonts w:ascii="Arial" w:cs="Arial" w:eastAsia="Arial" w:hAnsi="Arial"/>
          <w:color w:val="000000"/>
          <w:sz w:val="20"/>
          <w:szCs w:val="20"/>
        </w:rPr>
        <w:t xml:space="preserve">, save under Exception 1. Once a clause falls within Section 27, a </w:t>
      </w:r>
      <w:r>
        <w:rPr>
          <w:rFonts w:ascii="Arial" w:cs="Arial" w:eastAsia="Arial" w:hAnsi="Arial"/>
          <w:b/>
          <w:bCs/>
          <w:color w:val="000000"/>
          <w:sz w:val="20"/>
          <w:szCs w:val="20"/>
        </w:rPr>
        <w:t xml:space="preserve">reasonableness or partial restraint analysis is irrelevant</w:t>
      </w:r>
      <w:r>
        <w:rPr>
          <w:rFonts w:ascii="Arial" w:cs="Arial" w:eastAsia="Arial" w:hAnsi="Arial"/>
          <w:color w:val="000000"/>
          <w:sz w:val="20"/>
          <w:szCs w:val="20"/>
        </w:rPr>
        <w:t xml:space="preserve">, so the extent or duration of the restraint makes no difference. On confidentiality, the </w:t>
      </w:r>
      <w:r>
        <w:rPr>
          <w:rFonts w:ascii="Arial" w:cs="Arial" w:eastAsia="Arial" w:hAnsi="Arial"/>
          <w:b/>
          <w:bCs/>
          <w:color w:val="000000"/>
          <w:sz w:val="20"/>
          <w:szCs w:val="20"/>
        </w:rPr>
        <w:t xml:space="preserve">intellectual property in the POSHAN Tracker project belonged to Digital India Corporation</w:t>
      </w:r>
      <w:r>
        <w:rPr>
          <w:rFonts w:ascii="Arial" w:cs="Arial" w:eastAsia="Arial" w:hAnsi="Arial"/>
          <w:color w:val="000000"/>
          <w:sz w:val="20"/>
          <w:szCs w:val="20"/>
        </w:rPr>
        <w:t xml:space="preserve">, not to Daffodil, so the fear of disclosure was misconceived. The court relied on </w:t>
      </w:r>
      <w:r>
        <w:rPr>
          <w:rFonts w:ascii="Arial" w:cs="Arial" w:eastAsia="Arial" w:hAnsi="Arial"/>
          <w:b/>
          <w:bCs/>
          <w:i/>
          <w:iCs/>
          <w:color w:val="000000"/>
          <w:sz w:val="20"/>
          <w:szCs w:val="20"/>
        </w:rPr>
        <w:t xml:space="preserve">Indus Power Tech Inc v Echjay Industries</w:t>
      </w:r>
      <w:r>
        <w:rPr>
          <w:rFonts w:ascii="Arial" w:cs="Arial" w:eastAsia="Arial" w:hAnsi="Arial"/>
          <w:color w:val="000000"/>
          <w:sz w:val="20"/>
          <w:szCs w:val="20"/>
        </w:rPr>
        <w:t xml:space="preserve">, 2024 SCC OnLine Bom 3349, that a non compete may operate during the term but not after termination.</w:t>
      </w:r>
    </w:p>
    <w:p>
      <w:pPr>
        <w:pBdr>
          <w:top w:val="single" w:color="D6B656" w:sz="2" w:space="6"/>
          <w:bottom w:val="single" w:color="D6B656" w:sz="2" w:space="6"/>
          <w:left w:val="single" w:color="D6B656" w:sz="2" w:space="6"/>
          <w:right w:val="single" w:color="D6B656" w:sz="2" w:space="6"/>
        </w:pBdr>
        <w:shd w:fill="FFF2CC" w:val="clear"/>
        <w:spacing w:after="180" w:before="120" w:line="276"/>
        <w:ind w:left="170" w:right="170"/>
        <w:jc w:val="both"/>
      </w:pPr>
      <w:r>
        <w:rPr>
          <w:rFonts w:ascii="Arial" w:cs="Arial" w:eastAsia="Arial" w:hAnsi="Arial"/>
          <w:b/>
          <w:bCs/>
          <w:color w:val="000000"/>
          <w:sz w:val="20"/>
          <w:szCs w:val="20"/>
        </w:rPr>
        <w:t xml:space="preserve">Two principles to carry into the hall.</w:t>
      </w:r>
      <w:r>
        <w:rPr>
          <w:rFonts w:ascii="Arial" w:cs="Arial" w:eastAsia="Arial" w:hAnsi="Arial"/>
          <w:color w:val="000000"/>
          <w:sz w:val="20"/>
          <w:szCs w:val="20"/>
        </w:rPr>
        <w:t xml:space="preserve"> Specific misuse of a trade secret must be proven, because a general threat of potential competition is legally insufficient. And </w:t>
      </w:r>
      <w:r>
        <w:rPr>
          <w:rFonts w:ascii="Arial" w:cs="Arial" w:eastAsia="Arial" w:hAnsi="Arial"/>
          <w:b/>
          <w:bCs/>
          <w:color w:val="000000"/>
          <w:sz w:val="20"/>
          <w:szCs w:val="20"/>
        </w:rPr>
        <w:t xml:space="preserve">courts will not injunct merely because an employee possesses knowledge that could theoretically benefit a competitor.</w:t>
      </w:r>
    </w:p>
    <w:p>
      <w:pPr>
        <w:spacing w:after="130" w:line="276"/>
        <w:jc w:val="both"/>
      </w:pPr>
      <w:r>
        <w:rPr>
          <w:rFonts w:ascii="Arial" w:cs="Arial" w:eastAsia="Arial" w:hAnsi="Arial"/>
          <w:i/>
          <w:iCs/>
          <w:color w:val="000000"/>
          <w:sz w:val="20"/>
          <w:szCs w:val="20"/>
        </w:rPr>
        <w:t xml:space="preserve">Slide error.</w:t>
      </w:r>
      <w:r>
        <w:rPr>
          <w:rFonts w:ascii="Arial" w:cs="Arial" w:eastAsia="Arial" w:hAnsi="Arial"/>
          <w:color w:val="000000"/>
          <w:sz w:val="20"/>
          <w:szCs w:val="20"/>
        </w:rPr>
        <w:t xml:space="preserve"> The deck says the court held that using confidentiality as a backdoor to restrain employment </w:t>
      </w:r>
      <w:r>
        <w:rPr>
          <w:rFonts w:ascii="Arial" w:cs="Arial" w:eastAsia="Arial" w:hAnsi="Arial"/>
          <w:b/>
          <w:bCs/>
          <w:color w:val="000000"/>
          <w:sz w:val="20"/>
          <w:szCs w:val="20"/>
        </w:rPr>
        <w:t xml:space="preserve">directly contravenes the Constitution</w:t>
      </w:r>
      <w:r>
        <w:rPr>
          <w:rFonts w:ascii="Arial" w:cs="Arial" w:eastAsia="Arial" w:hAnsi="Arial"/>
          <w:color w:val="000000"/>
          <w:sz w:val="20"/>
          <w:szCs w:val="20"/>
        </w:rPr>
        <w:t xml:space="preserve">. The judgment reasons entirely on </w:t>
      </w:r>
      <w:r>
        <w:rPr>
          <w:rFonts w:ascii="Arial" w:cs="Arial" w:eastAsia="Arial" w:hAnsi="Arial"/>
          <w:b/>
          <w:bCs/>
          <w:color w:val="000000"/>
          <w:sz w:val="20"/>
          <w:szCs w:val="20"/>
        </w:rPr>
        <w:t xml:space="preserve">Section 27</w:t>
      </w:r>
      <w:r>
        <w:rPr>
          <w:rFonts w:ascii="Arial" w:cs="Arial" w:eastAsia="Arial" w:hAnsi="Arial"/>
          <w:color w:val="000000"/>
          <w:sz w:val="20"/>
          <w:szCs w:val="20"/>
        </w:rPr>
        <w:t xml:space="preserve"> and contains no constitutional holding. You may argue the constitutional point yourself using Articles 19(1)(g) and 21, but do not attribute it to this judgment.</w:t>
      </w:r>
    </w:p>
    <w:p>
      <w:pPr>
        <w:pStyle w:val="Heading2"/>
        <w:spacing w:after="95" w:before="250"/>
      </w:pPr>
      <w:r>
        <w:rPr>
          <w:rFonts w:ascii="Arial" w:cs="Arial" w:eastAsia="Arial" w:hAnsi="Arial"/>
          <w:b/>
          <w:bCs/>
          <w:color w:val="1F3864"/>
          <w:sz w:val="23"/>
          <w:szCs w:val="23"/>
        </w:rPr>
        <w:t xml:space="preserve">7.11  Four further syllabus cases</w:t>
      </w:r>
    </w:p>
    <w:p>
      <w:pPr>
        <w:spacing w:after="75" w:line="272"/>
        <w:ind w:left="440" w:hanging="290"/>
        <w:jc w:val="both"/>
      </w:pPr>
      <w:r>
        <w:rPr>
          <w:rFonts w:ascii="Arial" w:cs="Arial" w:eastAsia="Arial" w:hAnsi="Arial"/>
          <w:color w:val="000000"/>
          <w:sz w:val="20"/>
          <w:szCs w:val="20"/>
        </w:rPr>
        <w:t xml:space="preserve">1.  </w:t>
      </w:r>
      <w:r>
        <w:rPr>
          <w:rFonts w:ascii="Arial" w:cs="Arial" w:eastAsia="Arial" w:hAnsi="Arial"/>
          <w:b/>
          <w:bCs/>
          <w:i/>
          <w:iCs/>
          <w:color w:val="000000"/>
          <w:sz w:val="20"/>
          <w:szCs w:val="20"/>
        </w:rPr>
        <w:t xml:space="preserve">Desiccant Rotors International Pvt Ltd v Bappaditya Sarkar</w:t>
      </w:r>
      <w:r>
        <w:rPr>
          <w:rFonts w:ascii="Arial" w:cs="Arial" w:eastAsia="Arial" w:hAnsi="Arial"/>
          <w:color w:val="000000"/>
          <w:sz w:val="20"/>
          <w:szCs w:val="20"/>
        </w:rPr>
        <w:t xml:space="preserve">, 2009 SCC OnLine Del 1926, Delhi High Court, Justice Manmohan Singh, 14 July 2009. Where the employer's wish to avoid competition clashes with the employee's right to seek employment, </w:t>
      </w:r>
      <w:r>
        <w:rPr>
          <w:rFonts w:ascii="Arial" w:cs="Arial" w:eastAsia="Arial" w:hAnsi="Arial"/>
          <w:b/>
          <w:bCs/>
          <w:color w:val="000000"/>
          <w:sz w:val="20"/>
          <w:szCs w:val="20"/>
        </w:rPr>
        <w:t xml:space="preserve">the right of livelihood prevails</w:t>
      </w:r>
      <w:r>
        <w:rPr>
          <w:rFonts w:ascii="Arial" w:cs="Arial" w:eastAsia="Arial" w:hAnsi="Arial"/>
          <w:color w:val="000000"/>
          <w:sz w:val="20"/>
          <w:szCs w:val="20"/>
        </w:rPr>
        <w:t xml:space="preserve">. A post employment non compete is void, but non solicitation of customers and suppliers and protection of genuinely confidential information may be enforced.</w:t>
      </w:r>
    </w:p>
    <w:p>
      <w:pPr>
        <w:spacing w:after="75" w:line="272"/>
        <w:ind w:left="440" w:hanging="290"/>
        <w:jc w:val="both"/>
      </w:pPr>
      <w:r>
        <w:rPr>
          <w:rFonts w:ascii="Arial" w:cs="Arial" w:eastAsia="Arial" w:hAnsi="Arial"/>
          <w:color w:val="000000"/>
          <w:sz w:val="20"/>
          <w:szCs w:val="20"/>
        </w:rPr>
        <w:t xml:space="preserve">2.  </w:t>
      </w:r>
      <w:r>
        <w:rPr>
          <w:rFonts w:ascii="Arial" w:cs="Arial" w:eastAsia="Arial" w:hAnsi="Arial"/>
          <w:b/>
          <w:bCs/>
          <w:i/>
          <w:iCs/>
          <w:color w:val="000000"/>
          <w:sz w:val="20"/>
          <w:szCs w:val="20"/>
        </w:rPr>
        <w:t xml:space="preserve">V F S Global Services Ltd v Suprit Roy</w:t>
      </w:r>
      <w:r>
        <w:rPr>
          <w:rFonts w:ascii="Arial" w:cs="Arial" w:eastAsia="Arial" w:hAnsi="Arial"/>
          <w:color w:val="000000"/>
          <w:sz w:val="20"/>
          <w:szCs w:val="20"/>
        </w:rPr>
        <w:t xml:space="preserve">, 2008 (2) Bom CR 446, Bombay High Court, Justice D Y Chandrachud, 10 December 2007. A </w:t>
      </w:r>
      <w:r>
        <w:rPr>
          <w:rFonts w:ascii="Arial" w:cs="Arial" w:eastAsia="Arial" w:hAnsi="Arial"/>
          <w:b/>
          <w:bCs/>
          <w:color w:val="000000"/>
          <w:sz w:val="20"/>
          <w:szCs w:val="20"/>
        </w:rPr>
        <w:t xml:space="preserve">garden leave</w:t>
      </w:r>
      <w:r>
        <w:rPr>
          <w:rFonts w:ascii="Arial" w:cs="Arial" w:eastAsia="Arial" w:hAnsi="Arial"/>
          <w:color w:val="000000"/>
          <w:sz w:val="20"/>
          <w:szCs w:val="20"/>
        </w:rPr>
        <w:t xml:space="preserve"> clause operating after termination does not renew the employment contract and is </w:t>
      </w:r>
      <w:r>
        <w:rPr>
          <w:rFonts w:ascii="Arial" w:cs="Arial" w:eastAsia="Arial" w:hAnsi="Arial"/>
          <w:i/>
          <w:iCs/>
          <w:color w:val="000000"/>
          <w:sz w:val="20"/>
          <w:szCs w:val="20"/>
        </w:rPr>
        <w:t xml:space="preserve">prima facie</w:t>
      </w:r>
      <w:r>
        <w:rPr>
          <w:rFonts w:ascii="Arial" w:cs="Arial" w:eastAsia="Arial" w:hAnsi="Arial"/>
          <w:color w:val="000000"/>
          <w:sz w:val="20"/>
          <w:szCs w:val="20"/>
        </w:rPr>
        <w:t xml:space="preserve"> in restraint of trade, so it is hit by Section 27.</w:t>
      </w:r>
    </w:p>
    <w:p>
      <w:pPr>
        <w:spacing w:after="75" w:line="272"/>
        <w:ind w:left="440" w:hanging="290"/>
        <w:jc w:val="both"/>
      </w:pPr>
      <w:r>
        <w:rPr>
          <w:rFonts w:ascii="Arial" w:cs="Arial" w:eastAsia="Arial" w:hAnsi="Arial"/>
          <w:color w:val="000000"/>
          <w:sz w:val="20"/>
          <w:szCs w:val="20"/>
        </w:rPr>
        <w:t xml:space="preserve">3.  </w:t>
      </w:r>
      <w:r>
        <w:rPr>
          <w:rFonts w:ascii="Arial" w:cs="Arial" w:eastAsia="Arial" w:hAnsi="Arial"/>
          <w:b/>
          <w:bCs/>
          <w:i/>
          <w:iCs/>
          <w:color w:val="000000"/>
          <w:sz w:val="20"/>
          <w:szCs w:val="20"/>
        </w:rPr>
        <w:t xml:space="preserve">Sandhya Organic Chemicals P Ltd v United Phosphorous Ltd</w:t>
      </w:r>
      <w:r>
        <w:rPr>
          <w:rFonts w:ascii="Arial" w:cs="Arial" w:eastAsia="Arial" w:hAnsi="Arial"/>
          <w:color w:val="000000"/>
          <w:sz w:val="20"/>
          <w:szCs w:val="20"/>
        </w:rPr>
        <w:t xml:space="preserve">, AIR 1997 Guj 177, Gujarat High Court, 4 February 1997. A court will not restrain an employee from exercising his own skill and knowledge merely because he agreed to a restraint.</w:t>
      </w:r>
    </w:p>
    <w:p>
      <w:pPr>
        <w:spacing w:after="75" w:line="272"/>
        <w:ind w:left="440" w:hanging="290"/>
        <w:jc w:val="both"/>
      </w:pPr>
      <w:r>
        <w:rPr>
          <w:rFonts w:ascii="Arial" w:cs="Arial" w:eastAsia="Arial" w:hAnsi="Arial"/>
          <w:color w:val="000000"/>
          <w:sz w:val="20"/>
          <w:szCs w:val="20"/>
        </w:rPr>
        <w:t xml:space="preserve">4.  </w:t>
      </w:r>
      <w:r>
        <w:rPr>
          <w:rFonts w:ascii="Arial" w:cs="Arial" w:eastAsia="Arial" w:hAnsi="Arial"/>
          <w:b/>
          <w:bCs/>
          <w:i/>
          <w:iCs/>
          <w:color w:val="000000"/>
          <w:sz w:val="20"/>
          <w:szCs w:val="20"/>
        </w:rPr>
        <w:t xml:space="preserve">Lalbhai Dalpatbhai and Co v Chittaranjan Chandulal Pandya</w:t>
      </w:r>
      <w:r>
        <w:rPr>
          <w:rFonts w:ascii="Arial" w:cs="Arial" w:eastAsia="Arial" w:hAnsi="Arial"/>
          <w:color w:val="000000"/>
          <w:sz w:val="20"/>
          <w:szCs w:val="20"/>
        </w:rPr>
        <w:t xml:space="preserve">, AIR 1966 Guj 189, Gujarat High Court, Justice P N Bhagwati and Justice M U Shah, 14 April 1965. A negative stipulation in a personal service contract operating </w:t>
      </w:r>
      <w:r>
        <w:rPr>
          <w:rFonts w:ascii="Arial" w:cs="Arial" w:eastAsia="Arial" w:hAnsi="Arial"/>
          <w:b/>
          <w:bCs/>
          <w:color w:val="000000"/>
          <w:sz w:val="20"/>
          <w:szCs w:val="20"/>
        </w:rPr>
        <w:t xml:space="preserve">during the term</w:t>
      </w:r>
      <w:r>
        <w:rPr>
          <w:rFonts w:ascii="Arial" w:cs="Arial" w:eastAsia="Arial" w:hAnsi="Arial"/>
          <w:color w:val="000000"/>
          <w:sz w:val="20"/>
          <w:szCs w:val="20"/>
        </w:rPr>
        <w:t xml:space="preserve"> may be enforced if reasonable between the parties and not injurious to the public. </w:t>
      </w:r>
      <w:r>
        <w:rPr>
          <w:rFonts w:ascii="Arial" w:cs="Arial" w:eastAsia="Arial" w:hAnsi="Arial"/>
          <w:i/>
          <w:iCs/>
          <w:color w:val="000000"/>
          <w:sz w:val="20"/>
          <w:szCs w:val="20"/>
        </w:rPr>
        <w:t xml:space="preserve">Some sources wrongly cite this as AIR 1996 Guj.</w:t>
      </w:r>
    </w:p>
    <w:p>
      <w:pPr>
        <w:pStyle w:val="Heading2"/>
        <w:spacing w:after="95" w:before="250"/>
      </w:pPr>
      <w:r>
        <w:rPr>
          <w:rFonts w:ascii="Arial" w:cs="Arial" w:eastAsia="Arial" w:hAnsi="Arial"/>
          <w:b/>
          <w:bCs/>
          <w:color w:val="1F3864"/>
          <w:sz w:val="23"/>
          <w:szCs w:val="23"/>
        </w:rPr>
        <w:t xml:space="preserve">7.12  Two foreign cases to be able to state</w:t>
      </w:r>
    </w:p>
    <w:p>
      <w:pPr>
        <w:pStyle w:val="Heading3"/>
        <w:spacing w:after="80" w:before="200"/>
      </w:pPr>
      <w:r>
        <w:rPr>
          <w:rFonts w:ascii="Arial" w:cs="Arial" w:eastAsia="Arial" w:hAnsi="Arial"/>
          <w:b/>
          <w:bCs/>
          <w:color w:val="1F3864"/>
          <w:sz w:val="20"/>
          <w:szCs w:val="20"/>
        </w:rPr>
        <w:t xml:space="preserve">Coco v A N Clark (Engineers) Ltd</w:t>
      </w:r>
    </w:p>
    <w:p>
      <w:pPr>
        <w:spacing w:after="95" w:line="272"/>
      </w:pPr>
      <w:r>
        <w:rPr>
          <w:rFonts w:ascii="Arial" w:cs="Arial" w:eastAsia="Arial" w:hAnsi="Arial"/>
          <w:b/>
          <w:bCs/>
          <w:color w:val="000000"/>
          <w:sz w:val="19"/>
          <w:szCs w:val="19"/>
        </w:rPr>
        <w:t xml:space="preserve">[1969] RPC 41</w:t>
      </w:r>
      <w:r>
        <w:rPr>
          <w:rFonts w:ascii="Arial" w:cs="Arial" w:eastAsia="Arial" w:hAnsi="Arial"/>
          <w:color w:val="000000"/>
          <w:sz w:val="19"/>
          <w:szCs w:val="19"/>
        </w:rPr>
        <w:t xml:space="preserve">, decided 1968. Chancery Division, Megarry J.</w:t>
      </w:r>
    </w:p>
    <w:p>
      <w:pPr>
        <w:spacing w:after="130" w:line="276"/>
        <w:jc w:val="both"/>
      </w:pPr>
      <w:r>
        <w:rPr>
          <w:rFonts w:ascii="Arial" w:cs="Arial" w:eastAsia="Arial" w:hAnsi="Arial"/>
          <w:b/>
          <w:bCs/>
          <w:color w:val="000000"/>
          <w:sz w:val="20"/>
          <w:szCs w:val="20"/>
        </w:rPr>
        <w:t xml:space="preserve">Facts.</w:t>
      </w:r>
      <w:r>
        <w:rPr>
          <w:rFonts w:ascii="Arial" w:cs="Arial" w:eastAsia="Arial" w:hAnsi="Arial"/>
          <w:color w:val="000000"/>
          <w:sz w:val="20"/>
          <w:szCs w:val="20"/>
        </w:rPr>
        <w:t xml:space="preserve"> Coco designed a moped engine and shared drawings and information with Clark for a proposed joint venture. The venture collapsed and Clark marketed a moped of its own.</w:t>
      </w:r>
    </w:p>
    <w:p>
      <w:pPr>
        <w:spacing w:after="130" w:line="276"/>
        <w:jc w:val="both"/>
      </w:pPr>
      <w:r>
        <w:rPr>
          <w:rFonts w:ascii="Arial" w:cs="Arial" w:eastAsia="Arial" w:hAnsi="Arial"/>
          <w:b/>
          <w:bCs/>
          <w:color w:val="000000"/>
          <w:sz w:val="20"/>
          <w:szCs w:val="20"/>
        </w:rPr>
        <w:t xml:space="preserve">Decision.</w:t>
      </w:r>
      <w:r>
        <w:rPr>
          <w:rFonts w:ascii="Arial" w:cs="Arial" w:eastAsia="Arial" w:hAnsi="Arial"/>
          <w:color w:val="000000"/>
          <w:sz w:val="20"/>
          <w:szCs w:val="20"/>
        </w:rPr>
        <w:t xml:space="preserve"> Interlocutory injunction refused, there being no strong </w:t>
      </w:r>
      <w:r>
        <w:rPr>
          <w:rFonts w:ascii="Arial" w:cs="Arial" w:eastAsia="Arial" w:hAnsi="Arial"/>
          <w:i/>
          <w:iCs/>
          <w:color w:val="000000"/>
          <w:sz w:val="20"/>
          <w:szCs w:val="20"/>
        </w:rPr>
        <w:t xml:space="preserve">prima facie</w:t>
      </w:r>
      <w:r>
        <w:rPr>
          <w:rFonts w:ascii="Arial" w:cs="Arial" w:eastAsia="Arial" w:hAnsi="Arial"/>
          <w:color w:val="000000"/>
          <w:sz w:val="20"/>
          <w:szCs w:val="20"/>
        </w:rPr>
        <w:t xml:space="preserve"> case, with an undertaking to pay a royalty into a joint account.</w:t>
      </w:r>
    </w:p>
    <w:p>
      <w:pPr>
        <w:spacing w:after="130" w:line="276"/>
        <w:jc w:val="both"/>
      </w:pPr>
      <w:r>
        <w:rPr>
          <w:rFonts w:ascii="Arial" w:cs="Arial" w:eastAsia="Arial" w:hAnsi="Arial"/>
          <w:b/>
          <w:bCs/>
          <w:color w:val="000000"/>
          <w:sz w:val="20"/>
          <w:szCs w:val="20"/>
        </w:rPr>
        <w:t xml:space="preserve">Principle.</w:t>
      </w:r>
      <w:r>
        <w:rPr>
          <w:rFonts w:ascii="Arial" w:cs="Arial" w:eastAsia="Arial" w:hAnsi="Arial"/>
          <w:color w:val="000000"/>
          <w:sz w:val="20"/>
          <w:szCs w:val="20"/>
        </w:rPr>
        <w:t xml:space="preserve"> The </w:t>
      </w:r>
      <w:r>
        <w:rPr>
          <w:rFonts w:ascii="Arial" w:cs="Arial" w:eastAsia="Arial" w:hAnsi="Arial"/>
          <w:b/>
          <w:bCs/>
          <w:color w:val="000000"/>
          <w:sz w:val="20"/>
          <w:szCs w:val="20"/>
        </w:rPr>
        <w:t xml:space="preserve">three requirements</w:t>
      </w:r>
      <w:r>
        <w:rPr>
          <w:rFonts w:ascii="Arial" w:cs="Arial" w:eastAsia="Arial" w:hAnsi="Arial"/>
          <w:color w:val="000000"/>
          <w:sz w:val="20"/>
          <w:szCs w:val="20"/>
        </w:rPr>
        <w:t xml:space="preserve"> of an action for breach of confidence: the information must have the necessary quality of confidence; it must have been imparted in circumstances importing an obligation of confidence; and there must have been an unauthorised use of it to the detriment of the party who communicated it.</w:t>
      </w:r>
    </w:p>
    <w:p>
      <w:pPr>
        <w:pStyle w:val="Heading3"/>
        <w:spacing w:after="80" w:before="200"/>
      </w:pPr>
      <w:r>
        <w:rPr>
          <w:rFonts w:ascii="Arial" w:cs="Arial" w:eastAsia="Arial" w:hAnsi="Arial"/>
          <w:b/>
          <w:bCs/>
          <w:color w:val="1F3864"/>
          <w:sz w:val="20"/>
          <w:szCs w:val="20"/>
        </w:rPr>
        <w:t xml:space="preserve">Mitchel v Reynolds</w:t>
      </w:r>
    </w:p>
    <w:p>
      <w:pPr>
        <w:spacing w:after="95" w:line="272"/>
      </w:pPr>
      <w:r>
        <w:rPr>
          <w:rFonts w:ascii="Arial" w:cs="Arial" w:eastAsia="Arial" w:hAnsi="Arial"/>
          <w:b/>
          <w:bCs/>
          <w:color w:val="000000"/>
          <w:sz w:val="19"/>
          <w:szCs w:val="19"/>
        </w:rPr>
        <w:t xml:space="preserve">(1711) 1 P Wms 181; 24 ER 347.</w:t>
      </w:r>
      <w:r>
        <w:rPr>
          <w:rFonts w:ascii="Arial" w:cs="Arial" w:eastAsia="Arial" w:hAnsi="Arial"/>
          <w:color w:val="000000"/>
          <w:sz w:val="19"/>
          <w:szCs w:val="19"/>
        </w:rPr>
        <w:t xml:space="preserve"> Court of Queen's Bench, Lord Macclesfield.</w:t>
      </w:r>
    </w:p>
    <w:p>
      <w:pPr>
        <w:spacing w:after="130" w:line="276"/>
        <w:jc w:val="both"/>
      </w:pPr>
      <w:r>
        <w:rPr>
          <w:rFonts w:ascii="Arial" w:cs="Arial" w:eastAsia="Arial" w:hAnsi="Arial"/>
          <w:b/>
          <w:bCs/>
          <w:color w:val="000000"/>
          <w:sz w:val="20"/>
          <w:szCs w:val="20"/>
        </w:rPr>
        <w:t xml:space="preserve">Facts.</w:t>
      </w:r>
      <w:r>
        <w:rPr>
          <w:rFonts w:ascii="Arial" w:cs="Arial" w:eastAsia="Arial" w:hAnsi="Arial"/>
          <w:color w:val="000000"/>
          <w:sz w:val="20"/>
          <w:szCs w:val="20"/>
        </w:rPr>
        <w:t xml:space="preserve"> Reynolds leased Mitchel a bakehouse in </w:t>
      </w:r>
      <w:r>
        <w:rPr>
          <w:rFonts w:ascii="Arial" w:cs="Arial" w:eastAsia="Arial" w:hAnsi="Arial"/>
          <w:b/>
          <w:bCs/>
          <w:color w:val="000000"/>
          <w:sz w:val="20"/>
          <w:szCs w:val="20"/>
        </w:rPr>
        <w:t xml:space="preserve">Liquorpond Street, in the parish of St Andrew Holborn, London</w:t>
      </w:r>
      <w:r>
        <w:rPr>
          <w:rFonts w:ascii="Arial" w:cs="Arial" w:eastAsia="Arial" w:hAnsi="Arial"/>
          <w:color w:val="000000"/>
          <w:sz w:val="20"/>
          <w:szCs w:val="20"/>
        </w:rPr>
        <w:t xml:space="preserve">, for five years, and bonded himself in fifty pounds not to bake in that parish during the term. He resumed baking and Mitchel sued on the bond.</w:t>
      </w:r>
    </w:p>
    <w:p>
      <w:pPr>
        <w:spacing w:after="130" w:line="276"/>
        <w:jc w:val="both"/>
      </w:pPr>
      <w:r>
        <w:rPr>
          <w:rFonts w:ascii="Arial" w:cs="Arial" w:eastAsia="Arial" w:hAnsi="Arial"/>
          <w:b/>
          <w:bCs/>
          <w:color w:val="000000"/>
          <w:sz w:val="20"/>
          <w:szCs w:val="20"/>
        </w:rPr>
        <w:t xml:space="preserve">Decision.</w:t>
      </w:r>
      <w:r>
        <w:rPr>
          <w:rFonts w:ascii="Arial" w:cs="Arial" w:eastAsia="Arial" w:hAnsi="Arial"/>
          <w:color w:val="000000"/>
          <w:sz w:val="20"/>
          <w:szCs w:val="20"/>
        </w:rPr>
        <w:t xml:space="preserve"> The bond was enforced.</w:t>
      </w:r>
    </w:p>
    <w:p>
      <w:pPr>
        <w:spacing w:after="130" w:line="276"/>
        <w:jc w:val="both"/>
      </w:pPr>
      <w:r>
        <w:rPr>
          <w:rFonts w:ascii="Arial" w:cs="Arial" w:eastAsia="Arial" w:hAnsi="Arial"/>
          <w:b/>
          <w:bCs/>
          <w:color w:val="000000"/>
          <w:sz w:val="20"/>
          <w:szCs w:val="20"/>
        </w:rPr>
        <w:t xml:space="preserve">Principle.</w:t>
      </w:r>
      <w:r>
        <w:rPr>
          <w:rFonts w:ascii="Arial" w:cs="Arial" w:eastAsia="Arial" w:hAnsi="Arial"/>
          <w:color w:val="000000"/>
          <w:sz w:val="20"/>
          <w:szCs w:val="20"/>
        </w:rPr>
        <w:t xml:space="preserve"> A </w:t>
      </w:r>
      <w:r>
        <w:rPr>
          <w:rFonts w:ascii="Arial" w:cs="Arial" w:eastAsia="Arial" w:hAnsi="Arial"/>
          <w:b/>
          <w:bCs/>
          <w:color w:val="000000"/>
          <w:sz w:val="20"/>
          <w:szCs w:val="20"/>
        </w:rPr>
        <w:t xml:space="preserve">general restraint</w:t>
      </w:r>
      <w:r>
        <w:rPr>
          <w:rFonts w:ascii="Arial" w:cs="Arial" w:eastAsia="Arial" w:hAnsi="Arial"/>
          <w:color w:val="000000"/>
          <w:sz w:val="20"/>
          <w:szCs w:val="20"/>
        </w:rPr>
        <w:t xml:space="preserve">, unlimited as to space, is void. A </w:t>
      </w:r>
      <w:r>
        <w:rPr>
          <w:rFonts w:ascii="Arial" w:cs="Arial" w:eastAsia="Arial" w:hAnsi="Arial"/>
          <w:b/>
          <w:bCs/>
          <w:color w:val="000000"/>
          <w:sz w:val="20"/>
          <w:szCs w:val="20"/>
        </w:rPr>
        <w:t xml:space="preserve">particular restraint</w:t>
      </w:r>
      <w:r>
        <w:rPr>
          <w:rFonts w:ascii="Arial" w:cs="Arial" w:eastAsia="Arial" w:hAnsi="Arial"/>
          <w:color w:val="000000"/>
          <w:sz w:val="20"/>
          <w:szCs w:val="20"/>
        </w:rPr>
        <w:t xml:space="preserve">, limited in time and place and supported by good consideration, may be valid. All restraints of trade are presumed bad, but the presumption is </w:t>
      </w:r>
      <w:r>
        <w:rPr>
          <w:rFonts w:ascii="Arial" w:cs="Arial" w:eastAsia="Arial" w:hAnsi="Arial"/>
          <w:b/>
          <w:bCs/>
          <w:color w:val="000000"/>
          <w:sz w:val="20"/>
          <w:szCs w:val="20"/>
        </w:rPr>
        <w:t xml:space="preserve">rebuttable</w:t>
      </w:r>
      <w:r>
        <w:rPr>
          <w:rFonts w:ascii="Arial" w:cs="Arial" w:eastAsia="Arial" w:hAnsi="Arial"/>
          <w:color w:val="000000"/>
          <w:sz w:val="20"/>
          <w:szCs w:val="20"/>
        </w:rPr>
        <w:t xml:space="preserve">. This is the reasonableness idea that Section 27 of the Indian Contract Act deliberately rejected for post termination restraints. </w:t>
      </w:r>
      <w:r>
        <w:rPr>
          <w:rFonts w:ascii="Arial" w:cs="Arial" w:eastAsia="Arial" w:hAnsi="Arial"/>
          <w:i/>
          <w:iCs/>
          <w:color w:val="000000"/>
          <w:sz w:val="20"/>
          <w:szCs w:val="20"/>
        </w:rPr>
        <w:t xml:space="preserve">Slide error: the deck places the bakehouse in Liverpool. It was in London.</w:t>
      </w:r>
    </w:p>
    <w:p>
      <w:pPr>
        <w:pStyle w:val="Heading1"/>
        <w:pBdr>
          <w:bottom w:val="single" w:color="1F3864" w:sz="8" w:space="6"/>
        </w:pBdr>
        <w:spacing w:after="170" w:before="380"/>
      </w:pPr>
      <w:r>
        <w:rPr>
          <w:rFonts w:ascii="Arial" w:cs="Arial" w:eastAsia="Arial" w:hAnsi="Arial"/>
          <w:b/>
          <w:bCs/>
          <w:color w:val="1F3864"/>
          <w:sz w:val="28"/>
          <w:szCs w:val="28"/>
        </w:rPr>
        <w:t xml:space="preserve">Part 8.  Law Commission Report 289 and the 2024 Bill</w:t>
      </w:r>
    </w:p>
    <w:p>
      <w:pPr>
        <w:spacing w:after="130" w:line="276"/>
        <w:jc w:val="both"/>
      </w:pPr>
      <w:r>
        <w:rPr>
          <w:rFonts w:ascii="Arial" w:cs="Arial" w:eastAsia="Arial" w:hAnsi="Arial"/>
          <w:color w:val="000000"/>
          <w:sz w:val="20"/>
          <w:szCs w:val="20"/>
        </w:rPr>
        <w:t xml:space="preserve">The Department of Legal Affairs and the Legislative Department referred the question to the Law Commission by letter dated </w:t>
      </w:r>
      <w:r>
        <w:rPr>
          <w:rFonts w:ascii="Arial" w:cs="Arial" w:eastAsia="Arial" w:hAnsi="Arial"/>
          <w:b/>
          <w:bCs/>
          <w:color w:val="000000"/>
          <w:sz w:val="20"/>
          <w:szCs w:val="20"/>
        </w:rPr>
        <w:t xml:space="preserve">10 October 2017</w:t>
      </w:r>
      <w:r>
        <w:rPr>
          <w:rFonts w:ascii="Arial" w:cs="Arial" w:eastAsia="Arial" w:hAnsi="Arial"/>
          <w:color w:val="000000"/>
          <w:sz w:val="20"/>
          <w:szCs w:val="20"/>
        </w:rPr>
        <w:t xml:space="preserve">. The </w:t>
      </w:r>
      <w:r>
        <w:rPr>
          <w:rFonts w:ascii="Arial" w:cs="Arial" w:eastAsia="Arial" w:hAnsi="Arial"/>
          <w:b/>
          <w:bCs/>
          <w:color w:val="000000"/>
          <w:sz w:val="20"/>
          <w:szCs w:val="20"/>
        </w:rPr>
        <w:t xml:space="preserve">22nd Law Commission</w:t>
      </w:r>
      <w:r>
        <w:rPr>
          <w:rFonts w:ascii="Arial" w:cs="Arial" w:eastAsia="Arial" w:hAnsi="Arial"/>
          <w:color w:val="000000"/>
          <w:sz w:val="20"/>
          <w:szCs w:val="20"/>
        </w:rPr>
        <w:t xml:space="preserve">, chaired by </w:t>
      </w:r>
      <w:r>
        <w:rPr>
          <w:rFonts w:ascii="Arial" w:cs="Arial" w:eastAsia="Arial" w:hAnsi="Arial"/>
          <w:b/>
          <w:bCs/>
          <w:color w:val="000000"/>
          <w:sz w:val="20"/>
          <w:szCs w:val="20"/>
        </w:rPr>
        <w:t xml:space="preserve">Justice Ritu Raj Awasthi</w:t>
      </w:r>
      <w:r>
        <w:rPr>
          <w:rFonts w:ascii="Arial" w:cs="Arial" w:eastAsia="Arial" w:hAnsi="Arial"/>
          <w:color w:val="000000"/>
          <w:sz w:val="20"/>
          <w:szCs w:val="20"/>
        </w:rPr>
        <w:t xml:space="preserve">, submitted </w:t>
      </w:r>
      <w:r>
        <w:rPr>
          <w:rFonts w:ascii="Arial" w:cs="Arial" w:eastAsia="Arial" w:hAnsi="Arial"/>
          <w:b/>
          <w:bCs/>
          <w:color w:val="000000"/>
          <w:sz w:val="20"/>
          <w:szCs w:val="20"/>
        </w:rPr>
        <w:t xml:space="preserve">Report No 289, Trade Secrets and Economic Espionage</w:t>
      </w:r>
      <w:r>
        <w:rPr>
          <w:rFonts w:ascii="Arial" w:cs="Arial" w:eastAsia="Arial" w:hAnsi="Arial"/>
          <w:color w:val="000000"/>
          <w:sz w:val="20"/>
          <w:szCs w:val="20"/>
        </w:rPr>
        <w:t xml:space="preserve">, with a forwarding letter dated </w:t>
      </w:r>
      <w:r>
        <w:rPr>
          <w:rFonts w:ascii="Arial" w:cs="Arial" w:eastAsia="Arial" w:hAnsi="Arial"/>
          <w:b/>
          <w:bCs/>
          <w:color w:val="000000"/>
          <w:sz w:val="20"/>
          <w:szCs w:val="20"/>
        </w:rPr>
        <w:t xml:space="preserve">5 March 2024</w:t>
      </w:r>
      <w:r>
        <w:rPr>
          <w:rFonts w:ascii="Arial" w:cs="Arial" w:eastAsia="Arial" w:hAnsi="Arial"/>
          <w:color w:val="000000"/>
          <w:sz w:val="20"/>
          <w:szCs w:val="20"/>
        </w:rPr>
        <w:t xml:space="preserve">, recommending a standalone </w:t>
      </w:r>
      <w:r>
        <w:rPr>
          <w:rFonts w:ascii="Arial" w:cs="Arial" w:eastAsia="Arial" w:hAnsi="Arial"/>
          <w:i/>
          <w:iCs/>
          <w:color w:val="000000"/>
          <w:sz w:val="20"/>
          <w:szCs w:val="20"/>
        </w:rPr>
        <w:t xml:space="preserve">sui generis</w:t>
      </w:r>
      <w:r>
        <w:rPr>
          <w:rFonts w:ascii="Arial" w:cs="Arial" w:eastAsia="Arial" w:hAnsi="Arial"/>
          <w:color w:val="000000"/>
          <w:sz w:val="20"/>
          <w:szCs w:val="20"/>
        </w:rPr>
        <w:t xml:space="preserve"> statute and annexing a draft </w:t>
      </w:r>
      <w:r>
        <w:rPr>
          <w:rFonts w:ascii="Arial" w:cs="Arial" w:eastAsia="Arial" w:hAnsi="Arial"/>
          <w:b/>
          <w:bCs/>
          <w:color w:val="000000"/>
          <w:sz w:val="20"/>
          <w:szCs w:val="20"/>
        </w:rPr>
        <w:t xml:space="preserve">Protection of Trade Secrets Bill, 2024</w:t>
      </w:r>
      <w:r>
        <w:rPr>
          <w:rFonts w:ascii="Arial" w:cs="Arial" w:eastAsia="Arial" w:hAnsi="Arial"/>
          <w:color w:val="000000"/>
          <w:sz w:val="20"/>
          <w:szCs w:val="20"/>
        </w:rPr>
        <w:t xml:space="preserve"> of thirteen clauses in four chapters.</w:t>
      </w:r>
    </w:p>
    <w:p>
      <w:pPr>
        <w:pBdr>
          <w:top w:val="single" w:color="D6B656" w:sz="2" w:space="6"/>
          <w:bottom w:val="single" w:color="D6B656" w:sz="2" w:space="6"/>
          <w:left w:val="single" w:color="D6B656" w:sz="2" w:space="6"/>
          <w:right w:val="single" w:color="D6B656" w:sz="2" w:space="6"/>
        </w:pBdr>
        <w:shd w:fill="FFF2CC" w:val="clear"/>
        <w:spacing w:after="180" w:before="120" w:line="276"/>
        <w:ind w:left="170" w:right="170"/>
        <w:jc w:val="both"/>
      </w:pPr>
      <w:r>
        <w:rPr>
          <w:rFonts w:ascii="Arial" w:cs="Arial" w:eastAsia="Arial" w:hAnsi="Arial"/>
          <w:b/>
          <w:bCs/>
          <w:color w:val="000000"/>
          <w:sz w:val="20"/>
          <w:szCs w:val="20"/>
        </w:rPr>
        <w:t xml:space="preserve">As of early 2026 no Bill has been introduced in Parliament</w:t>
      </w:r>
      <w:r>
        <w:rPr>
          <w:rFonts w:ascii="Arial" w:cs="Arial" w:eastAsia="Arial" w:hAnsi="Arial"/>
          <w:color w:val="000000"/>
          <w:sz w:val="20"/>
          <w:szCs w:val="20"/>
        </w:rPr>
        <w:t xml:space="preserve"> and no formal Government response is recorded. Treat it as a recommendation, not as pending legislation.</w:t>
      </w:r>
    </w:p>
    <w:p>
      <w:pPr>
        <w:pStyle w:val="Heading3"/>
        <w:spacing w:after="80" w:before="200"/>
      </w:pPr>
      <w:r>
        <w:rPr>
          <w:rFonts w:ascii="Arial" w:cs="Arial" w:eastAsia="Arial" w:hAnsi="Arial"/>
          <w:b/>
          <w:bCs/>
          <w:color w:val="1F3864"/>
          <w:sz w:val="20"/>
          <w:szCs w:val="20"/>
        </w:rPr>
        <w:t xml:space="preserve">Key provisions</w:t>
      </w:r>
    </w:p>
    <w:p>
      <w:pPr>
        <w:spacing w:after="75" w:line="272"/>
        <w:ind w:left="440" w:hanging="290"/>
        <w:jc w:val="both"/>
      </w:pPr>
      <w:r>
        <w:rPr>
          <w:rFonts w:ascii="Arial" w:cs="Arial" w:eastAsia="Arial" w:hAnsi="Arial"/>
          <w:color w:val="000000"/>
          <w:sz w:val="20"/>
          <w:szCs w:val="20"/>
        </w:rPr>
        <w:t xml:space="preserve">1.  </w:t>
      </w:r>
      <w:r>
        <w:rPr>
          <w:rFonts w:ascii="Arial" w:cs="Arial" w:eastAsia="Arial" w:hAnsi="Arial"/>
          <w:b/>
          <w:bCs/>
          <w:color w:val="000000"/>
          <w:sz w:val="20"/>
          <w:szCs w:val="20"/>
        </w:rPr>
        <w:t xml:space="preserve">The definition</w:t>
      </w:r>
      <w:r>
        <w:rPr>
          <w:rFonts w:ascii="Arial" w:cs="Arial" w:eastAsia="Arial" w:hAnsi="Arial"/>
          <w:color w:val="000000"/>
          <w:sz w:val="20"/>
          <w:szCs w:val="20"/>
        </w:rPr>
        <w:t xml:space="preserve"> follows TRIPS Article 39, with no proprietary or monopoly conception.</w:t>
      </w:r>
    </w:p>
    <w:p>
      <w:pPr>
        <w:spacing w:after="75" w:line="272"/>
        <w:ind w:left="440" w:hanging="290"/>
        <w:jc w:val="both"/>
      </w:pPr>
      <w:r>
        <w:rPr>
          <w:rFonts w:ascii="Arial" w:cs="Arial" w:eastAsia="Arial" w:hAnsi="Arial"/>
          <w:color w:val="000000"/>
          <w:sz w:val="20"/>
          <w:szCs w:val="20"/>
        </w:rPr>
        <w:t xml:space="preserve">2.  </w:t>
      </w:r>
      <w:r>
        <w:rPr>
          <w:rFonts w:ascii="Arial" w:cs="Arial" w:eastAsia="Arial" w:hAnsi="Arial"/>
          <w:b/>
          <w:bCs/>
          <w:color w:val="000000"/>
          <w:sz w:val="20"/>
          <w:szCs w:val="20"/>
        </w:rPr>
        <w:t xml:space="preserve">Section 2(f)</w:t>
      </w:r>
      <w:r>
        <w:rPr>
          <w:rFonts w:ascii="Arial" w:cs="Arial" w:eastAsia="Arial" w:hAnsi="Arial"/>
          <w:color w:val="000000"/>
          <w:sz w:val="20"/>
          <w:szCs w:val="20"/>
        </w:rPr>
        <w:t xml:space="preserve"> explains that the experiences and skills acquired by an employee in the normal course are </w:t>
      </w:r>
      <w:r>
        <w:rPr>
          <w:rFonts w:ascii="Arial" w:cs="Arial" w:eastAsia="Arial" w:hAnsi="Arial"/>
          <w:b/>
          <w:bCs/>
          <w:color w:val="000000"/>
          <w:sz w:val="20"/>
          <w:szCs w:val="20"/>
        </w:rPr>
        <w:t xml:space="preserve">not</w:t>
      </w:r>
      <w:r>
        <w:rPr>
          <w:rFonts w:ascii="Arial" w:cs="Arial" w:eastAsia="Arial" w:hAnsi="Arial"/>
          <w:color w:val="000000"/>
          <w:sz w:val="20"/>
          <w:szCs w:val="20"/>
        </w:rPr>
        <w:t xml:space="preserve"> a trade secret, codifying the skill against secret line.</w:t>
      </w:r>
    </w:p>
    <w:p>
      <w:pPr>
        <w:spacing w:after="75" w:line="272"/>
        <w:ind w:left="440" w:hanging="290"/>
        <w:jc w:val="both"/>
      </w:pPr>
      <w:r>
        <w:rPr>
          <w:rFonts w:ascii="Arial" w:cs="Arial" w:eastAsia="Arial" w:hAnsi="Arial"/>
          <w:color w:val="000000"/>
          <w:sz w:val="20"/>
          <w:szCs w:val="20"/>
        </w:rPr>
        <w:t xml:space="preserve">3.  </w:t>
      </w:r>
      <w:r>
        <w:rPr>
          <w:rFonts w:ascii="Arial" w:cs="Arial" w:eastAsia="Arial" w:hAnsi="Arial"/>
          <w:b/>
          <w:bCs/>
          <w:color w:val="000000"/>
          <w:sz w:val="20"/>
          <w:szCs w:val="20"/>
        </w:rPr>
        <w:t xml:space="preserve">A statutory cause of action</w:t>
      </w:r>
      <w:r>
        <w:rPr>
          <w:rFonts w:ascii="Arial" w:cs="Arial" w:eastAsia="Arial" w:hAnsi="Arial"/>
          <w:color w:val="000000"/>
          <w:sz w:val="20"/>
          <w:szCs w:val="20"/>
        </w:rPr>
        <w:t xml:space="preserve"> for misappropriation, so a claimant no longer relies solely on contract or equity.</w:t>
      </w:r>
    </w:p>
    <w:p>
      <w:pPr>
        <w:spacing w:after="75" w:line="272"/>
        <w:ind w:left="440" w:hanging="290"/>
        <w:jc w:val="both"/>
      </w:pPr>
      <w:r>
        <w:rPr>
          <w:rFonts w:ascii="Arial" w:cs="Arial" w:eastAsia="Arial" w:hAnsi="Arial"/>
          <w:color w:val="000000"/>
          <w:sz w:val="20"/>
          <w:szCs w:val="20"/>
        </w:rPr>
        <w:t xml:space="preserve">4.  </w:t>
      </w:r>
      <w:r>
        <w:rPr>
          <w:rFonts w:ascii="Arial" w:cs="Arial" w:eastAsia="Arial" w:hAnsi="Arial"/>
          <w:b/>
          <w:bCs/>
          <w:color w:val="000000"/>
          <w:sz w:val="20"/>
          <w:szCs w:val="20"/>
        </w:rPr>
        <w:t xml:space="preserve">Misappropriation is defined</w:t>
      </w:r>
      <w:r>
        <w:rPr>
          <w:rFonts w:ascii="Arial" w:cs="Arial" w:eastAsia="Arial" w:hAnsi="Arial"/>
          <w:color w:val="000000"/>
          <w:sz w:val="20"/>
          <w:szCs w:val="20"/>
        </w:rPr>
        <w:t xml:space="preserve"> for the first time in Indian law: unauthorised acquisition by theft, bribery or misrepresentation; unauthorised use of a secret obtained by improper means; and unauthorised disclosure in breach of a duty of confidence. Liability extends to </w:t>
      </w:r>
      <w:r>
        <w:rPr>
          <w:rFonts w:ascii="Arial" w:cs="Arial" w:eastAsia="Arial" w:hAnsi="Arial"/>
          <w:b/>
          <w:bCs/>
          <w:color w:val="000000"/>
          <w:sz w:val="20"/>
          <w:szCs w:val="20"/>
        </w:rPr>
        <w:t xml:space="preserve">third party recipients who knew or had reason to know</w:t>
      </w:r>
      <w:r>
        <w:rPr>
          <w:rFonts w:ascii="Arial" w:cs="Arial" w:eastAsia="Arial" w:hAnsi="Arial"/>
          <w:color w:val="000000"/>
          <w:sz w:val="20"/>
          <w:szCs w:val="20"/>
        </w:rPr>
        <w:t xml:space="preserve">.</w:t>
      </w:r>
    </w:p>
    <w:p>
      <w:pPr>
        <w:spacing w:after="75" w:line="272"/>
        <w:ind w:left="440" w:hanging="290"/>
        <w:jc w:val="both"/>
      </w:pPr>
      <w:r>
        <w:rPr>
          <w:rFonts w:ascii="Arial" w:cs="Arial" w:eastAsia="Arial" w:hAnsi="Arial"/>
          <w:color w:val="000000"/>
          <w:sz w:val="20"/>
          <w:szCs w:val="20"/>
        </w:rPr>
        <w:t xml:space="preserve">5.  </w:t>
      </w:r>
      <w:r>
        <w:rPr>
          <w:rFonts w:ascii="Arial" w:cs="Arial" w:eastAsia="Arial" w:hAnsi="Arial"/>
          <w:b/>
          <w:bCs/>
          <w:color w:val="000000"/>
          <w:sz w:val="20"/>
          <w:szCs w:val="20"/>
        </w:rPr>
        <w:t xml:space="preserve">Reverse engineering and independent discovery are protected</w:t>
      </w:r>
      <w:r>
        <w:rPr>
          <w:rFonts w:ascii="Arial" w:cs="Arial" w:eastAsia="Arial" w:hAnsi="Arial"/>
          <w:color w:val="000000"/>
          <w:sz w:val="20"/>
          <w:szCs w:val="20"/>
        </w:rPr>
        <w:t xml:space="preserve">, so protection does not become a monopoly on knowledge.</w:t>
      </w:r>
    </w:p>
    <w:p>
      <w:pPr>
        <w:spacing w:after="75" w:line="272"/>
        <w:ind w:left="440" w:hanging="290"/>
        <w:jc w:val="both"/>
      </w:pPr>
      <w:r>
        <w:rPr>
          <w:rFonts w:ascii="Arial" w:cs="Arial" w:eastAsia="Arial" w:hAnsi="Arial"/>
          <w:color w:val="000000"/>
          <w:sz w:val="20"/>
          <w:szCs w:val="20"/>
        </w:rPr>
        <w:t xml:space="preserve">6.  </w:t>
      </w:r>
      <w:r>
        <w:rPr>
          <w:rFonts w:ascii="Arial" w:cs="Arial" w:eastAsia="Arial" w:hAnsi="Arial"/>
          <w:b/>
          <w:bCs/>
          <w:color w:val="000000"/>
          <w:sz w:val="20"/>
          <w:szCs w:val="20"/>
        </w:rPr>
        <w:t xml:space="preserve">Section 5</w:t>
      </w:r>
      <w:r>
        <w:rPr>
          <w:rFonts w:ascii="Arial" w:cs="Arial" w:eastAsia="Arial" w:hAnsi="Arial"/>
          <w:color w:val="000000"/>
          <w:sz w:val="20"/>
          <w:szCs w:val="20"/>
        </w:rPr>
        <w:t xml:space="preserve"> creates a whistleblower and public interest defence.</w:t>
      </w:r>
    </w:p>
    <w:p>
      <w:pPr>
        <w:spacing w:after="75" w:line="272"/>
        <w:ind w:left="440" w:hanging="290"/>
        <w:jc w:val="both"/>
      </w:pPr>
      <w:r>
        <w:rPr>
          <w:rFonts w:ascii="Arial" w:cs="Arial" w:eastAsia="Arial" w:hAnsi="Arial"/>
          <w:color w:val="000000"/>
          <w:sz w:val="20"/>
          <w:szCs w:val="20"/>
        </w:rPr>
        <w:t xml:space="preserve">7.  </w:t>
      </w:r>
      <w:r>
        <w:rPr>
          <w:rFonts w:ascii="Arial" w:cs="Arial" w:eastAsia="Arial" w:hAnsi="Arial"/>
          <w:b/>
          <w:bCs/>
          <w:color w:val="000000"/>
          <w:sz w:val="20"/>
          <w:szCs w:val="20"/>
        </w:rPr>
        <w:t xml:space="preserve">Section 6</w:t>
      </w:r>
      <w:r>
        <w:rPr>
          <w:rFonts w:ascii="Arial" w:cs="Arial" w:eastAsia="Arial" w:hAnsi="Arial"/>
          <w:color w:val="000000"/>
          <w:sz w:val="20"/>
          <w:szCs w:val="20"/>
        </w:rPr>
        <w:t xml:space="preserve"> permits </w:t>
      </w:r>
      <w:r>
        <w:rPr>
          <w:rFonts w:ascii="Arial" w:cs="Arial" w:eastAsia="Arial" w:hAnsi="Arial"/>
          <w:b/>
          <w:bCs/>
          <w:color w:val="000000"/>
          <w:sz w:val="20"/>
          <w:szCs w:val="20"/>
        </w:rPr>
        <w:t xml:space="preserve">compulsory licensing</w:t>
      </w:r>
      <w:r>
        <w:rPr>
          <w:rFonts w:ascii="Arial" w:cs="Arial" w:eastAsia="Arial" w:hAnsi="Arial"/>
          <w:color w:val="000000"/>
          <w:sz w:val="20"/>
          <w:szCs w:val="20"/>
        </w:rPr>
        <w:t xml:space="preserve"> in a national emergency or extreme urgency involving substantial public interest, such as public health, with confidentiality obligations and licence fees, terminable when the emergency ceases. Disclosure is to a licensee, not to the public.</w:t>
      </w:r>
    </w:p>
    <w:p>
      <w:pPr>
        <w:spacing w:after="75" w:line="272"/>
        <w:ind w:left="440" w:hanging="290"/>
        <w:jc w:val="both"/>
      </w:pPr>
      <w:r>
        <w:rPr>
          <w:rFonts w:ascii="Arial" w:cs="Arial" w:eastAsia="Arial" w:hAnsi="Arial"/>
          <w:color w:val="000000"/>
          <w:sz w:val="20"/>
          <w:szCs w:val="20"/>
        </w:rPr>
        <w:t xml:space="preserve">8.  </w:t>
      </w:r>
      <w:r>
        <w:rPr>
          <w:rFonts w:ascii="Arial" w:cs="Arial" w:eastAsia="Arial" w:hAnsi="Arial"/>
          <w:b/>
          <w:bCs/>
          <w:color w:val="000000"/>
          <w:sz w:val="20"/>
          <w:szCs w:val="20"/>
        </w:rPr>
        <w:t xml:space="preserve">Section 7</w:t>
      </w:r>
      <w:r>
        <w:rPr>
          <w:rFonts w:ascii="Arial" w:cs="Arial" w:eastAsia="Arial" w:hAnsi="Arial"/>
          <w:color w:val="000000"/>
          <w:sz w:val="20"/>
          <w:szCs w:val="20"/>
        </w:rPr>
        <w:t xml:space="preserve"> gives injunction, damages or an account of profits, and destruction of infringing material. </w:t>
      </w:r>
      <w:r>
        <w:rPr>
          <w:rFonts w:ascii="Arial" w:cs="Arial" w:eastAsia="Arial" w:hAnsi="Arial"/>
          <w:b/>
          <w:bCs/>
          <w:color w:val="000000"/>
          <w:sz w:val="20"/>
          <w:szCs w:val="20"/>
        </w:rPr>
        <w:t xml:space="preserve">Section 8</w:t>
      </w:r>
      <w:r>
        <w:rPr>
          <w:rFonts w:ascii="Arial" w:cs="Arial" w:eastAsia="Arial" w:hAnsi="Arial"/>
          <w:color w:val="000000"/>
          <w:sz w:val="20"/>
          <w:szCs w:val="20"/>
        </w:rPr>
        <w:t xml:space="preserve"> gives jurisdiction to the </w:t>
      </w:r>
      <w:r>
        <w:rPr>
          <w:rFonts w:ascii="Arial" w:cs="Arial" w:eastAsia="Arial" w:hAnsi="Arial"/>
          <w:b/>
          <w:bCs/>
          <w:color w:val="000000"/>
          <w:sz w:val="20"/>
          <w:szCs w:val="20"/>
        </w:rPr>
        <w:t xml:space="preserve">Commercial Courts</w:t>
      </w:r>
      <w:r>
        <w:rPr>
          <w:rFonts w:ascii="Arial" w:cs="Arial" w:eastAsia="Arial" w:hAnsi="Arial"/>
          <w:color w:val="000000"/>
          <w:sz w:val="20"/>
          <w:szCs w:val="20"/>
        </w:rPr>
        <w:t xml:space="preserve">. </w:t>
      </w:r>
      <w:r>
        <w:rPr>
          <w:rFonts w:ascii="Arial" w:cs="Arial" w:eastAsia="Arial" w:hAnsi="Arial"/>
          <w:b/>
          <w:bCs/>
          <w:color w:val="000000"/>
          <w:sz w:val="20"/>
          <w:szCs w:val="20"/>
        </w:rPr>
        <w:t xml:space="preserve">Section 9</w:t>
      </w:r>
      <w:r>
        <w:rPr>
          <w:rFonts w:ascii="Arial" w:cs="Arial" w:eastAsia="Arial" w:hAnsi="Arial"/>
          <w:color w:val="000000"/>
          <w:sz w:val="20"/>
          <w:szCs w:val="20"/>
        </w:rPr>
        <w:t xml:space="preserve"> preserves confidentiality of proceedings.</w:t>
      </w:r>
    </w:p>
    <w:p>
      <w:pPr>
        <w:spacing w:after="75" w:line="272"/>
        <w:ind w:left="440" w:hanging="290"/>
        <w:jc w:val="both"/>
      </w:pPr>
      <w:r>
        <w:rPr>
          <w:rFonts w:ascii="Arial" w:cs="Arial" w:eastAsia="Arial" w:hAnsi="Arial"/>
          <w:color w:val="000000"/>
          <w:sz w:val="20"/>
          <w:szCs w:val="20"/>
        </w:rPr>
        <w:t xml:space="preserve">9.  </w:t>
      </w:r>
      <w:r>
        <w:rPr>
          <w:rFonts w:ascii="Arial" w:cs="Arial" w:eastAsia="Arial" w:hAnsi="Arial"/>
          <w:b/>
          <w:bCs/>
          <w:color w:val="000000"/>
          <w:sz w:val="20"/>
          <w:szCs w:val="20"/>
        </w:rPr>
        <w:t xml:space="preserve">Section 10</w:t>
      </w:r>
      <w:r>
        <w:rPr>
          <w:rFonts w:ascii="Arial" w:cs="Arial" w:eastAsia="Arial" w:hAnsi="Arial"/>
          <w:color w:val="000000"/>
          <w:sz w:val="20"/>
          <w:szCs w:val="20"/>
        </w:rPr>
        <w:t xml:space="preserve"> gives a remedy for </w:t>
      </w:r>
      <w:r>
        <w:rPr>
          <w:rFonts w:ascii="Arial" w:cs="Arial" w:eastAsia="Arial" w:hAnsi="Arial"/>
          <w:b/>
          <w:bCs/>
          <w:color w:val="000000"/>
          <w:sz w:val="20"/>
          <w:szCs w:val="20"/>
        </w:rPr>
        <w:t xml:space="preserve">groundless threats</w:t>
      </w:r>
      <w:r>
        <w:rPr>
          <w:rFonts w:ascii="Arial" w:cs="Arial" w:eastAsia="Arial" w:hAnsi="Arial"/>
          <w:color w:val="000000"/>
          <w:sz w:val="20"/>
          <w:szCs w:val="20"/>
        </w:rPr>
        <w:t xml:space="preserve">, protecting employees whose mobility is curtailed under the guise of trade secrecy. </w:t>
      </w:r>
      <w:r>
        <w:rPr>
          <w:rFonts w:ascii="Arial" w:cs="Arial" w:eastAsia="Arial" w:hAnsi="Arial"/>
          <w:b/>
          <w:bCs/>
          <w:color w:val="000000"/>
          <w:sz w:val="20"/>
          <w:szCs w:val="20"/>
        </w:rPr>
        <w:t xml:space="preserve">Section 13</w:t>
      </w:r>
      <w:r>
        <w:rPr>
          <w:rFonts w:ascii="Arial" w:cs="Arial" w:eastAsia="Arial" w:hAnsi="Arial"/>
          <w:color w:val="000000"/>
          <w:sz w:val="20"/>
          <w:szCs w:val="20"/>
        </w:rPr>
        <w:t xml:space="preserve"> is a savings clause.</w:t>
      </w:r>
    </w:p>
    <w:p>
      <w:pPr>
        <w:spacing w:after="75" w:line="272"/>
        <w:ind w:left="440" w:hanging="290"/>
        <w:jc w:val="both"/>
      </w:pPr>
      <w:r>
        <w:rPr>
          <w:rFonts w:ascii="Arial" w:cs="Arial" w:eastAsia="Arial" w:hAnsi="Arial"/>
          <w:color w:val="000000"/>
          <w:sz w:val="20"/>
          <w:szCs w:val="20"/>
        </w:rPr>
        <w:t xml:space="preserve">10.  </w:t>
      </w:r>
      <w:r>
        <w:rPr>
          <w:rFonts w:ascii="Arial" w:cs="Arial" w:eastAsia="Arial" w:hAnsi="Arial"/>
          <w:b/>
          <w:bCs/>
          <w:color w:val="000000"/>
          <w:sz w:val="20"/>
          <w:szCs w:val="20"/>
        </w:rPr>
        <w:t xml:space="preserve">No registry</w:t>
      </w:r>
      <w:r>
        <w:rPr>
          <w:rFonts w:ascii="Arial" w:cs="Arial" w:eastAsia="Arial" w:hAnsi="Arial"/>
          <w:color w:val="000000"/>
          <w:sz w:val="20"/>
          <w:szCs w:val="20"/>
        </w:rPr>
        <w:t xml:space="preserve"> is created, a mandatory registry having been rejected because of the risk of leakage, and the Bill provides </w:t>
      </w:r>
      <w:r>
        <w:rPr>
          <w:rFonts w:ascii="Arial" w:cs="Arial" w:eastAsia="Arial" w:hAnsi="Arial"/>
          <w:b/>
          <w:bCs/>
          <w:color w:val="000000"/>
          <w:sz w:val="20"/>
          <w:szCs w:val="20"/>
        </w:rPr>
        <w:t xml:space="preserve">civil remedies only</w:t>
      </w:r>
      <w:r>
        <w:rPr>
          <w:rFonts w:ascii="Arial" w:cs="Arial" w:eastAsia="Arial" w:hAnsi="Arial"/>
          <w:color w:val="000000"/>
          <w:sz w:val="20"/>
          <w:szCs w:val="20"/>
        </w:rPr>
        <w:t xml:space="preserve">.</w:t>
      </w:r>
    </w:p>
    <w:p>
      <w:pPr>
        <w:pStyle w:val="Heading3"/>
        <w:spacing w:after="80" w:before="200"/>
      </w:pPr>
      <w:r>
        <w:rPr>
          <w:rFonts w:ascii="Arial" w:cs="Arial" w:eastAsia="Arial" w:hAnsi="Arial"/>
          <w:b/>
          <w:bCs/>
          <w:color w:val="1F3864"/>
          <w:sz w:val="20"/>
          <w:szCs w:val="20"/>
        </w:rPr>
        <w:t xml:space="preserve">Remaining gaps</w:t>
      </w:r>
    </w:p>
    <w:p>
      <w:pPr>
        <w:spacing w:after="75" w:line="272"/>
        <w:ind w:left="440" w:hanging="290"/>
        <w:jc w:val="both"/>
      </w:pPr>
      <w:r>
        <w:rPr>
          <w:rFonts w:ascii="Arial" w:cs="Arial" w:eastAsia="Arial" w:hAnsi="Arial"/>
          <w:color w:val="000000"/>
          <w:sz w:val="20"/>
          <w:szCs w:val="20"/>
        </w:rPr>
        <w:t xml:space="preserve">1.  </w:t>
      </w:r>
      <w:r>
        <w:rPr>
          <w:rFonts w:ascii="Arial" w:cs="Arial" w:eastAsia="Arial" w:hAnsi="Arial"/>
          <w:b/>
          <w:bCs/>
          <w:color w:val="000000"/>
          <w:sz w:val="20"/>
          <w:szCs w:val="20"/>
        </w:rPr>
        <w:t xml:space="preserve">The Section 27 conflict is unresolved</w:t>
      </w:r>
      <w:r>
        <w:rPr>
          <w:rFonts w:ascii="Arial" w:cs="Arial" w:eastAsia="Arial" w:hAnsi="Arial"/>
          <w:color w:val="000000"/>
          <w:sz w:val="20"/>
          <w:szCs w:val="20"/>
        </w:rPr>
        <w:t xml:space="preserve">, because the Bill does not amend or address it, so post termination voidness remains.</w:t>
      </w:r>
    </w:p>
    <w:p>
      <w:pPr>
        <w:spacing w:after="75" w:line="272"/>
        <w:ind w:left="440" w:hanging="290"/>
        <w:jc w:val="both"/>
      </w:pPr>
      <w:r>
        <w:rPr>
          <w:rFonts w:ascii="Arial" w:cs="Arial" w:eastAsia="Arial" w:hAnsi="Arial"/>
          <w:color w:val="000000"/>
          <w:sz w:val="20"/>
          <w:szCs w:val="20"/>
        </w:rPr>
        <w:t xml:space="preserve">2.  </w:t>
      </w:r>
      <w:r>
        <w:rPr>
          <w:rFonts w:ascii="Arial" w:cs="Arial" w:eastAsia="Arial" w:hAnsi="Arial"/>
          <w:b/>
          <w:bCs/>
          <w:color w:val="000000"/>
          <w:sz w:val="20"/>
          <w:szCs w:val="20"/>
        </w:rPr>
        <w:t xml:space="preserve">No criminal sanctions</w:t>
      </w:r>
      <w:r>
        <w:rPr>
          <w:rFonts w:ascii="Arial" w:cs="Arial" w:eastAsia="Arial" w:hAnsi="Arial"/>
          <w:color w:val="000000"/>
          <w:sz w:val="20"/>
          <w:szCs w:val="20"/>
        </w:rPr>
        <w:t xml:space="preserve">, which may limit deterrence against sophisticated espionage.</w:t>
      </w:r>
    </w:p>
    <w:p>
      <w:pPr>
        <w:spacing w:after="75" w:line="272"/>
        <w:ind w:left="440" w:hanging="290"/>
        <w:jc w:val="both"/>
      </w:pPr>
      <w:r>
        <w:rPr>
          <w:rFonts w:ascii="Arial" w:cs="Arial" w:eastAsia="Arial" w:hAnsi="Arial"/>
          <w:color w:val="000000"/>
          <w:sz w:val="20"/>
          <w:szCs w:val="20"/>
        </w:rPr>
        <w:t xml:space="preserve">3.  </w:t>
      </w:r>
      <w:r>
        <w:rPr>
          <w:rFonts w:ascii="Arial" w:cs="Arial" w:eastAsia="Arial" w:hAnsi="Arial"/>
          <w:b/>
          <w:bCs/>
          <w:color w:val="000000"/>
          <w:sz w:val="20"/>
          <w:szCs w:val="20"/>
        </w:rPr>
        <w:t xml:space="preserve">No Anton Piller framework</w:t>
      </w:r>
      <w:r>
        <w:rPr>
          <w:rFonts w:ascii="Arial" w:cs="Arial" w:eastAsia="Arial" w:hAnsi="Arial"/>
          <w:color w:val="000000"/>
          <w:sz w:val="20"/>
          <w:szCs w:val="20"/>
        </w:rPr>
        <w:t xml:space="preserve">, leaving that powerful remedy unregulated.</w:t>
      </w:r>
    </w:p>
    <w:p>
      <w:pPr>
        <w:spacing w:after="75" w:line="272"/>
        <w:ind w:left="440" w:hanging="290"/>
        <w:jc w:val="both"/>
      </w:pPr>
      <w:r>
        <w:rPr>
          <w:rFonts w:ascii="Arial" w:cs="Arial" w:eastAsia="Arial" w:hAnsi="Arial"/>
          <w:color w:val="000000"/>
          <w:sz w:val="20"/>
          <w:szCs w:val="20"/>
        </w:rPr>
        <w:t xml:space="preserve">4.  </w:t>
      </w:r>
      <w:r>
        <w:rPr>
          <w:rFonts w:ascii="Arial" w:cs="Arial" w:eastAsia="Arial" w:hAnsi="Arial"/>
          <w:b/>
          <w:bCs/>
          <w:color w:val="000000"/>
          <w:sz w:val="20"/>
          <w:szCs w:val="20"/>
        </w:rPr>
        <w:t xml:space="preserve">The specificity standard</w:t>
      </w:r>
      <w:r>
        <w:rPr>
          <w:rFonts w:ascii="Arial" w:cs="Arial" w:eastAsia="Arial" w:hAnsi="Arial"/>
          <w:color w:val="000000"/>
          <w:sz w:val="20"/>
          <w:szCs w:val="20"/>
        </w:rPr>
        <w:t xml:space="preserve"> identified in </w:t>
      </w:r>
      <w:r>
        <w:rPr>
          <w:rFonts w:ascii="Arial" w:cs="Arial" w:eastAsia="Arial" w:hAnsi="Arial"/>
          <w:b/>
          <w:bCs/>
          <w:i/>
          <w:iCs/>
          <w:color w:val="000000"/>
          <w:sz w:val="20"/>
          <w:szCs w:val="20"/>
        </w:rPr>
        <w:t xml:space="preserve">Navigators Logistics</w:t>
      </w:r>
      <w:r>
        <w:rPr>
          <w:rFonts w:ascii="Arial" w:cs="Arial" w:eastAsia="Arial" w:hAnsi="Arial"/>
          <w:color w:val="000000"/>
          <w:sz w:val="20"/>
          <w:szCs w:val="20"/>
        </w:rPr>
        <w:t xml:space="preserve"> is not resolved, so pleading uncertainty may persist.</w:t>
      </w:r>
    </w:p>
    <w:p>
      <w:pPr>
        <w:pStyle w:val="Heading1"/>
        <w:pBdr>
          <w:bottom w:val="single" w:color="1F3864" w:sz="8" w:space="6"/>
        </w:pBdr>
        <w:spacing w:after="170" w:before="380"/>
      </w:pPr>
      <w:r>
        <w:rPr>
          <w:rFonts w:ascii="Arial" w:cs="Arial" w:eastAsia="Arial" w:hAnsi="Arial"/>
          <w:b/>
          <w:bCs/>
          <w:color w:val="1F3864"/>
          <w:sz w:val="28"/>
          <w:szCs w:val="28"/>
        </w:rPr>
        <w:t xml:space="preserve">Part 9.  Revision</w:t>
      </w:r>
    </w:p>
    <w:p>
      <w:pPr>
        <w:pStyle w:val="Heading2"/>
        <w:spacing w:after="95" w:before="250"/>
      </w:pPr>
      <w:r>
        <w:rPr>
          <w:rFonts w:ascii="Arial" w:cs="Arial" w:eastAsia="Arial" w:hAnsi="Arial"/>
          <w:b/>
          <w:bCs/>
          <w:color w:val="1F3864"/>
          <w:sz w:val="23"/>
          <w:szCs w:val="23"/>
        </w:rPr>
        <w:t xml:space="preserve">9.1  Dates and numbers</w:t>
      </w:r>
    </w:p>
    <w:p>
      <w:pPr>
        <w:spacing w:after="75" w:line="272"/>
        <w:ind w:left="440" w:hanging="290"/>
        <w:jc w:val="both"/>
      </w:pPr>
      <w:r>
        <w:rPr>
          <w:rFonts w:ascii="Arial" w:cs="Arial" w:eastAsia="Arial" w:hAnsi="Arial"/>
          <w:color w:val="000000"/>
          <w:sz w:val="20"/>
          <w:szCs w:val="20"/>
        </w:rPr>
        <w:t xml:space="preserve">1.  </w:t>
      </w:r>
      <w:r>
        <w:rPr>
          <w:rFonts w:ascii="Arial" w:cs="Arial" w:eastAsia="Arial" w:hAnsi="Arial"/>
          <w:b/>
          <w:bCs/>
          <w:color w:val="000000"/>
          <w:sz w:val="20"/>
          <w:szCs w:val="20"/>
        </w:rPr>
        <w:t xml:space="preserve">Restatement of Torts, 1939</w:t>
      </w:r>
      <w:r>
        <w:rPr>
          <w:rFonts w:ascii="Arial" w:cs="Arial" w:eastAsia="Arial" w:hAnsi="Arial"/>
          <w:color w:val="000000"/>
          <w:sz w:val="20"/>
          <w:szCs w:val="20"/>
        </w:rPr>
        <w:t xml:space="preserve">, Section 757 comment b, six factor test. Restatement (Third), </w:t>
      </w:r>
      <w:r>
        <w:rPr>
          <w:rFonts w:ascii="Arial" w:cs="Arial" w:eastAsia="Arial" w:hAnsi="Arial"/>
          <w:b/>
          <w:bCs/>
          <w:color w:val="000000"/>
          <w:sz w:val="20"/>
          <w:szCs w:val="20"/>
        </w:rPr>
        <w:t xml:space="preserve">1993</w:t>
      </w:r>
      <w:r>
        <w:rPr>
          <w:rFonts w:ascii="Arial" w:cs="Arial" w:eastAsia="Arial" w:hAnsi="Arial"/>
          <w:color w:val="000000"/>
          <w:sz w:val="20"/>
          <w:szCs w:val="20"/>
        </w:rPr>
        <w:t xml:space="preserve">, Sections 39 to 45.</w:t>
      </w:r>
    </w:p>
    <w:p>
      <w:pPr>
        <w:spacing w:after="75" w:line="272"/>
        <w:ind w:left="440" w:hanging="290"/>
        <w:jc w:val="both"/>
      </w:pPr>
      <w:r>
        <w:rPr>
          <w:rFonts w:ascii="Arial" w:cs="Arial" w:eastAsia="Arial" w:hAnsi="Arial"/>
          <w:color w:val="000000"/>
          <w:sz w:val="20"/>
          <w:szCs w:val="20"/>
        </w:rPr>
        <w:t xml:space="preserve">2.  </w:t>
      </w:r>
      <w:r>
        <w:rPr>
          <w:rFonts w:ascii="Arial" w:cs="Arial" w:eastAsia="Arial" w:hAnsi="Arial"/>
          <w:b/>
          <w:bCs/>
          <w:color w:val="000000"/>
          <w:sz w:val="20"/>
          <w:szCs w:val="20"/>
        </w:rPr>
        <w:t xml:space="preserve">Uniform Trade Secrets Act, 1979</w:t>
      </w:r>
      <w:r>
        <w:rPr>
          <w:rFonts w:ascii="Arial" w:cs="Arial" w:eastAsia="Arial" w:hAnsi="Arial"/>
          <w:color w:val="000000"/>
          <w:sz w:val="20"/>
          <w:szCs w:val="20"/>
        </w:rPr>
        <w:t xml:space="preserve">, amended </w:t>
      </w:r>
      <w:r>
        <w:rPr>
          <w:rFonts w:ascii="Arial" w:cs="Arial" w:eastAsia="Arial" w:hAnsi="Arial"/>
          <w:b/>
          <w:bCs/>
          <w:color w:val="000000"/>
          <w:sz w:val="20"/>
          <w:szCs w:val="20"/>
        </w:rPr>
        <w:t xml:space="preserve">1985</w:t>
      </w:r>
      <w:r>
        <w:rPr>
          <w:rFonts w:ascii="Arial" w:cs="Arial" w:eastAsia="Arial" w:hAnsi="Arial"/>
          <w:color w:val="000000"/>
          <w:sz w:val="20"/>
          <w:szCs w:val="20"/>
        </w:rPr>
        <w:t xml:space="preserve">. Forty nine States plus three other jurisdictions; not New York.</w:t>
      </w:r>
    </w:p>
    <w:p>
      <w:pPr>
        <w:spacing w:after="75" w:line="272"/>
        <w:ind w:left="440" w:hanging="290"/>
        <w:jc w:val="both"/>
      </w:pPr>
      <w:r>
        <w:rPr>
          <w:rFonts w:ascii="Arial" w:cs="Arial" w:eastAsia="Arial" w:hAnsi="Arial"/>
          <w:color w:val="000000"/>
          <w:sz w:val="20"/>
          <w:szCs w:val="20"/>
        </w:rPr>
        <w:t xml:space="preserve">3.  </w:t>
      </w:r>
      <w:r>
        <w:rPr>
          <w:rFonts w:ascii="Arial" w:cs="Arial" w:eastAsia="Arial" w:hAnsi="Arial"/>
          <w:b/>
          <w:bCs/>
          <w:color w:val="000000"/>
          <w:sz w:val="20"/>
          <w:szCs w:val="20"/>
        </w:rPr>
        <w:t xml:space="preserve">Trade Secrets Act, 1948</w:t>
      </w:r>
      <w:r>
        <w:rPr>
          <w:rFonts w:ascii="Arial" w:cs="Arial" w:eastAsia="Arial" w:hAnsi="Arial"/>
          <w:color w:val="000000"/>
          <w:sz w:val="20"/>
          <w:szCs w:val="20"/>
        </w:rPr>
        <w:t xml:space="preserve">, 18 USC 1905, imprisonment up to one year.</w:t>
      </w:r>
    </w:p>
    <w:p>
      <w:pPr>
        <w:spacing w:after="75" w:line="272"/>
        <w:ind w:left="440" w:hanging="290"/>
        <w:jc w:val="both"/>
      </w:pPr>
      <w:r>
        <w:rPr>
          <w:rFonts w:ascii="Arial" w:cs="Arial" w:eastAsia="Arial" w:hAnsi="Arial"/>
          <w:color w:val="000000"/>
          <w:sz w:val="20"/>
          <w:szCs w:val="20"/>
        </w:rPr>
        <w:t xml:space="preserve">4.  </w:t>
      </w:r>
      <w:r>
        <w:rPr>
          <w:rFonts w:ascii="Arial" w:cs="Arial" w:eastAsia="Arial" w:hAnsi="Arial"/>
          <w:b/>
          <w:bCs/>
          <w:color w:val="000000"/>
          <w:sz w:val="20"/>
          <w:szCs w:val="20"/>
        </w:rPr>
        <w:t xml:space="preserve">Economic Espionage Act, 1996</w:t>
      </w:r>
      <w:r>
        <w:rPr>
          <w:rFonts w:ascii="Arial" w:cs="Arial" w:eastAsia="Arial" w:hAnsi="Arial"/>
          <w:color w:val="000000"/>
          <w:sz w:val="20"/>
          <w:szCs w:val="20"/>
        </w:rPr>
        <w:t xml:space="preserve">, 18 USC 1831 to 1839. Section 1831 foreign benefit, Section 1832 economic benefit.</w:t>
      </w:r>
    </w:p>
    <w:p>
      <w:pPr>
        <w:spacing w:after="75" w:line="272"/>
        <w:ind w:left="440" w:hanging="290"/>
        <w:jc w:val="both"/>
      </w:pPr>
      <w:r>
        <w:rPr>
          <w:rFonts w:ascii="Arial" w:cs="Arial" w:eastAsia="Arial" w:hAnsi="Arial"/>
          <w:color w:val="000000"/>
          <w:sz w:val="20"/>
          <w:szCs w:val="20"/>
        </w:rPr>
        <w:t xml:space="preserve">5.  </w:t>
      </w:r>
      <w:r>
        <w:rPr>
          <w:rFonts w:ascii="Arial" w:cs="Arial" w:eastAsia="Arial" w:hAnsi="Arial"/>
          <w:b/>
          <w:bCs/>
          <w:color w:val="000000"/>
          <w:sz w:val="20"/>
          <w:szCs w:val="20"/>
        </w:rPr>
        <w:t xml:space="preserve">Defend Trade Secrets Act, 2016.</w:t>
      </w:r>
      <w:r>
        <w:rPr>
          <w:rFonts w:ascii="Arial" w:cs="Arial" w:eastAsia="Arial" w:hAnsi="Arial"/>
          <w:color w:val="000000"/>
          <w:sz w:val="20"/>
          <w:szCs w:val="20"/>
        </w:rPr>
        <w:t xml:space="preserve"> Eight seizure conditions, hearing within seven days, exemplary damages up to twice the compensatory award, limitation three years.</w:t>
      </w:r>
    </w:p>
    <w:p>
      <w:pPr>
        <w:spacing w:after="75" w:line="272"/>
        <w:ind w:left="440" w:hanging="290"/>
        <w:jc w:val="both"/>
      </w:pPr>
      <w:r>
        <w:rPr>
          <w:rFonts w:ascii="Arial" w:cs="Arial" w:eastAsia="Arial" w:hAnsi="Arial"/>
          <w:color w:val="000000"/>
          <w:sz w:val="20"/>
          <w:szCs w:val="20"/>
        </w:rPr>
        <w:t xml:space="preserve">6.  </w:t>
      </w:r>
      <w:r>
        <w:rPr>
          <w:rFonts w:ascii="Arial" w:cs="Arial" w:eastAsia="Arial" w:hAnsi="Arial"/>
          <w:b/>
          <w:bCs/>
          <w:color w:val="000000"/>
          <w:sz w:val="20"/>
          <w:szCs w:val="20"/>
        </w:rPr>
        <w:t xml:space="preserve">Directive (EU) 2016/943</w:t>
      </w:r>
      <w:r>
        <w:rPr>
          <w:rFonts w:ascii="Arial" w:cs="Arial" w:eastAsia="Arial" w:hAnsi="Arial"/>
          <w:color w:val="000000"/>
          <w:sz w:val="20"/>
          <w:szCs w:val="20"/>
        </w:rPr>
        <w:t xml:space="preserve">, adopted 8 June 2016, compliance by 9 June 2018.</w:t>
      </w:r>
    </w:p>
    <w:p>
      <w:pPr>
        <w:spacing w:after="75" w:line="272"/>
        <w:ind w:left="440" w:hanging="290"/>
        <w:jc w:val="both"/>
      </w:pPr>
      <w:r>
        <w:rPr>
          <w:rFonts w:ascii="Arial" w:cs="Arial" w:eastAsia="Arial" w:hAnsi="Arial"/>
          <w:color w:val="000000"/>
          <w:sz w:val="20"/>
          <w:szCs w:val="20"/>
        </w:rPr>
        <w:t xml:space="preserve">7.  </w:t>
      </w:r>
      <w:r>
        <w:rPr>
          <w:rFonts w:ascii="Arial" w:cs="Arial" w:eastAsia="Arial" w:hAnsi="Arial"/>
          <w:b/>
          <w:bCs/>
          <w:color w:val="000000"/>
          <w:sz w:val="20"/>
          <w:szCs w:val="20"/>
        </w:rPr>
        <w:t xml:space="preserve">TRIPS Article 39</w:t>
      </w:r>
      <w:r>
        <w:rPr>
          <w:rFonts w:ascii="Arial" w:cs="Arial" w:eastAsia="Arial" w:hAnsi="Arial"/>
          <w:color w:val="000000"/>
          <w:sz w:val="20"/>
          <w:szCs w:val="20"/>
        </w:rPr>
        <w:t xml:space="preserve">, with Articles 42, 44 and 45. </w:t>
      </w:r>
      <w:r>
        <w:rPr>
          <w:rFonts w:ascii="Arial" w:cs="Arial" w:eastAsia="Arial" w:hAnsi="Arial"/>
          <w:b/>
          <w:bCs/>
          <w:color w:val="000000"/>
          <w:sz w:val="20"/>
          <w:szCs w:val="20"/>
        </w:rPr>
        <w:t xml:space="preserve">Paris Articles 10bis and 10ter.</w:t>
      </w:r>
    </w:p>
    <w:p>
      <w:pPr>
        <w:spacing w:after="75" w:line="272"/>
        <w:ind w:left="440" w:hanging="290"/>
        <w:jc w:val="both"/>
      </w:pPr>
      <w:r>
        <w:rPr>
          <w:rFonts w:ascii="Arial" w:cs="Arial" w:eastAsia="Arial" w:hAnsi="Arial"/>
          <w:color w:val="000000"/>
          <w:sz w:val="20"/>
          <w:szCs w:val="20"/>
        </w:rPr>
        <w:t xml:space="preserve">8.  </w:t>
      </w:r>
      <w:r>
        <w:rPr>
          <w:rFonts w:ascii="Arial" w:cs="Arial" w:eastAsia="Arial" w:hAnsi="Arial"/>
          <w:b/>
          <w:bCs/>
          <w:color w:val="000000"/>
          <w:sz w:val="20"/>
          <w:szCs w:val="20"/>
        </w:rPr>
        <w:t xml:space="preserve">Section 27</w:t>
      </w:r>
      <w:r>
        <w:rPr>
          <w:rFonts w:ascii="Arial" w:cs="Arial" w:eastAsia="Arial" w:hAnsi="Arial"/>
          <w:color w:val="000000"/>
          <w:sz w:val="20"/>
          <w:szCs w:val="20"/>
        </w:rPr>
        <w:t xml:space="preserve"> Contract Act, single goodwill exception. </w:t>
      </w:r>
      <w:r>
        <w:rPr>
          <w:rFonts w:ascii="Arial" w:cs="Arial" w:eastAsia="Arial" w:hAnsi="Arial"/>
          <w:b/>
          <w:bCs/>
          <w:color w:val="000000"/>
          <w:sz w:val="20"/>
          <w:szCs w:val="20"/>
        </w:rPr>
        <w:t xml:space="preserve">Sections 2(o)</w:t>
      </w:r>
      <w:r>
        <w:rPr>
          <w:rFonts w:ascii="Arial" w:cs="Arial" w:eastAsia="Arial" w:hAnsi="Arial"/>
          <w:color w:val="000000"/>
          <w:sz w:val="20"/>
          <w:szCs w:val="20"/>
        </w:rPr>
        <w:t xml:space="preserve"> and </w:t>
      </w:r>
      <w:r>
        <w:rPr>
          <w:rFonts w:ascii="Arial" w:cs="Arial" w:eastAsia="Arial" w:hAnsi="Arial"/>
          <w:b/>
          <w:bCs/>
          <w:color w:val="000000"/>
          <w:sz w:val="20"/>
          <w:szCs w:val="20"/>
        </w:rPr>
        <w:t xml:space="preserve">15(2)</w:t>
      </w:r>
      <w:r>
        <w:rPr>
          <w:rFonts w:ascii="Arial" w:cs="Arial" w:eastAsia="Arial" w:hAnsi="Arial"/>
          <w:color w:val="000000"/>
          <w:sz w:val="20"/>
          <w:szCs w:val="20"/>
        </w:rPr>
        <w:t xml:space="preserve"> Copyright Act. </w:t>
      </w:r>
      <w:r>
        <w:rPr>
          <w:rFonts w:ascii="Arial" w:cs="Arial" w:eastAsia="Arial" w:hAnsi="Arial"/>
          <w:b/>
          <w:bCs/>
          <w:color w:val="000000"/>
          <w:sz w:val="20"/>
          <w:szCs w:val="20"/>
        </w:rPr>
        <w:t xml:space="preserve">Sections 43, 43A, 66, 72, 72A</w:t>
      </w:r>
      <w:r>
        <w:rPr>
          <w:rFonts w:ascii="Arial" w:cs="Arial" w:eastAsia="Arial" w:hAnsi="Arial"/>
          <w:color w:val="000000"/>
          <w:sz w:val="20"/>
          <w:szCs w:val="20"/>
        </w:rPr>
        <w:t xml:space="preserve"> Information Technology Act.</w:t>
      </w:r>
    </w:p>
    <w:p>
      <w:pPr>
        <w:spacing w:after="75" w:line="272"/>
        <w:ind w:left="440" w:hanging="290"/>
        <w:jc w:val="both"/>
      </w:pPr>
      <w:r>
        <w:rPr>
          <w:rFonts w:ascii="Arial" w:cs="Arial" w:eastAsia="Arial" w:hAnsi="Arial"/>
          <w:color w:val="000000"/>
          <w:sz w:val="20"/>
          <w:szCs w:val="20"/>
        </w:rPr>
        <w:t xml:space="preserve">9.  </w:t>
      </w:r>
      <w:r>
        <w:rPr>
          <w:rFonts w:ascii="Arial" w:cs="Arial" w:eastAsia="Arial" w:hAnsi="Arial"/>
          <w:b/>
          <w:bCs/>
          <w:color w:val="000000"/>
          <w:sz w:val="20"/>
          <w:szCs w:val="20"/>
        </w:rPr>
        <w:t xml:space="preserve">Law Commission Report No 289</w:t>
      </w:r>
      <w:r>
        <w:rPr>
          <w:rFonts w:ascii="Arial" w:cs="Arial" w:eastAsia="Arial" w:hAnsi="Arial"/>
          <w:color w:val="000000"/>
          <w:sz w:val="20"/>
          <w:szCs w:val="20"/>
        </w:rPr>
        <w:t xml:space="preserve">, March 2024, draft Bill of thirteen clauses in four chapters, not enacted.</w:t>
      </w:r>
    </w:p>
    <w:p>
      <w:pPr>
        <w:pStyle w:val="Heading2"/>
        <w:spacing w:after="95" w:before="250"/>
      </w:pPr>
      <w:r>
        <w:rPr>
          <w:rFonts w:ascii="Arial" w:cs="Arial" w:eastAsia="Arial" w:hAnsi="Arial"/>
          <w:b/>
          <w:bCs/>
          <w:color w:val="1F3864"/>
          <w:sz w:val="23"/>
          <w:szCs w:val="23"/>
        </w:rPr>
        <w:t xml:space="preserve">9.2  Likely questions and the skeleton of an answer</w:t>
      </w:r>
    </w:p>
    <w:p>
      <w:pPr>
        <w:spacing w:after="75" w:line="272"/>
        <w:ind w:left="440" w:hanging="290"/>
        <w:jc w:val="both"/>
      </w:pPr>
      <w:r>
        <w:rPr>
          <w:rFonts w:ascii="Arial" w:cs="Arial" w:eastAsia="Arial" w:hAnsi="Arial"/>
          <w:color w:val="000000"/>
          <w:sz w:val="20"/>
          <w:szCs w:val="20"/>
        </w:rPr>
        <w:t xml:space="preserve">1.  </w:t>
      </w:r>
      <w:r>
        <w:rPr>
          <w:rFonts w:ascii="Arial" w:cs="Arial" w:eastAsia="Arial" w:hAnsi="Arial"/>
          <w:b/>
          <w:bCs/>
          <w:color w:val="000000"/>
          <w:sz w:val="20"/>
          <w:szCs w:val="20"/>
        </w:rPr>
        <w:t xml:space="preserve">Is a trade secret really intellectual property?</w:t>
      </w:r>
      <w:r>
        <w:rPr>
          <w:rFonts w:ascii="Arial" w:cs="Arial" w:eastAsia="Arial" w:hAnsi="Arial"/>
          <w:color w:val="000000"/>
          <w:sz w:val="20"/>
          <w:szCs w:val="20"/>
        </w:rPr>
        <w:t xml:space="preserve"> The five properties, the three it fails, then the conclusion that it is a negative right protected by liability rules rather than a property right protected by exclusivity.</w:t>
      </w:r>
    </w:p>
    <w:p>
      <w:pPr>
        <w:spacing w:after="75" w:line="272"/>
        <w:ind w:left="440" w:hanging="290"/>
        <w:jc w:val="both"/>
      </w:pPr>
      <w:r>
        <w:rPr>
          <w:rFonts w:ascii="Arial" w:cs="Arial" w:eastAsia="Arial" w:hAnsi="Arial"/>
          <w:color w:val="000000"/>
          <w:sz w:val="20"/>
          <w:szCs w:val="20"/>
        </w:rPr>
        <w:t xml:space="preserve">2.  </w:t>
      </w:r>
      <w:r>
        <w:rPr>
          <w:rFonts w:ascii="Arial" w:cs="Arial" w:eastAsia="Arial" w:hAnsi="Arial"/>
          <w:b/>
          <w:bCs/>
          <w:color w:val="000000"/>
          <w:sz w:val="20"/>
          <w:szCs w:val="20"/>
        </w:rPr>
        <w:t xml:space="preserve">The three ingredients with sources.</w:t>
      </w:r>
      <w:r>
        <w:rPr>
          <w:rFonts w:ascii="Arial" w:cs="Arial" w:eastAsia="Arial" w:hAnsi="Arial"/>
          <w:color w:val="000000"/>
          <w:sz w:val="20"/>
          <w:szCs w:val="20"/>
        </w:rPr>
        <w:t xml:space="preserve"> Secrecy, value from secrecy, reasonable steps, with TRIPS 39(2), the Uniform Act and Article 2(1), closing on convergence.</w:t>
      </w:r>
    </w:p>
    <w:p>
      <w:pPr>
        <w:spacing w:after="75" w:line="272"/>
        <w:ind w:left="440" w:hanging="290"/>
        <w:jc w:val="both"/>
      </w:pPr>
      <w:r>
        <w:rPr>
          <w:rFonts w:ascii="Arial" w:cs="Arial" w:eastAsia="Arial" w:hAnsi="Arial"/>
          <w:color w:val="000000"/>
          <w:sz w:val="20"/>
          <w:szCs w:val="20"/>
        </w:rPr>
        <w:t xml:space="preserve">3.  </w:t>
      </w:r>
      <w:r>
        <w:rPr>
          <w:rFonts w:ascii="Arial" w:cs="Arial" w:eastAsia="Arial" w:hAnsi="Arial"/>
          <w:b/>
          <w:bCs/>
          <w:color w:val="000000"/>
          <w:sz w:val="20"/>
          <w:szCs w:val="20"/>
        </w:rPr>
        <w:t xml:space="preserve">Patent or secrecy, advise a client.</w:t>
      </w:r>
      <w:r>
        <w:rPr>
          <w:rFonts w:ascii="Arial" w:cs="Arial" w:eastAsia="Arial" w:hAnsi="Arial"/>
          <w:color w:val="000000"/>
          <w:sz w:val="20"/>
          <w:szCs w:val="20"/>
        </w:rPr>
        <w:t xml:space="preserve"> The seven questions, the reverse engineering test, Section 3(k), and the risk of a third party patent.</w:t>
      </w:r>
    </w:p>
    <w:p>
      <w:pPr>
        <w:spacing w:after="75" w:line="272"/>
        <w:ind w:left="440" w:hanging="290"/>
        <w:jc w:val="both"/>
      </w:pPr>
      <w:r>
        <w:rPr>
          <w:rFonts w:ascii="Arial" w:cs="Arial" w:eastAsia="Arial" w:hAnsi="Arial"/>
          <w:color w:val="000000"/>
          <w:sz w:val="20"/>
          <w:szCs w:val="20"/>
        </w:rPr>
        <w:t xml:space="preserve">4.  </w:t>
      </w:r>
      <w:r>
        <w:rPr>
          <w:rFonts w:ascii="Arial" w:cs="Arial" w:eastAsia="Arial" w:hAnsi="Arial"/>
          <w:b/>
          <w:bCs/>
          <w:color w:val="000000"/>
          <w:sz w:val="20"/>
          <w:szCs w:val="20"/>
        </w:rPr>
        <w:t xml:space="preserve">How is a trade secret established?</w:t>
      </w:r>
      <w:r>
        <w:rPr>
          <w:rFonts w:ascii="Arial" w:cs="Arial" w:eastAsia="Arial" w:hAnsi="Arial"/>
          <w:color w:val="000000"/>
          <w:sz w:val="20"/>
          <w:szCs w:val="20"/>
        </w:rPr>
        <w:t xml:space="preserve"> The six factors, the Defendability Factor, EONA, existence as a question of fact, and the four rung burden ladder.</w:t>
      </w:r>
    </w:p>
    <w:p>
      <w:pPr>
        <w:spacing w:after="75" w:line="272"/>
        <w:ind w:left="440" w:hanging="290"/>
        <w:jc w:val="both"/>
      </w:pPr>
      <w:r>
        <w:rPr>
          <w:rFonts w:ascii="Arial" w:cs="Arial" w:eastAsia="Arial" w:hAnsi="Arial"/>
          <w:color w:val="000000"/>
          <w:sz w:val="20"/>
          <w:szCs w:val="20"/>
        </w:rPr>
        <w:t xml:space="preserve">5.  </w:t>
      </w:r>
      <w:r>
        <w:rPr>
          <w:rFonts w:ascii="Arial" w:cs="Arial" w:eastAsia="Arial" w:hAnsi="Arial"/>
          <w:b/>
          <w:bCs/>
          <w:color w:val="000000"/>
          <w:sz w:val="20"/>
          <w:szCs w:val="20"/>
        </w:rPr>
        <w:t xml:space="preserve">Inevitable disclosure in India.</w:t>
      </w:r>
      <w:r>
        <w:rPr>
          <w:rFonts w:ascii="Arial" w:cs="Arial" w:eastAsia="Arial" w:hAnsi="Arial"/>
          <w:color w:val="000000"/>
          <w:sz w:val="20"/>
          <w:szCs w:val="20"/>
        </w:rPr>
        <w:t xml:space="preserve"> </w:t>
      </w:r>
      <w:r>
        <w:rPr>
          <w:rFonts w:ascii="Arial" w:cs="Arial" w:eastAsia="Arial" w:hAnsi="Arial"/>
          <w:b/>
          <w:bCs/>
          <w:i/>
          <w:iCs/>
          <w:color w:val="000000"/>
          <w:sz w:val="20"/>
          <w:szCs w:val="20"/>
        </w:rPr>
        <w:t xml:space="preserve">PepsiCo v Redmond</w:t>
      </w:r>
      <w:r>
        <w:rPr>
          <w:rFonts w:ascii="Arial" w:cs="Arial" w:eastAsia="Arial" w:hAnsi="Arial"/>
          <w:color w:val="000000"/>
          <w:sz w:val="20"/>
          <w:szCs w:val="20"/>
        </w:rPr>
        <w:t xml:space="preserve">, New York and California, 18 USC 1836(b)(3)(A), then </w:t>
      </w:r>
      <w:r>
        <w:rPr>
          <w:rFonts w:ascii="Arial" w:cs="Arial" w:eastAsia="Arial" w:hAnsi="Arial"/>
          <w:b/>
          <w:bCs/>
          <w:i/>
          <w:iCs/>
          <w:color w:val="000000"/>
          <w:sz w:val="20"/>
          <w:szCs w:val="20"/>
        </w:rPr>
        <w:t xml:space="preserve">Priya Puri</w:t>
      </w:r>
      <w:r>
        <w:rPr>
          <w:rFonts w:ascii="Arial" w:cs="Arial" w:eastAsia="Arial" w:hAnsi="Arial"/>
          <w:color w:val="000000"/>
          <w:sz w:val="20"/>
          <w:szCs w:val="20"/>
        </w:rPr>
        <w:t xml:space="preserve"> and </w:t>
      </w:r>
      <w:r>
        <w:rPr>
          <w:rFonts w:ascii="Arial" w:cs="Arial" w:eastAsia="Arial" w:hAnsi="Arial"/>
          <w:b/>
          <w:bCs/>
          <w:i/>
          <w:iCs/>
          <w:color w:val="000000"/>
          <w:sz w:val="20"/>
          <w:szCs w:val="20"/>
        </w:rPr>
        <w:t xml:space="preserve">Varun Tyagi</w:t>
      </w:r>
      <w:r>
        <w:rPr>
          <w:rFonts w:ascii="Arial" w:cs="Arial" w:eastAsia="Arial" w:hAnsi="Arial"/>
          <w:color w:val="000000"/>
          <w:sz w:val="20"/>
          <w:szCs w:val="20"/>
        </w:rPr>
        <w:t xml:space="preserve">.</w:t>
      </w:r>
    </w:p>
    <w:p>
      <w:pPr>
        <w:spacing w:after="75" w:line="272"/>
        <w:ind w:left="440" w:hanging="290"/>
        <w:jc w:val="both"/>
      </w:pPr>
      <w:r>
        <w:rPr>
          <w:rFonts w:ascii="Arial" w:cs="Arial" w:eastAsia="Arial" w:hAnsi="Arial"/>
          <w:color w:val="000000"/>
          <w:sz w:val="20"/>
          <w:szCs w:val="20"/>
        </w:rPr>
        <w:t xml:space="preserve">6.  </w:t>
      </w:r>
      <w:r>
        <w:rPr>
          <w:rFonts w:ascii="Arial" w:cs="Arial" w:eastAsia="Arial" w:hAnsi="Arial"/>
          <w:b/>
          <w:bCs/>
          <w:color w:val="000000"/>
          <w:sz w:val="20"/>
          <w:szCs w:val="20"/>
        </w:rPr>
        <w:t xml:space="preserve">Does Section 27 obstruct innovation?</w:t>
      </w:r>
      <w:r>
        <w:rPr>
          <w:rFonts w:ascii="Arial" w:cs="Arial" w:eastAsia="Arial" w:hAnsi="Arial"/>
          <w:color w:val="000000"/>
          <w:sz w:val="20"/>
          <w:szCs w:val="20"/>
        </w:rPr>
        <w:t xml:space="preserve"> The text and single exception, the during and after distinction, </w:t>
      </w:r>
      <w:r>
        <w:rPr>
          <w:rFonts w:ascii="Arial" w:cs="Arial" w:eastAsia="Arial" w:hAnsi="Arial"/>
          <w:b/>
          <w:bCs/>
          <w:i/>
          <w:iCs/>
          <w:color w:val="000000"/>
          <w:sz w:val="20"/>
          <w:szCs w:val="20"/>
        </w:rPr>
        <w:t xml:space="preserve">Krishan Murgai</w:t>
      </w:r>
      <w:r>
        <w:rPr>
          <w:rFonts w:ascii="Arial" w:cs="Arial" w:eastAsia="Arial" w:hAnsi="Arial"/>
          <w:color w:val="000000"/>
          <w:sz w:val="20"/>
          <w:szCs w:val="20"/>
        </w:rPr>
        <w:t xml:space="preserve"> stated accurately, </w:t>
      </w:r>
      <w:r>
        <w:rPr>
          <w:rFonts w:ascii="Arial" w:cs="Arial" w:eastAsia="Arial" w:hAnsi="Arial"/>
          <w:b/>
          <w:bCs/>
          <w:i/>
          <w:iCs/>
          <w:color w:val="000000"/>
          <w:sz w:val="20"/>
          <w:szCs w:val="20"/>
        </w:rPr>
        <w:t xml:space="preserve">Percept</w:t>
      </w:r>
      <w:r>
        <w:rPr>
          <w:rFonts w:ascii="Arial" w:cs="Arial" w:eastAsia="Arial" w:hAnsi="Arial"/>
          <w:color w:val="000000"/>
          <w:sz w:val="20"/>
          <w:szCs w:val="20"/>
        </w:rPr>
        <w:t xml:space="preserve">, </w:t>
      </w:r>
      <w:r>
        <w:rPr>
          <w:rFonts w:ascii="Arial" w:cs="Arial" w:eastAsia="Arial" w:hAnsi="Arial"/>
          <w:b/>
          <w:bCs/>
          <w:i/>
          <w:iCs/>
          <w:color w:val="000000"/>
          <w:sz w:val="20"/>
          <w:szCs w:val="20"/>
        </w:rPr>
        <w:t xml:space="preserve">Varun Tyagi</w:t>
      </w:r>
      <w:r>
        <w:rPr>
          <w:rFonts w:ascii="Arial" w:cs="Arial" w:eastAsia="Arial" w:hAnsi="Arial"/>
          <w:color w:val="000000"/>
          <w:sz w:val="20"/>
          <w:szCs w:val="20"/>
        </w:rPr>
        <w:t xml:space="preserve">, Articles 19(1)(g) and 21, the labour mobility argument, and the Bill's silence on Section 27.</w:t>
      </w:r>
    </w:p>
    <w:p>
      <w:pPr>
        <w:spacing w:after="75" w:line="272"/>
        <w:ind w:left="440" w:hanging="290"/>
        <w:jc w:val="both"/>
      </w:pPr>
      <w:r>
        <w:rPr>
          <w:rFonts w:ascii="Arial" w:cs="Arial" w:eastAsia="Arial" w:hAnsi="Arial"/>
          <w:color w:val="000000"/>
          <w:sz w:val="20"/>
          <w:szCs w:val="20"/>
        </w:rPr>
        <w:t xml:space="preserve">7.  </w:t>
      </w:r>
      <w:r>
        <w:rPr>
          <w:rFonts w:ascii="Arial" w:cs="Arial" w:eastAsia="Arial" w:hAnsi="Arial"/>
          <w:b/>
          <w:bCs/>
          <w:color w:val="000000"/>
          <w:sz w:val="20"/>
          <w:szCs w:val="20"/>
        </w:rPr>
        <w:t xml:space="preserve">Compare the American and European systems.</w:t>
      </w:r>
      <w:r>
        <w:rPr>
          <w:rFonts w:ascii="Arial" w:cs="Arial" w:eastAsia="Arial" w:hAnsi="Arial"/>
          <w:color w:val="000000"/>
          <w:sz w:val="20"/>
          <w:szCs w:val="20"/>
        </w:rPr>
        <w:t xml:space="preserve"> Definition, misappropriation, Article 4(5), the worker consultation safe harbour, whistleblower scope, litigation confidentiality, and criminal liability against none.</w:t>
      </w:r>
    </w:p>
    <w:p>
      <w:pPr>
        <w:spacing w:after="75" w:line="272"/>
        <w:ind w:left="440" w:hanging="290"/>
        <w:jc w:val="both"/>
      </w:pPr>
      <w:r>
        <w:rPr>
          <w:rFonts w:ascii="Arial" w:cs="Arial" w:eastAsia="Arial" w:hAnsi="Arial"/>
          <w:color w:val="000000"/>
          <w:sz w:val="20"/>
          <w:szCs w:val="20"/>
        </w:rPr>
        <w:t xml:space="preserve">8.  </w:t>
      </w:r>
      <w:r>
        <w:rPr>
          <w:rFonts w:ascii="Arial" w:cs="Arial" w:eastAsia="Arial" w:hAnsi="Arial"/>
          <w:b/>
          <w:bCs/>
          <w:color w:val="000000"/>
          <w:sz w:val="20"/>
          <w:szCs w:val="20"/>
        </w:rPr>
        <w:t xml:space="preserve">How does India protect secrets without a statute?</w:t>
      </w:r>
      <w:r>
        <w:rPr>
          <w:rFonts w:ascii="Arial" w:cs="Arial" w:eastAsia="Arial" w:hAnsi="Arial"/>
          <w:color w:val="000000"/>
          <w:sz w:val="20"/>
          <w:szCs w:val="20"/>
        </w:rPr>
        <w:t xml:space="preserve"> Contract, the </w:t>
      </w:r>
      <w:r>
        <w:rPr>
          <w:rFonts w:ascii="Arial" w:cs="Arial" w:eastAsia="Arial" w:hAnsi="Arial"/>
          <w:b/>
          <w:bCs/>
          <w:i/>
          <w:iCs/>
          <w:color w:val="000000"/>
          <w:sz w:val="20"/>
          <w:szCs w:val="20"/>
        </w:rPr>
        <w:t xml:space="preserve">Coco</w:t>
      </w:r>
      <w:r>
        <w:rPr>
          <w:rFonts w:ascii="Arial" w:cs="Arial" w:eastAsia="Arial" w:hAnsi="Arial"/>
          <w:color w:val="000000"/>
          <w:sz w:val="20"/>
          <w:szCs w:val="20"/>
        </w:rPr>
        <w:t xml:space="preserve"> test, </w:t>
      </w:r>
      <w:r>
        <w:rPr>
          <w:rFonts w:ascii="Arial" w:cs="Arial" w:eastAsia="Arial" w:hAnsi="Arial"/>
          <w:b/>
          <w:bCs/>
          <w:i/>
          <w:iCs/>
          <w:color w:val="000000"/>
          <w:sz w:val="20"/>
          <w:szCs w:val="20"/>
        </w:rPr>
        <w:t xml:space="preserve">Brady</w:t>
      </w:r>
      <w:r>
        <w:rPr>
          <w:rFonts w:ascii="Arial" w:cs="Arial" w:eastAsia="Arial" w:hAnsi="Arial"/>
          <w:color w:val="000000"/>
          <w:sz w:val="20"/>
          <w:szCs w:val="20"/>
        </w:rPr>
        <w:t xml:space="preserve"> and the springboard, </w:t>
      </w:r>
      <w:r>
        <w:rPr>
          <w:rFonts w:ascii="Arial" w:cs="Arial" w:eastAsia="Arial" w:hAnsi="Arial"/>
          <w:b/>
          <w:bCs/>
          <w:i/>
          <w:iCs/>
          <w:color w:val="000000"/>
          <w:sz w:val="20"/>
          <w:szCs w:val="20"/>
        </w:rPr>
        <w:t xml:space="preserve">Zee Telefilms</w:t>
      </w:r>
      <w:r>
        <w:rPr>
          <w:rFonts w:ascii="Arial" w:cs="Arial" w:eastAsia="Arial" w:hAnsi="Arial"/>
          <w:color w:val="000000"/>
          <w:sz w:val="20"/>
          <w:szCs w:val="20"/>
        </w:rPr>
        <w:t xml:space="preserve">, Section 2(o), </w:t>
      </w:r>
      <w:r>
        <w:rPr>
          <w:rFonts w:ascii="Arial" w:cs="Arial" w:eastAsia="Arial" w:hAnsi="Arial"/>
          <w:b/>
          <w:bCs/>
          <w:i/>
          <w:iCs/>
          <w:color w:val="000000"/>
          <w:sz w:val="20"/>
          <w:szCs w:val="20"/>
        </w:rPr>
        <w:t xml:space="preserve">Homag</w:t>
      </w:r>
      <w:r>
        <w:rPr>
          <w:rFonts w:ascii="Arial" w:cs="Arial" w:eastAsia="Arial" w:hAnsi="Arial"/>
          <w:color w:val="000000"/>
          <w:sz w:val="20"/>
          <w:szCs w:val="20"/>
        </w:rPr>
        <w:t xml:space="preserve"> and </w:t>
      </w:r>
      <w:r>
        <w:rPr>
          <w:rFonts w:ascii="Arial" w:cs="Arial" w:eastAsia="Arial" w:hAnsi="Arial"/>
          <w:b/>
          <w:bCs/>
          <w:i/>
          <w:iCs/>
          <w:color w:val="000000"/>
          <w:sz w:val="20"/>
          <w:szCs w:val="20"/>
        </w:rPr>
        <w:t xml:space="preserve">Saltman</w:t>
      </w:r>
      <w:r>
        <w:rPr>
          <w:rFonts w:ascii="Arial" w:cs="Arial" w:eastAsia="Arial" w:hAnsi="Arial"/>
          <w:color w:val="000000"/>
          <w:sz w:val="20"/>
          <w:szCs w:val="20"/>
        </w:rPr>
        <w:t xml:space="preserve">, the Information Technology Act, and the absence of a criminal offence.</w:t>
      </w:r>
    </w:p>
    <w:p>
      <w:pPr>
        <w:spacing w:after="75" w:line="272"/>
        <w:ind w:left="440" w:hanging="290"/>
        <w:jc w:val="both"/>
      </w:pPr>
      <w:r>
        <w:rPr>
          <w:rFonts w:ascii="Arial" w:cs="Arial" w:eastAsia="Arial" w:hAnsi="Arial"/>
          <w:color w:val="000000"/>
          <w:sz w:val="20"/>
          <w:szCs w:val="20"/>
        </w:rPr>
        <w:t xml:space="preserve">9.  </w:t>
      </w:r>
      <w:r>
        <w:rPr>
          <w:rFonts w:ascii="Arial" w:cs="Arial" w:eastAsia="Arial" w:hAnsi="Arial"/>
          <w:b/>
          <w:bCs/>
          <w:color w:val="000000"/>
          <w:sz w:val="20"/>
          <w:szCs w:val="20"/>
        </w:rPr>
        <w:t xml:space="preserve">Assess the 2024 Bill.</w:t>
      </w:r>
      <w:r>
        <w:rPr>
          <w:rFonts w:ascii="Arial" w:cs="Arial" w:eastAsia="Arial" w:hAnsi="Arial"/>
          <w:color w:val="000000"/>
          <w:sz w:val="20"/>
          <w:szCs w:val="20"/>
        </w:rPr>
        <w:t xml:space="preserve"> Origin, statutory cause of action, definition of misappropriation, protected practices, whistleblower defence, Section 6, Section 2(f), Section 10, then the four gaps.</w:t>
      </w:r>
    </w:p>
    <w:p>
      <w:pPr>
        <w:pStyle w:val="Heading2"/>
        <w:spacing w:after="95" w:before="250"/>
      </w:pPr>
      <w:r>
        <w:rPr>
          <w:rFonts w:ascii="Arial" w:cs="Arial" w:eastAsia="Arial" w:hAnsi="Arial"/>
          <w:b/>
          <w:bCs/>
          <w:color w:val="1F3864"/>
          <w:sz w:val="23"/>
          <w:szCs w:val="23"/>
        </w:rPr>
        <w:t xml:space="preserve">9.3  Three closing lines that work anywhere</w:t>
      </w:r>
    </w:p>
    <w:p>
      <w:pPr>
        <w:pBdr>
          <w:top w:val="single" w:color="D6B656" w:sz="2" w:space="6"/>
          <w:bottom w:val="single" w:color="D6B656" w:sz="2" w:space="6"/>
          <w:left w:val="single" w:color="D6B656" w:sz="2" w:space="6"/>
          <w:right w:val="single" w:color="D6B656" w:sz="2" w:space="6"/>
        </w:pBdr>
        <w:shd w:fill="FFF2CC" w:val="clear"/>
        <w:spacing w:after="180" w:before="120" w:line="276"/>
        <w:ind w:left="170" w:right="170"/>
        <w:jc w:val="both"/>
      </w:pPr>
      <w:r>
        <w:rPr>
          <w:rFonts w:ascii="Arial" w:cs="Arial" w:eastAsia="Arial" w:hAnsi="Arial"/>
          <w:b/>
          <w:bCs/>
          <w:color w:val="000000"/>
          <w:sz w:val="20"/>
          <w:szCs w:val="20"/>
        </w:rPr>
        <w:t xml:space="preserve">1.</w:t>
      </w:r>
      <w:r>
        <w:rPr>
          <w:rFonts w:ascii="Arial" w:cs="Arial" w:eastAsia="Arial" w:hAnsi="Arial"/>
          <w:color w:val="000000"/>
          <w:sz w:val="20"/>
          <w:szCs w:val="20"/>
        </w:rPr>
        <w:t xml:space="preserve"> On definition the world has converged; on remedies, procedure and criminal liability it has not.  </w:t>
      </w:r>
      <w:r>
        <w:rPr>
          <w:rFonts w:ascii="Arial" w:cs="Arial" w:eastAsia="Arial" w:hAnsi="Arial"/>
          <w:b/>
          <w:bCs/>
          <w:color w:val="000000"/>
          <w:sz w:val="20"/>
          <w:szCs w:val="20"/>
        </w:rPr>
        <w:t xml:space="preserve">2.</w:t>
      </w:r>
      <w:r>
        <w:rPr>
          <w:rFonts w:ascii="Arial" w:cs="Arial" w:eastAsia="Arial" w:hAnsi="Arial"/>
          <w:color w:val="000000"/>
          <w:sz w:val="20"/>
          <w:szCs w:val="20"/>
        </w:rPr>
        <w:t xml:space="preserve"> In India, draft the confidentiality clause, not the non compete.  </w:t>
      </w:r>
      <w:r>
        <w:rPr>
          <w:rFonts w:ascii="Arial" w:cs="Arial" w:eastAsia="Arial" w:hAnsi="Arial"/>
          <w:b/>
          <w:bCs/>
          <w:color w:val="000000"/>
          <w:sz w:val="20"/>
          <w:szCs w:val="20"/>
        </w:rPr>
        <w:t xml:space="preserve">3.</w:t>
      </w:r>
      <w:r>
        <w:rPr>
          <w:rFonts w:ascii="Arial" w:cs="Arial" w:eastAsia="Arial" w:hAnsi="Arial"/>
          <w:color w:val="000000"/>
          <w:sz w:val="20"/>
          <w:szCs w:val="20"/>
        </w:rPr>
        <w:t xml:space="preserve"> A trade secret exists only when a court says it does, which is why the evidence layer, and not the contract, decides most cases.</w:t>
      </w:r>
    </w:p>
    <w:p>
      <w:pPr>
        <w:pStyle w:val="Heading1"/>
        <w:pBdr>
          <w:bottom w:val="single" w:color="1F3864" w:sz="8" w:space="6"/>
        </w:pBdr>
        <w:spacing w:after="170" w:before="380"/>
      </w:pPr>
      <w:r>
        <w:rPr>
          <w:rFonts w:ascii="Arial" w:cs="Arial" w:eastAsia="Arial" w:hAnsi="Arial"/>
          <w:b/>
          <w:bCs/>
          <w:color w:val="1F3864"/>
          <w:sz w:val="28"/>
          <w:szCs w:val="28"/>
        </w:rPr>
        <w:t xml:space="preserve">Part 10.  If the last lecture is in scope</w:t>
      </w:r>
    </w:p>
    <w:p>
      <w:pPr>
        <w:spacing w:after="130" w:line="276"/>
        <w:jc w:val="both"/>
      </w:pPr>
      <w:r>
        <w:rPr>
          <w:rFonts w:ascii="Arial" w:cs="Arial" w:eastAsia="Arial" w:hAnsi="Arial"/>
          <w:color w:val="000000"/>
          <w:sz w:val="20"/>
          <w:szCs w:val="20"/>
        </w:rPr>
        <w:t xml:space="preserve">The seventh lecture opens geographical indications and goes no further than the concepts below.</w:t>
      </w:r>
    </w:p>
    <w:p>
      <w:pPr>
        <w:spacing w:after="130" w:line="276"/>
        <w:jc w:val="both"/>
      </w:pPr>
      <w:r>
        <w:rPr>
          <w:rFonts w:ascii="Arial" w:cs="Arial" w:eastAsia="Arial" w:hAnsi="Arial"/>
          <w:color w:val="000000"/>
          <w:sz w:val="20"/>
          <w:szCs w:val="20"/>
        </w:rPr>
        <w:t xml:space="preserve">A geographical indication ties a </w:t>
      </w:r>
      <w:r>
        <w:rPr>
          <w:rFonts w:ascii="Arial" w:cs="Arial" w:eastAsia="Arial" w:hAnsi="Arial"/>
          <w:b/>
          <w:bCs/>
          <w:color w:val="000000"/>
          <w:sz w:val="20"/>
          <w:szCs w:val="20"/>
        </w:rPr>
        <w:t xml:space="preserve">product</w:t>
      </w:r>
      <w:r>
        <w:rPr>
          <w:rFonts w:ascii="Arial" w:cs="Arial" w:eastAsia="Arial" w:hAnsi="Arial"/>
          <w:color w:val="000000"/>
          <w:sz w:val="20"/>
          <w:szCs w:val="20"/>
        </w:rPr>
        <w:t xml:space="preserve">, a </w:t>
      </w:r>
      <w:r>
        <w:rPr>
          <w:rFonts w:ascii="Arial" w:cs="Arial" w:eastAsia="Arial" w:hAnsi="Arial"/>
          <w:b/>
          <w:bCs/>
          <w:color w:val="000000"/>
          <w:sz w:val="20"/>
          <w:szCs w:val="20"/>
        </w:rPr>
        <w:t xml:space="preserve">place</w:t>
      </w:r>
      <w:r>
        <w:rPr>
          <w:rFonts w:ascii="Arial" w:cs="Arial" w:eastAsia="Arial" w:hAnsi="Arial"/>
          <w:color w:val="000000"/>
          <w:sz w:val="20"/>
          <w:szCs w:val="20"/>
        </w:rPr>
        <w:t xml:space="preserve"> and a </w:t>
      </w:r>
      <w:r>
        <w:rPr>
          <w:rFonts w:ascii="Arial" w:cs="Arial" w:eastAsia="Arial" w:hAnsi="Arial"/>
          <w:b/>
          <w:bCs/>
          <w:color w:val="000000"/>
          <w:sz w:val="20"/>
          <w:szCs w:val="20"/>
        </w:rPr>
        <w:t xml:space="preserve">causal link</w:t>
      </w:r>
      <w:r>
        <w:rPr>
          <w:rFonts w:ascii="Arial" w:cs="Arial" w:eastAsia="Arial" w:hAnsi="Arial"/>
          <w:color w:val="000000"/>
          <w:sz w:val="20"/>
          <w:szCs w:val="20"/>
        </w:rPr>
        <w:t xml:space="preserve"> between them. It is not enough that a product comes from a place. Something about the place, whether natural factors such as soil, water, altitude and climate, or human factors such as an inherited craft skill, must explain a quality, reputation or characteristic of the product.</w:t>
      </w:r>
    </w:p>
    <w:p>
      <w:pPr>
        <w:spacing w:after="130" w:line="276"/>
        <w:jc w:val="both"/>
      </w:pPr>
      <w:r>
        <w:rPr>
          <w:rFonts w:ascii="Arial" w:cs="Arial" w:eastAsia="Arial" w:hAnsi="Arial"/>
          <w:color w:val="000000"/>
          <w:sz w:val="20"/>
          <w:szCs w:val="20"/>
        </w:rPr>
        <w:t xml:space="preserve">Three concepts nest inside one another:</w:t>
      </w:r>
    </w:p>
    <w:p>
      <w:pPr>
        <w:spacing w:after="75" w:line="272"/>
        <w:ind w:left="440" w:hanging="290"/>
        <w:jc w:val="both"/>
      </w:pPr>
      <w:r>
        <w:rPr>
          <w:rFonts w:ascii="Arial" w:cs="Arial" w:eastAsia="Arial" w:hAnsi="Arial"/>
          <w:color w:val="000000"/>
          <w:sz w:val="20"/>
          <w:szCs w:val="20"/>
        </w:rPr>
        <w:t xml:space="preserve">1.  </w:t>
      </w:r>
      <w:r>
        <w:rPr>
          <w:rFonts w:ascii="Arial" w:cs="Arial" w:eastAsia="Arial" w:hAnsi="Arial"/>
          <w:b/>
          <w:bCs/>
          <w:color w:val="000000"/>
          <w:sz w:val="20"/>
          <w:szCs w:val="20"/>
        </w:rPr>
        <w:t xml:space="preserve">Indication of source.</w:t>
      </w:r>
      <w:r>
        <w:rPr>
          <w:rFonts w:ascii="Arial" w:cs="Arial" w:eastAsia="Arial" w:hAnsi="Arial"/>
          <w:color w:val="000000"/>
          <w:sz w:val="20"/>
          <w:szCs w:val="20"/>
        </w:rPr>
        <w:t xml:space="preserve"> Only that the goods originate in a particular place, with no quality link. Widest, and the subject of the Paris and Madrid Agreements on false indications of source.</w:t>
      </w:r>
    </w:p>
    <w:p>
      <w:pPr>
        <w:spacing w:after="75" w:line="272"/>
        <w:ind w:left="440" w:hanging="290"/>
        <w:jc w:val="both"/>
      </w:pPr>
      <w:r>
        <w:rPr>
          <w:rFonts w:ascii="Arial" w:cs="Arial" w:eastAsia="Arial" w:hAnsi="Arial"/>
          <w:color w:val="000000"/>
          <w:sz w:val="20"/>
          <w:szCs w:val="20"/>
        </w:rPr>
        <w:t xml:space="preserve">2.  </w:t>
      </w:r>
      <w:r>
        <w:rPr>
          <w:rFonts w:ascii="Arial" w:cs="Arial" w:eastAsia="Arial" w:hAnsi="Arial"/>
          <w:b/>
          <w:bCs/>
          <w:color w:val="000000"/>
          <w:sz w:val="20"/>
          <w:szCs w:val="20"/>
        </w:rPr>
        <w:t xml:space="preserve">Geographical indication.</w:t>
      </w:r>
      <w:r>
        <w:rPr>
          <w:rFonts w:ascii="Arial" w:cs="Arial" w:eastAsia="Arial" w:hAnsi="Arial"/>
          <w:color w:val="000000"/>
          <w:sz w:val="20"/>
          <w:szCs w:val="20"/>
        </w:rPr>
        <w:t xml:space="preserve"> Origin </w:t>
      </w:r>
      <w:r>
        <w:rPr>
          <w:rFonts w:ascii="Arial" w:cs="Arial" w:eastAsia="Arial" w:hAnsi="Arial"/>
          <w:b/>
          <w:bCs/>
          <w:color w:val="000000"/>
          <w:sz w:val="20"/>
          <w:szCs w:val="20"/>
        </w:rPr>
        <w:t xml:space="preserve">plus</w:t>
      </w:r>
      <w:r>
        <w:rPr>
          <w:rFonts w:ascii="Arial" w:cs="Arial" w:eastAsia="Arial" w:hAnsi="Arial"/>
          <w:color w:val="000000"/>
          <w:sz w:val="20"/>
          <w:szCs w:val="20"/>
        </w:rPr>
        <w:t xml:space="preserve"> a quality, reputation or other characteristic essentially attributable to that origin. The TRIPS Article 22(1) concept and the Indian statutory concept.</w:t>
      </w:r>
    </w:p>
    <w:p>
      <w:pPr>
        <w:spacing w:after="75" w:line="272"/>
        <w:ind w:left="440" w:hanging="290"/>
        <w:jc w:val="both"/>
      </w:pPr>
      <w:r>
        <w:rPr>
          <w:rFonts w:ascii="Arial" w:cs="Arial" w:eastAsia="Arial" w:hAnsi="Arial"/>
          <w:color w:val="000000"/>
          <w:sz w:val="20"/>
          <w:szCs w:val="20"/>
        </w:rPr>
        <w:t xml:space="preserve">3.  </w:t>
      </w:r>
      <w:r>
        <w:rPr>
          <w:rFonts w:ascii="Arial" w:cs="Arial" w:eastAsia="Arial" w:hAnsi="Arial"/>
          <w:b/>
          <w:bCs/>
          <w:color w:val="000000"/>
          <w:sz w:val="20"/>
          <w:szCs w:val="20"/>
        </w:rPr>
        <w:t xml:space="preserve">Appellation of origin.</w:t>
      </w:r>
      <w:r>
        <w:rPr>
          <w:rFonts w:ascii="Arial" w:cs="Arial" w:eastAsia="Arial" w:hAnsi="Arial"/>
          <w:color w:val="000000"/>
          <w:sz w:val="20"/>
          <w:szCs w:val="20"/>
        </w:rPr>
        <w:t xml:space="preserve"> Origin plus quality or characteristics due exclusively or essentially to the geographical environment, with production, processing and preparation all in the area. Narrowest; the Lisbon Agreement concept.</w:t>
      </w:r>
    </w:p>
    <w:p>
      <w:pPr>
        <w:spacing w:after="130" w:line="276"/>
        <w:jc w:val="both"/>
      </w:pPr>
      <w:r>
        <w:rPr>
          <w:rFonts w:ascii="Arial" w:cs="Arial" w:eastAsia="Arial" w:hAnsi="Arial"/>
          <w:color w:val="000000"/>
          <w:sz w:val="20"/>
          <w:szCs w:val="20"/>
        </w:rPr>
        <w:t xml:space="preserve">Every appellation of origin is a geographical indication, and every geographical indication is an indication of source, but not the reverse. The differences from a </w:t>
      </w:r>
      <w:r>
        <w:rPr>
          <w:rFonts w:ascii="Arial" w:cs="Arial" w:eastAsia="Arial" w:hAnsi="Arial"/>
          <w:b/>
          <w:bCs/>
          <w:color w:val="000000"/>
          <w:sz w:val="20"/>
          <w:szCs w:val="20"/>
        </w:rPr>
        <w:t xml:space="preserve">trademark</w:t>
      </w:r>
      <w:r>
        <w:rPr>
          <w:rFonts w:ascii="Arial" w:cs="Arial" w:eastAsia="Arial" w:hAnsi="Arial"/>
          <w:color w:val="000000"/>
          <w:sz w:val="20"/>
          <w:szCs w:val="20"/>
        </w:rPr>
        <w:t xml:space="preserve"> are the examinable part:</w:t>
      </w:r>
    </w:p>
    <w:p>
      <w:pPr>
        <w:spacing w:after="75" w:line="272"/>
        <w:ind w:left="440" w:hanging="290"/>
        <w:jc w:val="both"/>
      </w:pPr>
      <w:r>
        <w:rPr>
          <w:rFonts w:ascii="Arial" w:cs="Arial" w:eastAsia="Arial" w:hAnsi="Arial"/>
          <w:color w:val="000000"/>
          <w:sz w:val="20"/>
          <w:szCs w:val="20"/>
        </w:rPr>
        <w:t xml:space="preserve">1.  a trademark has one proprietor, while a geographical indication belongs to a class of producers and nobody owns it individually;</w:t>
      </w:r>
    </w:p>
    <w:p>
      <w:pPr>
        <w:spacing w:after="75" w:line="272"/>
        <w:ind w:left="440" w:hanging="290"/>
        <w:jc w:val="both"/>
      </w:pPr>
      <w:r>
        <w:rPr>
          <w:rFonts w:ascii="Arial" w:cs="Arial" w:eastAsia="Arial" w:hAnsi="Arial"/>
          <w:color w:val="000000"/>
          <w:sz w:val="20"/>
          <w:szCs w:val="20"/>
        </w:rPr>
        <w:t xml:space="preserve">2.  a trademark identifies the commercial source, while a geographical indication identifies geographical origin and through it a quality;</w:t>
      </w:r>
    </w:p>
    <w:p>
      <w:pPr>
        <w:spacing w:after="75" w:line="272"/>
        <w:ind w:left="440" w:hanging="290"/>
        <w:jc w:val="both"/>
      </w:pPr>
      <w:r>
        <w:rPr>
          <w:rFonts w:ascii="Arial" w:cs="Arial" w:eastAsia="Arial" w:hAnsi="Arial"/>
          <w:color w:val="000000"/>
          <w:sz w:val="20"/>
          <w:szCs w:val="20"/>
        </w:rPr>
        <w:t xml:space="preserve">3.  a trademark is freely assignable, while under </w:t>
      </w:r>
      <w:r>
        <w:rPr>
          <w:rFonts w:ascii="Arial" w:cs="Arial" w:eastAsia="Arial" w:hAnsi="Arial"/>
          <w:b/>
          <w:bCs/>
          <w:color w:val="000000"/>
          <w:sz w:val="20"/>
          <w:szCs w:val="20"/>
        </w:rPr>
        <w:t xml:space="preserve">Section 24</w:t>
      </w:r>
      <w:r>
        <w:rPr>
          <w:rFonts w:ascii="Arial" w:cs="Arial" w:eastAsia="Arial" w:hAnsi="Arial"/>
          <w:color w:val="000000"/>
          <w:sz w:val="20"/>
          <w:szCs w:val="20"/>
        </w:rPr>
        <w:t xml:space="preserve"> of the Indian Act a geographical indication cannot be assigned, transmitted, licensed, pledged or mortgaged;</w:t>
      </w:r>
    </w:p>
    <w:p>
      <w:pPr>
        <w:spacing w:after="75" w:line="272"/>
        <w:ind w:left="440" w:hanging="290"/>
        <w:jc w:val="both"/>
      </w:pPr>
      <w:r>
        <w:rPr>
          <w:rFonts w:ascii="Arial" w:cs="Arial" w:eastAsia="Arial" w:hAnsi="Arial"/>
          <w:color w:val="000000"/>
          <w:sz w:val="20"/>
          <w:szCs w:val="20"/>
        </w:rPr>
        <w:t xml:space="preserve">4.  a trademark is used by the proprietor and licensees, while a geographical indication may be used by any producer in the region who meets the specification and is entered as an authorised user; and</w:t>
      </w:r>
    </w:p>
    <w:p>
      <w:pPr>
        <w:spacing w:after="75" w:line="272"/>
        <w:ind w:left="440" w:hanging="290"/>
        <w:jc w:val="both"/>
      </w:pPr>
      <w:r>
        <w:rPr>
          <w:rFonts w:ascii="Arial" w:cs="Arial" w:eastAsia="Arial" w:hAnsi="Arial"/>
          <w:color w:val="000000"/>
          <w:sz w:val="20"/>
          <w:szCs w:val="20"/>
        </w:rPr>
        <w:t xml:space="preserve">5.  both last ten years and both are renewable.</w:t>
      </w:r>
    </w:p>
    <w:p>
      <w:pPr>
        <w:pBdr>
          <w:top w:val="single" w:color="D6B656" w:sz="2" w:space="6"/>
          <w:bottom w:val="single" w:color="D6B656" w:sz="2" w:space="6"/>
          <w:left w:val="single" w:color="D6B656" w:sz="2" w:space="6"/>
          <w:right w:val="single" w:color="D6B656" w:sz="2" w:space="6"/>
        </w:pBdr>
        <w:shd w:fill="FFF2CC" w:val="clear"/>
        <w:spacing w:after="180" w:before="120" w:line="276"/>
        <w:ind w:left="170" w:right="170"/>
        <w:jc w:val="both"/>
      </w:pPr>
      <w:r>
        <w:rPr>
          <w:rFonts w:ascii="Arial" w:cs="Arial" w:eastAsia="Arial" w:hAnsi="Arial"/>
          <w:b/>
          <w:bCs/>
          <w:color w:val="000000"/>
          <w:sz w:val="20"/>
          <w:szCs w:val="20"/>
        </w:rPr>
        <w:t xml:space="preserve">A geographical indication cannot be sold because it is a collective right tied to a place.</w:t>
      </w:r>
      <w:r>
        <w:rPr>
          <w:rFonts w:ascii="Arial" w:cs="Arial" w:eastAsia="Arial" w:hAnsi="Arial"/>
          <w:color w:val="000000"/>
          <w:sz w:val="20"/>
          <w:szCs w:val="20"/>
        </w:rPr>
        <w:t xml:space="preserve"> Selling it away from the place and its producers would make no sense, and that single idea explains almost every difference between a geographical indication and every other intellectual property right.</w:t>
      </w:r>
    </w:p>
    <w:p>
      <w:pPr>
        <w:spacing w:after="130" w:line="276"/>
        <w:jc w:val="both"/>
      </w:pPr>
      <w:r>
        <w:rPr>
          <w:rFonts w:ascii="Arial" w:cs="Arial" w:eastAsia="Arial" w:hAnsi="Arial"/>
          <w:color w:val="000000"/>
          <w:sz w:val="20"/>
          <w:szCs w:val="20"/>
        </w:rPr>
        <w:t xml:space="preserve">On the Indian statute, for now only this. The Geographical Indications of Goods (Registration and Protection) Act, 1999, Act 48 of 1999, received assent on 30 December 1999 and came into force on 15 September 2003 with the Rules of 2002. The Registrar is the Controller General of Patents, Designs and Trade Marks, the head office of the Registry is at Chennai, and Darjeeling tea was the first Indian geographical indication, on application number one.</w:t>
      </w:r>
    </w:p>
    <w:p>
      <w:r>
        <w:br w:type="page"/>
      </w:r>
    </w:p>
    <w:p>
      <w:pPr>
        <w:pStyle w:val="Heading1"/>
        <w:pBdr>
          <w:bottom w:val="single" w:color="1F3864" w:sz="8" w:space="6"/>
        </w:pBdr>
        <w:spacing w:after="170" w:before="380"/>
      </w:pPr>
      <w:r>
        <w:rPr>
          <w:rFonts w:ascii="Arial" w:cs="Arial" w:eastAsia="Arial" w:hAnsi="Arial"/>
          <w:b/>
          <w:bCs/>
          <w:color w:val="1F3864"/>
          <w:sz w:val="28"/>
          <w:szCs w:val="28"/>
        </w:rPr>
        <w:t xml:space="preserve">Part 11.  Complete list of cases, topic wise</w:t>
      </w:r>
    </w:p>
    <w:p>
      <w:pPr>
        <w:spacing w:after="130" w:line="276"/>
        <w:jc w:val="both"/>
      </w:pPr>
      <w:r>
        <w:rPr>
          <w:rFonts w:ascii="Arial" w:cs="Arial" w:eastAsia="Arial" w:hAnsi="Arial"/>
          <w:color w:val="000000"/>
          <w:sz w:val="20"/>
          <w:szCs w:val="20"/>
        </w:rPr>
        <w:t xml:space="preserve">Every case below was checked against the reported judgment or an authoritative report, and the citation, court, bench and date given are the verified ones. Items that could not be verified are listed separately at the end.</w:t>
      </w:r>
    </w:p>
    <w:p>
      <w:pPr>
        <w:pStyle w:val="Heading2"/>
        <w:spacing w:after="95" w:before="250"/>
      </w:pPr>
      <w:r>
        <w:rPr>
          <w:rFonts w:ascii="Arial" w:cs="Arial" w:eastAsia="Arial" w:hAnsi="Arial"/>
          <w:b/>
          <w:bCs/>
          <w:color w:val="1F3864"/>
          <w:sz w:val="23"/>
          <w:szCs w:val="23"/>
        </w:rPr>
        <w:t xml:space="preserve">A.  Meaning of confidential information</w:t>
      </w:r>
    </w:p>
    <w:p>
      <w:pPr>
        <w:spacing w:after="85" w:line="272"/>
        <w:ind w:left="430" w:hanging="430"/>
        <w:jc w:val="both"/>
      </w:pPr>
      <w:r>
        <w:rPr>
          <w:rFonts w:ascii="Arial" w:cs="Arial" w:eastAsia="Arial" w:hAnsi="Arial"/>
          <w:color w:val="000000"/>
          <w:sz w:val="19"/>
          <w:szCs w:val="19"/>
        </w:rPr>
        <w:t xml:space="preserve">1.  </w:t>
      </w:r>
      <w:r>
        <w:rPr>
          <w:rFonts w:ascii="Arial" w:cs="Arial" w:eastAsia="Arial" w:hAnsi="Arial"/>
          <w:b/>
          <w:bCs/>
          <w:i/>
          <w:iCs/>
          <w:color w:val="000000"/>
          <w:sz w:val="19"/>
          <w:szCs w:val="19"/>
        </w:rPr>
        <w:t xml:space="preserve">Coco v A N Clark (Engineers) Ltd</w:t>
      </w:r>
      <w:r>
        <w:rPr>
          <w:rFonts w:ascii="Arial" w:cs="Arial" w:eastAsia="Arial" w:hAnsi="Arial"/>
          <w:color w:val="000000"/>
          <w:sz w:val="19"/>
          <w:szCs w:val="19"/>
        </w:rPr>
        <w:t xml:space="preserve">, [1969] RPC 41. Chancery Division, Megarry J, decided 1968. The three requirements of an action for breach of confidence.</w:t>
      </w:r>
    </w:p>
    <w:p>
      <w:pPr>
        <w:spacing w:after="85" w:line="272"/>
        <w:ind w:left="430" w:hanging="430"/>
        <w:jc w:val="both"/>
      </w:pPr>
      <w:r>
        <w:rPr>
          <w:rFonts w:ascii="Arial" w:cs="Arial" w:eastAsia="Arial" w:hAnsi="Arial"/>
          <w:color w:val="000000"/>
          <w:sz w:val="19"/>
          <w:szCs w:val="19"/>
        </w:rPr>
        <w:t xml:space="preserve">2.  </w:t>
      </w:r>
      <w:r>
        <w:rPr>
          <w:rFonts w:ascii="Arial" w:cs="Arial" w:eastAsia="Arial" w:hAnsi="Arial"/>
          <w:b/>
          <w:bCs/>
          <w:i/>
          <w:iCs/>
          <w:color w:val="000000"/>
          <w:sz w:val="19"/>
          <w:szCs w:val="19"/>
        </w:rPr>
        <w:t xml:space="preserve">Saltman Engineering Co Ltd v Campbell Engineering Co Ltd</w:t>
      </w:r>
      <w:r>
        <w:rPr>
          <w:rFonts w:ascii="Arial" w:cs="Arial" w:eastAsia="Arial" w:hAnsi="Arial"/>
          <w:color w:val="000000"/>
          <w:sz w:val="19"/>
          <w:szCs w:val="19"/>
        </w:rPr>
        <w:t xml:space="preserve">, (1948) 65 RPC 203. Court of Appeal. Confidence rests on equity, not on an implied contract.</w:t>
      </w:r>
    </w:p>
    <w:p>
      <w:pPr>
        <w:spacing w:after="85" w:line="272"/>
        <w:ind w:left="430" w:hanging="430"/>
        <w:jc w:val="both"/>
      </w:pPr>
      <w:r>
        <w:rPr>
          <w:rFonts w:ascii="Arial" w:cs="Arial" w:eastAsia="Arial" w:hAnsi="Arial"/>
          <w:color w:val="000000"/>
          <w:sz w:val="19"/>
          <w:szCs w:val="19"/>
        </w:rPr>
        <w:t xml:space="preserve">3.  </w:t>
      </w:r>
      <w:r>
        <w:rPr>
          <w:rFonts w:ascii="Arial" w:cs="Arial" w:eastAsia="Arial" w:hAnsi="Arial"/>
          <w:b/>
          <w:bCs/>
          <w:i/>
          <w:iCs/>
          <w:color w:val="000000"/>
          <w:sz w:val="19"/>
          <w:szCs w:val="19"/>
        </w:rPr>
        <w:t xml:space="preserve">Terrapin Ltd v Builders' Supply Co (Hayes) Ltd</w:t>
      </w:r>
      <w:r>
        <w:rPr>
          <w:rFonts w:ascii="Arial" w:cs="Arial" w:eastAsia="Arial" w:hAnsi="Arial"/>
          <w:color w:val="000000"/>
          <w:sz w:val="19"/>
          <w:szCs w:val="19"/>
        </w:rPr>
        <w:t xml:space="preserve">, [1960] RPC 128. Roxburgh J. Source of the springboard doctrine.</w:t>
      </w:r>
    </w:p>
    <w:p>
      <w:pPr>
        <w:spacing w:after="85" w:line="272"/>
        <w:ind w:left="430" w:hanging="430"/>
        <w:jc w:val="both"/>
      </w:pPr>
      <w:r>
        <w:rPr>
          <w:rFonts w:ascii="Arial" w:cs="Arial" w:eastAsia="Arial" w:hAnsi="Arial"/>
          <w:color w:val="000000"/>
          <w:sz w:val="19"/>
          <w:szCs w:val="19"/>
        </w:rPr>
        <w:t xml:space="preserve">4.  </w:t>
      </w:r>
      <w:r>
        <w:rPr>
          <w:rFonts w:ascii="Arial" w:cs="Arial" w:eastAsia="Arial" w:hAnsi="Arial"/>
          <w:b/>
          <w:bCs/>
          <w:i/>
          <w:iCs/>
          <w:color w:val="000000"/>
          <w:sz w:val="19"/>
          <w:szCs w:val="19"/>
        </w:rPr>
        <w:t xml:space="preserve">Faccenda Chicken Ltd v Fowler</w:t>
      </w:r>
      <w:r>
        <w:rPr>
          <w:rFonts w:ascii="Arial" w:cs="Arial" w:eastAsia="Arial" w:hAnsi="Arial"/>
          <w:color w:val="000000"/>
          <w:sz w:val="19"/>
          <w:szCs w:val="19"/>
        </w:rPr>
        <w:t xml:space="preserve">, [1987] Ch 117. Court of Appeal. General skill belongs to the employee; only genuine trade secrets survive termination.</w:t>
      </w:r>
    </w:p>
    <w:p>
      <w:pPr>
        <w:pStyle w:val="Heading2"/>
        <w:spacing w:after="95" w:before="250"/>
      </w:pPr>
      <w:r>
        <w:rPr>
          <w:rFonts w:ascii="Arial" w:cs="Arial" w:eastAsia="Arial" w:hAnsi="Arial"/>
          <w:b/>
          <w:bCs/>
          <w:color w:val="1F3864"/>
          <w:sz w:val="23"/>
          <w:szCs w:val="23"/>
        </w:rPr>
        <w:t xml:space="preserve">B.  Restraint of trade, the foundation</w:t>
      </w:r>
    </w:p>
    <w:p>
      <w:pPr>
        <w:spacing w:after="85" w:line="272"/>
        <w:ind w:left="430" w:hanging="430"/>
        <w:jc w:val="both"/>
      </w:pPr>
      <w:r>
        <w:rPr>
          <w:rFonts w:ascii="Arial" w:cs="Arial" w:eastAsia="Arial" w:hAnsi="Arial"/>
          <w:color w:val="000000"/>
          <w:sz w:val="19"/>
          <w:szCs w:val="19"/>
        </w:rPr>
        <w:t xml:space="preserve">5.  </w:t>
      </w:r>
      <w:r>
        <w:rPr>
          <w:rFonts w:ascii="Arial" w:cs="Arial" w:eastAsia="Arial" w:hAnsi="Arial"/>
          <w:b/>
          <w:bCs/>
          <w:i/>
          <w:iCs/>
          <w:color w:val="000000"/>
          <w:sz w:val="19"/>
          <w:szCs w:val="19"/>
        </w:rPr>
        <w:t xml:space="preserve">Mitchel v Reynolds</w:t>
      </w:r>
      <w:r>
        <w:rPr>
          <w:rFonts w:ascii="Arial" w:cs="Arial" w:eastAsia="Arial" w:hAnsi="Arial"/>
          <w:color w:val="000000"/>
          <w:sz w:val="19"/>
          <w:szCs w:val="19"/>
        </w:rPr>
        <w:t xml:space="preserve">, (1711) 1 P Wms 181; 24 ER 347. Court of Queen's Bench, Lord Macclesfield. General restraints void, particular restraints may be valid; the presumption is rebuttable.</w:t>
      </w:r>
    </w:p>
    <w:p>
      <w:pPr>
        <w:pStyle w:val="Heading2"/>
        <w:spacing w:after="95" w:before="250"/>
      </w:pPr>
      <w:r>
        <w:rPr>
          <w:rFonts w:ascii="Arial" w:cs="Arial" w:eastAsia="Arial" w:hAnsi="Arial"/>
          <w:b/>
          <w:bCs/>
          <w:color w:val="1F3864"/>
          <w:sz w:val="23"/>
          <w:szCs w:val="23"/>
        </w:rPr>
        <w:t xml:space="preserve">C.  Covenants during the term, valid</w:t>
      </w:r>
    </w:p>
    <w:p>
      <w:pPr>
        <w:spacing w:after="85" w:line="272"/>
        <w:ind w:left="430" w:hanging="430"/>
        <w:jc w:val="both"/>
      </w:pPr>
      <w:r>
        <w:rPr>
          <w:rFonts w:ascii="Arial" w:cs="Arial" w:eastAsia="Arial" w:hAnsi="Arial"/>
          <w:color w:val="000000"/>
          <w:sz w:val="19"/>
          <w:szCs w:val="19"/>
        </w:rPr>
        <w:t xml:space="preserve">6.  </w:t>
      </w:r>
      <w:r>
        <w:rPr>
          <w:rFonts w:ascii="Arial" w:cs="Arial" w:eastAsia="Arial" w:hAnsi="Arial"/>
          <w:b/>
          <w:bCs/>
          <w:i/>
          <w:iCs/>
          <w:color w:val="000000"/>
          <w:sz w:val="19"/>
          <w:szCs w:val="19"/>
        </w:rPr>
        <w:t xml:space="preserve">Niranjan Shankar Golikari v Century Spinning and Manufacturing Co Ltd</w:t>
      </w:r>
      <w:r>
        <w:rPr>
          <w:rFonts w:ascii="Arial" w:cs="Arial" w:eastAsia="Arial" w:hAnsi="Arial"/>
          <w:color w:val="000000"/>
          <w:sz w:val="19"/>
          <w:szCs w:val="19"/>
        </w:rPr>
        <w:t xml:space="preserve">, AIR 1967 SC 1098. Supreme Court, Shelat and Bachawat JJ, 17 January 1967.</w:t>
      </w:r>
    </w:p>
    <w:p>
      <w:pPr>
        <w:spacing w:after="85" w:line="272"/>
        <w:ind w:left="430" w:hanging="430"/>
        <w:jc w:val="both"/>
      </w:pPr>
      <w:r>
        <w:rPr>
          <w:rFonts w:ascii="Arial" w:cs="Arial" w:eastAsia="Arial" w:hAnsi="Arial"/>
          <w:color w:val="000000"/>
          <w:sz w:val="19"/>
          <w:szCs w:val="19"/>
        </w:rPr>
        <w:t xml:space="preserve">7.  </w:t>
      </w:r>
      <w:r>
        <w:rPr>
          <w:rFonts w:ascii="Arial" w:cs="Arial" w:eastAsia="Arial" w:hAnsi="Arial"/>
          <w:b/>
          <w:bCs/>
          <w:i/>
          <w:iCs/>
          <w:color w:val="000000"/>
          <w:sz w:val="19"/>
          <w:szCs w:val="19"/>
        </w:rPr>
        <w:t xml:space="preserve">Gujarat Bottling Co Ltd v Coca Cola Co</w:t>
      </w:r>
      <w:r>
        <w:rPr>
          <w:rFonts w:ascii="Arial" w:cs="Arial" w:eastAsia="Arial" w:hAnsi="Arial"/>
          <w:color w:val="000000"/>
          <w:sz w:val="19"/>
          <w:szCs w:val="19"/>
        </w:rPr>
        <w:t xml:space="preserve">, (1995) 5 SCC 545. Supreme Court, Agrawal and Saghir Ahmad JJ, 4 August 1995. The same rule in a commercial agreement.</w:t>
      </w:r>
    </w:p>
    <w:p>
      <w:pPr>
        <w:spacing w:after="85" w:line="272"/>
        <w:ind w:left="430" w:hanging="430"/>
        <w:jc w:val="both"/>
      </w:pPr>
      <w:r>
        <w:rPr>
          <w:rFonts w:ascii="Arial" w:cs="Arial" w:eastAsia="Arial" w:hAnsi="Arial"/>
          <w:color w:val="000000"/>
          <w:sz w:val="19"/>
          <w:szCs w:val="19"/>
        </w:rPr>
        <w:t xml:space="preserve">8.  </w:t>
      </w:r>
      <w:r>
        <w:rPr>
          <w:rFonts w:ascii="Arial" w:cs="Arial" w:eastAsia="Arial" w:hAnsi="Arial"/>
          <w:b/>
          <w:bCs/>
          <w:i/>
          <w:iCs/>
          <w:color w:val="000000"/>
          <w:sz w:val="19"/>
          <w:szCs w:val="19"/>
        </w:rPr>
        <w:t xml:space="preserve">Lalbhai Dalpatbhai and Co v Chittaranjan Chandulal Pandya</w:t>
      </w:r>
      <w:r>
        <w:rPr>
          <w:rFonts w:ascii="Arial" w:cs="Arial" w:eastAsia="Arial" w:hAnsi="Arial"/>
          <w:color w:val="000000"/>
          <w:sz w:val="19"/>
          <w:szCs w:val="19"/>
        </w:rPr>
        <w:t xml:space="preserve">, AIR 1966 Guj 189. Gujarat High Court, Bhagwati and Shah JJ, 14 April 1965.</w:t>
      </w:r>
    </w:p>
    <w:p>
      <w:pPr>
        <w:spacing w:after="85" w:line="272"/>
        <w:ind w:left="430" w:hanging="430"/>
        <w:jc w:val="both"/>
      </w:pPr>
      <w:r>
        <w:rPr>
          <w:rFonts w:ascii="Arial" w:cs="Arial" w:eastAsia="Arial" w:hAnsi="Arial"/>
          <w:color w:val="000000"/>
          <w:sz w:val="19"/>
          <w:szCs w:val="19"/>
        </w:rPr>
        <w:t xml:space="preserve">9.  </w:t>
      </w:r>
      <w:r>
        <w:rPr>
          <w:rFonts w:ascii="Arial" w:cs="Arial" w:eastAsia="Arial" w:hAnsi="Arial"/>
          <w:b/>
          <w:bCs/>
          <w:i/>
          <w:iCs/>
          <w:color w:val="000000"/>
          <w:sz w:val="19"/>
          <w:szCs w:val="19"/>
        </w:rPr>
        <w:t xml:space="preserve">Indus Power Tech Inc v Echjay Industries (P) Ltd</w:t>
      </w:r>
      <w:r>
        <w:rPr>
          <w:rFonts w:ascii="Arial" w:cs="Arial" w:eastAsia="Arial" w:hAnsi="Arial"/>
          <w:color w:val="000000"/>
          <w:sz w:val="19"/>
          <w:szCs w:val="19"/>
        </w:rPr>
        <w:t xml:space="preserve">, 2024 SCC OnLine Bom 3349. Bombay High Court. Relied on in </w:t>
      </w:r>
      <w:r>
        <w:rPr>
          <w:rFonts w:ascii="Arial" w:cs="Arial" w:eastAsia="Arial" w:hAnsi="Arial"/>
          <w:b/>
          <w:bCs/>
          <w:i/>
          <w:iCs/>
          <w:color w:val="000000"/>
          <w:sz w:val="19"/>
          <w:szCs w:val="19"/>
        </w:rPr>
        <w:t xml:space="preserve">Varun Tyagi</w:t>
      </w:r>
      <w:r>
        <w:rPr>
          <w:rFonts w:ascii="Arial" w:cs="Arial" w:eastAsia="Arial" w:hAnsi="Arial"/>
          <w:color w:val="000000"/>
          <w:sz w:val="19"/>
          <w:szCs w:val="19"/>
        </w:rPr>
        <w:t xml:space="preserve">.</w:t>
      </w:r>
    </w:p>
    <w:p>
      <w:pPr>
        <w:pStyle w:val="Heading2"/>
        <w:spacing w:after="95" w:before="250"/>
      </w:pPr>
      <w:r>
        <w:rPr>
          <w:rFonts w:ascii="Arial" w:cs="Arial" w:eastAsia="Arial" w:hAnsi="Arial"/>
          <w:b/>
          <w:bCs/>
          <w:color w:val="1F3864"/>
          <w:sz w:val="23"/>
          <w:szCs w:val="23"/>
        </w:rPr>
        <w:t xml:space="preserve">D.  Covenants after termination, void</w:t>
      </w:r>
    </w:p>
    <w:p>
      <w:pPr>
        <w:spacing w:after="85" w:line="272"/>
        <w:ind w:left="430" w:hanging="430"/>
        <w:jc w:val="both"/>
      </w:pPr>
      <w:r>
        <w:rPr>
          <w:rFonts w:ascii="Arial" w:cs="Arial" w:eastAsia="Arial" w:hAnsi="Arial"/>
          <w:color w:val="000000"/>
          <w:sz w:val="19"/>
          <w:szCs w:val="19"/>
        </w:rPr>
        <w:t xml:space="preserve">10.  </w:t>
      </w:r>
      <w:r>
        <w:rPr>
          <w:rFonts w:ascii="Arial" w:cs="Arial" w:eastAsia="Arial" w:hAnsi="Arial"/>
          <w:b/>
          <w:bCs/>
          <w:i/>
          <w:iCs/>
          <w:color w:val="000000"/>
          <w:sz w:val="19"/>
          <w:szCs w:val="19"/>
        </w:rPr>
        <w:t xml:space="preserve">Superintendence Company of India (P) Ltd v Krishan Murgai</w:t>
      </w:r>
      <w:r>
        <w:rPr>
          <w:rFonts w:ascii="Arial" w:cs="Arial" w:eastAsia="Arial" w:hAnsi="Arial"/>
          <w:color w:val="000000"/>
          <w:sz w:val="19"/>
          <w:szCs w:val="19"/>
        </w:rPr>
        <w:t xml:space="preserve">, AIR 1980 SC 1717; (1981) 2 SCC 246. Supreme Court, Tulzapurkar, Untwalia and Sen JJ, 9 May 1980. Majority on construction; Sen J on Section 27.</w:t>
      </w:r>
    </w:p>
    <w:p>
      <w:pPr>
        <w:spacing w:after="85" w:line="272"/>
        <w:ind w:left="430" w:hanging="430"/>
        <w:jc w:val="both"/>
      </w:pPr>
      <w:r>
        <w:rPr>
          <w:rFonts w:ascii="Arial" w:cs="Arial" w:eastAsia="Arial" w:hAnsi="Arial"/>
          <w:color w:val="000000"/>
          <w:sz w:val="19"/>
          <w:szCs w:val="19"/>
        </w:rPr>
        <w:t xml:space="preserve">11.  </w:t>
      </w:r>
      <w:r>
        <w:rPr>
          <w:rFonts w:ascii="Arial" w:cs="Arial" w:eastAsia="Arial" w:hAnsi="Arial"/>
          <w:b/>
          <w:bCs/>
          <w:i/>
          <w:iCs/>
          <w:color w:val="000000"/>
          <w:sz w:val="19"/>
          <w:szCs w:val="19"/>
        </w:rPr>
        <w:t xml:space="preserve">Percept D'Mark (India) Pvt Ltd v Zaheer Khan</w:t>
      </w:r>
      <w:r>
        <w:rPr>
          <w:rFonts w:ascii="Arial" w:cs="Arial" w:eastAsia="Arial" w:hAnsi="Arial"/>
          <w:color w:val="000000"/>
          <w:sz w:val="19"/>
          <w:szCs w:val="19"/>
        </w:rPr>
        <w:t xml:space="preserve">, (2006) 4 SCC 227. Supreme Court, Sema and Dr AR Lakshmanan JJ, 22 March 2006. Extends the rule beyond employment.</w:t>
      </w:r>
    </w:p>
    <w:p>
      <w:pPr>
        <w:spacing w:after="85" w:line="272"/>
        <w:ind w:left="430" w:hanging="430"/>
        <w:jc w:val="both"/>
      </w:pPr>
      <w:r>
        <w:rPr>
          <w:rFonts w:ascii="Arial" w:cs="Arial" w:eastAsia="Arial" w:hAnsi="Arial"/>
          <w:color w:val="000000"/>
          <w:sz w:val="19"/>
          <w:szCs w:val="19"/>
        </w:rPr>
        <w:t xml:space="preserve">12.  </w:t>
      </w:r>
      <w:r>
        <w:rPr>
          <w:rFonts w:ascii="Arial" w:cs="Arial" w:eastAsia="Arial" w:hAnsi="Arial"/>
          <w:b/>
          <w:bCs/>
          <w:i/>
          <w:iCs/>
          <w:color w:val="000000"/>
          <w:sz w:val="19"/>
          <w:szCs w:val="19"/>
        </w:rPr>
        <w:t xml:space="preserve">V F S Global Services Ltd v Suprit Roy</w:t>
      </w:r>
      <w:r>
        <w:rPr>
          <w:rFonts w:ascii="Arial" w:cs="Arial" w:eastAsia="Arial" w:hAnsi="Arial"/>
          <w:color w:val="000000"/>
          <w:sz w:val="19"/>
          <w:szCs w:val="19"/>
        </w:rPr>
        <w:t xml:space="preserve">, 2008 (2) Bom CR 446. Bombay High Court, Chandrachud J, 10 December 2007. Garden leave after termination is still a restraint.</w:t>
      </w:r>
    </w:p>
    <w:p>
      <w:pPr>
        <w:spacing w:after="85" w:line="272"/>
        <w:ind w:left="430" w:hanging="430"/>
        <w:jc w:val="both"/>
      </w:pPr>
      <w:r>
        <w:rPr>
          <w:rFonts w:ascii="Arial" w:cs="Arial" w:eastAsia="Arial" w:hAnsi="Arial"/>
          <w:color w:val="000000"/>
          <w:sz w:val="19"/>
          <w:szCs w:val="19"/>
        </w:rPr>
        <w:t xml:space="preserve">13.  </w:t>
      </w:r>
      <w:r>
        <w:rPr>
          <w:rFonts w:ascii="Arial" w:cs="Arial" w:eastAsia="Arial" w:hAnsi="Arial"/>
          <w:b/>
          <w:bCs/>
          <w:i/>
          <w:iCs/>
          <w:color w:val="000000"/>
          <w:sz w:val="19"/>
          <w:szCs w:val="19"/>
        </w:rPr>
        <w:t xml:space="preserve">Desiccant Rotors International Pvt Ltd v Bappaditya Sarkar</w:t>
      </w:r>
      <w:r>
        <w:rPr>
          <w:rFonts w:ascii="Arial" w:cs="Arial" w:eastAsia="Arial" w:hAnsi="Arial"/>
          <w:color w:val="000000"/>
          <w:sz w:val="19"/>
          <w:szCs w:val="19"/>
        </w:rPr>
        <w:t xml:space="preserve">, 2009 SCC OnLine Del 1926. Delhi High Court, Manmohan Singh J, 14 July 2009. Right of livelihood prevails.</w:t>
      </w:r>
    </w:p>
    <w:p>
      <w:pPr>
        <w:spacing w:after="85" w:line="272"/>
        <w:ind w:left="430" w:hanging="430"/>
        <w:jc w:val="both"/>
      </w:pPr>
      <w:r>
        <w:rPr>
          <w:rFonts w:ascii="Arial" w:cs="Arial" w:eastAsia="Arial" w:hAnsi="Arial"/>
          <w:color w:val="000000"/>
          <w:sz w:val="19"/>
          <w:szCs w:val="19"/>
        </w:rPr>
        <w:t xml:space="preserve">14.  </w:t>
      </w:r>
      <w:r>
        <w:rPr>
          <w:rFonts w:ascii="Arial" w:cs="Arial" w:eastAsia="Arial" w:hAnsi="Arial"/>
          <w:b/>
          <w:bCs/>
          <w:i/>
          <w:iCs/>
          <w:color w:val="000000"/>
          <w:sz w:val="19"/>
          <w:szCs w:val="19"/>
        </w:rPr>
        <w:t xml:space="preserve">Varun Tyagi v Daffodil Software Private Limited</w:t>
      </w:r>
      <w:r>
        <w:rPr>
          <w:rFonts w:ascii="Arial" w:cs="Arial" w:eastAsia="Arial" w:hAnsi="Arial"/>
          <w:color w:val="000000"/>
          <w:sz w:val="19"/>
          <w:szCs w:val="19"/>
        </w:rPr>
        <w:t xml:space="preserve">, 2025:DHC:5015; 2025 SCC OnLine Del 4589. Delhi High Court, Tejas Karia J, 25 June 2025. Specific misuse must be proved.</w:t>
      </w:r>
    </w:p>
    <w:p>
      <w:pPr>
        <w:pStyle w:val="Heading2"/>
        <w:spacing w:after="95" w:before="250"/>
      </w:pPr>
      <w:r>
        <w:rPr>
          <w:rFonts w:ascii="Arial" w:cs="Arial" w:eastAsia="Arial" w:hAnsi="Arial"/>
          <w:b/>
          <w:bCs/>
          <w:color w:val="1F3864"/>
          <w:sz w:val="23"/>
          <w:szCs w:val="23"/>
        </w:rPr>
        <w:t xml:space="preserve">E.  Equity and breach of confidence in India</w:t>
      </w:r>
    </w:p>
    <w:p>
      <w:pPr>
        <w:spacing w:after="85" w:line="272"/>
        <w:ind w:left="430" w:hanging="430"/>
        <w:jc w:val="both"/>
      </w:pPr>
      <w:r>
        <w:rPr>
          <w:rFonts w:ascii="Arial" w:cs="Arial" w:eastAsia="Arial" w:hAnsi="Arial"/>
          <w:color w:val="000000"/>
          <w:sz w:val="19"/>
          <w:szCs w:val="19"/>
        </w:rPr>
        <w:t xml:space="preserve">15.  </w:t>
      </w:r>
      <w:r>
        <w:rPr>
          <w:rFonts w:ascii="Arial" w:cs="Arial" w:eastAsia="Arial" w:hAnsi="Arial"/>
          <w:b/>
          <w:bCs/>
          <w:i/>
          <w:iCs/>
          <w:color w:val="000000"/>
          <w:sz w:val="19"/>
          <w:szCs w:val="19"/>
        </w:rPr>
        <w:t xml:space="preserve">John Richard Brady and Others v Chemical Process Equipments P Ltd</w:t>
      </w:r>
      <w:r>
        <w:rPr>
          <w:rFonts w:ascii="Arial" w:cs="Arial" w:eastAsia="Arial" w:hAnsi="Arial"/>
          <w:color w:val="000000"/>
          <w:sz w:val="19"/>
          <w:szCs w:val="19"/>
        </w:rPr>
        <w:t xml:space="preserve">, AIR 1987 Delhi 372. Delhi High Court, Saharya J, 6 July 1987. Confidentiality implied without a contract; springboard doctrine applied.</w:t>
      </w:r>
    </w:p>
    <w:p>
      <w:pPr>
        <w:spacing w:after="85" w:line="272"/>
        <w:ind w:left="430" w:hanging="430"/>
        <w:jc w:val="both"/>
      </w:pPr>
      <w:r>
        <w:rPr>
          <w:rFonts w:ascii="Arial" w:cs="Arial" w:eastAsia="Arial" w:hAnsi="Arial"/>
          <w:color w:val="000000"/>
          <w:sz w:val="19"/>
          <w:szCs w:val="19"/>
        </w:rPr>
        <w:t xml:space="preserve">16.  </w:t>
      </w:r>
      <w:r>
        <w:rPr>
          <w:rFonts w:ascii="Arial" w:cs="Arial" w:eastAsia="Arial" w:hAnsi="Arial"/>
          <w:b/>
          <w:bCs/>
          <w:i/>
          <w:iCs/>
          <w:color w:val="000000"/>
          <w:sz w:val="19"/>
          <w:szCs w:val="19"/>
        </w:rPr>
        <w:t xml:space="preserve">Homag India Pvt Ltd v Ulfath Ali Khan and IMA AG Asia Pacific PTE Ltd</w:t>
      </w:r>
      <w:r>
        <w:rPr>
          <w:rFonts w:ascii="Arial" w:cs="Arial" w:eastAsia="Arial" w:hAnsi="Arial"/>
          <w:color w:val="000000"/>
          <w:sz w:val="19"/>
          <w:szCs w:val="19"/>
        </w:rPr>
        <w:t xml:space="preserve">, MANU/KA/1569/2012. Karnataka High Court, 10 October 2012. Equity reaches a third party despite absence of privity.</w:t>
      </w:r>
    </w:p>
    <w:p>
      <w:pPr>
        <w:spacing w:after="85" w:line="272"/>
        <w:ind w:left="430" w:hanging="430"/>
        <w:jc w:val="both"/>
      </w:pPr>
      <w:r>
        <w:rPr>
          <w:rFonts w:ascii="Arial" w:cs="Arial" w:eastAsia="Arial" w:hAnsi="Arial"/>
          <w:color w:val="000000"/>
          <w:sz w:val="19"/>
          <w:szCs w:val="19"/>
        </w:rPr>
        <w:t xml:space="preserve">17.  </w:t>
      </w:r>
      <w:r>
        <w:rPr>
          <w:rFonts w:ascii="Arial" w:cs="Arial" w:eastAsia="Arial" w:hAnsi="Arial"/>
          <w:b/>
          <w:bCs/>
          <w:i/>
          <w:iCs/>
          <w:color w:val="000000"/>
          <w:sz w:val="19"/>
          <w:szCs w:val="19"/>
        </w:rPr>
        <w:t xml:space="preserve">Zee Telefilms Ltd v Sundial Communications Pvt Ltd</w:t>
      </w:r>
      <w:r>
        <w:rPr>
          <w:rFonts w:ascii="Arial" w:cs="Arial" w:eastAsia="Arial" w:hAnsi="Arial"/>
          <w:color w:val="000000"/>
          <w:sz w:val="19"/>
          <w:szCs w:val="19"/>
        </w:rPr>
        <w:t xml:space="preserve">, 2003 (5) Bom CR 404; 2003 (27) PTC 457. Bombay High Court, Division Bench, Shah and Deshmukh JJ, 27 March 2003. Confidence protects an idea that copyright cannot. </w:t>
      </w:r>
      <w:r>
        <w:rPr>
          <w:rFonts w:ascii="Arial" w:cs="Arial" w:eastAsia="Arial" w:hAnsi="Arial"/>
          <w:i/>
          <w:iCs/>
          <w:color w:val="000000"/>
          <w:sz w:val="19"/>
          <w:szCs w:val="19"/>
        </w:rPr>
        <w:t xml:space="preserve">The quotation on the slide is not verified.</w:t>
      </w:r>
    </w:p>
    <w:p>
      <w:pPr>
        <w:spacing w:after="85" w:line="272"/>
        <w:ind w:left="430" w:hanging="430"/>
        <w:jc w:val="both"/>
      </w:pPr>
      <w:r>
        <w:rPr>
          <w:rFonts w:ascii="Arial" w:cs="Arial" w:eastAsia="Arial" w:hAnsi="Arial"/>
          <w:color w:val="000000"/>
          <w:sz w:val="19"/>
          <w:szCs w:val="19"/>
        </w:rPr>
        <w:t xml:space="preserve">18.  </w:t>
      </w:r>
      <w:r>
        <w:rPr>
          <w:rFonts w:ascii="Arial" w:cs="Arial" w:eastAsia="Arial" w:hAnsi="Arial"/>
          <w:b/>
          <w:bCs/>
          <w:i/>
          <w:iCs/>
          <w:color w:val="000000"/>
          <w:sz w:val="19"/>
          <w:szCs w:val="19"/>
        </w:rPr>
        <w:t xml:space="preserve">Sandhya Organic Chemicals P Ltd v United Phosphorous Ltd</w:t>
      </w:r>
      <w:r>
        <w:rPr>
          <w:rFonts w:ascii="Arial" w:cs="Arial" w:eastAsia="Arial" w:hAnsi="Arial"/>
          <w:color w:val="000000"/>
          <w:sz w:val="19"/>
          <w:szCs w:val="19"/>
        </w:rPr>
        <w:t xml:space="preserve">, AIR 1997 Guj 177. Gujarat High Court, 4 February 1997.</w:t>
      </w:r>
    </w:p>
    <w:p>
      <w:pPr>
        <w:pStyle w:val="Heading2"/>
        <w:spacing w:after="95" w:before="250"/>
      </w:pPr>
      <w:r>
        <w:rPr>
          <w:rFonts w:ascii="Arial" w:cs="Arial" w:eastAsia="Arial" w:hAnsi="Arial"/>
          <w:b/>
          <w:bCs/>
          <w:color w:val="1F3864"/>
          <w:sz w:val="23"/>
          <w:szCs w:val="23"/>
        </w:rPr>
        <w:t xml:space="preserve">F.  Client lists, customer data and pleading</w:t>
      </w:r>
    </w:p>
    <w:p>
      <w:pPr>
        <w:spacing w:after="85" w:line="272"/>
        <w:ind w:left="430" w:hanging="430"/>
        <w:jc w:val="both"/>
      </w:pPr>
      <w:r>
        <w:rPr>
          <w:rFonts w:ascii="Arial" w:cs="Arial" w:eastAsia="Arial" w:hAnsi="Arial"/>
          <w:color w:val="000000"/>
          <w:sz w:val="19"/>
          <w:szCs w:val="19"/>
        </w:rPr>
        <w:t xml:space="preserve">19.  </w:t>
      </w:r>
      <w:r>
        <w:rPr>
          <w:rFonts w:ascii="Arial" w:cs="Arial" w:eastAsia="Arial" w:hAnsi="Arial"/>
          <w:b/>
          <w:bCs/>
          <w:i/>
          <w:iCs/>
          <w:color w:val="000000"/>
          <w:sz w:val="19"/>
          <w:szCs w:val="19"/>
        </w:rPr>
        <w:t xml:space="preserve">American Express Bank Ltd v Ms Priya Puri</w:t>
      </w:r>
      <w:r>
        <w:rPr>
          <w:rFonts w:ascii="Arial" w:cs="Arial" w:eastAsia="Arial" w:hAnsi="Arial"/>
          <w:color w:val="000000"/>
          <w:sz w:val="19"/>
          <w:szCs w:val="19"/>
        </w:rPr>
        <w:t xml:space="preserve">, (2006) III LLJ 540 (Del); 2006 SCC OnLine Del 638. Delhi High Court, Anil Kumar J, 24 May 2006. A publicly available client list is not a trade secret.</w:t>
      </w:r>
    </w:p>
    <w:p>
      <w:pPr>
        <w:spacing w:after="85" w:line="272"/>
        <w:ind w:left="430" w:hanging="430"/>
        <w:jc w:val="both"/>
      </w:pPr>
      <w:r>
        <w:rPr>
          <w:rFonts w:ascii="Arial" w:cs="Arial" w:eastAsia="Arial" w:hAnsi="Arial"/>
          <w:color w:val="000000"/>
          <w:sz w:val="19"/>
          <w:szCs w:val="19"/>
        </w:rPr>
        <w:t xml:space="preserve">20.  </w:t>
      </w:r>
      <w:r>
        <w:rPr>
          <w:rFonts w:ascii="Arial" w:cs="Arial" w:eastAsia="Arial" w:hAnsi="Arial"/>
          <w:b/>
          <w:bCs/>
          <w:i/>
          <w:iCs/>
          <w:color w:val="000000"/>
          <w:sz w:val="19"/>
          <w:szCs w:val="19"/>
        </w:rPr>
        <w:t xml:space="preserve">Navigators Logistics Ltd v Kashif Qureshi</w:t>
      </w:r>
      <w:r>
        <w:rPr>
          <w:rFonts w:ascii="Arial" w:cs="Arial" w:eastAsia="Arial" w:hAnsi="Arial"/>
          <w:color w:val="000000"/>
          <w:sz w:val="19"/>
          <w:szCs w:val="19"/>
        </w:rPr>
        <w:t xml:space="preserve">, 2018 SCC OnLine Del 11321. Delhi High Court, Endlaw J, 17 September 2018. The secret must be pleaded with precision. </w:t>
      </w:r>
      <w:r>
        <w:rPr>
          <w:rFonts w:ascii="Arial" w:cs="Arial" w:eastAsia="Arial" w:hAnsi="Arial"/>
          <w:i/>
          <w:iCs/>
          <w:color w:val="000000"/>
          <w:sz w:val="19"/>
          <w:szCs w:val="19"/>
        </w:rPr>
        <w:t xml:space="preserve">Division Bench gave partial relief on 20 November 2024.</w:t>
      </w:r>
    </w:p>
    <w:p>
      <w:pPr>
        <w:pStyle w:val="Heading2"/>
        <w:spacing w:after="95" w:before="250"/>
      </w:pPr>
      <w:r>
        <w:rPr>
          <w:rFonts w:ascii="Arial" w:cs="Arial" w:eastAsia="Arial" w:hAnsi="Arial"/>
          <w:b/>
          <w:bCs/>
          <w:color w:val="1F3864"/>
          <w:sz w:val="23"/>
          <w:szCs w:val="23"/>
        </w:rPr>
        <w:t xml:space="preserve">G.  Search orders</w:t>
      </w:r>
    </w:p>
    <w:p>
      <w:pPr>
        <w:spacing w:after="85" w:line="272"/>
        <w:ind w:left="430" w:hanging="430"/>
        <w:jc w:val="both"/>
      </w:pPr>
      <w:r>
        <w:rPr>
          <w:rFonts w:ascii="Arial" w:cs="Arial" w:eastAsia="Arial" w:hAnsi="Arial"/>
          <w:color w:val="000000"/>
          <w:sz w:val="19"/>
          <w:szCs w:val="19"/>
        </w:rPr>
        <w:t xml:space="preserve">21.  </w:t>
      </w:r>
      <w:r>
        <w:rPr>
          <w:rFonts w:ascii="Arial" w:cs="Arial" w:eastAsia="Arial" w:hAnsi="Arial"/>
          <w:b/>
          <w:bCs/>
          <w:i/>
          <w:iCs/>
          <w:color w:val="000000"/>
          <w:sz w:val="19"/>
          <w:szCs w:val="19"/>
        </w:rPr>
        <w:t xml:space="preserve">Anton Piller KG v Manufacturing Processes Ltd</w:t>
      </w:r>
      <w:r>
        <w:rPr>
          <w:rFonts w:ascii="Arial" w:cs="Arial" w:eastAsia="Arial" w:hAnsi="Arial"/>
          <w:color w:val="000000"/>
          <w:sz w:val="19"/>
          <w:szCs w:val="19"/>
        </w:rPr>
        <w:t xml:space="preserve">, [1976] Ch 55. Court of Appeal, Lord Denning MR, Ormrod and Shaw LJJ, 8 December 1975. The three conditions.</w:t>
      </w:r>
    </w:p>
    <w:p>
      <w:pPr>
        <w:spacing w:after="85" w:line="272"/>
        <w:ind w:left="430" w:hanging="430"/>
        <w:jc w:val="both"/>
      </w:pPr>
      <w:r>
        <w:rPr>
          <w:rFonts w:ascii="Arial" w:cs="Arial" w:eastAsia="Arial" w:hAnsi="Arial"/>
          <w:color w:val="000000"/>
          <w:sz w:val="19"/>
          <w:szCs w:val="19"/>
        </w:rPr>
        <w:t xml:space="preserve">22.  </w:t>
      </w:r>
      <w:r>
        <w:rPr>
          <w:rFonts w:ascii="Arial" w:cs="Arial" w:eastAsia="Arial" w:hAnsi="Arial"/>
          <w:b/>
          <w:bCs/>
          <w:i/>
          <w:iCs/>
          <w:color w:val="000000"/>
          <w:sz w:val="19"/>
          <w:szCs w:val="19"/>
        </w:rPr>
        <w:t xml:space="preserve">Columbia Picture Industries v Robinson</w:t>
      </w:r>
      <w:r>
        <w:rPr>
          <w:rFonts w:ascii="Arial" w:cs="Arial" w:eastAsia="Arial" w:hAnsi="Arial"/>
          <w:color w:val="000000"/>
          <w:sz w:val="19"/>
          <w:szCs w:val="19"/>
        </w:rPr>
        <w:t xml:space="preserve">, [1987] Ch 38. Scott J. Safeguards against abuse.</w:t>
      </w:r>
    </w:p>
    <w:p>
      <w:pPr>
        <w:spacing w:after="85" w:line="272"/>
        <w:ind w:left="430" w:hanging="430"/>
        <w:jc w:val="both"/>
      </w:pPr>
      <w:r>
        <w:rPr>
          <w:rFonts w:ascii="Arial" w:cs="Arial" w:eastAsia="Arial" w:hAnsi="Arial"/>
          <w:color w:val="000000"/>
          <w:sz w:val="19"/>
          <w:szCs w:val="19"/>
        </w:rPr>
        <w:t xml:space="preserve">23.  </w:t>
      </w:r>
      <w:r>
        <w:rPr>
          <w:rFonts w:ascii="Arial" w:cs="Arial" w:eastAsia="Arial" w:hAnsi="Arial"/>
          <w:b/>
          <w:bCs/>
          <w:i/>
          <w:iCs/>
          <w:color w:val="000000"/>
          <w:sz w:val="19"/>
          <w:szCs w:val="19"/>
        </w:rPr>
        <w:t xml:space="preserve">Universal Thermosensors Ltd v Hibben</w:t>
      </w:r>
      <w:r>
        <w:rPr>
          <w:rFonts w:ascii="Arial" w:cs="Arial" w:eastAsia="Arial" w:hAnsi="Arial"/>
          <w:color w:val="000000"/>
          <w:sz w:val="19"/>
          <w:szCs w:val="19"/>
        </w:rPr>
        <w:t xml:space="preserve">, [1992] 1 WLR 840. Nicholls, Vice Chancellor. Guidelines for execution.</w:t>
      </w:r>
    </w:p>
    <w:p>
      <w:pPr>
        <w:spacing w:after="85" w:line="272"/>
        <w:ind w:left="430" w:hanging="430"/>
        <w:jc w:val="both"/>
      </w:pPr>
      <w:r>
        <w:rPr>
          <w:rFonts w:ascii="Arial" w:cs="Arial" w:eastAsia="Arial" w:hAnsi="Arial"/>
          <w:color w:val="000000"/>
          <w:sz w:val="19"/>
          <w:szCs w:val="19"/>
        </w:rPr>
        <w:t xml:space="preserve">24.  </w:t>
      </w:r>
      <w:r>
        <w:rPr>
          <w:rFonts w:ascii="Arial" w:cs="Arial" w:eastAsia="Arial" w:hAnsi="Arial"/>
          <w:b/>
          <w:bCs/>
          <w:i/>
          <w:iCs/>
          <w:color w:val="000000"/>
          <w:sz w:val="19"/>
          <w:szCs w:val="19"/>
        </w:rPr>
        <w:t xml:space="preserve">M Sivasamy v Vestergaard Frandsen A/S</w:t>
      </w:r>
      <w:r>
        <w:rPr>
          <w:rFonts w:ascii="Arial" w:cs="Arial" w:eastAsia="Arial" w:hAnsi="Arial"/>
          <w:color w:val="000000"/>
          <w:sz w:val="19"/>
          <w:szCs w:val="19"/>
        </w:rPr>
        <w:t xml:space="preserve">, 2009 SCC OnLine Del 2310. Delhi High Court, Division Bench, 7 August 2009. Discovery and sealed cover confidentiality. </w:t>
      </w:r>
      <w:r>
        <w:rPr>
          <w:rFonts w:ascii="Arial" w:cs="Arial" w:eastAsia="Arial" w:hAnsi="Arial"/>
          <w:i/>
          <w:iCs/>
          <w:color w:val="000000"/>
          <w:sz w:val="19"/>
          <w:szCs w:val="19"/>
        </w:rPr>
        <w:t xml:space="preserve">Not an authority on Anton Piller safeguards.</w:t>
      </w:r>
    </w:p>
    <w:p>
      <w:pPr>
        <w:spacing w:after="85" w:line="272"/>
        <w:ind w:left="430" w:hanging="430"/>
        <w:jc w:val="both"/>
      </w:pPr>
      <w:r>
        <w:rPr>
          <w:rFonts w:ascii="Arial" w:cs="Arial" w:eastAsia="Arial" w:hAnsi="Arial"/>
          <w:color w:val="000000"/>
          <w:sz w:val="19"/>
          <w:szCs w:val="19"/>
        </w:rPr>
        <w:t xml:space="preserve">25.  </w:t>
      </w:r>
      <w:r>
        <w:rPr>
          <w:rFonts w:ascii="Arial" w:cs="Arial" w:eastAsia="Arial" w:hAnsi="Arial"/>
          <w:b/>
          <w:bCs/>
          <w:i/>
          <w:iCs/>
          <w:color w:val="000000"/>
          <w:sz w:val="19"/>
          <w:szCs w:val="19"/>
        </w:rPr>
        <w:t xml:space="preserve">Vestergaard Frandsen A/S v Bestnet Europe Ltd</w:t>
      </w:r>
      <w:r>
        <w:rPr>
          <w:rFonts w:ascii="Arial" w:cs="Arial" w:eastAsia="Arial" w:hAnsi="Arial"/>
          <w:color w:val="000000"/>
          <w:sz w:val="19"/>
          <w:szCs w:val="19"/>
        </w:rPr>
        <w:t xml:space="preserve">, [2013] UKSC 31. United Kingdom Supreme Court, Lord Neuberger, 22 May 2013. No liability without acquisition or knowledge.</w:t>
      </w:r>
    </w:p>
    <w:p>
      <w:pPr>
        <w:pStyle w:val="Heading2"/>
        <w:spacing w:after="95" w:before="250"/>
      </w:pPr>
      <w:r>
        <w:rPr>
          <w:rFonts w:ascii="Arial" w:cs="Arial" w:eastAsia="Arial" w:hAnsi="Arial"/>
          <w:b/>
          <w:bCs/>
          <w:color w:val="1F3864"/>
          <w:sz w:val="23"/>
          <w:szCs w:val="23"/>
        </w:rPr>
        <w:t xml:space="preserve">H.  United States</w:t>
      </w:r>
    </w:p>
    <w:p>
      <w:pPr>
        <w:spacing w:after="85" w:line="272"/>
        <w:ind w:left="430" w:hanging="430"/>
        <w:jc w:val="both"/>
      </w:pPr>
      <w:r>
        <w:rPr>
          <w:rFonts w:ascii="Arial" w:cs="Arial" w:eastAsia="Arial" w:hAnsi="Arial"/>
          <w:color w:val="000000"/>
          <w:sz w:val="19"/>
          <w:szCs w:val="19"/>
        </w:rPr>
        <w:t xml:space="preserve">26.  </w:t>
      </w:r>
      <w:r>
        <w:rPr>
          <w:rFonts w:ascii="Arial" w:cs="Arial" w:eastAsia="Arial" w:hAnsi="Arial"/>
          <w:b/>
          <w:bCs/>
          <w:i/>
          <w:iCs/>
          <w:color w:val="000000"/>
          <w:sz w:val="19"/>
          <w:szCs w:val="19"/>
        </w:rPr>
        <w:t xml:space="preserve">PepsiCo Inc v Redmond</w:t>
      </w:r>
      <w:r>
        <w:rPr>
          <w:rFonts w:ascii="Arial" w:cs="Arial" w:eastAsia="Arial" w:hAnsi="Arial"/>
          <w:color w:val="000000"/>
          <w:sz w:val="19"/>
          <w:szCs w:val="19"/>
        </w:rPr>
        <w:t xml:space="preserve">, 54 F.3d 1262 (Seventh Circuit, 1995). Bauer, Coffey and Flaum JJ, 11 May 1995. Origin of inevitable disclosure.</w:t>
      </w:r>
    </w:p>
    <w:p>
      <w:pPr>
        <w:spacing w:after="85" w:line="272"/>
        <w:ind w:left="430" w:hanging="430"/>
        <w:jc w:val="both"/>
      </w:pPr>
      <w:r>
        <w:rPr>
          <w:rFonts w:ascii="Arial" w:cs="Arial" w:eastAsia="Arial" w:hAnsi="Arial"/>
          <w:color w:val="000000"/>
          <w:sz w:val="19"/>
          <w:szCs w:val="19"/>
        </w:rPr>
        <w:t xml:space="preserve">27.  </w:t>
      </w:r>
      <w:r>
        <w:rPr>
          <w:rFonts w:ascii="Arial" w:cs="Arial" w:eastAsia="Arial" w:hAnsi="Arial"/>
          <w:b/>
          <w:bCs/>
          <w:i/>
          <w:iCs/>
          <w:color w:val="000000"/>
          <w:sz w:val="19"/>
          <w:szCs w:val="19"/>
        </w:rPr>
        <w:t xml:space="preserve">United States v Lange</w:t>
      </w:r>
      <w:r>
        <w:rPr>
          <w:rFonts w:ascii="Arial" w:cs="Arial" w:eastAsia="Arial" w:hAnsi="Arial"/>
          <w:color w:val="000000"/>
          <w:sz w:val="19"/>
          <w:szCs w:val="19"/>
        </w:rPr>
        <w:t xml:space="preserve">, 312 F.3d 263 (Seventh Circuit, 2002). Conviction under the Economic Espionage Act.</w:t>
      </w:r>
    </w:p>
    <w:p>
      <w:pPr>
        <w:spacing w:after="85" w:line="272"/>
        <w:ind w:left="430" w:hanging="430"/>
        <w:jc w:val="both"/>
      </w:pPr>
      <w:r>
        <w:rPr>
          <w:rFonts w:ascii="Arial" w:cs="Arial" w:eastAsia="Arial" w:hAnsi="Arial"/>
          <w:color w:val="000000"/>
          <w:sz w:val="19"/>
          <w:szCs w:val="19"/>
        </w:rPr>
        <w:t xml:space="preserve">28.  </w:t>
      </w:r>
      <w:r>
        <w:rPr>
          <w:rFonts w:ascii="Arial" w:cs="Arial" w:eastAsia="Arial" w:hAnsi="Arial"/>
          <w:b/>
          <w:bCs/>
          <w:i/>
          <w:iCs/>
          <w:color w:val="000000"/>
          <w:sz w:val="19"/>
          <w:szCs w:val="19"/>
        </w:rPr>
        <w:t xml:space="preserve">United States v Aleynikov</w:t>
      </w:r>
      <w:r>
        <w:rPr>
          <w:rFonts w:ascii="Arial" w:cs="Arial" w:eastAsia="Arial" w:hAnsi="Arial"/>
          <w:color w:val="000000"/>
          <w:sz w:val="19"/>
          <w:szCs w:val="19"/>
        </w:rPr>
        <w:t xml:space="preserve">, 676 F.3d 71 (Second Circuit, 2012). Conviction reversed on the statutory text.</w:t>
      </w:r>
    </w:p>
    <w:p>
      <w:pPr>
        <w:spacing w:after="85" w:line="272"/>
        <w:ind w:left="430" w:hanging="430"/>
        <w:jc w:val="both"/>
      </w:pPr>
      <w:r>
        <w:rPr>
          <w:rFonts w:ascii="Arial" w:cs="Arial" w:eastAsia="Arial" w:hAnsi="Arial"/>
          <w:color w:val="000000"/>
          <w:sz w:val="19"/>
          <w:szCs w:val="19"/>
        </w:rPr>
        <w:t xml:space="preserve">29.  </w:t>
      </w:r>
      <w:r>
        <w:rPr>
          <w:rFonts w:ascii="Arial" w:cs="Arial" w:eastAsia="Arial" w:hAnsi="Arial"/>
          <w:b/>
          <w:bCs/>
          <w:i/>
          <w:iCs/>
          <w:color w:val="000000"/>
          <w:sz w:val="19"/>
          <w:szCs w:val="19"/>
        </w:rPr>
        <w:t xml:space="preserve">Epic Systems Corporation v Tata Consultancy Services</w:t>
      </w:r>
      <w:r>
        <w:rPr>
          <w:rFonts w:ascii="Arial" w:cs="Arial" w:eastAsia="Arial" w:hAnsi="Arial"/>
          <w:color w:val="000000"/>
          <w:sz w:val="19"/>
          <w:szCs w:val="19"/>
        </w:rPr>
        <w:t xml:space="preserve">, 980 F.3d 1117 (Seventh Circuit, 2020). Access for one purpose does not authorise another.</w:t>
      </w:r>
    </w:p>
    <w:p>
      <w:pPr>
        <w:spacing w:after="85" w:line="272"/>
        <w:ind w:left="430" w:hanging="430"/>
        <w:jc w:val="both"/>
      </w:pPr>
      <w:r>
        <w:rPr>
          <w:rFonts w:ascii="Arial" w:cs="Arial" w:eastAsia="Arial" w:hAnsi="Arial"/>
          <w:color w:val="000000"/>
          <w:sz w:val="19"/>
          <w:szCs w:val="19"/>
        </w:rPr>
        <w:t xml:space="preserve">30.  </w:t>
      </w:r>
      <w:r>
        <w:rPr>
          <w:rFonts w:ascii="Arial" w:cs="Arial" w:eastAsia="Arial" w:hAnsi="Arial"/>
          <w:b/>
          <w:bCs/>
          <w:i/>
          <w:iCs/>
          <w:color w:val="000000"/>
          <w:sz w:val="19"/>
          <w:szCs w:val="19"/>
        </w:rPr>
        <w:t xml:space="preserve">TianRui Group Co Ltd v International Trade Commission</w:t>
      </w:r>
      <w:r>
        <w:rPr>
          <w:rFonts w:ascii="Arial" w:cs="Arial" w:eastAsia="Arial" w:hAnsi="Arial"/>
          <w:color w:val="000000"/>
          <w:sz w:val="19"/>
          <w:szCs w:val="19"/>
        </w:rPr>
        <w:t xml:space="preserve">, 661 F.3d 1322 (Federal Circuit, 2011). Imports barred under Section 337 of the Tariff Act.</w:t>
      </w:r>
    </w:p>
    <w:p>
      <w:pPr>
        <w:pStyle w:val="Heading2"/>
        <w:spacing w:after="95" w:before="250"/>
      </w:pPr>
      <w:r>
        <w:rPr>
          <w:rFonts w:ascii="Arial" w:cs="Arial" w:eastAsia="Arial" w:hAnsi="Arial"/>
          <w:b/>
          <w:bCs/>
          <w:color w:val="1F3864"/>
          <w:sz w:val="23"/>
          <w:szCs w:val="23"/>
        </w:rPr>
        <w:t xml:space="preserve">I.  Cited in passing, not independently verified</w:t>
      </w:r>
    </w:p>
    <w:p>
      <w:pPr>
        <w:spacing w:after="130" w:line="276"/>
        <w:jc w:val="both"/>
      </w:pPr>
      <w:r>
        <w:rPr>
          <w:rFonts w:ascii="Arial" w:cs="Arial" w:eastAsia="Arial" w:hAnsi="Arial"/>
          <w:color w:val="000000"/>
          <w:sz w:val="20"/>
          <w:szCs w:val="20"/>
        </w:rPr>
        <w:t xml:space="preserve">Read these before relying on them: </w:t>
      </w:r>
      <w:r>
        <w:rPr>
          <w:rFonts w:ascii="Arial" w:cs="Arial" w:eastAsia="Arial" w:hAnsi="Arial"/>
          <w:b/>
          <w:bCs/>
          <w:i/>
          <w:iCs/>
          <w:color w:val="000000"/>
          <w:sz w:val="20"/>
          <w:szCs w:val="20"/>
        </w:rPr>
        <w:t xml:space="preserve">Anil Gupta v Kunal Dasgupta</w:t>
      </w:r>
      <w:r>
        <w:rPr>
          <w:rFonts w:ascii="Arial" w:cs="Arial" w:eastAsia="Arial" w:hAnsi="Arial"/>
          <w:color w:val="000000"/>
          <w:sz w:val="20"/>
          <w:szCs w:val="20"/>
        </w:rPr>
        <w:t xml:space="preserve">, given as 97 (2002) DLT 257; </w:t>
      </w:r>
      <w:r>
        <w:rPr>
          <w:rFonts w:ascii="Arial" w:cs="Arial" w:eastAsia="Arial" w:hAnsi="Arial"/>
          <w:b/>
          <w:bCs/>
          <w:i/>
          <w:iCs/>
          <w:color w:val="000000"/>
          <w:sz w:val="20"/>
          <w:szCs w:val="20"/>
        </w:rPr>
        <w:t xml:space="preserve">Ritika Pvt Ltd v Biba Apparels Pvt Ltd</w:t>
      </w:r>
      <w:r>
        <w:rPr>
          <w:rFonts w:ascii="Arial" w:cs="Arial" w:eastAsia="Arial" w:hAnsi="Arial"/>
          <w:color w:val="000000"/>
          <w:sz w:val="20"/>
          <w:szCs w:val="20"/>
        </w:rPr>
        <w:t xml:space="preserve">, Delhi High Court 2016; </w:t>
      </w:r>
      <w:r>
        <w:rPr>
          <w:rFonts w:ascii="Arial" w:cs="Arial" w:eastAsia="Arial" w:hAnsi="Arial"/>
          <w:b/>
          <w:bCs/>
          <w:i/>
          <w:iCs/>
          <w:color w:val="000000"/>
          <w:sz w:val="20"/>
          <w:szCs w:val="20"/>
        </w:rPr>
        <w:t xml:space="preserve">Genetics India Pvt Ltd v Shailendra Shivam</w:t>
      </w:r>
      <w:r>
        <w:rPr>
          <w:rFonts w:ascii="Arial" w:cs="Arial" w:eastAsia="Arial" w:hAnsi="Arial"/>
          <w:color w:val="000000"/>
          <w:sz w:val="20"/>
          <w:szCs w:val="20"/>
        </w:rPr>
        <w:t xml:space="preserve">, given as 2011 (47) PTC 494; </w:t>
      </w:r>
      <w:r>
        <w:rPr>
          <w:rFonts w:ascii="Arial" w:cs="Arial" w:eastAsia="Arial" w:hAnsi="Arial"/>
          <w:b/>
          <w:bCs/>
          <w:i/>
          <w:iCs/>
          <w:color w:val="000000"/>
          <w:sz w:val="20"/>
          <w:szCs w:val="20"/>
        </w:rPr>
        <w:t xml:space="preserve">Govindan v Gopalakrishna</w:t>
      </w:r>
      <w:r>
        <w:rPr>
          <w:rFonts w:ascii="Arial" w:cs="Arial" w:eastAsia="Arial" w:hAnsi="Arial"/>
          <w:color w:val="000000"/>
          <w:sz w:val="20"/>
          <w:szCs w:val="20"/>
        </w:rPr>
        <w:t xml:space="preserve">, given as AIR 1955 Mad 391; </w:t>
      </w:r>
      <w:r>
        <w:rPr>
          <w:rFonts w:ascii="Arial" w:cs="Arial" w:eastAsia="Arial" w:hAnsi="Arial"/>
          <w:b/>
          <w:bCs/>
          <w:i/>
          <w:iCs/>
          <w:color w:val="000000"/>
          <w:sz w:val="20"/>
          <w:szCs w:val="20"/>
        </w:rPr>
        <w:t xml:space="preserve">Burlington Home Shopping Pvt Ltd v Rajnish Chibber</w:t>
      </w:r>
      <w:r>
        <w:rPr>
          <w:rFonts w:ascii="Arial" w:cs="Arial" w:eastAsia="Arial" w:hAnsi="Arial"/>
          <w:color w:val="000000"/>
          <w:sz w:val="20"/>
          <w:szCs w:val="20"/>
        </w:rPr>
        <w:t xml:space="preserve">, given as 61 (1995) DLT 6; </w:t>
      </w:r>
      <w:r>
        <w:rPr>
          <w:rFonts w:ascii="Arial" w:cs="Arial" w:eastAsia="Arial" w:hAnsi="Arial"/>
          <w:b/>
          <w:bCs/>
          <w:i/>
          <w:iCs/>
          <w:color w:val="000000"/>
          <w:sz w:val="20"/>
          <w:szCs w:val="20"/>
        </w:rPr>
        <w:t xml:space="preserve">Eastern Book Company v D B Modak</w:t>
      </w:r>
      <w:r>
        <w:rPr>
          <w:rFonts w:ascii="Arial" w:cs="Arial" w:eastAsia="Arial" w:hAnsi="Arial"/>
          <w:color w:val="000000"/>
          <w:sz w:val="20"/>
          <w:szCs w:val="20"/>
        </w:rPr>
        <w:t xml:space="preserve">, relied on in </w:t>
      </w:r>
      <w:r>
        <w:rPr>
          <w:rFonts w:ascii="Arial" w:cs="Arial" w:eastAsia="Arial" w:hAnsi="Arial"/>
          <w:b/>
          <w:bCs/>
          <w:i/>
          <w:iCs/>
          <w:color w:val="000000"/>
          <w:sz w:val="20"/>
          <w:szCs w:val="20"/>
        </w:rPr>
        <w:t xml:space="preserve">Navigators Logistics</w:t>
      </w:r>
      <w:r>
        <w:rPr>
          <w:rFonts w:ascii="Arial" w:cs="Arial" w:eastAsia="Arial" w:hAnsi="Arial"/>
          <w:color w:val="000000"/>
          <w:sz w:val="20"/>
          <w:szCs w:val="20"/>
        </w:rPr>
        <w:t xml:space="preserve">; and </w:t>
      </w:r>
      <w:r>
        <w:rPr>
          <w:rFonts w:ascii="Arial" w:cs="Arial" w:eastAsia="Arial" w:hAnsi="Arial"/>
          <w:b/>
          <w:bCs/>
          <w:i/>
          <w:iCs/>
          <w:color w:val="000000"/>
          <w:sz w:val="20"/>
          <w:szCs w:val="20"/>
        </w:rPr>
        <w:t xml:space="preserve">Molon Motor and Coil Corporation v Nidec Motor Corporation</w:t>
      </w:r>
      <w:r>
        <w:rPr>
          <w:rFonts w:ascii="Arial" w:cs="Arial" w:eastAsia="Arial" w:hAnsi="Arial"/>
          <w:color w:val="000000"/>
          <w:sz w:val="20"/>
          <w:szCs w:val="20"/>
        </w:rPr>
        <w:t xml:space="preserve">, </w:t>
      </w:r>
      <w:r>
        <w:rPr>
          <w:rFonts w:ascii="Arial" w:cs="Arial" w:eastAsia="Arial" w:hAnsi="Arial"/>
          <w:b/>
          <w:bCs/>
          <w:i/>
          <w:iCs/>
          <w:color w:val="000000"/>
          <w:sz w:val="20"/>
          <w:szCs w:val="20"/>
        </w:rPr>
        <w:t xml:space="preserve">Brand Energy and Infrastructure Services v Irex Corporation</w:t>
      </w:r>
      <w:r>
        <w:rPr>
          <w:rFonts w:ascii="Arial" w:cs="Arial" w:eastAsia="Arial" w:hAnsi="Arial"/>
          <w:color w:val="000000"/>
          <w:sz w:val="20"/>
          <w:szCs w:val="20"/>
        </w:rPr>
        <w:t xml:space="preserve"> and </w:t>
      </w:r>
      <w:r>
        <w:rPr>
          <w:rFonts w:ascii="Arial" w:cs="Arial" w:eastAsia="Arial" w:hAnsi="Arial"/>
          <w:b/>
          <w:bCs/>
          <w:i/>
          <w:iCs/>
          <w:color w:val="000000"/>
          <w:sz w:val="20"/>
          <w:szCs w:val="20"/>
        </w:rPr>
        <w:t xml:space="preserve">Motorola Solutions v Hytera Communications</w:t>
      </w:r>
      <w:r>
        <w:rPr>
          <w:rFonts w:ascii="Arial" w:cs="Arial" w:eastAsia="Arial" w:hAnsi="Arial"/>
          <w:color w:val="000000"/>
          <w:sz w:val="20"/>
          <w:szCs w:val="20"/>
        </w:rPr>
        <w:t xml:space="preserve">.</w:t>
      </w:r>
    </w:p>
    <w:p>
      <w:pPr>
        <w:pStyle w:val="Heading2"/>
        <w:spacing w:after="95" w:before="250"/>
      </w:pPr>
      <w:r>
        <w:rPr>
          <w:rFonts w:ascii="Arial" w:cs="Arial" w:eastAsia="Arial" w:hAnsi="Arial"/>
          <w:b/>
          <w:bCs/>
          <w:color w:val="1F3864"/>
          <w:sz w:val="23"/>
          <w:szCs w:val="23"/>
        </w:rPr>
        <w:t xml:space="preserve">J.  Do not cite</w:t>
      </w:r>
    </w:p>
    <w:p>
      <w:pPr>
        <w:spacing w:after="75" w:line="272"/>
        <w:ind w:left="440" w:hanging="290"/>
        <w:jc w:val="both"/>
      </w:pPr>
      <w:r>
        <w:rPr>
          <w:rFonts w:ascii="Arial" w:cs="Arial" w:eastAsia="Arial" w:hAnsi="Arial"/>
          <w:color w:val="000000"/>
          <w:sz w:val="20"/>
          <w:szCs w:val="20"/>
        </w:rPr>
        <w:t xml:space="preserve">1.  </w:t>
      </w:r>
      <w:r>
        <w:rPr>
          <w:rFonts w:ascii="Arial" w:cs="Arial" w:eastAsia="Arial" w:hAnsi="Arial"/>
          <w:b/>
          <w:bCs/>
          <w:i/>
          <w:iCs/>
          <w:color w:val="000000"/>
          <w:sz w:val="20"/>
          <w:szCs w:val="20"/>
        </w:rPr>
        <w:t xml:space="preserve">Santander v Gamche</w:t>
      </w:r>
      <w:r>
        <w:rPr>
          <w:rFonts w:ascii="Arial" w:cs="Arial" w:eastAsia="Arial" w:hAnsi="Arial"/>
          <w:color w:val="000000"/>
          <w:sz w:val="20"/>
          <w:szCs w:val="20"/>
        </w:rPr>
        <w:t xml:space="preserve">, listed on a slide as a United States case. No such case could be found.</w:t>
      </w:r>
    </w:p>
    <w:p>
      <w:pPr>
        <w:spacing w:after="75" w:line="272"/>
        <w:ind w:left="440" w:hanging="290"/>
        <w:jc w:val="both"/>
      </w:pPr>
      <w:r>
        <w:rPr>
          <w:rFonts w:ascii="Arial" w:cs="Arial" w:eastAsia="Arial" w:hAnsi="Arial"/>
          <w:color w:val="000000"/>
          <w:sz w:val="20"/>
          <w:szCs w:val="20"/>
        </w:rPr>
        <w:t xml:space="preserve">2.  The </w:t>
      </w:r>
      <w:r>
        <w:rPr>
          <w:rFonts w:ascii="Arial" w:cs="Arial" w:eastAsia="Arial" w:hAnsi="Arial"/>
          <w:b/>
          <w:bCs/>
          <w:color w:val="000000"/>
          <w:sz w:val="20"/>
          <w:szCs w:val="20"/>
        </w:rPr>
        <w:t xml:space="preserve">Polish intellectual property registry</w:t>
      </w:r>
      <w:r>
        <w:rPr>
          <w:rFonts w:ascii="Arial" w:cs="Arial" w:eastAsia="Arial" w:hAnsi="Arial"/>
          <w:color w:val="000000"/>
          <w:sz w:val="20"/>
          <w:szCs w:val="20"/>
        </w:rPr>
        <w:t xml:space="preserve"> said to register trade secrets. Could not be verified.</w:t>
      </w:r>
    </w:p>
    <w:p>
      <w:pPr>
        <w:spacing w:after="75" w:line="272"/>
        <w:ind w:left="440" w:hanging="290"/>
        <w:jc w:val="both"/>
      </w:pPr>
      <w:r>
        <w:rPr>
          <w:rFonts w:ascii="Arial" w:cs="Arial" w:eastAsia="Arial" w:hAnsi="Arial"/>
          <w:color w:val="000000"/>
          <w:sz w:val="20"/>
          <w:szCs w:val="20"/>
        </w:rPr>
        <w:t xml:space="preserve">3.  The sentence the slide attributes in quotation marks to </w:t>
      </w:r>
      <w:r>
        <w:rPr>
          <w:rFonts w:ascii="Arial" w:cs="Arial" w:eastAsia="Arial" w:hAnsi="Arial"/>
          <w:b/>
          <w:bCs/>
          <w:i/>
          <w:iCs/>
          <w:color w:val="000000"/>
          <w:sz w:val="20"/>
          <w:szCs w:val="20"/>
        </w:rPr>
        <w:t xml:space="preserve">Zee Telefilms</w:t>
      </w:r>
      <w:r>
        <w:rPr>
          <w:rFonts w:ascii="Arial" w:cs="Arial" w:eastAsia="Arial" w:hAnsi="Arial"/>
          <w:color w:val="000000"/>
          <w:sz w:val="20"/>
          <w:szCs w:val="20"/>
        </w:rPr>
        <w:t xml:space="preserve">. The case is citable; the quotation is not.</w:t>
      </w:r>
    </w:p>
    <w:p>
      <w:pPr>
        <w:pBdr>
          <w:top w:val="single" w:color="1F3864" w:sz="6" w:space="10"/>
        </w:pBdr>
        <w:spacing w:after="0" w:before="380"/>
        <w:jc w:val="center"/>
      </w:pPr>
      <w:r>
        <w:rPr>
          <w:rFonts w:ascii="Arial" w:cs="Arial" w:eastAsia="Arial" w:hAnsi="Arial"/>
          <w:color w:val="404040"/>
          <w:sz w:val="19"/>
          <w:szCs w:val="19"/>
        </w:rPr>
        <w:t xml:space="preserve">End of notes</w:t>
      </w:r>
    </w:p>
    <w:sectPr>
      <w:footerReference w:type="default" r:id="rId7"/>
      <w:pgSz w:w="11906" w:h="16838" w:orient="portrait"/>
      <w:pgMar w:top="1280" w:right="1240" w:bottom="124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6"/>
      </w:pBdr>
      <w:tabs>
        <w:tab w:val="right" w:pos="9200"/>
      </w:tabs>
    </w:pPr>
    <w:r>
      <w:rPr>
        <w:rFonts w:ascii="Arial" w:cs="Arial" w:eastAsia="Arial" w:hAnsi="Arial"/>
        <w:color w:val="000000"/>
        <w:sz w:val="16"/>
        <w:szCs w:val="16"/>
      </w:rPr>
      <w:t xml:space="preserve">Surendra Mundvadiya  |  Other Forms of IP</w:t>
    </w:r>
    <w:r>
      <w:rPr>
        <w:sz w:val="16"/>
        <w:szCs w:val="16"/>
      </w:rPr>
      <w:t xml:space="preserve">	</w:t>
    </w:r>
    <w:r>
      <w:rPr>
        <w:rFonts w:ascii="Arial" w:cs="Arial" w:eastAsia="Arial" w:hAnsi="Arial"/>
        <w:color w:val="00000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Trade Secrets, Mid Semester Notes, IP71005 Other Forms of IP</dc:title>
  <dc:creator>Surendra Mundvadiya</dc:creator>
  <cp:lastModifiedBy>Un-named</cp:lastModifiedBy>
  <cp:revision>1</cp:revision>
  <dcterms:created xsi:type="dcterms:W3CDTF">2026-09-22T09:28:14.260Z</dcterms:created>
  <dcterms:modified xsi:type="dcterms:W3CDTF">2026-09-22T09:28:14.269Z</dcterms:modified>
</cp:coreProperties>
</file>

<file path=docProps/custom.xml><?xml version="1.0" encoding="utf-8"?>
<Properties xmlns="http://schemas.openxmlformats.org/officeDocument/2006/custom-properties" xmlns:vt="http://schemas.openxmlformats.org/officeDocument/2006/docPropsVTypes"/>
</file>