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r>
        <w:t xml:space="preserve"/>
      </w:r>
    </w:p>
    <w:p>
      <w:pPr>
        <w:spacing w:after="130"/>
        <w:jc w:val="center"/>
      </w:pPr>
      <w:r>
        <w:rPr>
          <w:rFonts w:ascii="Calibri" w:cs="Calibri" w:eastAsia="Calibri" w:hAnsi="Calibri"/>
          <w:b/>
          <w:bCs/>
          <w:sz w:val="40"/>
          <w:szCs w:val="40"/>
        </w:rPr>
        <w:t xml:space="preserve">ALTERNATIVE DISPUTE RESOLUTION</w:t>
      </w:r>
    </w:p>
    <w:p>
      <w:pPr>
        <w:spacing w:after="320"/>
        <w:jc w:val="center"/>
      </w:pPr>
      <w:r>
        <w:rPr>
          <w:rFonts w:ascii="Calibri" w:cs="Calibri" w:eastAsia="Calibri" w:hAnsi="Calibri"/>
          <w:color w:val="444444"/>
          <w:sz w:val="28"/>
          <w:szCs w:val="28"/>
        </w:rPr>
        <w:t xml:space="preserve">Consolidated Legal Notes</w:t>
      </w:r>
    </w:p>
    <w:p>
      <w:pPr>
        <w:spacing w:after="560"/>
        <w:jc w:val="center"/>
      </w:pPr>
      <w:r>
        <w:rPr>
          <w:i/>
          <w:iCs/>
          <w:sz w:val="22"/>
          <w:szCs w:val="22"/>
        </w:rPr>
        <w:t xml:space="preserve">Arbitration and Conciliation Act, 1996 — ss. 2(1)(f), 4, 5, 7–26</w:t>
      </w:r>
    </w:p>
    <w:p>
      <w:pPr>
        <w:spacing w:after="90"/>
        <w:jc w:val="center"/>
      </w:pPr>
      <w:r>
        <w:rPr>
          <w:rFonts w:ascii="Calibri" w:cs="Calibri" w:eastAsia="Calibri" w:hAnsi="Calibri"/>
          <w:b/>
          <w:bCs/>
          <w:sz w:val="20"/>
          <w:szCs w:val="20"/>
        </w:rPr>
        <w:t xml:space="preserve">Jurisdiction  </w:t>
      </w:r>
      <w:r>
        <w:rPr>
          <w:sz w:val="20"/>
          <w:szCs w:val="20"/>
        </w:rPr>
        <w:t xml:space="preserve">India</w:t>
      </w:r>
    </w:p>
    <w:p>
      <w:pPr>
        <w:spacing w:after="90"/>
        <w:jc w:val="center"/>
      </w:pPr>
      <w:r>
        <w:rPr>
          <w:rFonts w:ascii="Calibri" w:cs="Calibri" w:eastAsia="Calibri" w:hAnsi="Calibri"/>
          <w:b/>
          <w:bCs/>
          <w:sz w:val="20"/>
          <w:szCs w:val="20"/>
        </w:rPr>
        <w:t xml:space="preserve">Purpose  </w:t>
      </w:r>
      <w:r>
        <w:rPr>
          <w:sz w:val="20"/>
          <w:szCs w:val="20"/>
        </w:rPr>
        <w:t xml:space="preserve">University law examination</w:t>
      </w:r>
    </w:p>
    <w:p>
      <w:pPr>
        <w:spacing w:after="90"/>
        <w:jc w:val="center"/>
      </w:pPr>
      <w:r>
        <w:rPr>
          <w:rFonts w:ascii="Calibri" w:cs="Calibri" w:eastAsia="Calibri" w:hAnsi="Calibri"/>
          <w:b/>
          <w:bCs/>
          <w:sz w:val="20"/>
          <w:szCs w:val="20"/>
        </w:rPr>
        <w:t xml:space="preserve">Statute as in force  </w:t>
      </w:r>
      <w:r>
        <w:rPr>
          <w:sz w:val="20"/>
          <w:szCs w:val="20"/>
        </w:rPr>
        <w:t xml:space="preserve">1996 Act, as amended in 2015, 2019 and 2021</w:t>
      </w:r>
    </w:p>
    <w:p>
      <w:pPr>
        <w:spacing w:after="90"/>
        <w:jc w:val="center"/>
      </w:pPr>
      <w:r>
        <w:rPr>
          <w:rFonts w:ascii="Calibri" w:cs="Calibri" w:eastAsia="Calibri" w:hAnsi="Calibri"/>
          <w:b/>
          <w:bCs/>
          <w:sz w:val="20"/>
          <w:szCs w:val="20"/>
        </w:rPr>
        <w:t xml:space="preserve">Citations  </w:t>
      </w:r>
      <w:r>
        <w:rPr>
          <w:sz w:val="20"/>
          <w:szCs w:val="20"/>
        </w:rPr>
        <w:t xml:space="preserve">SCC style; neutral citations where available</w:t>
      </w:r>
    </w:p>
    <w:p>
      <w:pPr>
        <w:spacing w:after="90"/>
        <w:jc w:val="center"/>
      </w:pPr>
      <w:r>
        <w:rPr>
          <w:rFonts w:ascii="Calibri" w:cs="Calibri" w:eastAsia="Calibri" w:hAnsi="Calibri"/>
          <w:b/>
          <w:bCs/>
          <w:sz w:val="20"/>
          <w:szCs w:val="20"/>
        </w:rPr>
        <w:t xml:space="preserve">Prepared  </w:t>
      </w:r>
      <w:r>
        <w:rPr>
          <w:sz w:val="20"/>
          <w:szCs w:val="20"/>
        </w:rPr>
        <w:t xml:space="preserve">17 September 2026</w:t>
      </w:r>
    </w:p>
    <w:p>
      <w:r>
        <w:br w:type="page"/>
      </w:r>
    </w:p>
    <w:p>
      <w:pPr>
        <w:pStyle w:val="Heading1"/>
        <w:keepNext/>
        <w:pBdr>
          <w:top w:val="single" w:color="999999" w:sz="8" w:space="10"/>
        </w:pBdr>
        <w:spacing w:after="170" w:before="460"/>
      </w:pPr>
      <w:r>
        <w:t xml:space="preserve">Contents</w:t>
      </w:r>
    </w:p>
    <w:p>
      <w:pPr>
        <w:spacing w:after="170" w:line="262"/>
        <w:jc w:val="both"/>
      </w:pPr>
      <w:r>
        <w:t xml:space="preserve">Select this table and press F9 in Word to populate or refresh it.</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Bdr>
          <w:top w:val="single" w:color="999999" w:sz="8" w:space="10"/>
        </w:pBdr>
        <w:spacing w:after="170" w:before="460"/>
      </w:pPr>
      <w:r>
        <w:t xml:space="preserve">Three Corrections to the Class Notes</w:t>
      </w:r>
    </w:p>
    <w:p>
      <w:pPr>
        <w:pStyle w:val="ListParagraph"/>
        <w:numPr>
          <w:ilvl w:val="0"/>
          <w:numId w:val="2"/>
        </w:numPr>
        <w:spacing w:after="70" w:line="262"/>
        <w:jc w:val="both"/>
      </w:pPr>
      <w:r>
        <w:t xml:space="preserve">The six-month pleadings timetable is </w:t>
      </w:r>
      <w:r>
        <w:rPr>
          <w:b/>
          <w:bCs/>
        </w:rPr>
        <w:t xml:space="preserve">s. 23(4)</w:t>
      </w:r>
      <w:r>
        <w:t xml:space="preserve">, not “s. 23(9)”. There is no s. 23(9). The link the notes intended is with </w:t>
      </w:r>
      <w:r>
        <w:rPr>
          <w:b/>
          <w:bCs/>
        </w:rPr>
        <w:t xml:space="preserve">s. 29A</w:t>
      </w:r>
      <w:r>
        <w:t xml:space="preserve">, under which the twelve months for the award run from completion of pleadings under s. 23(4).</w:t>
      </w:r>
    </w:p>
    <w:p>
      <w:pPr>
        <w:pStyle w:val="ListParagraph"/>
        <w:numPr>
          <w:ilvl w:val="0"/>
          <w:numId w:val="2"/>
        </w:numPr>
        <w:spacing w:after="70" w:line="262"/>
        <w:jc w:val="both"/>
      </w:pPr>
      <w:r>
        <w:rPr>
          <w:b/>
          <w:bCs/>
        </w:rPr>
        <w:t xml:space="preserve">S. 11(6A) has not been deleted.</w:t>
      </w:r>
      <w:r>
        <w:t xml:space="preserve"> The 2019 Amendment enacted its omission, but that omission was never notified, so s. 11(6A) remains in force — confirmed by the seven-Judge Bench in </w:t>
      </w:r>
      <w:r>
        <w:rPr>
          <w:i/>
          <w:iCs/>
        </w:rPr>
        <w:t xml:space="preserve">In Re: Interplay</w:t>
      </w:r>
      <w:r>
        <w:t xml:space="preserve"> (2023).</w:t>
      </w:r>
    </w:p>
    <w:p>
      <w:pPr>
        <w:pStyle w:val="ListParagraph"/>
        <w:numPr>
          <w:ilvl w:val="0"/>
          <w:numId w:val="2"/>
        </w:numPr>
        <w:spacing w:after="70" w:line="262"/>
        <w:jc w:val="both"/>
      </w:pPr>
      <w:r>
        <w:t xml:space="preserve">“Jantia Constructions v. UoI” is </w:t>
      </w:r>
      <w:r>
        <w:rPr>
          <w:i/>
          <w:iCs/>
        </w:rPr>
        <w:t xml:space="preserve">Union of India v. Tantia Construction Pvt. Ltd.</w:t>
      </w:r>
      <w:r>
        <w:t xml:space="preserve">, (2011) 5 SCC 697. Do not confuse it with </w:t>
      </w:r>
      <w:r>
        <w:rPr>
          <w:i/>
          <w:iCs/>
        </w:rPr>
        <w:t xml:space="preserve">Union of India v. Tantia Constructions Ltd.</w:t>
      </w:r>
      <w:r>
        <w:t xml:space="preserve">, 2021 SCC OnLine SC 271, a different case on unilateral appointments.</w:t>
      </w:r>
    </w:p>
    <w:p>
      <w:pPr>
        <w:spacing w:after="110" w:line="262"/>
        <w:jc w:val="both"/>
      </w:pPr>
      <w:r>
        <w:t xml:space="preserve">Smaller slips and points that could not be verified are listed at the end, under </w:t>
      </w:r>
      <w:r>
        <w:rPr>
          <w:b/>
          <w:bCs/>
        </w:rPr>
        <w:t xml:space="preserve">Corrections and Cautions</w:t>
      </w:r>
      <w:r>
        <w:t xml:space="preserve">.</w:t>
      </w:r>
    </w:p>
    <w:p>
      <w:r>
        <w:br w:type="page"/>
      </w:r>
    </w:p>
    <w:p>
      <w:pPr>
        <w:pStyle w:val="Heading1"/>
        <w:keepNext/>
        <w:pBdr>
          <w:top w:val="single" w:color="999999" w:sz="8" w:space="10"/>
        </w:pBdr>
        <w:spacing w:after="170" w:before="460"/>
      </w:pPr>
      <w:r>
        <w:t xml:space="preserve">1  International Commercial Arbitration: s. 2(1)(f)</w:t>
      </w:r>
    </w:p>
    <w:p>
      <w:pPr>
        <w:pStyle w:val="Heading2"/>
        <w:keepNext/>
        <w:spacing w:after="110" w:before="240"/>
      </w:pPr>
      <w:r>
        <w:t xml:space="preserve">1.1  Definition</w:t>
      </w:r>
    </w:p>
    <w:p>
      <w:pPr>
        <w:spacing w:after="110" w:line="262"/>
        <w:jc w:val="both"/>
      </w:pPr>
      <w:r>
        <w:t xml:space="preserve">An arbitration is an international commercial arbitration (ICA) if three things hold:</w:t>
      </w:r>
    </w:p>
    <w:p>
      <w:pPr>
        <w:pStyle w:val="ListParagraph"/>
        <w:numPr>
          <w:ilvl w:val="0"/>
          <w:numId w:val="3"/>
        </w:numPr>
        <w:spacing w:after="70" w:line="262"/>
        <w:jc w:val="both"/>
      </w:pPr>
      <w:r>
        <w:t xml:space="preserve">it arises out of a </w:t>
      </w:r>
      <w:r>
        <w:rPr>
          <w:b/>
          <w:bCs/>
        </w:rPr>
        <w:t xml:space="preserve">legal relationship, whether contractual or not</w:t>
      </w:r>
      <w:r>
        <w:t xml:space="preserve"> — a concluded contract is unnecessary, so an MoU, partnership, bailment or agency will do;</w:t>
      </w:r>
    </w:p>
    <w:p>
      <w:pPr>
        <w:pStyle w:val="ListParagraph"/>
        <w:numPr>
          <w:ilvl w:val="0"/>
          <w:numId w:val="3"/>
        </w:numPr>
        <w:spacing w:after="70" w:line="262"/>
        <w:jc w:val="both"/>
      </w:pPr>
      <w:r>
        <w:t xml:space="preserve">the relationship is </w:t>
      </w:r>
      <w:r>
        <w:rPr>
          <w:b/>
          <w:bCs/>
        </w:rPr>
        <w:t xml:space="preserve">considered commercial under the law in force in India</w:t>
      </w:r>
      <w:r>
        <w:t xml:space="preserve">; and</w:t>
      </w:r>
    </w:p>
    <w:p>
      <w:pPr>
        <w:pStyle w:val="ListParagraph"/>
        <w:numPr>
          <w:ilvl w:val="0"/>
          <w:numId w:val="3"/>
        </w:numPr>
        <w:spacing w:after="70" w:line="262"/>
        <w:jc w:val="both"/>
      </w:pPr>
      <w:r>
        <w:rPr>
          <w:b/>
          <w:bCs/>
        </w:rPr>
        <w:t xml:space="preserve">at least one party</w:t>
      </w:r>
      <w:r>
        <w:t xml:space="preserve"> is (i) an individual who is a national of, or habitually resident in, a country other than India; (ii) a body corporate incorporated outside India; (iii) an association or body of individuals whose central management and control is exercised outside India; or (iv) the Government of a foreign country.</w:t>
      </w:r>
    </w:p>
    <w:p>
      <w:pPr>
        <w:spacing w:after="110" w:line="262"/>
        <w:jc w:val="both"/>
      </w:pPr>
      <w:r>
        <w:rPr>
          <w:b/>
          <w:bCs/>
        </w:rPr>
        <w:t xml:space="preserve">2015 change.</w:t>
      </w:r>
      <w:r>
        <w:t xml:space="preserve"> Sub-clause (iii) originally read “a company or an association or a body of individuals”. The words “a company or” were omitted by Act 3 of 2016 (w.e.f. 23 October 2015). The central-management-and-control test therefore never applies to a company; a company's status is fixed by sub-clause (ii), i.e. place of incorporation.</w:t>
      </w:r>
    </w:p>
    <w:p>
      <w:pPr>
        <w:pStyle w:val="Heading2"/>
        <w:keepNext/>
        <w:spacing w:after="110" w:before="240"/>
      </w:pPr>
      <w:r>
        <w:t xml:space="preserve">1.2  “Commercial” — construed widely</w:t>
      </w:r>
    </w:p>
    <w:p>
      <w:pPr>
        <w:keepNext/>
        <w:spacing w:after="60" w:before="170"/>
      </w:pPr>
      <w:r>
        <w:rPr>
          <w:b/>
          <w:bCs/>
          <w:sz w:val="22"/>
          <w:szCs w:val="22"/>
        </w:rPr>
        <w:t xml:space="preserve">R.M. Investments &amp; Trading Co. Pvt. Ltd. v. Boeing Co.</w:t>
      </w:r>
      <w:r>
        <w:rPr>
          <w:color w:val="404040"/>
          <w:sz w:val="19"/>
          <w:szCs w:val="19"/>
        </w:rPr>
        <w:t xml:space="preserve">  (1994) 4 SCC 541; AIR 1994 SC 1136 (SC, 10 Feb 1994).</w:t>
      </w:r>
    </w:p>
    <w:p>
      <w:pPr>
        <w:spacing w:after="70" w:line="258"/>
        <w:ind w:left="259"/>
        <w:jc w:val="both"/>
      </w:pPr>
      <w:r>
        <w:rPr>
          <w:b/>
          <w:bCs/>
          <w:sz w:val="21"/>
          <w:szCs w:val="21"/>
        </w:rPr>
        <w:t xml:space="preserve">Facts. </w:t>
      </w:r>
      <w:r>
        <w:rPr>
          <w:sz w:val="21"/>
          <w:szCs w:val="21"/>
        </w:rPr>
        <w:t xml:space="preserve">An Indian company agreed to provide Boeing with consultancy services to promote aircraft sales in India, claimed commission on the eventual Air India purchase, and sued when Boeing refused. Boeing sought a stay in favour of arbitration.</w:t>
      </w:r>
    </w:p>
    <w:p>
      <w:pPr>
        <w:spacing w:after="70" w:line="258"/>
        <w:ind w:left="259"/>
        <w:jc w:val="both"/>
      </w:pPr>
      <w:r>
        <w:rPr>
          <w:b/>
          <w:bCs/>
          <w:sz w:val="21"/>
          <w:szCs w:val="21"/>
        </w:rPr>
        <w:t xml:space="preserve">Held. </w:t>
      </w:r>
      <w:r>
        <w:rPr>
          <w:sz w:val="21"/>
          <w:szCs w:val="21"/>
        </w:rPr>
        <w:t xml:space="preserve">The relationship was commercial. “Commercial” must be construed broadly, having regard to the manifold activities integral to international trade. A consultancy agreement made to promote an admittedly commercial transaction is itself commercial; it is not otherwise merely because services rather than goods are supplied, or because the consultant is an independent contractor.</w:t>
      </w:r>
    </w:p>
    <w:p>
      <w:pPr>
        <w:spacing w:after="70" w:line="258"/>
        <w:ind w:left="259"/>
        <w:jc w:val="both"/>
      </w:pPr>
      <w:r>
        <w:rPr>
          <w:b/>
          <w:bCs/>
          <w:sz w:val="21"/>
          <w:szCs w:val="21"/>
        </w:rPr>
        <w:t xml:space="preserve">Why it matters. </w:t>
      </w:r>
      <w:r>
        <w:rPr>
          <w:sz w:val="21"/>
          <w:szCs w:val="21"/>
        </w:rPr>
        <w:t xml:space="preserve">Authority for the second element of s. 2(1)(f).</w:t>
      </w:r>
    </w:p>
    <w:p>
      <w:pPr>
        <w:spacing w:after="70" w:line="258"/>
        <w:ind w:left="259"/>
        <w:jc w:val="both"/>
      </w:pPr>
      <w:r>
        <w:rPr>
          <w:b/>
          <w:bCs/>
          <w:sz w:val="21"/>
          <w:szCs w:val="21"/>
        </w:rPr>
        <w:t xml:space="preserve">Status. </w:t>
      </w:r>
      <w:r>
        <w:rPr>
          <w:sz w:val="21"/>
          <w:szCs w:val="21"/>
        </w:rPr>
        <w:t xml:space="preserve">Good law; the leading authority.</w:t>
      </w:r>
    </w:p>
    <w:p>
      <w:pPr>
        <w:pStyle w:val="Heading2"/>
        <w:keepNext/>
        <w:spacing w:after="110" w:before="240"/>
      </w:pPr>
      <w:r>
        <w:t xml:space="preserve">1.3  Nationality of a company</w:t>
      </w:r>
    </w:p>
    <w:p>
      <w:pPr>
        <w:spacing w:after="110" w:line="262"/>
        <w:jc w:val="both"/>
      </w:pPr>
      <w:r>
        <w:rPr>
          <w:i/>
          <w:iCs/>
        </w:rPr>
        <w:t xml:space="preserve">TDM Infrastructure P. Ltd. v. UE Development India P. Ltd.</w:t>
      </w:r>
      <w:r>
        <w:t xml:space="preserve">, (2008) 14 SCC 271 (SC, 14 May 2008), applied the place-of-incorporation rule: two companies incorporated in India are both Indian parties, so their arbitration is domestic however the shareholding or control is held.</w:t>
      </w:r>
    </w:p>
    <w:p>
      <w:pPr>
        <w:spacing w:after="110" w:before="80" w:line="250"/>
        <w:ind w:left="504" w:right="288"/>
        <w:jc w:val="both"/>
      </w:pPr>
      <w:r>
        <w:rPr>
          <w:sz w:val="20"/>
          <w:szCs w:val="20"/>
        </w:rPr>
        <w:t xml:space="preserve">“Once it is held that both the companies are incorporated in India, and, thus, they have been domiciled in India, the arbitration agreement entered into by and between them would not be an international commercial arbitration agreement…”</w:t>
      </w:r>
    </w:p>
    <w:p>
      <w:pPr>
        <w:spacing w:after="110" w:line="262"/>
        <w:jc w:val="both"/>
      </w:pPr>
      <w:r>
        <w:t xml:space="preserve">Law Commission Report No. 246 (2014) relied on this reasoning to recommend deleting “a company or”. The marginal note in the class materials about a “theory of seat” for nationality is accurate only for associations and bodies of individuals.</w:t>
      </w:r>
    </w:p>
    <w:p>
      <w:pPr>
        <w:pStyle w:val="Heading2"/>
        <w:keepNext/>
        <w:spacing w:after="110" w:before="240"/>
      </w:pPr>
      <w:r>
        <w:t xml:space="preserve">1.4  Salient features of international arbitration</w:t>
      </w:r>
    </w:p>
    <w:p>
      <w:pPr>
        <w:pStyle w:val="ListParagraph"/>
        <w:numPr>
          <w:ilvl w:val="0"/>
          <w:numId w:val="4"/>
        </w:numPr>
        <w:spacing w:after="70" w:line="262"/>
        <w:jc w:val="both"/>
      </w:pPr>
      <w:r>
        <w:rPr>
          <w:b/>
          <w:bCs/>
        </w:rPr>
        <w:t xml:space="preserve">Private dispute resolution</w:t>
      </w:r>
      <w:r>
        <w:t xml:space="preserve"> designed for the needs of international commerce.</w:t>
      </w:r>
    </w:p>
    <w:p>
      <w:pPr>
        <w:pStyle w:val="ListParagraph"/>
        <w:numPr>
          <w:ilvl w:val="0"/>
          <w:numId w:val="4"/>
        </w:numPr>
        <w:spacing w:after="70" w:line="262"/>
        <w:jc w:val="both"/>
      </w:pPr>
      <w:r>
        <w:rPr>
          <w:b/>
          <w:bCs/>
        </w:rPr>
        <w:t xml:space="preserve">Consent and party autonomy</w:t>
      </w:r>
      <w:r>
        <w:t xml:space="preserve"> as the foundational pillar — the parties choose the tribunal, procedure, seat, language and applicable law. Autonomy stops at the non-derogable provisions, of which s. 34 is the chief example.</w:t>
      </w:r>
    </w:p>
    <w:p>
      <w:pPr>
        <w:pStyle w:val="ListParagraph"/>
        <w:numPr>
          <w:ilvl w:val="0"/>
          <w:numId w:val="4"/>
        </w:numPr>
        <w:spacing w:after="70" w:line="262"/>
        <w:jc w:val="both"/>
      </w:pPr>
      <w:r>
        <w:rPr>
          <w:b/>
          <w:bCs/>
        </w:rPr>
        <w:t xml:space="preserve">State support</w:t>
      </w:r>
      <w:r>
        <w:t xml:space="preserve"> through an enabling statute, ouster of civil court jurisdiction, and court-annexed arbitration (s. 89 CPC).</w:t>
      </w:r>
    </w:p>
    <w:p>
      <w:pPr>
        <w:pStyle w:val="ListParagraph"/>
        <w:numPr>
          <w:ilvl w:val="0"/>
          <w:numId w:val="4"/>
        </w:numPr>
        <w:spacing w:after="70" w:line="262"/>
        <w:jc w:val="both"/>
      </w:pPr>
      <w:r>
        <w:rPr>
          <w:b/>
          <w:bCs/>
        </w:rPr>
        <w:t xml:space="preserve">Legislative uniformity</w:t>
      </w:r>
      <w:r>
        <w:t xml:space="preserve"> — national laws follow the UNCITRAL Model Law, because uniformity promotes cross-border trade.</w:t>
      </w:r>
    </w:p>
    <w:p>
      <w:pPr>
        <w:pStyle w:val="ListParagraph"/>
        <w:numPr>
          <w:ilvl w:val="0"/>
          <w:numId w:val="4"/>
        </w:numPr>
        <w:spacing w:after="70" w:line="262"/>
        <w:jc w:val="both"/>
      </w:pPr>
      <w:r>
        <w:rPr>
          <w:b/>
          <w:bCs/>
        </w:rPr>
        <w:t xml:space="preserve">Exclusion of judicial intervention</w:t>
      </w:r>
      <w:r>
        <w:t xml:space="preserve"> — Art. 5 Model Law, enacted as s. 5.</w:t>
      </w:r>
    </w:p>
    <w:p>
      <w:pPr>
        <w:pStyle w:val="ListParagraph"/>
        <w:numPr>
          <w:ilvl w:val="0"/>
          <w:numId w:val="4"/>
        </w:numPr>
        <w:spacing w:after="70" w:line="262"/>
        <w:jc w:val="both"/>
      </w:pPr>
      <w:r>
        <w:rPr>
          <w:b/>
          <w:bCs/>
        </w:rPr>
        <w:t xml:space="preserve">Courts support rather than supervise</w:t>
      </w:r>
      <w:r>
        <w:t xml:space="preserve"> — interim measures (s. 9), assistance in taking evidence (s. 27), enforcement.</w:t>
      </w:r>
    </w:p>
    <w:p>
      <w:pPr>
        <w:pStyle w:val="ListParagraph"/>
        <w:numPr>
          <w:ilvl w:val="0"/>
          <w:numId w:val="4"/>
        </w:numPr>
        <w:spacing w:after="70" w:line="262"/>
        <w:jc w:val="both"/>
      </w:pPr>
      <w:r>
        <w:rPr>
          <w:b/>
          <w:bCs/>
        </w:rPr>
        <w:t xml:space="preserve">Competence-competence and separability</w:t>
      </w:r>
      <w:r>
        <w:t xml:space="preserve"> (s. 16).</w:t>
      </w:r>
    </w:p>
    <w:p>
      <w:pPr>
        <w:pStyle w:val="ListParagraph"/>
        <w:numPr>
          <w:ilvl w:val="0"/>
          <w:numId w:val="4"/>
        </w:numPr>
        <w:spacing w:after="70" w:line="262"/>
        <w:jc w:val="both"/>
      </w:pPr>
      <w:r>
        <w:rPr>
          <w:b/>
          <w:bCs/>
        </w:rPr>
        <w:t xml:space="preserve">Reasoned award; narrow recourse</w:t>
      </w:r>
      <w:r>
        <w:t xml:space="preserve"> — no review on the merits, and even an erroneous award is enforceable.</w:t>
      </w:r>
    </w:p>
    <w:p>
      <w:pPr>
        <w:pStyle w:val="ListParagraph"/>
        <w:numPr>
          <w:ilvl w:val="0"/>
          <w:numId w:val="4"/>
        </w:numPr>
        <w:spacing w:after="70" w:line="262"/>
        <w:jc w:val="both"/>
      </w:pPr>
      <w:r>
        <w:rPr>
          <w:b/>
          <w:bCs/>
        </w:rPr>
        <w:t xml:space="preserve">Two presumptive obligations</w:t>
      </w:r>
      <w:r>
        <w:t xml:space="preserve"> — to recognise the arbitration agreement, and to recognise and enforce the award.</w:t>
      </w:r>
    </w:p>
    <w:p>
      <w:pPr>
        <w:spacing w:after="110" w:line="262"/>
        <w:jc w:val="both"/>
      </w:pPr>
      <w:r>
        <w:rPr>
          <w:b/>
          <w:bCs/>
        </w:rPr>
        <w:t xml:space="preserve">Confidentiality</w:t>
      </w:r>
      <w:r>
        <w:t xml:space="preserve"> is usually listed as an advantage and is the feature corporate users value most, but it is not universal: investment-treaty awards are commonly published, and transparency obligations may apply in environmental matters. </w:t>
      </w:r>
      <w:r>
        <w:rPr>
          <w:b/>
          <w:bCs/>
        </w:rPr>
        <w:t xml:space="preserve">Limited appeals</w:t>
      </w:r>
      <w:r>
        <w:t xml:space="preserve"> likewise needs qualification in India, because Arts. 226, 227 and 32 remain available (see 3.2).</w:t>
      </w:r>
    </w:p>
    <w:p>
      <w:pPr>
        <w:pStyle w:val="Heading2"/>
        <w:keepNext/>
        <w:spacing w:after="110" w:before="240"/>
      </w:pPr>
      <w:r>
        <w:t xml:space="preserve">1.5  Choice of law; seat and venue</w:t>
      </w:r>
    </w:p>
    <w:p>
      <w:pPr>
        <w:spacing w:after="110" w:line="262"/>
        <w:jc w:val="both"/>
      </w:pPr>
      <w:r>
        <w:t xml:space="preserve">Three distinct laws may govern one arbitration: the </w:t>
      </w:r>
      <w:r>
        <w:rPr>
          <w:b/>
          <w:bCs/>
        </w:rPr>
        <w:t xml:space="preserve">substantive law</w:t>
      </w:r>
      <w:r>
        <w:t xml:space="preserve"> of the merits; the law governing the </w:t>
      </w:r>
      <w:r>
        <w:rPr>
          <w:b/>
          <w:bCs/>
        </w:rPr>
        <w:t xml:space="preserve">arbitration agreement</w:t>
      </w:r>
      <w:r>
        <w:t xml:space="preserve"> itself, which may differ from that of the underlying contract because the clause is separable; and the *</w:t>
      </w:r>
      <w:r>
        <w:rPr>
          <w:i/>
          <w:iCs/>
        </w:rPr>
        <w:t xml:space="preserve">procedural law or </w:t>
      </w:r>
      <w:r>
        <w:t xml:space="preserve">lex arbitri**</w:t>
      </w:r>
      <w:r>
        <w:rPr>
          <w:i/>
          <w:iCs/>
        </w:rPr>
        <w:t xml:space="preserve">, which follows the seat. A tribunal may also decide </w:t>
      </w:r>
      <w:r>
        <w:t xml:space="preserve">ex aequo et bono</w:t>
      </w:r>
      <w:r>
        <w:rPr>
          <w:i/>
          <w:iCs/>
        </w:rPr>
        <w:t xml:space="preserve"> or as </w:t>
      </w:r>
      <w:r>
        <w:t xml:space="preserve">amiable compositeur*, but only if the parties so authorise.</w:t>
      </w:r>
    </w:p>
    <w:p>
      <w:pPr>
        <w:spacing w:after="110" w:line="262"/>
        <w:jc w:val="both"/>
      </w:pPr>
      <w:r>
        <w:rPr>
          <w:b/>
          <w:bCs/>
        </w:rPr>
        <w:t xml:space="preserve">Seat v. venue.</w:t>
      </w:r>
      <w:r>
        <w:t xml:space="preserve"> S. 20 says “place”, read in Indian practice as the juridical </w:t>
      </w:r>
      <w:r>
        <w:rPr>
          <w:b/>
          <w:bCs/>
        </w:rPr>
        <w:t xml:space="preserve">seat</w:t>
      </w:r>
      <w:r>
        <w:t xml:space="preserve"> — it fixes the </w:t>
      </w:r>
      <w:r>
        <w:rPr>
          <w:i/>
          <w:iCs/>
        </w:rPr>
        <w:t xml:space="preserve">lex arbitri</w:t>
      </w:r>
      <w:r>
        <w:t xml:space="preserve"> and the supervising court. The </w:t>
      </w:r>
      <w:r>
        <w:rPr>
          <w:b/>
          <w:bCs/>
        </w:rPr>
        <w:t xml:space="preserve">venue</w:t>
      </w:r>
      <w:r>
        <w:t xml:space="preserve"> is merely where the tribunal sits, and s. 20(3) lets it meet anywhere convenient without disturbing the seat.</w:t>
      </w:r>
    </w:p>
    <w:p>
      <w:pPr>
        <w:pStyle w:val="Heading2"/>
        <w:keepNext/>
        <w:spacing w:after="110" w:before="240"/>
      </w:pPr>
      <w:r>
        <w:t xml:space="preserve">1.6  Scope of Part I: the territorial question</w:t>
      </w:r>
    </w:p>
    <w:p>
      <w:pPr>
        <w:spacing w:after="110" w:line="262"/>
        <w:jc w:val="both"/>
      </w:pPr>
      <w:r>
        <w:t xml:space="preserve">Part I is headed simply “Arbitration” and contains the definitions, s. 9 and s. 34; Part II governs foreign awards and has, instead of a set-aside provision, s. 48 on refusal of recognition. Part II must nonetheless borrow from Part I even to know what an arbitration agreement is. S. 2(2) says Part I “shall apply where the place of arbitration is India”, and s. 2(7) makes an award under Part I a domestic award. The argument that produced the controversy was textual: s. 2(2) does not say “shall </w:t>
      </w:r>
      <w:r>
        <w:rPr>
          <w:i/>
          <w:iCs/>
        </w:rPr>
        <w:t xml:space="preserve">only</w:t>
      </w:r>
      <w:r>
        <w:t xml:space="preserve"> apply”.</w:t>
      </w:r>
    </w:p>
    <w:p>
      <w:pPr>
        <w:keepNext/>
        <w:spacing w:after="60" w:before="170"/>
      </w:pPr>
      <w:r>
        <w:rPr>
          <w:b/>
          <w:bCs/>
          <w:sz w:val="22"/>
          <w:szCs w:val="22"/>
        </w:rPr>
        <w:t xml:space="preserve">Bhatia International v. Bulk Trading S.A.</w:t>
      </w:r>
      <w:r>
        <w:rPr>
          <w:color w:val="404040"/>
          <w:sz w:val="19"/>
          <w:szCs w:val="19"/>
        </w:rPr>
        <w:t xml:space="preserve">  (2002) 4 SCC 105 (SC, 3 Judges).</w:t>
      </w:r>
    </w:p>
    <w:p>
      <w:pPr>
        <w:spacing w:after="70" w:line="258"/>
        <w:ind w:left="259"/>
        <w:jc w:val="both"/>
      </w:pPr>
      <w:r>
        <w:rPr>
          <w:b/>
          <w:bCs/>
          <w:sz w:val="21"/>
          <w:szCs w:val="21"/>
        </w:rPr>
        <w:t xml:space="preserve">Facts. </w:t>
      </w:r>
      <w:r>
        <w:rPr>
          <w:sz w:val="21"/>
          <w:szCs w:val="21"/>
        </w:rPr>
        <w:t xml:space="preserve">ICC arbitration seated in Paris; the respondent sought a s. 9 injunction from the District Court, Indore.</w:t>
      </w:r>
    </w:p>
    <w:p>
      <w:pPr>
        <w:spacing w:after="70" w:line="258"/>
        <w:ind w:left="259"/>
        <w:jc w:val="both"/>
      </w:pPr>
      <w:r>
        <w:rPr>
          <w:b/>
          <w:bCs/>
          <w:sz w:val="21"/>
          <w:szCs w:val="21"/>
        </w:rPr>
        <w:t xml:space="preserve">Held. </w:t>
      </w:r>
      <w:r>
        <w:rPr>
          <w:sz w:val="21"/>
          <w:szCs w:val="21"/>
        </w:rPr>
        <w:t xml:space="preserve">Part I applies to all arbitrations — compulsorily where the seat is India, and to a foreign-seated ICA unless excluded by agreement, express or implied.</w:t>
      </w:r>
    </w:p>
    <w:p>
      <w:pPr>
        <w:spacing w:after="70" w:line="258"/>
        <w:ind w:left="259"/>
        <w:jc w:val="both"/>
      </w:pPr>
      <w:r>
        <w:rPr>
          <w:b/>
          <w:bCs/>
          <w:sz w:val="21"/>
          <w:szCs w:val="21"/>
        </w:rPr>
        <w:t xml:space="preserve">Status. </w:t>
      </w:r>
      <w:r>
        <w:rPr>
          <w:b/>
          <w:bCs/>
          <w:sz w:val="21"/>
          <w:szCs w:val="21"/>
        </w:rPr>
        <w:t xml:space="preserve">Overruled</w:t>
      </w:r>
      <w:r>
        <w:rPr>
          <w:sz w:val="21"/>
          <w:szCs w:val="21"/>
        </w:rPr>
        <w:t xml:space="preserve"> prospectively by BALCO.</w:t>
      </w:r>
    </w:p>
    <w:p>
      <w:pPr>
        <w:keepNext/>
        <w:spacing w:after="60" w:before="170"/>
      </w:pPr>
      <w:r>
        <w:rPr>
          <w:b/>
          <w:bCs/>
          <w:sz w:val="22"/>
          <w:szCs w:val="22"/>
        </w:rPr>
        <w:t xml:space="preserve">Venture Global Engineering v. Satyam Computer Services Ltd.</w:t>
      </w:r>
      <w:r>
        <w:rPr>
          <w:color w:val="404040"/>
          <w:sz w:val="19"/>
          <w:szCs w:val="19"/>
        </w:rPr>
        <w:t xml:space="preserve">  (2008) 4 SCC 190 (SC).</w:t>
      </w:r>
    </w:p>
    <w:p>
      <w:pPr>
        <w:spacing w:after="70" w:line="258"/>
        <w:ind w:left="259"/>
        <w:jc w:val="both"/>
      </w:pPr>
      <w:r>
        <w:rPr>
          <w:b/>
          <w:bCs/>
          <w:sz w:val="21"/>
          <w:szCs w:val="21"/>
        </w:rPr>
        <w:t xml:space="preserve">Held. </w:t>
      </w:r>
      <w:r>
        <w:rPr>
          <w:sz w:val="21"/>
          <w:szCs w:val="21"/>
        </w:rPr>
        <w:t xml:space="preserve">Carrying Bhatia to its conclusion, s. 34 was held available to set aside a </w:t>
      </w:r>
      <w:r>
        <w:rPr>
          <w:b/>
          <w:bCs/>
          <w:sz w:val="21"/>
          <w:szCs w:val="21"/>
        </w:rPr>
        <w:t xml:space="preserve">foreign</w:t>
      </w:r>
      <w:r>
        <w:rPr>
          <w:sz w:val="21"/>
          <w:szCs w:val="21"/>
        </w:rPr>
        <w:t xml:space="preserve"> award in India.</w:t>
      </w:r>
    </w:p>
    <w:p>
      <w:pPr>
        <w:spacing w:after="70" w:line="258"/>
        <w:ind w:left="259"/>
        <w:jc w:val="both"/>
      </w:pPr>
      <w:r>
        <w:rPr>
          <w:b/>
          <w:bCs/>
          <w:sz w:val="21"/>
          <w:szCs w:val="21"/>
        </w:rPr>
        <w:t xml:space="preserve">Why it matters. </w:t>
      </w:r>
      <w:r>
        <w:rPr>
          <w:sz w:val="21"/>
          <w:szCs w:val="21"/>
        </w:rPr>
        <w:t xml:space="preserve">This cut across the New York Convention, under which a foreign award may be refused recognition on Art. V grounds but not set aside outside the seat — setting aside is far wider in effect, since a set-aside award is ordinarily unenforceable everywhere.</w:t>
      </w:r>
    </w:p>
    <w:p>
      <w:pPr>
        <w:spacing w:after="70" w:line="258"/>
        <w:ind w:left="259"/>
        <w:jc w:val="both"/>
      </w:pPr>
      <w:r>
        <w:rPr>
          <w:b/>
          <w:bCs/>
          <w:sz w:val="21"/>
          <w:szCs w:val="21"/>
        </w:rPr>
        <w:t xml:space="preserve">Status. </w:t>
      </w:r>
      <w:r>
        <w:rPr>
          <w:b/>
          <w:bCs/>
          <w:sz w:val="21"/>
          <w:szCs w:val="21"/>
        </w:rPr>
        <w:t xml:space="preserve">Overruled</w:t>
      </w:r>
      <w:r>
        <w:rPr>
          <w:sz w:val="21"/>
          <w:szCs w:val="21"/>
        </w:rPr>
        <w:t xml:space="preserve"> prospectively by BALCO.</w:t>
      </w:r>
    </w:p>
    <w:p>
      <w:pPr>
        <w:keepNext/>
        <w:spacing w:after="60" w:before="170"/>
      </w:pPr>
      <w:r>
        <w:rPr>
          <w:b/>
          <w:bCs/>
          <w:sz w:val="22"/>
          <w:szCs w:val="22"/>
        </w:rPr>
        <w:t xml:space="preserve">Bharat Aluminium Co. v. Kaiser Aluminium Technical Services Inc. (BALCO)</w:t>
      </w:r>
      <w:r>
        <w:rPr>
          <w:color w:val="404040"/>
          <w:sz w:val="19"/>
          <w:szCs w:val="19"/>
        </w:rPr>
        <w:t xml:space="preserve">  (2012) 9 SCC 552 (SC, Constitution Bench of 5, 6 Sept 2012).</w:t>
      </w:r>
    </w:p>
    <w:p>
      <w:pPr>
        <w:spacing w:after="70" w:line="258"/>
        <w:ind w:left="259"/>
        <w:jc w:val="both"/>
      </w:pPr>
      <w:r>
        <w:rPr>
          <w:b/>
          <w:bCs/>
          <w:sz w:val="21"/>
          <w:szCs w:val="21"/>
        </w:rPr>
        <w:t xml:space="preserve">Held. </w:t>
      </w:r>
      <w:r>
        <w:rPr>
          <w:sz w:val="21"/>
          <w:szCs w:val="21"/>
        </w:rPr>
        <w:t xml:space="preserve">Part I applies </w:t>
      </w:r>
      <w:r>
        <w:rPr>
          <w:b/>
          <w:bCs/>
          <w:sz w:val="21"/>
          <w:szCs w:val="21"/>
        </w:rPr>
        <w:t xml:space="preserve">only</w:t>
      </w:r>
      <w:r>
        <w:rPr>
          <w:sz w:val="21"/>
          <w:szCs w:val="21"/>
        </w:rPr>
        <w:t xml:space="preserve"> to arbitrations seated in India. The Court adopted a </w:t>
      </w:r>
      <w:r>
        <w:rPr>
          <w:b/>
          <w:bCs/>
          <w:sz w:val="21"/>
          <w:szCs w:val="21"/>
        </w:rPr>
        <w:t xml:space="preserve">seat-centric</w:t>
      </w:r>
      <w:r>
        <w:rPr>
          <w:sz w:val="21"/>
          <w:szCs w:val="21"/>
        </w:rPr>
        <w:t xml:space="preserve"> rather than subject-matter-centric approach: the seat fixes the governing law and the supervisory courts. Two consequences for foreign-seated arbitration — no set-aside under s. 34, and (as then decided) no court-ordered interim relief.</w:t>
      </w:r>
    </w:p>
    <w:p>
      <w:pPr>
        <w:spacing w:after="70" w:line="258"/>
        <w:ind w:left="259"/>
        <w:jc w:val="both"/>
      </w:pPr>
      <w:r>
        <w:rPr>
          <w:b/>
          <w:bCs/>
          <w:sz w:val="21"/>
          <w:szCs w:val="21"/>
        </w:rPr>
        <w:t xml:space="preserve">Status. </w:t>
      </w:r>
      <w:r>
        <w:rPr>
          <w:sz w:val="21"/>
          <w:szCs w:val="21"/>
        </w:rPr>
        <w:t xml:space="preserve">Good law, with two qualifications: (i) the ruling is </w:t>
      </w:r>
      <w:r>
        <w:rPr>
          <w:b/>
          <w:bCs/>
          <w:sz w:val="21"/>
          <w:szCs w:val="21"/>
        </w:rPr>
        <w:t xml:space="preserve">prospective</w:t>
      </w:r>
      <w:r>
        <w:rPr>
          <w:sz w:val="21"/>
          <w:szCs w:val="21"/>
        </w:rPr>
        <w:t xml:space="preserve">, applying under Art. 142 only to arbitration agreements executed on or after 6 September 2012, so earlier agreements remain governed by Bhatia; and (ii) the second consequence has been reversed by statute (1.7).</w:t>
      </w:r>
    </w:p>
    <w:p>
      <w:pPr>
        <w:pStyle w:val="Heading2"/>
        <w:keepNext/>
        <w:spacing w:after="110" w:before="240"/>
      </w:pPr>
      <w:r>
        <w:t xml:space="preserve">1.7  Present position</w:t>
      </w:r>
    </w:p>
    <w:p>
      <w:pPr>
        <w:spacing w:after="110" w:line="262"/>
        <w:jc w:val="both"/>
      </w:pPr>
      <w:r>
        <w:t xml:space="preserve">Part I applies to India-seated arbitrations. For foreign-seated ICA, the </w:t>
      </w:r>
      <w:r>
        <w:rPr>
          <w:b/>
          <w:bCs/>
        </w:rPr>
        <w:t xml:space="preserve">proviso to s. 2(2)</w:t>
      </w:r>
      <w:r>
        <w:t xml:space="preserve"> (inserted 2015) applies </w:t>
      </w:r>
      <w:r>
        <w:rPr>
          <w:b/>
          <w:bCs/>
        </w:rPr>
        <w:t xml:space="preserve">ss. 9, 27 and 37(1)(a) and (3)</w:t>
      </w:r>
      <w:r>
        <w:t xml:space="preserve"> unless the parties agree otherwise — restoring court-assisted interim relief and evidence-gathering while leaving set-aside to the courts of the seat. The working division of ICA is therefore into arbitrations seated in India and arbitrations seated abroad.</w:t>
      </w:r>
    </w:p>
    <w:p>
      <w:pPr>
        <w:pStyle w:val="Heading2"/>
        <w:keepNext/>
        <w:spacing w:after="110" w:before="240"/>
      </w:pPr>
      <w:r>
        <w:t xml:space="preserve">1.8  Judicial interference and delay: two treaty awards</w:t>
      </w:r>
    </w:p>
    <w:p>
      <w:pPr>
        <w:keepNext/>
        <w:spacing w:after="60" w:before="170"/>
      </w:pPr>
      <w:r>
        <w:rPr>
          <w:b/>
          <w:bCs/>
          <w:sz w:val="22"/>
          <w:szCs w:val="22"/>
        </w:rPr>
        <w:t xml:space="preserve">Saipem S.p.A. v. People's Republic of Bangladesh</w:t>
      </w:r>
      <w:r>
        <w:rPr>
          <w:color w:val="404040"/>
          <w:sz w:val="19"/>
          <w:szCs w:val="19"/>
        </w:rPr>
        <w:t xml:space="preserve">  ICSID Case No. ARB/05/7; Award 30 June 2009 (Kaufmann-Kohler, Schreuer, Otton).</w:t>
      </w:r>
    </w:p>
    <w:p>
      <w:pPr>
        <w:spacing w:after="70" w:line="258"/>
        <w:ind w:left="259"/>
        <w:jc w:val="both"/>
      </w:pPr>
      <w:r>
        <w:rPr>
          <w:b/>
          <w:bCs/>
          <w:sz w:val="21"/>
          <w:szCs w:val="21"/>
        </w:rPr>
        <w:t xml:space="preserve">Facts. </w:t>
      </w:r>
      <w:r>
        <w:rPr>
          <w:sz w:val="21"/>
          <w:szCs w:val="21"/>
        </w:rPr>
        <w:t xml:space="preserve">Bangladeshi courts revoked the ICC tribunal's authority and restrained the arbitration; the tribunal disregarded that reasoning and made an award, which the courts then treated as a nullity so that it could not be enforced.</w:t>
      </w:r>
    </w:p>
    <w:p>
      <w:pPr>
        <w:spacing w:after="70" w:line="258"/>
        <w:ind w:left="259"/>
        <w:jc w:val="both"/>
      </w:pPr>
      <w:r>
        <w:rPr>
          <w:b/>
          <w:bCs/>
          <w:sz w:val="21"/>
          <w:szCs w:val="21"/>
        </w:rPr>
        <w:t xml:space="preserve">Held. </w:t>
      </w:r>
      <w:r>
        <w:rPr>
          <w:sz w:val="21"/>
          <w:szCs w:val="21"/>
        </w:rPr>
        <w:t xml:space="preserve">Bangladesh had </w:t>
      </w:r>
      <w:r>
        <w:rPr>
          <w:b/>
          <w:bCs/>
          <w:sz w:val="21"/>
          <w:szCs w:val="21"/>
        </w:rPr>
        <w:t xml:space="preserve">expropriated</w:t>
      </w:r>
      <w:r>
        <w:rPr>
          <w:sz w:val="21"/>
          <w:szCs w:val="21"/>
        </w:rPr>
        <w:t xml:space="preserve"> Saipem's rights. The residual contractual rights crystallised in an award are an intangible asset capable of expropriation; court action substantially depriving the holder of the award's benefit engages the State's treaty obligations. The tribunal also found the conduct inconsistent with the New York Convention and an abuse of rights.</w:t>
      </w:r>
    </w:p>
    <w:p>
      <w:pPr>
        <w:spacing w:after="70" w:line="258"/>
        <w:ind w:left="259"/>
        <w:jc w:val="both"/>
      </w:pPr>
      <w:r>
        <w:rPr>
          <w:b/>
          <w:bCs/>
          <w:sz w:val="21"/>
          <w:szCs w:val="21"/>
        </w:rPr>
        <w:t xml:space="preserve">Why it matters. </w:t>
      </w:r>
      <w:r>
        <w:rPr>
          <w:sz w:val="21"/>
          <w:szCs w:val="21"/>
        </w:rPr>
        <w:t xml:space="preserve">Shows s. 5 / Art. 5 from the outside: excessive judicial intervention is not merely irregular but may be internationally wrongful.</w:t>
      </w:r>
    </w:p>
    <w:p>
      <w:pPr>
        <w:spacing w:after="70" w:line="258"/>
        <w:ind w:left="259"/>
        <w:jc w:val="both"/>
      </w:pPr>
      <w:r>
        <w:rPr>
          <w:b/>
          <w:bCs/>
          <w:sz w:val="21"/>
          <w:szCs w:val="21"/>
        </w:rPr>
        <w:t xml:space="preserve">Status. </w:t>
      </w:r>
      <w:r>
        <w:rPr>
          <w:sz w:val="21"/>
          <w:szCs w:val="21"/>
        </w:rPr>
        <w:t xml:space="preserve">An arbitral award — persuasive, not binding.</w:t>
      </w:r>
    </w:p>
    <w:p>
      <w:pPr>
        <w:keepNext/>
        <w:spacing w:after="60" w:before="170"/>
      </w:pPr>
      <w:r>
        <w:rPr>
          <w:b/>
          <w:bCs/>
          <w:sz w:val="22"/>
          <w:szCs w:val="22"/>
        </w:rPr>
        <w:t xml:space="preserve">White Industries Australia Ltd. v. Republic of India</w:t>
      </w:r>
      <w:r>
        <w:rPr>
          <w:color w:val="404040"/>
          <w:sz w:val="19"/>
          <w:szCs w:val="19"/>
        </w:rPr>
        <w:t xml:space="preserve">  UNCITRAL, Australia–India BIT; Final Award 30 Nov 2011 (Rowley, Brower, Lau).</w:t>
      </w:r>
    </w:p>
    <w:p>
      <w:pPr>
        <w:spacing w:after="70" w:line="258"/>
        <w:ind w:left="259"/>
        <w:jc w:val="both"/>
      </w:pPr>
      <w:r>
        <w:rPr>
          <w:b/>
          <w:bCs/>
          <w:sz w:val="21"/>
          <w:szCs w:val="21"/>
        </w:rPr>
        <w:t xml:space="preserve">Facts. </w:t>
      </w:r>
      <w:r>
        <w:rPr>
          <w:sz w:val="21"/>
          <w:szCs w:val="21"/>
        </w:rPr>
        <w:t xml:space="preserve">White Industries obtained a Paris-seated ICC award against Coal India in 2002; enforcement and set-aside proceedings then ran in the Indian courts for roughly nine years without resolution. It commenced treaty arbitration (under UNCITRAL Rules, India not being an ICSID member).</w:t>
      </w:r>
    </w:p>
    <w:p>
      <w:pPr>
        <w:spacing w:after="70" w:line="258"/>
        <w:ind w:left="259"/>
        <w:jc w:val="both"/>
      </w:pPr>
      <w:r>
        <w:rPr>
          <w:b/>
          <w:bCs/>
          <w:sz w:val="21"/>
          <w:szCs w:val="21"/>
        </w:rPr>
        <w:t xml:space="preserve">Held. </w:t>
      </w:r>
      <w:r>
        <w:rPr>
          <w:sz w:val="21"/>
          <w:szCs w:val="21"/>
        </w:rPr>
        <w:t xml:space="preserve">India breached its obligation to provide </w:t>
      </w:r>
      <w:r>
        <w:rPr>
          <w:b/>
          <w:bCs/>
          <w:sz w:val="21"/>
          <w:szCs w:val="21"/>
        </w:rPr>
        <w:t xml:space="preserve">“effective means” of asserting claims and enforcing rights</w:t>
      </w:r>
      <w:r>
        <w:rPr>
          <w:sz w:val="21"/>
          <w:szCs w:val="21"/>
        </w:rPr>
        <w:t xml:space="preserve"> — a standard imported through the MFN clause from the India–Kuwait BIT. Expropriation and fair-and-equitable-treatment claims were rejected.</w:t>
      </w:r>
    </w:p>
    <w:p>
      <w:pPr>
        <w:spacing w:after="70" w:line="258"/>
        <w:ind w:left="259"/>
        <w:jc w:val="both"/>
      </w:pPr>
      <w:r>
        <w:rPr>
          <w:b/>
          <w:bCs/>
          <w:sz w:val="21"/>
          <w:szCs w:val="21"/>
        </w:rPr>
        <w:t xml:space="preserve">Why it matters. </w:t>
      </w:r>
      <w:r>
        <w:rPr>
          <w:sz w:val="21"/>
          <w:szCs w:val="21"/>
        </w:rPr>
        <w:t xml:space="preserve">The counterpart to Saipem: Saipem is active obstruction, White Industries is delay. Together they explain the progressive tightening of timelines in the Indian Act. The first known treaty award against India.</w:t>
      </w:r>
    </w:p>
    <w:p>
      <w:pPr>
        <w:spacing w:after="70" w:line="258"/>
        <w:ind w:left="259"/>
        <w:jc w:val="both"/>
      </w:pPr>
      <w:r>
        <w:rPr>
          <w:b/>
          <w:bCs/>
          <w:sz w:val="21"/>
          <w:szCs w:val="21"/>
        </w:rPr>
        <w:t xml:space="preserve">Status. </w:t>
      </w:r>
      <w:r>
        <w:rPr>
          <w:sz w:val="21"/>
          <w:szCs w:val="21"/>
        </w:rPr>
        <w:t xml:space="preserve">Award not officially published; the tribunal's composition is drawn from recognised arbitration databases.</w:t>
      </w:r>
    </w:p>
    <w:p>
      <w:pPr>
        <w:pStyle w:val="Heading1"/>
        <w:keepNext/>
        <w:pBdr>
          <w:top w:val="single" w:color="999999" w:sz="8" w:space="10"/>
        </w:pBdr>
        <w:spacing w:after="170" w:before="460"/>
      </w:pPr>
      <w:r>
        <w:t xml:space="preserve">2  Waiver of the Right to Object: s. 4</w:t>
      </w:r>
    </w:p>
    <w:p>
      <w:pPr>
        <w:pBdr>
          <w:left w:val="single" w:color="7A7A7A" w:sz="12" w:space="8"/>
        </w:pBdr>
        <w:spacing w:after="140" w:before="110" w:line="252"/>
        <w:ind w:left="288"/>
        <w:jc w:val="both"/>
      </w:pPr>
      <w:r>
        <w:rPr>
          <w:sz w:val="20"/>
          <w:szCs w:val="20"/>
        </w:rPr>
        <w:t xml:space="preserve">The prescribed list calls this topic “Arbitration Agreement, s. 4”. S. 4 is in fact headed </w:t>
      </w:r>
      <w:r>
        <w:rPr>
          <w:b/>
          <w:bCs/>
          <w:sz w:val="20"/>
          <w:szCs w:val="20"/>
        </w:rPr>
        <w:t xml:space="preserve">Waiver of right to object</w:t>
      </w:r>
      <w:r>
        <w:rPr>
          <w:sz w:val="20"/>
          <w:szCs w:val="20"/>
        </w:rPr>
        <w:t xml:space="preserve">; the arbitration agreement is s. 7 (Chapter 4). The class materials also treat </w:t>
      </w:r>
      <w:r>
        <w:rPr>
          <w:i/>
          <w:iCs/>
          <w:sz w:val="20"/>
          <w:szCs w:val="20"/>
        </w:rPr>
        <w:t xml:space="preserve">Scott v. Avery</w:t>
      </w:r>
      <w:r>
        <w:rPr>
          <w:sz w:val="20"/>
          <w:szCs w:val="20"/>
        </w:rPr>
        <w:t xml:space="preserve"> and </w:t>
      </w:r>
      <w:r>
        <w:rPr>
          <w:i/>
          <w:iCs/>
          <w:sz w:val="20"/>
          <w:szCs w:val="20"/>
        </w:rPr>
        <w:t xml:space="preserve">Lohia</w:t>
      </w:r>
      <w:r>
        <w:rPr>
          <w:sz w:val="20"/>
          <w:szCs w:val="20"/>
        </w:rPr>
        <w:t xml:space="preserve"> under s. 4, which is where they belong.</w:t>
      </w:r>
    </w:p>
    <w:p>
      <w:pPr>
        <w:pStyle w:val="Heading2"/>
        <w:keepNext/>
        <w:spacing w:after="110" w:before="240"/>
      </w:pPr>
      <w:r>
        <w:t xml:space="preserve">2.1  Provision and purpose</w:t>
      </w:r>
    </w:p>
    <w:p>
      <w:pPr>
        <w:spacing w:after="110" w:before="80" w:line="250"/>
        <w:ind w:left="504" w:right="288"/>
        <w:jc w:val="both"/>
      </w:pPr>
      <w:r>
        <w:rPr>
          <w:b/>
          <w:bCs/>
          <w:sz w:val="20"/>
          <w:szCs w:val="20"/>
        </w:rPr>
        <w:t xml:space="preserve">4.</w:t>
      </w:r>
      <w:r>
        <w:rPr>
          <w:sz w:val="20"/>
          <w:szCs w:val="20"/>
        </w:rPr>
        <w:t xml:space="preserve"> A party who knows that— (a) any provision of this Part </w:t>
      </w:r>
      <w:r>
        <w:rPr>
          <w:b/>
          <w:bCs/>
          <w:sz w:val="20"/>
          <w:szCs w:val="20"/>
        </w:rPr>
        <w:t xml:space="preserve">from which the parties may derogate</w:t>
      </w:r>
      <w:r>
        <w:rPr>
          <w:sz w:val="20"/>
          <w:szCs w:val="20"/>
        </w:rPr>
        <w:t xml:space="preserve">, or (b) any requirement under the arbitration agreement, has not been complied with and yet proceeds with the arbitration without stating his objection to such non-compliance without undue delay or, if a time limit is provided for stating that objection, within that period of time, </w:t>
      </w:r>
      <w:r>
        <w:rPr>
          <w:b/>
          <w:bCs/>
          <w:sz w:val="20"/>
          <w:szCs w:val="20"/>
        </w:rPr>
        <w:t xml:space="preserve">shall be deemed to have waived his right to so object</w:t>
      </w:r>
      <w:r>
        <w:rPr>
          <w:sz w:val="20"/>
          <w:szCs w:val="20"/>
        </w:rPr>
        <w:t xml:space="preserve">.</w:t>
      </w:r>
    </w:p>
    <w:p>
      <w:pPr>
        <w:spacing w:after="110" w:line="262"/>
        <w:jc w:val="both"/>
      </w:pPr>
      <w:r>
        <w:t xml:space="preserve">The purpose is procedural discipline: a party must not store up a defect and produce it after an unfavourable award. Elements: </w:t>
      </w:r>
      <w:r>
        <w:rPr>
          <w:b/>
          <w:bCs/>
        </w:rPr>
        <w:t xml:space="preserve">(i)</w:t>
      </w:r>
      <w:r>
        <w:t xml:space="preserve"> knowledge of the non-compliance; </w:t>
      </w:r>
      <w:r>
        <w:rPr>
          <w:b/>
          <w:bCs/>
        </w:rPr>
        <w:t xml:space="preserve">(ii)</w:t>
      </w:r>
      <w:r>
        <w:t xml:space="preserve"> the non-compliance is of a </w:t>
      </w:r>
      <w:r>
        <w:rPr>
          <w:b/>
          <w:bCs/>
        </w:rPr>
        <w:t xml:space="preserve">derogable</w:t>
      </w:r>
      <w:r>
        <w:t xml:space="preserve"> provision of Part I, or of a requirement of the agreement; </w:t>
      </w:r>
      <w:r>
        <w:rPr>
          <w:b/>
          <w:bCs/>
        </w:rPr>
        <w:t xml:space="preserve">(iii)</w:t>
      </w:r>
      <w:r>
        <w:t xml:space="preserve"> the party proceeds with the arbitration; </w:t>
      </w:r>
      <w:r>
        <w:rPr>
          <w:b/>
          <w:bCs/>
        </w:rPr>
        <w:t xml:space="preserve">(iv)</w:t>
      </w:r>
      <w:r>
        <w:t xml:space="preserve"> no objection without undue delay, or within any prescribed period. The waiver is then deemed — no separate finding of intention to abandon the right is needed.</w:t>
      </w:r>
    </w:p>
    <w:p>
      <w:pPr>
        <w:pStyle w:val="Heading2"/>
        <w:keepNext/>
        <w:spacing w:after="110" w:before="240"/>
      </w:pPr>
      <w:r>
        <w:t xml:space="preserve">2.2  Limb (b): Scott v. Avery clauses</w:t>
      </w:r>
    </w:p>
    <w:p>
      <w:pPr>
        <w:spacing w:after="110" w:line="262"/>
        <w:jc w:val="both"/>
      </w:pPr>
      <w:r>
        <w:rPr>
          <w:i/>
          <w:iCs/>
        </w:rPr>
        <w:t xml:space="preserve">Scott v. Avery</w:t>
      </w:r>
      <w:r>
        <w:t xml:space="preserve">, (1856) 5 HL Cas 811; 10 ER 1121 (HL), upheld a clause making an award — or some other stipulated step — a </w:t>
      </w:r>
      <w:r>
        <w:rPr>
          <w:b/>
          <w:bCs/>
        </w:rPr>
        <w:t xml:space="preserve">condition precedent to suit</w:t>
      </w:r>
      <w:r>
        <w:t xml:space="preserve">. Such a clause does not oust the court's jurisdiction; it postpones recourse until the contractual condition is satisfied. The familiar construction example: stage payments fall due only on certification by the architect or engineer. A party who knows the certification requirement was not observed, yet proceeds without objecting, loses the point under s. 4.</w:t>
      </w:r>
    </w:p>
    <w:p>
      <w:pPr>
        <w:pBdr>
          <w:left w:val="single" w:color="7A7A7A" w:sz="12" w:space="8"/>
        </w:pBdr>
        <w:spacing w:after="140" w:before="110" w:line="252"/>
        <w:ind w:left="288"/>
        <w:jc w:val="both"/>
      </w:pPr>
      <w:r>
        <w:rPr>
          <w:i/>
          <w:iCs/>
          <w:sz w:val="20"/>
          <w:szCs w:val="20"/>
        </w:rPr>
        <w:t xml:space="preserve">Scott v. Avery</w:t>
      </w:r>
      <w:r>
        <w:rPr>
          <w:sz w:val="20"/>
          <w:szCs w:val="20"/>
        </w:rPr>
        <w:t xml:space="preserve"> is English, and the phrase describes a </w:t>
      </w:r>
      <w:r>
        <w:rPr>
          <w:b/>
          <w:bCs/>
          <w:sz w:val="20"/>
          <w:szCs w:val="20"/>
        </w:rPr>
        <w:t xml:space="preserve">type of clause</w:t>
      </w:r>
      <w:r>
        <w:rPr>
          <w:sz w:val="20"/>
          <w:szCs w:val="20"/>
        </w:rPr>
        <w:t xml:space="preserve">, not a rule of Indian statute law. The principle is received in India, but on a given set of facts cite the relevant Indian decision rather than </w:t>
      </w:r>
      <w:r>
        <w:rPr>
          <w:i/>
          <w:iCs/>
          <w:sz w:val="20"/>
          <w:szCs w:val="20"/>
        </w:rPr>
        <w:t xml:space="preserve">Scott v. Avery</w:t>
      </w:r>
      <w:r>
        <w:rPr>
          <w:sz w:val="20"/>
          <w:szCs w:val="20"/>
        </w:rPr>
        <w:t xml:space="preserve"> alone.</w:t>
      </w:r>
    </w:p>
    <w:p>
      <w:pPr>
        <w:pStyle w:val="Heading2"/>
        <w:keepNext/>
        <w:spacing w:after="110" w:before="240"/>
      </w:pPr>
      <w:r>
        <w:t xml:space="preserve">2.3  What cannot be waived</w:t>
      </w:r>
    </w:p>
    <w:p>
      <w:pPr>
        <w:spacing w:after="110" w:line="262"/>
        <w:jc w:val="both"/>
      </w:pPr>
      <w:r>
        <w:t xml:space="preserve">S. 4 reaches only </w:t>
      </w:r>
      <w:r>
        <w:rPr>
          <w:b/>
          <w:bCs/>
        </w:rPr>
        <w:t xml:space="preserve">derogable</w:t>
      </w:r>
      <w:r>
        <w:t xml:space="preserve"> provisions. Non-compliance with a provision from which the parties cannot derogate is not cured by silence or participation — s. 34 (right of recourse) and s. 18 (equal treatment) are the standard examples. Read s. 4 with three companion timing rules: </w:t>
      </w:r>
      <w:r>
        <w:rPr>
          <w:b/>
          <w:bCs/>
        </w:rPr>
        <w:t xml:space="preserve">s. 16(2)</w:t>
      </w:r>
      <w:r>
        <w:t xml:space="preserve"> (jurisdictional plea not later than the statement of defence), </w:t>
      </w:r>
      <w:r>
        <w:rPr>
          <w:b/>
          <w:bCs/>
        </w:rPr>
        <w:t xml:space="preserve">s. 13(2)</w:t>
      </w:r>
      <w:r>
        <w:t xml:space="preserve"> (challenge within fifteen days), and the </w:t>
      </w:r>
      <w:r>
        <w:rPr>
          <w:b/>
          <w:bCs/>
        </w:rPr>
        <w:t xml:space="preserve">proviso to s. 12(5)</w:t>
      </w:r>
      <w:r>
        <w:t xml:space="preserve">, which permits waiver of Seventh Schedule ineligibility only by express written agreement made after the dispute has arisen — conduct will not do.</w:t>
      </w:r>
    </w:p>
    <w:p>
      <w:pPr>
        <w:pStyle w:val="Heading2"/>
        <w:keepNext/>
        <w:spacing w:after="110" w:before="240"/>
      </w:pPr>
      <w:r>
        <w:t xml:space="preserve">2.4  The section in operation</w:t>
      </w:r>
    </w:p>
    <w:p>
      <w:pPr>
        <w:spacing w:after="110" w:line="262"/>
        <w:jc w:val="both"/>
      </w:pPr>
      <w:r>
        <w:t xml:space="preserve">In </w:t>
      </w:r>
      <w:r>
        <w:rPr>
          <w:i/>
          <w:iCs/>
        </w:rPr>
        <w:t xml:space="preserve">Narayan Prasad Lohia v. Nikunj Kumar Lohia</w:t>
      </w:r>
      <w:r>
        <w:t xml:space="preserve">, (2002) 3 SCC 572, the award was made by two arbitrators and the objection under s. 10 was taken only afterwards. The Court held s. 10 derogable and the objection waived for want of a timely plea under s. 16(2). S. 4 and s. 16(2) together supplied the answer: the defect was capable of waiver, and had been waived. The case is set out fully at Chapter 6.</w:t>
      </w:r>
    </w:p>
    <w:p>
      <w:pPr>
        <w:pStyle w:val="Heading1"/>
        <w:keepNext/>
        <w:pBdr>
          <w:top w:val="single" w:color="999999" w:sz="8" w:space="10"/>
        </w:pBdr>
        <w:spacing w:after="170" w:before="460"/>
      </w:pPr>
      <w:r>
        <w:t xml:space="preserve">3  Reference to Arbitration and Judicial Intervention: ss. 8 and 5</w:t>
      </w:r>
    </w:p>
    <w:p>
      <w:pPr>
        <w:spacing w:after="110" w:line="262"/>
        <w:jc w:val="both"/>
      </w:pPr>
      <w:r>
        <w:t xml:space="preserve">The two sections express one policy from opposite directions. S. 5 says when a court may </w:t>
      </w:r>
      <w:r>
        <w:rPr>
          <w:b/>
          <w:bCs/>
        </w:rPr>
        <w:t xml:space="preserve">not</w:t>
      </w:r>
      <w:r>
        <w:t xml:space="preserve"> act; s. 8 says what a judicial authority </w:t>
      </w:r>
      <w:r>
        <w:rPr>
          <w:b/>
          <w:bCs/>
        </w:rPr>
        <w:t xml:space="preserve">must</w:t>
      </w:r>
      <w:r>
        <w:t xml:space="preserve"> do when a party brings to it a dispute the parties agreed to arbitrate.</w:t>
      </w:r>
    </w:p>
    <w:p>
      <w:pPr>
        <w:pStyle w:val="Heading2"/>
        <w:keepNext/>
        <w:spacing w:after="110" w:before="240"/>
      </w:pPr>
      <w:r>
        <w:t xml:space="preserve">3.1  S. 5</w:t>
      </w:r>
    </w:p>
    <w:p>
      <w:pPr>
        <w:spacing w:after="110" w:before="80" w:line="250"/>
        <w:ind w:left="504" w:right="288"/>
        <w:jc w:val="both"/>
      </w:pPr>
      <w:r>
        <w:rPr>
          <w:b/>
          <w:bCs/>
          <w:sz w:val="20"/>
          <w:szCs w:val="20"/>
        </w:rPr>
        <w:t xml:space="preserve">5.</w:t>
      </w:r>
      <w:r>
        <w:rPr>
          <w:sz w:val="20"/>
          <w:szCs w:val="20"/>
        </w:rPr>
        <w:t xml:space="preserve"> Notwithstanding anything contained in any other law for the time being in force, in matters governed by this Part, no judicial authority shall intervene except where so provided in this Part.</w:t>
      </w:r>
    </w:p>
    <w:p>
      <w:pPr>
        <w:spacing w:after="110" w:line="262"/>
        <w:jc w:val="both"/>
      </w:pPr>
      <w:r>
        <w:t xml:space="preserve">A non obstante clause, enacting Art. 5 of the Model Law. Its function is negative: intervention is prohibited unless Part I authorises it, so the permitted instances are a closed list — ss. 8, 9, 11, 14(2), 27, 34, 36 and 37.</w:t>
      </w:r>
    </w:p>
    <w:p>
      <w:pPr>
        <w:pStyle w:val="Heading2"/>
        <w:keepNext/>
        <w:spacing w:after="110" w:before="240"/>
      </w:pPr>
      <w:r>
        <w:t xml:space="preserve">3.2  What s. 5 does not exclude</w:t>
      </w:r>
    </w:p>
    <w:p>
      <w:pPr>
        <w:spacing w:after="110" w:line="262"/>
        <w:jc w:val="both"/>
      </w:pPr>
      <w:r>
        <w:t xml:space="preserve">First, s. 5 speaks of “matters governed by this Part”, i.e. Part I; its application to Part II is not free from difficulty, and the Act is criticised as poorly drafted here. Second, and more importantly, an ordinary statute cannot curtail the </w:t>
      </w:r>
      <w:r>
        <w:rPr>
          <w:b/>
          <w:bCs/>
        </w:rPr>
        <w:t xml:space="preserve">constitutional</w:t>
      </w:r>
      <w:r>
        <w:t xml:space="preserve"> jurisdiction under Arts. 226, 227 and 32.</w:t>
      </w:r>
    </w:p>
    <w:p>
      <w:pPr>
        <w:keepNext/>
        <w:spacing w:after="60" w:before="170"/>
      </w:pPr>
      <w:r>
        <w:rPr>
          <w:b/>
          <w:bCs/>
          <w:sz w:val="22"/>
          <w:szCs w:val="22"/>
        </w:rPr>
        <w:t xml:space="preserve">Union of India v. Tantia Construction Pvt. Ltd.</w:t>
      </w:r>
      <w:r>
        <w:rPr>
          <w:color w:val="404040"/>
          <w:sz w:val="19"/>
          <w:szCs w:val="19"/>
        </w:rPr>
        <w:t xml:space="preserve">  (2011) 5 SCC 697 (SC, 2011).</w:t>
      </w:r>
    </w:p>
    <w:p>
      <w:pPr>
        <w:spacing w:after="70" w:line="258"/>
        <w:ind w:left="259"/>
        <w:jc w:val="both"/>
      </w:pPr>
      <w:r>
        <w:rPr>
          <w:b/>
          <w:bCs/>
          <w:sz w:val="21"/>
          <w:szCs w:val="21"/>
        </w:rPr>
        <w:t xml:space="preserve">Facts. </w:t>
      </w:r>
      <w:r>
        <w:rPr>
          <w:sz w:val="21"/>
          <w:szCs w:val="21"/>
        </w:rPr>
        <w:t xml:space="preserve">A railway contract contained a wide arbitration clause. The contractor filed a writ petition to quash an order requiring it to execute enlarged work, contending that the entire design of the rail over-bridge had been altered into a new project. The Union objected that the arbitration clause, with s. 5, barred the writ petition.</w:t>
      </w:r>
    </w:p>
    <w:p>
      <w:pPr>
        <w:spacing w:after="70" w:line="258"/>
        <w:ind w:left="259"/>
        <w:jc w:val="both"/>
      </w:pPr>
      <w:r>
        <w:rPr>
          <w:b/>
          <w:bCs/>
          <w:sz w:val="21"/>
          <w:szCs w:val="21"/>
        </w:rPr>
        <w:t xml:space="preserve">Held. </w:t>
      </w:r>
      <w:r>
        <w:rPr>
          <w:sz w:val="21"/>
          <w:szCs w:val="21"/>
        </w:rPr>
        <w:t xml:space="preserve">The writ petition was maintainable. An alternative remedy — including an arbitration clause — is </w:t>
      </w:r>
      <w:r>
        <w:rPr>
          <w:b/>
          <w:bCs/>
          <w:sz w:val="21"/>
          <w:szCs w:val="21"/>
        </w:rPr>
        <w:t xml:space="preserve">not an absolute bar</w:t>
      </w:r>
      <w:r>
        <w:rPr>
          <w:sz w:val="21"/>
          <w:szCs w:val="21"/>
        </w:rPr>
        <w:t xml:space="preserve"> to writ jurisdiction under Art. 226 or to the Supreme Court's jurisdiction, and need not first be exhausted; the constitutional powers cannot be fettered by an alternative remedy. On the merits, the alteration went beyond a variation in quantity of work.</w:t>
      </w:r>
    </w:p>
    <w:p>
      <w:pPr>
        <w:spacing w:after="70" w:line="258"/>
        <w:ind w:left="259"/>
        <w:jc w:val="both"/>
      </w:pPr>
      <w:r>
        <w:rPr>
          <w:b/>
          <w:bCs/>
          <w:sz w:val="21"/>
          <w:szCs w:val="21"/>
        </w:rPr>
        <w:t xml:space="preserve">Why it matters. </w:t>
      </w:r>
      <w:r>
        <w:rPr>
          <w:sz w:val="21"/>
          <w:szCs w:val="21"/>
        </w:rPr>
        <w:t xml:space="preserve">Marks the constitutional limit of s. 5. S. 5 binds judicial authorities exercising ordinary jurisdiction; it cannot cut down a jurisdiction conferred by the Constitution.</w:t>
      </w:r>
    </w:p>
    <w:p>
      <w:pPr>
        <w:spacing w:after="70" w:line="258"/>
        <w:ind w:left="259"/>
        <w:jc w:val="both"/>
      </w:pPr>
      <w:r>
        <w:rPr>
          <w:b/>
          <w:bCs/>
          <w:sz w:val="21"/>
          <w:szCs w:val="21"/>
        </w:rPr>
        <w:t xml:space="preserve">Status. </w:t>
      </w:r>
      <w:r>
        <w:rPr>
          <w:sz w:val="21"/>
          <w:szCs w:val="21"/>
        </w:rPr>
        <w:t xml:space="preserve">Good law on that proposition. The classroom criticism — that it enriches constitutional rather than arbitration jurisprudence and sits awkwardly with minimum intervention — is a comment on its effect, not a doubt about its authority.</w:t>
      </w:r>
    </w:p>
    <w:p>
      <w:pPr>
        <w:pBdr>
          <w:left w:val="single" w:color="7A7A7A" w:sz="12" w:space="8"/>
        </w:pBdr>
        <w:spacing w:after="140" w:before="110" w:line="252"/>
        <w:ind w:left="288"/>
        <w:jc w:val="both"/>
      </w:pPr>
      <w:r>
        <w:rPr>
          <w:sz w:val="20"/>
          <w:szCs w:val="20"/>
        </w:rPr>
        <w:t xml:space="preserve">Distinguish </w:t>
      </w:r>
      <w:r>
        <w:rPr>
          <w:i/>
          <w:iCs/>
          <w:sz w:val="20"/>
          <w:szCs w:val="20"/>
        </w:rPr>
        <w:t xml:space="preserve">Union of India v. Tantia Constructions Ltd.</w:t>
      </w:r>
      <w:r>
        <w:rPr>
          <w:sz w:val="20"/>
          <w:szCs w:val="20"/>
        </w:rPr>
        <w:t xml:space="preserve">, 2021 SCC OnLine SC 271 (3 Judges), which doubted </w:t>
      </w:r>
      <w:r>
        <w:rPr>
          <w:i/>
          <w:iCs/>
          <w:sz w:val="20"/>
          <w:szCs w:val="20"/>
        </w:rPr>
        <w:t xml:space="preserve">CORE-I</w:t>
      </w:r>
      <w:r>
        <w:rPr>
          <w:sz w:val="20"/>
          <w:szCs w:val="20"/>
        </w:rPr>
        <w:t xml:space="preserve"> on unilateral arbitrator appointments and referred that question to a larger Bench (resolved in </w:t>
      </w:r>
      <w:r>
        <w:rPr>
          <w:i/>
          <w:iCs/>
          <w:sz w:val="20"/>
          <w:szCs w:val="20"/>
        </w:rPr>
        <w:t xml:space="preserve">CORE-II</w:t>
      </w:r>
      <w:r>
        <w:rPr>
          <w:sz w:val="20"/>
          <w:szCs w:val="20"/>
        </w:rPr>
        <w:t xml:space="preserve">, 2024). An SCC bound-volume citation sometimes attached to the 2021 matter could not be verified; cite the SCC OnLine form.</w:t>
      </w:r>
    </w:p>
    <w:p>
      <w:pPr>
        <w:pStyle w:val="Heading2"/>
        <w:keepNext/>
        <w:spacing w:after="110" w:before="240"/>
      </w:pPr>
      <w:r>
        <w:t xml:space="preserve">3.3  S. 8: power to refer</w:t>
      </w:r>
    </w:p>
    <w:p>
      <w:pPr>
        <w:spacing w:after="110" w:line="262"/>
        <w:jc w:val="both"/>
      </w:pPr>
      <w:r>
        <w:t xml:space="preserve">S. 8(1) (substituted 2015) obliges a judicial authority to refer the parties to arbitration. Three features of the present text:</w:t>
      </w:r>
    </w:p>
    <w:p>
      <w:pPr>
        <w:pStyle w:val="ListParagraph"/>
        <w:numPr>
          <w:ilvl w:val="0"/>
          <w:numId w:val="5"/>
        </w:numPr>
        <w:spacing w:after="70" w:line="262"/>
        <w:jc w:val="both"/>
      </w:pPr>
      <w:r>
        <w:t xml:space="preserve">it operates “</w:t>
      </w:r>
      <w:r>
        <w:rPr>
          <w:b/>
          <w:bCs/>
        </w:rPr>
        <w:t xml:space="preserve">notwithstanding any judgment, decree or order of the Supreme Court or any Court</w:t>
      </w:r>
      <w:r>
        <w:t xml:space="preserve">”, inserted to displace earlier decisions that had widened the enquiry;</w:t>
      </w:r>
    </w:p>
    <w:p>
      <w:pPr>
        <w:pStyle w:val="ListParagraph"/>
        <w:numPr>
          <w:ilvl w:val="0"/>
          <w:numId w:val="5"/>
        </w:numPr>
        <w:spacing w:after="70" w:line="262"/>
        <w:jc w:val="both"/>
      </w:pPr>
      <w:r>
        <w:t xml:space="preserve">reference is mandatory *</w:t>
      </w:r>
      <w:r>
        <w:rPr>
          <w:i/>
          <w:iCs/>
        </w:rPr>
        <w:t xml:space="preserve">unless the authority finds that </w:t>
      </w:r>
      <w:r>
        <w:t xml:space="preserve">prima facie</w:t>
      </w:r>
      <w:r>
        <w:rPr>
          <w:i/>
          <w:iCs/>
        </w:rPr>
        <w:t xml:space="preserve"> no valid arbitration agreement exists</w:t>
      </w:r>
      <w:r>
        <w:t xml:space="preserve">* — a prima facie standard, not a final determination;</w:t>
      </w:r>
    </w:p>
    <w:p>
      <w:pPr>
        <w:pStyle w:val="ListParagraph"/>
        <w:numPr>
          <w:ilvl w:val="0"/>
          <w:numId w:val="5"/>
        </w:numPr>
        <w:spacing w:after="70" w:line="262"/>
        <w:jc w:val="both"/>
      </w:pPr>
      <w:r>
        <w:t xml:space="preserve">the application must be made </w:t>
      </w:r>
      <w:r>
        <w:rPr>
          <w:b/>
          <w:bCs/>
        </w:rPr>
        <w:t xml:space="preserve">not later than the date of submitting the first statement on the substance of the dispute</w:t>
      </w:r>
      <w:r>
        <w:t xml:space="preserve">. A party who pleads to the merits first is too late.</w:t>
      </w:r>
    </w:p>
    <w:p>
      <w:pPr>
        <w:spacing w:after="110" w:line="262"/>
        <w:jc w:val="both"/>
      </w:pPr>
      <w:r>
        <w:rPr>
          <w:b/>
          <w:bCs/>
        </w:rPr>
        <w:t xml:space="preserve">S. 8(2):</w:t>
      </w:r>
      <w:r>
        <w:t xml:space="preserve"> the application must be accompanied by the original arbitration agreement or a duly certified copy; where the other party holds it, the applicant may file a copy together with a petition asking the court to call for the original. </w:t>
      </w:r>
      <w:r>
        <w:rPr>
          <w:b/>
          <w:bCs/>
        </w:rPr>
        <w:t xml:space="preserve">S. 8(3):</w:t>
      </w:r>
      <w:r>
        <w:t xml:space="preserve"> notwithstanding the pendency of the application, an arbitration may be commenced or continued and an award made — arbitration does not stop merely because a court is seised of a related question.</w:t>
      </w:r>
    </w:p>
    <w:p>
      <w:pPr>
        <w:spacing w:after="110" w:line="262"/>
        <w:jc w:val="both"/>
      </w:pPr>
      <w:r>
        <w:rPr>
          <w:b/>
          <w:bCs/>
        </w:rPr>
        <w:t xml:space="preserve">Who may apply, and before whom.</w:t>
      </w:r>
      <w:r>
        <w:t xml:space="preserve"> A party to the arbitration agreement, or </w:t>
      </w:r>
      <w:r>
        <w:rPr>
          <w:b/>
          <w:bCs/>
        </w:rPr>
        <w:t xml:space="preserve">any person claiming through or under him</w:t>
      </w:r>
      <w:r>
        <w:t xml:space="preserve"> — so an agent for a principal, or a person standing in a party's shoes. “</w:t>
      </w:r>
      <w:r>
        <w:rPr>
          <w:b/>
          <w:bCs/>
        </w:rPr>
        <w:t xml:space="preserve">Judicial authority</w:t>
      </w:r>
      <w:r>
        <w:t xml:space="preserve">” is wider than “court” and includes specialised adjudicatory and regulatory bodies such as a telecom or insurance regulator or a consumer commission.</w:t>
      </w:r>
    </w:p>
    <w:p>
      <w:pPr>
        <w:pStyle w:val="Heading2"/>
        <w:keepNext/>
        <w:spacing w:after="110" w:before="240"/>
      </w:pPr>
      <w:r>
        <w:t xml:space="preserve">3.4  Rule of first priority</w:t>
      </w:r>
    </w:p>
    <w:p>
      <w:pPr>
        <w:spacing w:after="110" w:line="262"/>
        <w:jc w:val="both"/>
      </w:pPr>
      <w:r>
        <w:t xml:space="preserve">Read s. 8 with s. 16. Where existence or validity of the agreement is disputed, the </w:t>
      </w:r>
      <w:r>
        <w:rPr>
          <w:b/>
          <w:bCs/>
        </w:rPr>
        <w:t xml:space="preserve">tribunal has the right of first decision</w:t>
      </w:r>
      <w:r>
        <w:t xml:space="preserve">; the judicial authority forms only a prima facie view, and a final determination follows later under s. 34. This is why a </w:t>
      </w:r>
      <w:r>
        <w:rPr>
          <w:b/>
          <w:bCs/>
        </w:rPr>
        <w:t xml:space="preserve">mini-trial</w:t>
      </w:r>
      <w:r>
        <w:t xml:space="preserve"> at the reference stage is impermissible. The same reasoning governs fraud: an allegation that the underlying contract was procured by fraud does not prevent reference, because the clause is separable and the tribunal can decide it. It is otherwise where the attack is on the arbitration agreement itself and the authority concludes prima facie that it is void or invalid; reference may then be refused, and the remedy is appeal.</w:t>
      </w:r>
    </w:p>
    <w:p>
      <w:pPr>
        <w:pStyle w:val="Heading2"/>
        <w:keepNext/>
        <w:spacing w:after="110" w:before="240"/>
      </w:pPr>
      <w:r>
        <w:t xml:space="preserve">3.5  Non-arbitrability: the limit on s. 8</w:t>
      </w:r>
    </w:p>
    <w:p>
      <w:pPr>
        <w:spacing w:after="110" w:line="262"/>
        <w:jc w:val="both"/>
      </w:pPr>
      <w:r>
        <w:t xml:space="preserve">S. 8 cannot compel arbitration of a dispute the law does not permit to be arbitrated. The limitation is </w:t>
      </w:r>
      <w:r>
        <w:rPr>
          <w:b/>
          <w:bCs/>
        </w:rPr>
        <w:t xml:space="preserve">qualitative</w:t>
      </w:r>
      <w:r>
        <w:t xml:space="preserve"> (nature of the subject matter), not quantitative.</w:t>
      </w:r>
    </w:p>
    <w:p>
      <w:pPr>
        <w:keepNext/>
        <w:spacing w:after="60" w:before="170"/>
      </w:pPr>
      <w:r>
        <w:rPr>
          <w:b/>
          <w:bCs/>
          <w:sz w:val="22"/>
          <w:szCs w:val="22"/>
        </w:rPr>
        <w:t xml:space="preserve">Emaar MGF Land Ltd. v. Aftab Singh</w:t>
      </w:r>
      <w:r>
        <w:rPr>
          <w:color w:val="404040"/>
          <w:sz w:val="19"/>
          <w:szCs w:val="19"/>
        </w:rPr>
        <w:t xml:space="preserve">  (2019) 12 SCC 751; 2018 SCC OnLine SC 2771 (SC, 10 Dec 2018, dismissing review of the order of 13 Feb 2018).</w:t>
      </w:r>
    </w:p>
    <w:p>
      <w:pPr>
        <w:spacing w:after="70" w:line="258"/>
        <w:ind w:left="259"/>
        <w:jc w:val="both"/>
      </w:pPr>
      <w:r>
        <w:rPr>
          <w:b/>
          <w:bCs/>
          <w:sz w:val="21"/>
          <w:szCs w:val="21"/>
        </w:rPr>
        <w:t xml:space="preserve">Facts. </w:t>
      </w:r>
      <w:r>
        <w:rPr>
          <w:sz w:val="21"/>
          <w:szCs w:val="21"/>
        </w:rPr>
        <w:t xml:space="preserve">Apartment buyer agreements contained arbitration clauses. Homebuyers complained of delayed possession to the NCDRC; Emaar applied under s. 8 for reference to arbitration.</w:t>
      </w:r>
    </w:p>
    <w:p>
      <w:pPr>
        <w:spacing w:after="70" w:line="258"/>
        <w:ind w:left="259"/>
        <w:jc w:val="both"/>
      </w:pPr>
      <w:r>
        <w:rPr>
          <w:b/>
          <w:bCs/>
          <w:sz w:val="21"/>
          <w:szCs w:val="21"/>
        </w:rPr>
        <w:t xml:space="preserve">Held. </w:t>
      </w:r>
      <w:r>
        <w:rPr>
          <w:sz w:val="21"/>
          <w:szCs w:val="21"/>
        </w:rPr>
        <w:t xml:space="preserve">An arbitration agreement does not bar the statutory consumer remedy, and the consumer forum was not obliged to refer. The Consumer Protection Act creates a special, additional remedy for a protected class — s. 3 of the 1986 Act provided that its provisions “shall be in addition to and not in derogation of the provisions of any other law for the time being in force” — and the amended s. 8 was not meant to override special statutory fora. Consumer disputes engage public interest, and the fora exist to give accessible, speedy redress.</w:t>
      </w:r>
    </w:p>
    <w:p>
      <w:pPr>
        <w:spacing w:after="70" w:line="258"/>
        <w:ind w:left="259"/>
        <w:jc w:val="both"/>
      </w:pPr>
      <w:r>
        <w:rPr>
          <w:b/>
          <w:bCs/>
          <w:sz w:val="21"/>
          <w:szCs w:val="21"/>
        </w:rPr>
        <w:t xml:space="preserve">Why it matters. </w:t>
      </w:r>
      <w:r>
        <w:rPr>
          <w:sz w:val="21"/>
          <w:szCs w:val="21"/>
        </w:rPr>
        <w:t xml:space="preserve">The leading illustration of a statutory bar on arbitrability limiting s. 8, and of the principle that </w:t>
      </w:r>
      <w:r>
        <w:rPr>
          <w:b/>
          <w:bCs/>
          <w:sz w:val="21"/>
          <w:szCs w:val="21"/>
        </w:rPr>
        <w:t xml:space="preserve">beneficent legislation</w:t>
      </w:r>
      <w:r>
        <w:rPr>
          <w:sz w:val="21"/>
          <w:szCs w:val="21"/>
        </w:rPr>
        <w:t xml:space="preserve"> (consumer, rent control) is not circumvented by an arbitration clause.</w:t>
      </w:r>
    </w:p>
    <w:p>
      <w:pPr>
        <w:spacing w:after="70" w:line="258"/>
        <w:ind w:left="259"/>
        <w:jc w:val="both"/>
      </w:pPr>
      <w:r>
        <w:rPr>
          <w:b/>
          <w:bCs/>
          <w:sz w:val="21"/>
          <w:szCs w:val="21"/>
        </w:rPr>
        <w:t xml:space="preserve">Status. </w:t>
      </w:r>
      <w:r>
        <w:rPr>
          <w:sz w:val="21"/>
          <w:szCs w:val="21"/>
        </w:rPr>
        <w:t xml:space="preserve">Good law.</w:t>
      </w:r>
    </w:p>
    <w:p>
      <w:pPr>
        <w:spacing w:after="110" w:line="262"/>
        <w:jc w:val="both"/>
      </w:pPr>
      <w:r>
        <w:t xml:space="preserve">Read with the general law: </w:t>
      </w:r>
      <w:r>
        <w:rPr>
          <w:i/>
          <w:iCs/>
        </w:rPr>
        <w:t xml:space="preserve">Booz Allen &amp; Hamilton Inc. v. SBI Home Finance Ltd.</w:t>
      </w:r>
      <w:r>
        <w:t xml:space="preserve">, (2011) 5 SCC 532, identified non-arbitrable categories on a rights-</w:t>
      </w:r>
      <w:r>
        <w:rPr>
          <w:i/>
          <w:iCs/>
        </w:rPr>
        <w:t xml:space="preserve">in rem</w:t>
      </w:r>
      <w:r>
        <w:t xml:space="preserve"> analysis, restated as a </w:t>
      </w:r>
      <w:r>
        <w:rPr>
          <w:b/>
          <w:bCs/>
        </w:rPr>
        <w:t xml:space="preserve">fourfold test</w:t>
      </w:r>
      <w:r>
        <w:t xml:space="preserve"> in </w:t>
      </w:r>
      <w:r>
        <w:rPr>
          <w:i/>
          <w:iCs/>
        </w:rPr>
        <w:t xml:space="preserve">Vidya Drolia v. Durga Trading Corporation</w:t>
      </w:r>
      <w:r>
        <w:t xml:space="preserve">, (2021) 2 SCC 1 — a dispute is non-arbitrable where its subject matter (i) is an action </w:t>
      </w:r>
      <w:r>
        <w:rPr>
          <w:i/>
          <w:iCs/>
        </w:rPr>
        <w:t xml:space="preserve">in rem</w:t>
      </w:r>
      <w:r>
        <w:t xml:space="preserve"> rather than a subordinate right </w:t>
      </w:r>
      <w:r>
        <w:rPr>
          <w:i/>
          <w:iCs/>
        </w:rPr>
        <w:t xml:space="preserve">in personam</w:t>
      </w:r>
      <w:r>
        <w:t xml:space="preserve">; (ii) affects third-party rights, has </w:t>
      </w:r>
      <w:r>
        <w:rPr>
          <w:i/>
          <w:iCs/>
        </w:rPr>
        <w:t xml:space="preserve">erga omnes</w:t>
      </w:r>
      <w:r>
        <w:t xml:space="preserve"> effect or needs centralised adjudication; (iii) concerns inalienable sovereign or public-interest functions; or (iv) is expressly or impliedly made non-arbitrable by statute. Consumer disputes fall in the fourth limb.</w:t>
      </w:r>
    </w:p>
    <w:p>
      <w:pPr>
        <w:pStyle w:val="Heading1"/>
        <w:keepNext/>
        <w:pBdr>
          <w:top w:val="single" w:color="999999" w:sz="8" w:space="10"/>
        </w:pBdr>
        <w:spacing w:after="170" w:before="460"/>
      </w:pPr>
      <w:r>
        <w:t xml:space="preserve">4  The Arbitration Agreement: s. 7</w:t>
      </w:r>
    </w:p>
    <w:p>
      <w:pPr>
        <w:spacing w:after="110" w:line="262"/>
        <w:jc w:val="both"/>
      </w:pPr>
      <w:r>
        <w:t xml:space="preserve">The arbitration agreement is the source of the tribunal's authority. Without one there is nothing for s. 8 or s. 11 to work on, and an award is made without jurisdiction.</w:t>
      </w:r>
    </w:p>
    <w:p>
      <w:pPr>
        <w:pStyle w:val="Heading2"/>
        <w:keepNext/>
        <w:spacing w:after="110" w:before="240"/>
      </w:pPr>
      <w:r>
        <w:t xml:space="preserve">4.1  The provision</w:t>
      </w:r>
    </w:p>
    <w:p>
      <w:pPr>
        <w:pStyle w:val="ListParagraph"/>
        <w:numPr>
          <w:ilvl w:val="0"/>
          <w:numId w:val="6"/>
        </w:numPr>
        <w:spacing w:after="70" w:line="262"/>
        <w:jc w:val="both"/>
      </w:pPr>
      <w:r>
        <w:rPr>
          <w:b/>
          <w:bCs/>
        </w:rPr>
        <w:t xml:space="preserve">7(1)</w:t>
      </w:r>
      <w:r>
        <w:t xml:space="preserve"> An agreement to submit to arbitration all or certain disputes, present or future, arising in respect of a </w:t>
      </w:r>
      <w:r>
        <w:rPr>
          <w:b/>
          <w:bCs/>
        </w:rPr>
        <w:t xml:space="preserve">defined legal relationship, whether contractual or not</w:t>
      </w:r>
      <w:r>
        <w:t xml:space="preserve">.</w:t>
      </w:r>
    </w:p>
    <w:p>
      <w:pPr>
        <w:pStyle w:val="ListParagraph"/>
        <w:numPr>
          <w:ilvl w:val="0"/>
          <w:numId w:val="6"/>
        </w:numPr>
        <w:spacing w:after="70" w:line="262"/>
        <w:jc w:val="both"/>
      </w:pPr>
      <w:r>
        <w:rPr>
          <w:b/>
          <w:bCs/>
        </w:rPr>
        <w:t xml:space="preserve">7(2)</w:t>
      </w:r>
      <w:r>
        <w:t xml:space="preserve"> May be an arbitration clause in a contract or a separate agreement. (Hence the two forms: </w:t>
      </w:r>
      <w:r>
        <w:rPr>
          <w:b/>
          <w:bCs/>
        </w:rPr>
        <w:t xml:space="preserve">arbitral clause</w:t>
      </w:r>
      <w:r>
        <w:t xml:space="preserve"> and </w:t>
      </w:r>
      <w:r>
        <w:rPr>
          <w:b/>
          <w:bCs/>
        </w:rPr>
        <w:t xml:space="preserve">dedicated arbitration agreement</w:t>
      </w:r>
      <w:r>
        <w:t xml:space="preserve">. Validity is unaffected; the distinction matters for separability under s. 16.)</w:t>
      </w:r>
    </w:p>
    <w:p>
      <w:pPr>
        <w:pStyle w:val="ListParagraph"/>
        <w:numPr>
          <w:ilvl w:val="0"/>
          <w:numId w:val="6"/>
        </w:numPr>
        <w:spacing w:after="70" w:line="262"/>
        <w:jc w:val="both"/>
      </w:pPr>
      <w:r>
        <w:rPr>
          <w:b/>
          <w:bCs/>
        </w:rPr>
        <w:t xml:space="preserve">7(3)</w:t>
      </w:r>
      <w:r>
        <w:t xml:space="preserve"> Shall be in </w:t>
      </w:r>
      <w:r>
        <w:rPr>
          <w:b/>
          <w:bCs/>
        </w:rPr>
        <w:t xml:space="preserve">writing</w:t>
      </w:r>
      <w:r>
        <w:t xml:space="preserve">.</w:t>
      </w:r>
    </w:p>
    <w:p>
      <w:pPr>
        <w:pStyle w:val="ListParagraph"/>
        <w:numPr>
          <w:ilvl w:val="0"/>
          <w:numId w:val="6"/>
        </w:numPr>
        <w:spacing w:after="70" w:line="262"/>
        <w:jc w:val="both"/>
      </w:pPr>
      <w:r>
        <w:rPr>
          <w:b/>
          <w:bCs/>
        </w:rPr>
        <w:t xml:space="preserve">7(4)</w:t>
      </w:r>
      <w:r>
        <w:t xml:space="preserve"> In writing if contained in (a) a document signed by the parties; (b) an exchange of letters, telex, telegrams or other means of telecommunication, </w:t>
      </w:r>
      <w:r>
        <w:rPr>
          <w:b/>
          <w:bCs/>
        </w:rPr>
        <w:t xml:space="preserve">including communication through electronic means</w:t>
      </w:r>
      <w:r>
        <w:t xml:space="preserve">, providing a record of the agreement; or (c) an </w:t>
      </w:r>
      <w:r>
        <w:rPr>
          <w:b/>
          <w:bCs/>
        </w:rPr>
        <w:t xml:space="preserve">exchange of statements of claim and defence</w:t>
      </w:r>
      <w:r>
        <w:t xml:space="preserve"> in which the existence of the agreement is alleged by one party and not denied by the other.</w:t>
      </w:r>
    </w:p>
    <w:p>
      <w:pPr>
        <w:pStyle w:val="ListParagraph"/>
        <w:numPr>
          <w:ilvl w:val="0"/>
          <w:numId w:val="6"/>
        </w:numPr>
        <w:spacing w:after="70" w:line="262"/>
        <w:jc w:val="both"/>
      </w:pPr>
      <w:r>
        <w:rPr>
          <w:b/>
          <w:bCs/>
        </w:rPr>
        <w:t xml:space="preserve">7(5)</w:t>
      </w:r>
      <w:r>
        <w:t xml:space="preserve"> A reference in a contract to a document containing an arbitration clause constitutes an arbitration agreement if the contract is in writing and the reference is such as to make the clause part of the contract — </w:t>
      </w:r>
      <w:r>
        <w:rPr>
          <w:b/>
          <w:bCs/>
        </w:rPr>
        <w:t xml:space="preserve">incorporation by reference</w:t>
      </w:r>
      <w:r>
        <w:t xml:space="preserve">.</w:t>
      </w:r>
    </w:p>
    <w:p>
      <w:pPr>
        <w:spacing w:after="110" w:line="262"/>
        <w:jc w:val="both"/>
      </w:pPr>
      <w:r>
        <w:rPr>
          <w:b/>
          <w:bCs/>
        </w:rPr>
        <w:t xml:space="preserve">On writing.</w:t>
      </w:r>
      <w:r>
        <w:t xml:space="preserve"> The requirement is one of record, not formality. The 2006 revision of the Model Law absorbed the substance of the Model Law on Electronic Commerce, so the writing requirement is met by an electronic communication if the information is accessible so as to be usable for subsequent reference; e-contracts typical of ODR therefore qualify. The class materials rightly contrast the narrower writing requirement on the face of the New York Convention. S. 7(4)(c) deserves separate note: the </w:t>
      </w:r>
      <w:r>
        <w:rPr>
          <w:b/>
          <w:bCs/>
        </w:rPr>
        <w:t xml:space="preserve">pleadings themselves</w:t>
      </w:r>
      <w:r>
        <w:t xml:space="preserve"> may constitute the agreement — claim and defence being the arbitral equivalents of plaint and written statement.</w:t>
      </w:r>
    </w:p>
    <w:p>
      <w:pPr>
        <w:pStyle w:val="Heading2"/>
        <w:keepNext/>
        <w:spacing w:after="110" w:before="240"/>
      </w:pPr>
      <w:r>
        <w:t xml:space="preserve">4.2  Binding obligation or mere possibility?</w:t>
      </w:r>
    </w:p>
    <w:p>
      <w:pPr>
        <w:keepNext/>
        <w:spacing w:after="60" w:before="170"/>
      </w:pPr>
      <w:r>
        <w:rPr>
          <w:b/>
          <w:bCs/>
          <w:sz w:val="22"/>
          <w:szCs w:val="22"/>
        </w:rPr>
        <w:t xml:space="preserve">Jagdish Chander v. Ramesh Chander</w:t>
      </w:r>
      <w:r>
        <w:rPr>
          <w:color w:val="404040"/>
          <w:sz w:val="19"/>
          <w:szCs w:val="19"/>
        </w:rPr>
        <w:t xml:space="preserve">  (2007) 5 SCC 719 (SC).</w:t>
      </w:r>
    </w:p>
    <w:p>
      <w:pPr>
        <w:spacing w:after="70" w:line="258"/>
        <w:ind w:left="259"/>
        <w:jc w:val="both"/>
      </w:pPr>
      <w:r>
        <w:rPr>
          <w:b/>
          <w:bCs/>
          <w:sz w:val="21"/>
          <w:szCs w:val="21"/>
        </w:rPr>
        <w:t xml:space="preserve">Facts. </w:t>
      </w:r>
      <w:r>
        <w:rPr>
          <w:sz w:val="21"/>
          <w:szCs w:val="21"/>
        </w:rPr>
        <w:t xml:space="preserve">Clause 16 of a partnership deed provided that disputes “shall be mutually decided by the partners or </w:t>
      </w:r>
      <w:r>
        <w:rPr>
          <w:b/>
          <w:bCs/>
          <w:sz w:val="21"/>
          <w:szCs w:val="21"/>
        </w:rPr>
        <w:t xml:space="preserve">shall be referred for arbitration if the parties so determine</w:t>
      </w:r>
      <w:r>
        <w:rPr>
          <w:sz w:val="21"/>
          <w:szCs w:val="21"/>
        </w:rPr>
        <w:t xml:space="preserve">.” The designate of the Chief Justice appointed a sole arbitrator under s. 11, reasoning that the clause would be unnecessary if arbitration were not intended and should be liberally construed to encourage arbitration.</w:t>
      </w:r>
    </w:p>
    <w:p>
      <w:pPr>
        <w:spacing w:after="70" w:line="258"/>
        <w:ind w:left="259"/>
        <w:jc w:val="both"/>
      </w:pPr>
      <w:r>
        <w:rPr>
          <w:b/>
          <w:bCs/>
          <w:sz w:val="21"/>
          <w:szCs w:val="21"/>
        </w:rPr>
        <w:t xml:space="preserve">Held. </w:t>
      </w:r>
      <w:r>
        <w:rPr>
          <w:sz w:val="21"/>
          <w:szCs w:val="21"/>
        </w:rPr>
        <w:t xml:space="preserve">Clause 16 was </w:t>
      </w:r>
      <w:r>
        <w:rPr>
          <w:b/>
          <w:bCs/>
          <w:sz w:val="21"/>
          <w:szCs w:val="21"/>
        </w:rPr>
        <w:t xml:space="preserve">not</w:t>
      </w:r>
      <w:r>
        <w:rPr>
          <w:sz w:val="21"/>
          <w:szCs w:val="21"/>
        </w:rPr>
        <w:t xml:space="preserve"> a valid arbitration agreement; the appointment was set aside. The words “if the parties so determine” change the clause completely: they create no present obligation but contemplate a further, future agreement. Had it said disputes “shall be referred to arbitration”, it would have been an arbitration agreement. Intention is gathered from the terms, and the words must disclose a </w:t>
      </w:r>
      <w:r>
        <w:rPr>
          <w:b/>
          <w:bCs/>
          <w:sz w:val="21"/>
          <w:szCs w:val="21"/>
        </w:rPr>
        <w:t xml:space="preserve">determination and obligation</w:t>
      </w:r>
      <w:r>
        <w:rPr>
          <w:sz w:val="21"/>
          <w:szCs w:val="21"/>
        </w:rPr>
        <w:t xml:space="preserve"> to arbitrate, not merely the possibility of doing so. The Court followed </w:t>
      </w:r>
      <w:r>
        <w:rPr>
          <w:i/>
          <w:iCs/>
          <w:sz w:val="21"/>
          <w:szCs w:val="21"/>
        </w:rPr>
        <w:t xml:space="preserve">Wellington Associates Ltd. v. Kirit Mehta</w:t>
      </w:r>
      <w:r>
        <w:rPr>
          <w:sz w:val="21"/>
          <w:szCs w:val="21"/>
        </w:rPr>
        <w:t xml:space="preserve">, (2000) 4 SCC 272, where “may be referred to arbitration” was held merely enabling.</w:t>
      </w:r>
    </w:p>
    <w:p>
      <w:pPr>
        <w:spacing w:after="70" w:line="258"/>
        <w:ind w:left="259"/>
        <w:jc w:val="both"/>
      </w:pPr>
      <w:r>
        <w:rPr>
          <w:b/>
          <w:bCs/>
          <w:sz w:val="21"/>
          <w:szCs w:val="21"/>
        </w:rPr>
        <w:t xml:space="preserve">Why it matters. </w:t>
      </w:r>
      <w:r>
        <w:rPr>
          <w:sz w:val="21"/>
          <w:szCs w:val="21"/>
        </w:rPr>
        <w:t xml:space="preserve">The governing authority on the existence of an arbitration agreement, and a corrective to reading one into an ambiguous clause simply to encourage arbitration.</w:t>
      </w:r>
    </w:p>
    <w:p>
      <w:pPr>
        <w:spacing w:after="70" w:line="258"/>
        <w:ind w:left="259"/>
        <w:jc w:val="both"/>
      </w:pPr>
      <w:r>
        <w:rPr>
          <w:b/>
          <w:bCs/>
          <w:sz w:val="21"/>
          <w:szCs w:val="21"/>
        </w:rPr>
        <w:t xml:space="preserve">Status. </w:t>
      </w:r>
      <w:r>
        <w:rPr>
          <w:sz w:val="21"/>
          <w:szCs w:val="21"/>
        </w:rPr>
        <w:t xml:space="preserve">Good law, consistently followed.</w:t>
      </w:r>
    </w:p>
    <w:p>
      <w:pPr>
        <w:pStyle w:val="Heading3"/>
        <w:keepNext/>
        <w:spacing w:after="80" w:before="170"/>
      </w:pPr>
      <w:r>
        <w:t xml:space="preserve">4.2.1  The guidelines</w:t>
      </w:r>
    </w:p>
    <w:p>
      <w:pPr>
        <w:spacing w:after="110" w:line="262"/>
        <w:jc w:val="both"/>
      </w:pPr>
      <w:r>
        <w:rPr>
          <w:b/>
          <w:bCs/>
        </w:rPr>
        <w:t xml:space="preserve">Essential attributes:</w:t>
      </w:r>
      <w:r>
        <w:t xml:space="preserve"> (a) writing; (b) agreement to refer present or future disputes to a </w:t>
      </w:r>
      <w:r>
        <w:rPr>
          <w:b/>
          <w:bCs/>
        </w:rPr>
        <w:t xml:space="preserve">private tribunal</w:t>
      </w:r>
      <w:r>
        <w:t xml:space="preserve">; (c) that tribunal empowered to adjudicate </w:t>
      </w:r>
      <w:r>
        <w:rPr>
          <w:b/>
          <w:bCs/>
        </w:rPr>
        <w:t xml:space="preserve">impartially</w:t>
      </w:r>
      <w:r>
        <w:t xml:space="preserve">, giving due opportunity to both sides; (d) agreement that its decision will be </w:t>
      </w:r>
      <w:r>
        <w:rPr>
          <w:b/>
          <w:bCs/>
        </w:rPr>
        <w:t xml:space="preserve">binding</w:t>
      </w:r>
      <w:r>
        <w:t xml:space="preserve">.</w:t>
      </w:r>
    </w:p>
    <w:p>
      <w:pPr>
        <w:spacing w:after="110" w:line="262"/>
        <w:jc w:val="both"/>
      </w:pPr>
      <w:r>
        <w:rPr>
          <w:b/>
          <w:bCs/>
        </w:rPr>
        <w:t xml:space="preserve">Four further propositions.</w:t>
      </w:r>
      <w:r>
        <w:t xml:space="preserve"> There is no prescribed form, and absence of the words “arbitration”, “arbitrator” or “arbitral tribunal” is not fatal if the attributes are present. Where there is a specific and direct expression of intention to arbitrate, the attributes need not be spelt out. Where the clause specifically excludes any attribute, or otherwise detracts from an agreement to arbitrate, it is not one. By way of illustration, a clause is not an arbitration agreement if it permits decision </w:t>
      </w:r>
      <w:r>
        <w:rPr>
          <w:b/>
          <w:bCs/>
        </w:rPr>
        <w:t xml:space="preserve">without a hearing</w:t>
      </w:r>
      <w:r>
        <w:t xml:space="preserve">, requires the authority to act in the interests of </w:t>
      </w:r>
      <w:r>
        <w:rPr>
          <w:b/>
          <w:bCs/>
        </w:rPr>
        <w:t xml:space="preserve">one party only</w:t>
      </w:r>
      <w:r>
        <w:t xml:space="preserve">, provides that the decision will </w:t>
      </w:r>
      <w:r>
        <w:rPr>
          <w:b/>
          <w:bCs/>
        </w:rPr>
        <w:t xml:space="preserve">not be final and binding</w:t>
      </w:r>
      <w:r>
        <w:t xml:space="preserve">, or allows a dissatisfied party to </w:t>
      </w:r>
      <w:r>
        <w:rPr>
          <w:b/>
          <w:bCs/>
        </w:rPr>
        <w:t xml:space="preserve">file a civil suit</w:t>
      </w:r>
      <w:r>
        <w:t xml:space="preserve">. The practical lesson: substance, not label.</w:t>
      </w:r>
    </w:p>
    <w:p>
      <w:pPr>
        <w:pStyle w:val="Heading2"/>
        <w:keepNext/>
        <w:spacing w:after="110" w:before="240"/>
      </w:pPr>
      <w:r>
        <w:t xml:space="preserve">4.3  Two recent developments</w:t>
      </w:r>
    </w:p>
    <w:p>
      <w:pPr>
        <w:spacing w:after="110" w:line="262"/>
        <w:jc w:val="both"/>
      </w:pPr>
      <w:r>
        <w:rPr>
          <w:b/>
          <w:bCs/>
        </w:rPr>
        <w:t xml:space="preserve">Stamping.</w:t>
      </w:r>
      <w:r>
        <w:t xml:space="preserve"> </w:t>
      </w:r>
      <w:r>
        <w:rPr>
          <w:i/>
          <w:iCs/>
        </w:rPr>
        <w:t xml:space="preserve">In Re: Interplay between Arbitration Agreements under the Arbitration and Conciliation Act 1996 and the Indian Stamp Act 1899</w:t>
      </w:r>
      <w:r>
        <w:t xml:space="preserve">, 2023 INSC 1066 (SC, 7 Judges, 13 Dec 2023): non-payment or insufficiency of stamp duty makes an instrument </w:t>
      </w:r>
      <w:r>
        <w:rPr>
          <w:b/>
          <w:bCs/>
        </w:rPr>
        <w:t xml:space="preserve">inadmissible but not void or unenforceable</w:t>
      </w:r>
      <w:r>
        <w:t xml:space="preserve">, and the defect is curable; stamping is for the tribunal, not the court at the s. 8 or s. 11 stage. It overruled </w:t>
      </w:r>
      <w:r>
        <w:rPr>
          <w:i/>
          <w:iCs/>
        </w:rPr>
        <w:t xml:space="preserve">N.N. Global Mercantile v. Indo Unique Flame</w:t>
      </w:r>
      <w:r>
        <w:t xml:space="preserve">, (2023) 7 SCC 1, and </w:t>
      </w:r>
      <w:r>
        <w:rPr>
          <w:i/>
          <w:iCs/>
        </w:rPr>
        <w:t xml:space="preserve">SMS Tea Estates v. Chandmari Tea Co.</w:t>
      </w:r>
      <w:r>
        <w:t xml:space="preserve">, (2011) 14 SCC 66, and overruled paras 22 and 29 of </w:t>
      </w:r>
      <w:r>
        <w:rPr>
          <w:i/>
          <w:iCs/>
        </w:rPr>
        <w:t xml:space="preserve">Garware Wall Ropes v. Coastal Marine</w:t>
      </w:r>
      <w:r>
        <w:t xml:space="preserve">, (2019) 9 SCC 209, to that extent.</w:t>
      </w:r>
    </w:p>
    <w:p>
      <w:pPr>
        <w:spacing w:after="110" w:line="262"/>
        <w:jc w:val="both"/>
      </w:pPr>
      <w:r>
        <w:rPr>
          <w:b/>
          <w:bCs/>
        </w:rPr>
        <w:t xml:space="preserve">Non-signatories.</w:t>
      </w:r>
      <w:r>
        <w:t xml:space="preserve"> </w:t>
      </w:r>
      <w:r>
        <w:rPr>
          <w:i/>
          <w:iCs/>
        </w:rPr>
        <w:t xml:space="preserve">Cox and Kings Ltd. v. SAP India Pvt. Ltd.</w:t>
      </w:r>
      <w:r>
        <w:t xml:space="preserve">, 2023 INSC 1051 (SC, Constitution Bench of 5, 6 Dec 2023): the </w:t>
      </w:r>
      <w:r>
        <w:rPr>
          <w:b/>
          <w:bCs/>
        </w:rPr>
        <w:t xml:space="preserve">group of companies doctrine</w:t>
      </w:r>
      <w:r>
        <w:t xml:space="preserve"> is part of Indian law, grounded in the definition of “parties” in s. 2(1)(h) read with s. 7 and in mutual intention to bind a non-signatory under s. 7(4)(b), rather than in the “claiming through or under” formulation of </w:t>
      </w:r>
      <w:r>
        <w:rPr>
          <w:i/>
          <w:iCs/>
        </w:rPr>
        <w:t xml:space="preserve">Chloro Controls</w:t>
      </w:r>
      <w:r>
        <w:t xml:space="preserve">. Whether a particular non-signatory is bound is for the tribunal.</w:t>
      </w:r>
    </w:p>
    <w:p>
      <w:pPr>
        <w:pBdr>
          <w:left w:val="single" w:color="7A7A7A" w:sz="12" w:space="8"/>
        </w:pBdr>
        <w:spacing w:after="140" w:before="110" w:line="252"/>
        <w:ind w:left="288"/>
        <w:jc w:val="both"/>
      </w:pPr>
      <w:r>
        <w:rPr>
          <w:sz w:val="20"/>
          <w:szCs w:val="20"/>
        </w:rPr>
        <w:t xml:space="preserve">Bound-volume SCC references for </w:t>
      </w:r>
      <w:r>
        <w:rPr>
          <w:i/>
          <w:iCs/>
          <w:sz w:val="20"/>
          <w:szCs w:val="20"/>
        </w:rPr>
        <w:t xml:space="preserve">In Re: Interplay</w:t>
      </w:r>
      <w:r>
        <w:rPr>
          <w:sz w:val="20"/>
          <w:szCs w:val="20"/>
        </w:rPr>
        <w:t xml:space="preserve"> and </w:t>
      </w:r>
      <w:r>
        <w:rPr>
          <w:i/>
          <w:iCs/>
          <w:sz w:val="20"/>
          <w:szCs w:val="20"/>
        </w:rPr>
        <w:t xml:space="preserve">Cox and Kings</w:t>
      </w:r>
      <w:r>
        <w:rPr>
          <w:sz w:val="20"/>
          <w:szCs w:val="20"/>
        </w:rPr>
        <w:t xml:space="preserve"> were not confirmed; the neutral citations, bench strength and dates are established. Cite the neutral form.</w:t>
      </w:r>
    </w:p>
    <w:p>
      <w:pPr>
        <w:pStyle w:val="Heading1"/>
        <w:keepNext/>
        <w:pBdr>
          <w:top w:val="single" w:color="999999" w:sz="8" w:space="10"/>
        </w:pBdr>
        <w:spacing w:after="170" w:before="460"/>
      </w:pPr>
      <w:r>
        <w:t xml:space="preserve">5  Interim Measures: ss. 9 and 17</w:t>
      </w:r>
    </w:p>
    <w:p>
      <w:pPr>
        <w:spacing w:after="110" w:line="262"/>
        <w:jc w:val="both"/>
      </w:pPr>
      <w:r>
        <w:t xml:space="preserve">Interim measures preserve the position until the award, so that it is not rendered worthless in the interval. Two routes: the court under s. 9, the tribunal under s. 17. The 2015 Amendment reshaped the balance so that the tribunal is now the ordinary forum once it exists.</w:t>
      </w:r>
    </w:p>
    <w:p>
      <w:pPr>
        <w:pStyle w:val="Heading2"/>
        <w:keepNext/>
        <w:spacing w:after="110" w:before="240"/>
      </w:pPr>
      <w:r>
        <w:t xml:space="preserve">5.1  S. 9 — by the court</w:t>
      </w:r>
    </w:p>
    <w:p>
      <w:pPr>
        <w:spacing w:after="110" w:line="262"/>
        <w:jc w:val="both"/>
      </w:pPr>
      <w:r>
        <w:t xml:space="preserve">A party may apply </w:t>
      </w:r>
      <w:r>
        <w:rPr>
          <w:b/>
          <w:bCs/>
        </w:rPr>
        <w:t xml:space="preserve">before or during arbitral proceedings, or after the award but before enforcement under s. 36</w:t>
      </w:r>
      <w:r>
        <w:t xml:space="preserve">, for (i) appointment of a guardian for a minor or person of unsound mind; or (ii) an interim measure of protection in respect of—</w:t>
      </w:r>
    </w:p>
    <w:p>
      <w:pPr>
        <w:pStyle w:val="ListParagraph"/>
        <w:numPr>
          <w:ilvl w:val="0"/>
          <w:numId w:val="7"/>
        </w:numPr>
        <w:spacing w:after="70" w:line="262"/>
        <w:jc w:val="both"/>
      </w:pPr>
      <w:r>
        <w:t xml:space="preserve">preservation, interim custody or sale of goods that are the subject matter of the arbitration agreement;</w:t>
      </w:r>
    </w:p>
    <w:p>
      <w:pPr>
        <w:pStyle w:val="ListParagraph"/>
        <w:numPr>
          <w:ilvl w:val="0"/>
          <w:numId w:val="7"/>
        </w:numPr>
        <w:spacing w:after="70" w:line="262"/>
        <w:jc w:val="both"/>
      </w:pPr>
      <w:r>
        <w:t xml:space="preserve">securing the amount in dispute;</w:t>
      </w:r>
    </w:p>
    <w:p>
      <w:pPr>
        <w:pStyle w:val="ListParagraph"/>
        <w:numPr>
          <w:ilvl w:val="0"/>
          <w:numId w:val="7"/>
        </w:numPr>
        <w:spacing w:after="70" w:line="262"/>
        <w:jc w:val="both"/>
      </w:pPr>
      <w:r>
        <w:t xml:space="preserve">detention, preservation or inspection of any property or thing that is the subject matter of the dispute, with power to authorise entry on land or buildings, the taking of samples, observations or experiments;</w:t>
      </w:r>
    </w:p>
    <w:p>
      <w:pPr>
        <w:pStyle w:val="ListParagraph"/>
        <w:numPr>
          <w:ilvl w:val="0"/>
          <w:numId w:val="7"/>
        </w:numPr>
        <w:spacing w:after="70" w:line="262"/>
        <w:jc w:val="both"/>
      </w:pPr>
      <w:r>
        <w:t xml:space="preserve">interim injunction or appointment of a receiver;</w:t>
      </w:r>
    </w:p>
    <w:p>
      <w:pPr>
        <w:pStyle w:val="ListParagraph"/>
        <w:numPr>
          <w:ilvl w:val="0"/>
          <w:numId w:val="7"/>
        </w:numPr>
        <w:spacing w:after="70" w:line="262"/>
        <w:jc w:val="both"/>
      </w:pPr>
      <w:r>
        <w:t xml:space="preserve">such other interim measure as appears to the court </w:t>
      </w:r>
      <w:r>
        <w:rPr>
          <w:b/>
          <w:bCs/>
        </w:rPr>
        <w:t xml:space="preserve">just and convenient</w:t>
      </w:r>
      <w:r>
        <w:t xml:space="preserve"> — the widest, residuary head.</w:t>
      </w:r>
    </w:p>
    <w:p>
      <w:pPr>
        <w:spacing w:after="110" w:line="262"/>
        <w:jc w:val="both"/>
      </w:pPr>
      <w:r>
        <w:t xml:space="preserve">For these purposes the court has the same power as in proceedings before it. Two restrictions were added in 2015. </w:t>
      </w:r>
      <w:r>
        <w:rPr>
          <w:b/>
          <w:bCs/>
        </w:rPr>
        <w:t xml:space="preserve">S. 9(2):</w:t>
      </w:r>
      <w:r>
        <w:t xml:space="preserve"> where an order is made before commencement, the arbitration must commence within </w:t>
      </w:r>
      <w:r>
        <w:rPr>
          <w:b/>
          <w:bCs/>
        </w:rPr>
        <w:t xml:space="preserve">ninety days</w:t>
      </w:r>
      <w:r>
        <w:t xml:space="preserve"> of the order, or such further time as the court determines — preventing a party from taking protection and leaving the arbitration unstarted. </w:t>
      </w:r>
      <w:r>
        <w:rPr>
          <w:b/>
          <w:bCs/>
        </w:rPr>
        <w:t xml:space="preserve">S. 9(3):</w:t>
      </w:r>
      <w:r>
        <w:t xml:space="preserve"> once the tribunal is constituted the court </w:t>
      </w:r>
      <w:r>
        <w:rPr>
          <w:b/>
          <w:bCs/>
        </w:rPr>
        <w:t xml:space="preserve">shall not entertain</w:t>
      </w:r>
      <w:r>
        <w:t xml:space="preserve"> a s. 9 application unless it finds circumstances that may render the s. 17 remedy </w:t>
      </w:r>
      <w:r>
        <w:rPr>
          <w:b/>
          <w:bCs/>
        </w:rPr>
        <w:t xml:space="preserve">not efficacious</w:t>
      </w:r>
      <w:r>
        <w:t xml:space="preserve">.</w:t>
      </w:r>
    </w:p>
    <w:p>
      <w:pPr>
        <w:keepNext/>
        <w:spacing w:after="60" w:before="170"/>
      </w:pPr>
      <w:r>
        <w:rPr>
          <w:b/>
          <w:bCs/>
          <w:sz w:val="22"/>
          <w:szCs w:val="22"/>
        </w:rPr>
        <w:t xml:space="preserve">Sundaram Finance Ltd. v. NEPC India Ltd.</w:t>
      </w:r>
      <w:r>
        <w:rPr>
          <w:color w:val="404040"/>
          <w:sz w:val="19"/>
          <w:szCs w:val="19"/>
        </w:rPr>
        <w:t xml:space="preserve">  (1999) 2 SCC 479; AIR 1999 SC 565 (SC, 13 Jan 1999).</w:t>
      </w:r>
    </w:p>
    <w:p>
      <w:pPr>
        <w:spacing w:after="70" w:line="258"/>
        <w:ind w:left="259"/>
        <w:jc w:val="both"/>
      </w:pPr>
      <w:r>
        <w:rPr>
          <w:b/>
          <w:bCs/>
          <w:sz w:val="21"/>
          <w:szCs w:val="21"/>
        </w:rPr>
        <w:t xml:space="preserve">Facts. </w:t>
      </w:r>
      <w:r>
        <w:rPr>
          <w:sz w:val="21"/>
          <w:szCs w:val="21"/>
        </w:rPr>
        <w:t xml:space="preserve">Hire-purchase of two wind turbine generators, price payable in thirty-six instalments. NEPC paid fifteen and defaulted. Sundaram Finance applied under s. 9 for an Advocate-Commissioner to take custody of the machinery; the trial court appointed one. NEPC objected under Art. 227 that, no arbitration being pending and no arbitrator appointed, a standalone s. 9 application was not maintainable.</w:t>
      </w:r>
    </w:p>
    <w:p>
      <w:pPr>
        <w:spacing w:after="70" w:line="258"/>
        <w:ind w:left="259"/>
        <w:jc w:val="both"/>
      </w:pPr>
      <w:r>
        <w:rPr>
          <w:b/>
          <w:bCs/>
          <w:sz w:val="21"/>
          <w:szCs w:val="21"/>
        </w:rPr>
        <w:t xml:space="preserve">Held. </w:t>
      </w:r>
      <w:r>
        <w:rPr>
          <w:sz w:val="21"/>
          <w:szCs w:val="21"/>
        </w:rPr>
        <w:t xml:space="preserve">Maintainable. Effect must be given to “before or during arbitral proceedings”, and a s. 21 notice need not first be issued. By applying under s. 9 a party implicitly accepts that a binding agreement exists and a referable dispute has arisen. What is required is a </w:t>
      </w:r>
      <w:r>
        <w:rPr>
          <w:b/>
          <w:bCs/>
          <w:sz w:val="21"/>
          <w:szCs w:val="21"/>
        </w:rPr>
        <w:t xml:space="preserve">manifest intention</w:t>
      </w:r>
      <w:r>
        <w:rPr>
          <w:sz w:val="21"/>
          <w:szCs w:val="21"/>
        </w:rPr>
        <w:t xml:space="preserve"> to take recourse to arbitration — a s. 21 notice may establish it, but so may other material, including an affidavit. The court must satisfy itself that a valid agreement exists and that the applicant intends to arbitrate, and may make its order </w:t>
      </w:r>
      <w:r>
        <w:rPr>
          <w:b/>
          <w:bCs/>
          <w:sz w:val="21"/>
          <w:szCs w:val="21"/>
        </w:rPr>
        <w:t xml:space="preserve">conditional</w:t>
      </w:r>
      <w:r>
        <w:rPr>
          <w:sz w:val="21"/>
          <w:szCs w:val="21"/>
        </w:rPr>
        <w:t xml:space="preserve"> to ensure effective steps are taken.</w:t>
      </w:r>
    </w:p>
    <w:p>
      <w:pPr>
        <w:spacing w:after="70" w:line="258"/>
        <w:ind w:left="259"/>
        <w:jc w:val="both"/>
      </w:pPr>
      <w:r>
        <w:rPr>
          <w:b/>
          <w:bCs/>
          <w:sz w:val="21"/>
          <w:szCs w:val="21"/>
        </w:rPr>
        <w:t xml:space="preserve">Why it matters. </w:t>
      </w:r>
      <w:r>
        <w:rPr>
          <w:sz w:val="21"/>
          <w:szCs w:val="21"/>
        </w:rPr>
        <w:t xml:space="preserve">Establishes pre-commencement relief and the manifest-intention test.</w:t>
      </w:r>
    </w:p>
    <w:p>
      <w:pPr>
        <w:spacing w:after="70" w:line="258"/>
        <w:ind w:left="259"/>
        <w:jc w:val="both"/>
      </w:pPr>
      <w:r>
        <w:rPr>
          <w:b/>
          <w:bCs/>
          <w:sz w:val="21"/>
          <w:szCs w:val="21"/>
        </w:rPr>
        <w:t xml:space="preserve">Status. </w:t>
      </w:r>
      <w:r>
        <w:rPr>
          <w:sz w:val="21"/>
          <w:szCs w:val="21"/>
        </w:rPr>
        <w:t xml:space="preserve">Good law. The 2015 Amendment left pre-commencement relief intact and added the ninety-day rule in s. 9(2), which now performs judicially what the conditional order did. </w:t>
      </w:r>
      <w:r>
        <w:rPr>
          <w:i/>
          <w:iCs/>
          <w:sz w:val="21"/>
          <w:szCs w:val="21"/>
        </w:rPr>
        <w:t xml:space="preserve">Firm Ashok Traders v. Gurumukh Das Saluja</w:t>
      </w:r>
      <w:r>
        <w:rPr>
          <w:sz w:val="21"/>
          <w:szCs w:val="21"/>
        </w:rPr>
        <w:t xml:space="preserve">, (2004) 3 SCC 155, adds that the s. 9 right is </w:t>
      </w:r>
      <w:r>
        <w:rPr>
          <w:b/>
          <w:bCs/>
          <w:sz w:val="21"/>
          <w:szCs w:val="21"/>
        </w:rPr>
        <w:t xml:space="preserve">statutory, not contractual</w:t>
      </w:r>
      <w:r>
        <w:rPr>
          <w:sz w:val="21"/>
          <w:szCs w:val="21"/>
        </w:rPr>
        <w:t xml:space="preserve">, and available only to a party.</w:t>
      </w:r>
    </w:p>
    <w:p>
      <w:pPr>
        <w:pStyle w:val="Heading2"/>
        <w:keepNext/>
        <w:spacing w:after="110" w:before="240"/>
      </w:pPr>
      <w:r>
        <w:t xml:space="preserve">5.2  S. 17 — by the tribunal</w:t>
      </w:r>
    </w:p>
    <w:p>
      <w:pPr>
        <w:spacing w:after="110" w:line="262"/>
        <w:jc w:val="both"/>
      </w:pPr>
      <w:r>
        <w:rPr>
          <w:b/>
          <w:bCs/>
        </w:rPr>
        <w:t xml:space="preserve">Before 2015</w:t>
      </w:r>
      <w:r>
        <w:t xml:space="preserve"> the tribunal could, unless otherwise agreed, order a party to take any interim measure of protection it considered necessary in respect of the subject matter, and require appropriate security. The powers of court and tribunal were independent and overlapped, but s. 9 was much wider (covering the periods before and after the arbitration), a pending s. 17 application did not oust s. 9, s. 17 orders were appealable under s. 37(2)(b), and — the fatal defect — </w:t>
      </w:r>
      <w:r>
        <w:rPr>
          <w:b/>
          <w:bCs/>
        </w:rPr>
        <w:t xml:space="preserve">the tribunal had no machinery to enforce its own orders</w:t>
      </w:r>
      <w:r>
        <w:t xml:space="preserve">, so they were always liable to be superseded by the court's.</w:t>
      </w:r>
    </w:p>
    <w:p>
      <w:pPr>
        <w:spacing w:after="110" w:line="262"/>
        <w:jc w:val="both"/>
      </w:pPr>
      <w:r>
        <w:rPr>
          <w:b/>
          <w:bCs/>
        </w:rPr>
        <w:t xml:space="preserve">After 2015</w:t>
      </w:r>
      <w:r>
        <w:t xml:space="preserve"> the balance reversed. The tribunal's powers were aligned with the court's: the same guardian and five heads of protection, with the same power of making orders as the court has in proceedings before it. And </w:t>
      </w:r>
      <w:r>
        <w:rPr>
          <w:b/>
          <w:bCs/>
        </w:rPr>
        <w:t xml:space="preserve">s. 17(2)</w:t>
      </w:r>
      <w:r>
        <w:t xml:space="preserve"> provides that, subject to any order in appeal under s. 37, a tribunal order is </w:t>
      </w:r>
      <w:r>
        <w:rPr>
          <w:b/>
          <w:bCs/>
        </w:rPr>
        <w:t xml:space="preserve">deemed an order of the court for all purposes and enforceable in the same manner</w:t>
      </w:r>
      <w:r>
        <w:t xml:space="preserve"> under the CPC. The class note is accurate: after the amendment s. 17 is the natural course, and s. 9 is disabled once the panel is constituted.</w:t>
      </w:r>
    </w:p>
    <w:p>
      <w:pPr>
        <w:spacing w:after="110" w:line="262"/>
        <w:jc w:val="both"/>
      </w:pPr>
      <w:r>
        <w:rPr>
          <w:b/>
          <w:bCs/>
        </w:rPr>
        <w:t xml:space="preserve">Temporal limit.</w:t>
      </w:r>
      <w:r>
        <w:t xml:space="preserve"> The present text confines the power to “during the arbitral proceedings”. Once the award is made the tribunal is </w:t>
      </w:r>
      <w:r>
        <w:rPr>
          <w:i/>
          <w:iCs/>
        </w:rPr>
        <w:t xml:space="preserve">functus officio</w:t>
      </w:r>
      <w:r>
        <w:t xml:space="preserve">, so protection in the interval between award and enforcement must be sought from the court under s. 9 — the residual but important function s. 9 retains.</w:t>
      </w:r>
    </w:p>
    <w:p>
      <w:pPr>
        <w:pBdr>
          <w:left w:val="single" w:color="7A7A7A" w:sz="12" w:space="8"/>
        </w:pBdr>
        <w:spacing w:after="140" w:before="110" w:line="252"/>
        <w:ind w:left="288"/>
        <w:jc w:val="both"/>
      </w:pPr>
      <w:r>
        <w:rPr>
          <w:sz w:val="20"/>
          <w:szCs w:val="20"/>
        </w:rPr>
        <w:t xml:space="preserve">Not verified: the attribution of the narrowing of s. 17(1) to the 2019 Amendment, and the class note about “revival” of a dissolved tribunal. The substantive consequence stated above rests on the text of s. 9(1) and is sound.</w:t>
      </w:r>
    </w:p>
    <w:p>
      <w:pPr>
        <w:pStyle w:val="Heading2"/>
        <w:keepNext/>
        <w:spacing w:after="110" w:before="240"/>
      </w:pPr>
      <w:r>
        <w:t xml:space="preserve">5.3  Comparison</w:t>
      </w:r>
    </w:p>
    <w:tbl>
      <w:tblPr>
        <w:tblW w:type="dxa" w:w="8850"/>
        <w:tblBorders>
          <w:top w:val="single" w:color="8A8A8A" w:sz="3"/>
          <w:left w:val="single" w:color="8A8A8A" w:sz="3"/>
          <w:bottom w:val="single" w:color="8A8A8A" w:sz="3"/>
          <w:right w:val="single" w:color="8A8A8A" w:sz="3"/>
          <w:insideH w:val="single" w:color="C4C4C4" w:sz="2"/>
          <w:insideV w:val="single" w:color="C4C4C4" w:sz="2"/>
        </w:tblBorders>
      </w:tblPr>
      <w:tblGrid>
        <w:gridCol w:w="1750"/>
        <w:gridCol w:w="3550"/>
        <w:gridCol w:w="3550"/>
      </w:tblGrid>
      <w:tr>
        <w:trPr>
          <w:tblHeader/>
        </w:trPr>
        <w:tc>
          <w:tcPr>
            <w:tcW w:type="dxa" w:w="1750"/>
            <w:shd w:fill="EDEDED" w:val="clear"/>
            <w:tcMar>
              <w:top w:type="dxa" w:w="70"/>
              <w:left w:type="dxa" w:w="110"/>
              <w:bottom w:type="dxa" w:w="70"/>
              <w:right w:type="dxa" w:w="110"/>
            </w:tcMar>
          </w:tcPr>
          <w:p>
            <w:pPr>
              <w:spacing w:after="0" w:line="244"/>
            </w:pPr>
            <w:r>
              <w:rPr>
                <w:b/>
                <w:bCs/>
                <w:sz w:val="19"/>
                <w:szCs w:val="19"/>
              </w:rPr>
              <w:t xml:space="preserve"/>
            </w:r>
          </w:p>
        </w:tc>
        <w:tc>
          <w:tcPr>
            <w:tcW w:type="dxa" w:w="3550"/>
            <w:shd w:fill="EDEDED" w:val="clear"/>
            <w:tcMar>
              <w:top w:type="dxa" w:w="70"/>
              <w:left w:type="dxa" w:w="110"/>
              <w:bottom w:type="dxa" w:w="70"/>
              <w:right w:type="dxa" w:w="110"/>
            </w:tcMar>
          </w:tcPr>
          <w:p>
            <w:pPr>
              <w:spacing w:after="0" w:line="244"/>
            </w:pPr>
            <w:r>
              <w:rPr>
                <w:b/>
                <w:bCs/>
                <w:sz w:val="19"/>
                <w:szCs w:val="19"/>
              </w:rPr>
              <w:t xml:space="preserve">S. 9 — court</w:t>
            </w:r>
          </w:p>
        </w:tc>
        <w:tc>
          <w:tcPr>
            <w:tcW w:type="dxa" w:w="3550"/>
            <w:shd w:fill="EDEDED" w:val="clear"/>
            <w:tcMar>
              <w:top w:type="dxa" w:w="70"/>
              <w:left w:type="dxa" w:w="110"/>
              <w:bottom w:type="dxa" w:w="70"/>
              <w:right w:type="dxa" w:w="110"/>
            </w:tcMar>
          </w:tcPr>
          <w:p>
            <w:pPr>
              <w:spacing w:after="0" w:line="244"/>
            </w:pPr>
            <w:r>
              <w:rPr>
                <w:b/>
                <w:bCs/>
                <w:sz w:val="19"/>
                <w:szCs w:val="19"/>
              </w:rPr>
              <w:t xml:space="preserve">S. 17 — tribunal</w:t>
            </w:r>
          </w:p>
        </w:tc>
      </w:tr>
      <w:tr>
        <w:tc>
          <w:tcPr>
            <w:tcW w:type="dxa" w:w="1750"/>
            <w:tcMar>
              <w:top w:type="dxa" w:w="70"/>
              <w:left w:type="dxa" w:w="110"/>
              <w:bottom w:type="dxa" w:w="70"/>
              <w:right w:type="dxa" w:w="110"/>
            </w:tcMar>
          </w:tcPr>
          <w:p>
            <w:pPr>
              <w:spacing w:after="0" w:line="244"/>
            </w:pPr>
            <w:r>
              <w:rPr>
                <w:b w:val="false"/>
                <w:bCs w:val="false"/>
                <w:sz w:val="19"/>
                <w:szCs w:val="19"/>
              </w:rPr>
              <w:t xml:space="preserve">When available</w:t>
            </w:r>
          </w:p>
        </w:tc>
        <w:tc>
          <w:tcPr>
            <w:tcW w:type="dxa" w:w="3550"/>
            <w:tcMar>
              <w:top w:type="dxa" w:w="70"/>
              <w:left w:type="dxa" w:w="110"/>
              <w:bottom w:type="dxa" w:w="70"/>
              <w:right w:type="dxa" w:w="110"/>
            </w:tcMar>
          </w:tcPr>
          <w:p>
            <w:pPr>
              <w:spacing w:after="0" w:line="244"/>
            </w:pPr>
            <w:r>
              <w:rPr>
                <w:b w:val="false"/>
                <w:bCs w:val="false"/>
                <w:sz w:val="19"/>
                <w:szCs w:val="19"/>
              </w:rPr>
              <w:t xml:space="preserve">Before, during, and after the award but before enforcement (s. 36).</w:t>
            </w:r>
          </w:p>
        </w:tc>
        <w:tc>
          <w:tcPr>
            <w:tcW w:type="dxa" w:w="3550"/>
            <w:tcMar>
              <w:top w:type="dxa" w:w="70"/>
              <w:left w:type="dxa" w:w="110"/>
              <w:bottom w:type="dxa" w:w="70"/>
              <w:right w:type="dxa" w:w="110"/>
            </w:tcMar>
          </w:tcPr>
          <w:p>
            <w:pPr>
              <w:spacing w:after="0" w:line="244"/>
            </w:pPr>
            <w:r>
              <w:rPr>
                <w:b w:val="false"/>
                <w:bCs w:val="false"/>
                <w:sz w:val="19"/>
                <w:szCs w:val="19"/>
              </w:rPr>
              <w:t xml:space="preserve">During the arbitral proceedings only.</w:t>
            </w:r>
          </w:p>
        </w:tc>
      </w:tr>
      <w:tr>
        <w:tc>
          <w:tcPr>
            <w:tcW w:type="dxa" w:w="1750"/>
            <w:tcMar>
              <w:top w:type="dxa" w:w="70"/>
              <w:left w:type="dxa" w:w="110"/>
              <w:bottom w:type="dxa" w:w="70"/>
              <w:right w:type="dxa" w:w="110"/>
            </w:tcMar>
          </w:tcPr>
          <w:p>
            <w:pPr>
              <w:spacing w:after="0" w:line="244"/>
            </w:pPr>
            <w:r>
              <w:rPr>
                <w:b w:val="false"/>
                <w:bCs w:val="false"/>
                <w:sz w:val="19"/>
                <w:szCs w:val="19"/>
              </w:rPr>
              <w:t xml:space="preserve">Enforcement of order</w:t>
            </w:r>
          </w:p>
        </w:tc>
        <w:tc>
          <w:tcPr>
            <w:tcW w:type="dxa" w:w="3550"/>
            <w:tcMar>
              <w:top w:type="dxa" w:w="70"/>
              <w:left w:type="dxa" w:w="110"/>
              <w:bottom w:type="dxa" w:w="70"/>
              <w:right w:type="dxa" w:w="110"/>
            </w:tcMar>
          </w:tcPr>
          <w:p>
            <w:pPr>
              <w:spacing w:after="0" w:line="244"/>
            </w:pPr>
            <w:r>
              <w:rPr>
                <w:b w:val="false"/>
                <w:bCs w:val="false"/>
                <w:sz w:val="19"/>
                <w:szCs w:val="19"/>
              </w:rPr>
              <w:t xml:space="preserve">An order of the court.</w:t>
            </w:r>
          </w:p>
        </w:tc>
        <w:tc>
          <w:tcPr>
            <w:tcW w:type="dxa" w:w="3550"/>
            <w:tcMar>
              <w:top w:type="dxa" w:w="70"/>
              <w:left w:type="dxa" w:w="110"/>
              <w:bottom w:type="dxa" w:w="70"/>
              <w:right w:type="dxa" w:w="110"/>
            </w:tcMar>
          </w:tcPr>
          <w:p>
            <w:pPr>
              <w:spacing w:after="0" w:line="244"/>
            </w:pPr>
            <w:r>
              <w:rPr>
                <w:b w:val="false"/>
                <w:bCs w:val="false"/>
                <w:sz w:val="19"/>
                <w:szCs w:val="19"/>
              </w:rPr>
              <w:t xml:space="preserve">Deemed an order of the court; enforceable as such (s. 17(2)).</w:t>
            </w:r>
          </w:p>
        </w:tc>
      </w:tr>
      <w:tr>
        <w:tc>
          <w:tcPr>
            <w:tcW w:type="dxa" w:w="1750"/>
            <w:tcMar>
              <w:top w:type="dxa" w:w="70"/>
              <w:left w:type="dxa" w:w="110"/>
              <w:bottom w:type="dxa" w:w="70"/>
              <w:right w:type="dxa" w:w="110"/>
            </w:tcMar>
          </w:tcPr>
          <w:p>
            <w:pPr>
              <w:spacing w:after="0" w:line="244"/>
            </w:pPr>
            <w:r>
              <w:rPr>
                <w:b w:val="false"/>
                <w:bCs w:val="false"/>
                <w:sz w:val="19"/>
                <w:szCs w:val="19"/>
              </w:rPr>
              <w:t xml:space="preserve">Once tribunal exists</w:t>
            </w:r>
          </w:p>
        </w:tc>
        <w:tc>
          <w:tcPr>
            <w:tcW w:type="dxa" w:w="3550"/>
            <w:tcMar>
              <w:top w:type="dxa" w:w="70"/>
              <w:left w:type="dxa" w:w="110"/>
              <w:bottom w:type="dxa" w:w="70"/>
              <w:right w:type="dxa" w:w="110"/>
            </w:tcMar>
          </w:tcPr>
          <w:p>
            <w:pPr>
              <w:spacing w:after="0" w:line="244"/>
            </w:pPr>
            <w:r>
              <w:rPr>
                <w:b w:val="false"/>
                <w:bCs w:val="false"/>
                <w:sz w:val="19"/>
                <w:szCs w:val="19"/>
              </w:rPr>
              <w:t xml:space="preserve">Not entertained unless the s. 17 remedy would be inefficacious (s. 9(3)).</w:t>
            </w:r>
          </w:p>
        </w:tc>
        <w:tc>
          <w:tcPr>
            <w:tcW w:type="dxa" w:w="3550"/>
            <w:tcMar>
              <w:top w:type="dxa" w:w="70"/>
              <w:left w:type="dxa" w:w="110"/>
              <w:bottom w:type="dxa" w:w="70"/>
              <w:right w:type="dxa" w:w="110"/>
            </w:tcMar>
          </w:tcPr>
          <w:p>
            <w:pPr>
              <w:spacing w:after="0" w:line="244"/>
            </w:pPr>
            <w:r>
              <w:rPr>
                <w:b w:val="false"/>
                <w:bCs w:val="false"/>
                <w:sz w:val="19"/>
                <w:szCs w:val="19"/>
              </w:rPr>
              <w:t xml:space="preserve">The ordinary forum.</w:t>
            </w:r>
          </w:p>
        </w:tc>
      </w:tr>
      <w:tr>
        <w:tc>
          <w:tcPr>
            <w:tcW w:type="dxa" w:w="1750"/>
            <w:tcMar>
              <w:top w:type="dxa" w:w="70"/>
              <w:left w:type="dxa" w:w="110"/>
              <w:bottom w:type="dxa" w:w="70"/>
              <w:right w:type="dxa" w:w="110"/>
            </w:tcMar>
          </w:tcPr>
          <w:p>
            <w:pPr>
              <w:spacing w:after="0" w:line="244"/>
            </w:pPr>
            <w:r>
              <w:rPr>
                <w:b w:val="false"/>
                <w:bCs w:val="false"/>
                <w:sz w:val="19"/>
                <w:szCs w:val="19"/>
              </w:rPr>
              <w:t xml:space="preserve">Discipline</w:t>
            </w:r>
          </w:p>
        </w:tc>
        <w:tc>
          <w:tcPr>
            <w:tcW w:type="dxa" w:w="3550"/>
            <w:tcMar>
              <w:top w:type="dxa" w:w="70"/>
              <w:left w:type="dxa" w:w="110"/>
              <w:bottom w:type="dxa" w:w="70"/>
              <w:right w:type="dxa" w:w="110"/>
            </w:tcMar>
          </w:tcPr>
          <w:p>
            <w:pPr>
              <w:spacing w:after="0" w:line="244"/>
            </w:pPr>
            <w:r>
              <w:rPr>
                <w:b w:val="false"/>
                <w:bCs w:val="false"/>
                <w:sz w:val="19"/>
                <w:szCs w:val="19"/>
              </w:rPr>
              <w:t xml:space="preserve">90 days to commence after a pre-commencement order (s. 9(2)).</w:t>
            </w:r>
          </w:p>
        </w:tc>
        <w:tc>
          <w:tcPr>
            <w:tcW w:type="dxa" w:w="3550"/>
            <w:tcMar>
              <w:top w:type="dxa" w:w="70"/>
              <w:left w:type="dxa" w:w="110"/>
              <w:bottom w:type="dxa" w:w="70"/>
              <w:right w:type="dxa" w:w="110"/>
            </w:tcMar>
          </w:tcPr>
          <w:p>
            <w:pPr>
              <w:spacing w:after="0" w:line="244"/>
            </w:pPr>
            <w:r>
              <w:rPr>
                <w:b w:val="false"/>
                <w:bCs w:val="false"/>
                <w:sz w:val="19"/>
                <w:szCs w:val="19"/>
              </w:rPr>
              <w:t xml:space="preserve">Not applicable.</w:t>
            </w:r>
          </w:p>
        </w:tc>
      </w:tr>
      <w:tr>
        <w:tc>
          <w:tcPr>
            <w:tcW w:type="dxa" w:w="1750"/>
            <w:tcMar>
              <w:top w:type="dxa" w:w="70"/>
              <w:left w:type="dxa" w:w="110"/>
              <w:bottom w:type="dxa" w:w="70"/>
              <w:right w:type="dxa" w:w="110"/>
            </w:tcMar>
          </w:tcPr>
          <w:p>
            <w:pPr>
              <w:spacing w:after="0" w:line="244"/>
            </w:pPr>
            <w:r>
              <w:rPr>
                <w:b w:val="false"/>
                <w:bCs w:val="false"/>
                <w:sz w:val="19"/>
                <w:szCs w:val="19"/>
              </w:rPr>
              <w:t xml:space="preserve">Appeal</w:t>
            </w:r>
          </w:p>
        </w:tc>
        <w:tc>
          <w:tcPr>
            <w:tcW w:type="dxa" w:w="3550"/>
            <w:tcMar>
              <w:top w:type="dxa" w:w="70"/>
              <w:left w:type="dxa" w:w="110"/>
              <w:bottom w:type="dxa" w:w="70"/>
              <w:right w:type="dxa" w:w="110"/>
            </w:tcMar>
          </w:tcPr>
          <w:p>
            <w:pPr>
              <w:spacing w:after="0" w:line="244"/>
            </w:pPr>
            <w:r>
              <w:rPr>
                <w:b w:val="false"/>
                <w:bCs w:val="false"/>
                <w:sz w:val="19"/>
                <w:szCs w:val="19"/>
              </w:rPr>
              <w:t xml:space="preserve">S. 37(1)(b).</w:t>
            </w:r>
          </w:p>
        </w:tc>
        <w:tc>
          <w:tcPr>
            <w:tcW w:type="dxa" w:w="3550"/>
            <w:tcMar>
              <w:top w:type="dxa" w:w="70"/>
              <w:left w:type="dxa" w:w="110"/>
              <w:bottom w:type="dxa" w:w="70"/>
              <w:right w:type="dxa" w:w="110"/>
            </w:tcMar>
          </w:tcPr>
          <w:p>
            <w:pPr>
              <w:spacing w:after="0" w:line="244"/>
            </w:pPr>
            <w:r>
              <w:rPr>
                <w:b w:val="false"/>
                <w:bCs w:val="false"/>
                <w:sz w:val="19"/>
                <w:szCs w:val="19"/>
              </w:rPr>
              <w:t xml:space="preserve">S. 37(2)(b).</w:t>
            </w:r>
          </w:p>
        </w:tc>
      </w:tr>
      <w:tr>
        <w:tc>
          <w:tcPr>
            <w:tcW w:type="dxa" w:w="1750"/>
            <w:tcMar>
              <w:top w:type="dxa" w:w="70"/>
              <w:left w:type="dxa" w:w="110"/>
              <w:bottom w:type="dxa" w:w="70"/>
              <w:right w:type="dxa" w:w="110"/>
            </w:tcMar>
          </w:tcPr>
          <w:p>
            <w:pPr>
              <w:spacing w:after="0" w:line="244"/>
            </w:pPr>
            <w:r>
              <w:rPr>
                <w:b w:val="false"/>
                <w:bCs w:val="false"/>
                <w:sz w:val="19"/>
                <w:szCs w:val="19"/>
              </w:rPr>
              <w:t xml:space="preserve">Foreign-seated ICA</w:t>
            </w:r>
          </w:p>
        </w:tc>
        <w:tc>
          <w:tcPr>
            <w:tcW w:type="dxa" w:w="3550"/>
            <w:tcMar>
              <w:top w:type="dxa" w:w="70"/>
              <w:left w:type="dxa" w:w="110"/>
              <w:bottom w:type="dxa" w:w="70"/>
              <w:right w:type="dxa" w:w="110"/>
            </w:tcMar>
          </w:tcPr>
          <w:p>
            <w:pPr>
              <w:spacing w:after="0" w:line="244"/>
            </w:pPr>
            <w:r>
              <w:rPr>
                <w:b w:val="false"/>
                <w:bCs w:val="false"/>
                <w:sz w:val="19"/>
                <w:szCs w:val="19"/>
              </w:rPr>
              <w:t xml:space="preserve">Available via the proviso to s. 2(2), unless excluded.</w:t>
            </w:r>
          </w:p>
        </w:tc>
        <w:tc>
          <w:tcPr>
            <w:tcW w:type="dxa" w:w="3550"/>
            <w:tcMar>
              <w:top w:type="dxa" w:w="70"/>
              <w:left w:type="dxa" w:w="110"/>
              <w:bottom w:type="dxa" w:w="70"/>
              <w:right w:type="dxa" w:w="110"/>
            </w:tcMar>
          </w:tcPr>
          <w:p>
            <w:pPr>
              <w:spacing w:after="0" w:line="244"/>
            </w:pPr>
            <w:r>
              <w:rPr>
                <w:b w:val="false"/>
                <w:bCs w:val="false"/>
                <w:sz w:val="19"/>
                <w:szCs w:val="19"/>
              </w:rPr>
              <w:t xml:space="preserve">Not applicable; powers derive from the law of the seat.</w:t>
            </w:r>
          </w:p>
        </w:tc>
      </w:tr>
    </w:tbl>
    <w:p>
      <w:pPr>
        <w:spacing w:after="110"/>
      </w:pPr>
      <w:r>
        <w:rPr>
          <w:sz w:val="10"/>
          <w:szCs w:val="10"/>
        </w:rPr>
        <w:t xml:space="preserve"/>
      </w:r>
    </w:p>
    <w:p>
      <w:pPr>
        <w:pStyle w:val="Heading1"/>
        <w:keepNext/>
        <w:pBdr>
          <w:top w:val="single" w:color="999999" w:sz="8" w:space="10"/>
        </w:pBdr>
        <w:spacing w:after="170" w:before="460"/>
      </w:pPr>
      <w:r>
        <w:t xml:space="preserve">6  Number of Arbitrators: s. 10</w:t>
      </w:r>
    </w:p>
    <w:p>
      <w:pPr>
        <w:spacing w:after="110" w:before="80" w:line="250"/>
        <w:ind w:left="504" w:right="288"/>
        <w:jc w:val="both"/>
      </w:pPr>
      <w:r>
        <w:rPr>
          <w:b/>
          <w:bCs/>
          <w:sz w:val="20"/>
          <w:szCs w:val="20"/>
        </w:rPr>
        <w:t xml:space="preserve">10.</w:t>
      </w:r>
      <w:r>
        <w:rPr>
          <w:sz w:val="20"/>
          <w:szCs w:val="20"/>
        </w:rPr>
        <w:t xml:space="preserve"> (1) The parties are free to determine the number of arbitrators, provided that such number </w:t>
      </w:r>
      <w:r>
        <w:rPr>
          <w:b/>
          <w:bCs/>
          <w:sz w:val="20"/>
          <w:szCs w:val="20"/>
        </w:rPr>
        <w:t xml:space="preserve">shall not be an even number</w:t>
      </w:r>
      <w:r>
        <w:rPr>
          <w:sz w:val="20"/>
          <w:szCs w:val="20"/>
        </w:rPr>
        <w:t xml:space="preserve">. (2) Failing the determination referred to in sub-section (1), the arbitral tribunal shall consist of a </w:t>
      </w:r>
      <w:r>
        <w:rPr>
          <w:b/>
          <w:bCs/>
          <w:sz w:val="20"/>
          <w:szCs w:val="20"/>
        </w:rPr>
        <w:t xml:space="preserve">sole arbitrator</w:t>
      </w:r>
      <w:r>
        <w:rPr>
          <w:sz w:val="20"/>
          <w:szCs w:val="20"/>
        </w:rPr>
        <w:t xml:space="preserve">.</w:t>
      </w:r>
    </w:p>
    <w:p>
      <w:pPr>
        <w:spacing w:after="110" w:line="262"/>
        <w:jc w:val="both"/>
      </w:pPr>
      <w:r>
        <w:t xml:space="preserve">Party autonomy is the primary rule; the odd-number requirement exists because an even-numbered tribunal may deadlock. The Indian default is </w:t>
      </w:r>
      <w:r>
        <w:rPr>
          <w:b/>
          <w:bCs/>
        </w:rPr>
        <w:t xml:space="preserve">one</w:t>
      </w:r>
      <w:r>
        <w:t xml:space="preserve"> arbitrator, unlike the Model Law, where it is three. Where three are appointed, the third, chosen by the two party nominees, is the </w:t>
      </w:r>
      <w:r>
        <w:rPr>
          <w:b/>
          <w:bCs/>
        </w:rPr>
        <w:t xml:space="preserve">presiding arbitrator</w:t>
      </w:r>
      <w:r>
        <w:t xml:space="preserve"> — not an umpire. The umpire (who decided when the arbitrators disagreed) does not exist under this Act: the presiding arbitrator sits and decides with the others, and his view prevails where there is no majority.</w:t>
      </w:r>
    </w:p>
    <w:p>
      <w:pPr>
        <w:pStyle w:val="Heading2"/>
        <w:keepNext/>
        <w:spacing w:after="110" w:before="240"/>
      </w:pPr>
      <w:r>
        <w:t xml:space="preserve">6.1  Is s. 10 mandatory or directory?</w:t>
      </w:r>
    </w:p>
    <w:p>
      <w:pPr>
        <w:keepNext/>
        <w:spacing w:after="60" w:before="170"/>
      </w:pPr>
      <w:r>
        <w:rPr>
          <w:b/>
          <w:bCs/>
          <w:sz w:val="22"/>
          <w:szCs w:val="22"/>
        </w:rPr>
        <w:t xml:space="preserve">Narayan Prasad Lohia v. Nikunj Kumar Lohia</w:t>
      </w:r>
      <w:r>
        <w:rPr>
          <w:color w:val="404040"/>
          <w:sz w:val="19"/>
          <w:szCs w:val="19"/>
        </w:rPr>
        <w:t xml:space="preserve">  (2002) 3 SCC 572; AIR 2002 SC 1139 (SC, 3 Judges, 20 Feb 2002).</w:t>
      </w:r>
    </w:p>
    <w:p>
      <w:pPr>
        <w:spacing w:after="70" w:line="258"/>
        <w:ind w:left="259"/>
        <w:jc w:val="both"/>
      </w:pPr>
      <w:r>
        <w:rPr>
          <w:b/>
          <w:bCs/>
          <w:sz w:val="21"/>
          <w:szCs w:val="21"/>
        </w:rPr>
        <w:t xml:space="preserve">Facts. </w:t>
      </w:r>
      <w:r>
        <w:rPr>
          <w:sz w:val="21"/>
          <w:szCs w:val="21"/>
        </w:rPr>
        <w:t xml:space="preserve">Family disputes over businesses and properties were referred to two named arbitrators by agreement of 29 September 1996, and the award was made by both. The respondents then argued that an arbitration by two arbitrators contravened s. 10, making the tribunal void and the award unenforceable.</w:t>
      </w:r>
    </w:p>
    <w:p>
      <w:pPr>
        <w:spacing w:after="70" w:line="258"/>
        <w:ind w:left="259"/>
        <w:jc w:val="both"/>
      </w:pPr>
      <w:r>
        <w:rPr>
          <w:b/>
          <w:bCs/>
          <w:sz w:val="21"/>
          <w:szCs w:val="21"/>
        </w:rPr>
        <w:t xml:space="preserve">Held. </w:t>
      </w:r>
      <w:r>
        <w:rPr>
          <w:sz w:val="21"/>
          <w:szCs w:val="21"/>
        </w:rPr>
        <w:t xml:space="preserve">The award stood. </w:t>
      </w:r>
      <w:r>
        <w:rPr>
          <w:b/>
          <w:bCs/>
          <w:sz w:val="21"/>
          <w:szCs w:val="21"/>
        </w:rPr>
        <w:t xml:space="preserve">S. 10 is derogable.</w:t>
      </w:r>
      <w:r>
        <w:rPr>
          <w:sz w:val="21"/>
          <w:szCs w:val="21"/>
        </w:rPr>
        <w:t xml:space="preserve"> The argument rested on s. 34(2)(a)(v), which allows an award to be set aside where the composition or procedure did not accord with the parties' agreement, unless that agreement conflicted with a non-derogable provision, or, </w:t>
      </w:r>
      <w:r>
        <w:rPr>
          <w:b/>
          <w:bCs/>
          <w:sz w:val="21"/>
          <w:szCs w:val="21"/>
        </w:rPr>
        <w:t xml:space="preserve">“failing such agreement”</w:t>
      </w:r>
      <w:r>
        <w:rPr>
          <w:sz w:val="21"/>
          <w:szCs w:val="21"/>
        </w:rPr>
        <w:t xml:space="preserve">, did not accord with Part I. Those words refer to an agreement on composition or procedure and operate only where there is none. Here the agreement itself provided for two arbitrators and was followed. So long as composition and procedure follow the parties' agreement, s. 34 does not permit challenge merely because the composition conflicted with a provision of Part I. Separately, an objection to competence must be raised under </w:t>
      </w:r>
      <w:r>
        <w:rPr>
          <w:b/>
          <w:bCs/>
          <w:sz w:val="21"/>
          <w:szCs w:val="21"/>
        </w:rPr>
        <w:t xml:space="preserve">s. 16(2)</w:t>
      </w:r>
      <w:r>
        <w:rPr>
          <w:sz w:val="21"/>
          <w:szCs w:val="21"/>
        </w:rPr>
        <w:t xml:space="preserve"> not later than the statement of defence; a party failing to do so is deemed to have waived it (s. 16 with s. 4).</w:t>
      </w:r>
    </w:p>
    <w:p>
      <w:pPr>
        <w:spacing w:after="70" w:line="258"/>
        <w:ind w:left="259"/>
        <w:jc w:val="both"/>
      </w:pPr>
      <w:r>
        <w:rPr>
          <w:b/>
          <w:bCs/>
          <w:sz w:val="21"/>
          <w:szCs w:val="21"/>
        </w:rPr>
        <w:t xml:space="preserve">Why it matters. </w:t>
      </w:r>
      <w:r>
        <w:rPr>
          <w:sz w:val="21"/>
          <w:szCs w:val="21"/>
        </w:rPr>
        <w:t xml:space="preserve">Governing authority on s. 10, and also on s. 4 and s. 16(2). It shows how to identify a non-derogable provision: the test is not whether the language is prohibitory but whether the Act lets the parties agree otherwise.</w:t>
      </w:r>
    </w:p>
    <w:p>
      <w:pPr>
        <w:spacing w:after="70" w:line="258"/>
        <w:ind w:left="259"/>
        <w:jc w:val="both"/>
      </w:pPr>
      <w:r>
        <w:rPr>
          <w:b/>
          <w:bCs/>
          <w:sz w:val="21"/>
          <w:szCs w:val="21"/>
        </w:rPr>
        <w:t xml:space="preserve">Status. </w:t>
      </w:r>
      <w:r>
        <w:rPr>
          <w:sz w:val="21"/>
          <w:szCs w:val="21"/>
        </w:rPr>
        <w:t xml:space="preserve">Good law. The question of law was decided on 20 February 2002; a later order in the same litigation dealt with remaining aspects. The class short form “Lohia v. Lohia” should be expanded in an answer.</w:t>
      </w:r>
    </w:p>
    <w:p>
      <w:pPr>
        <w:pStyle w:val="Heading1"/>
        <w:keepNext/>
        <w:pBdr>
          <w:top w:val="single" w:color="999999" w:sz="8" w:space="10"/>
        </w:pBdr>
        <w:spacing w:after="170" w:before="460"/>
      </w:pPr>
      <w:r>
        <w:t xml:space="preserve">7  Appointment of Arbitrators: s. 11</w:t>
      </w:r>
    </w:p>
    <w:p>
      <w:pPr>
        <w:spacing w:after="110" w:line="262"/>
        <w:jc w:val="both"/>
      </w:pPr>
      <w:r>
        <w:t xml:space="preserve">S. 11 is the default machinery. It applies where the parties made no provision for appointment, where their machinery has broken down, and where an arbitrator must be replaced — s. 15(2) requiring the substitute to be appointed by the same route as the original.</w:t>
      </w:r>
    </w:p>
    <w:p>
      <w:pPr>
        <w:pStyle w:val="Heading2"/>
        <w:keepNext/>
        <w:spacing w:after="110" w:before="240"/>
      </w:pPr>
      <w:r>
        <w:t xml:space="preserve">7.1  The scheme</w:t>
      </w:r>
    </w:p>
    <w:p>
      <w:pPr>
        <w:pStyle w:val="ListParagraph"/>
        <w:numPr>
          <w:ilvl w:val="0"/>
          <w:numId w:val="8"/>
        </w:numPr>
        <w:spacing w:after="70" w:line="262"/>
        <w:jc w:val="both"/>
      </w:pPr>
      <w:r>
        <w:rPr>
          <w:b/>
          <w:bCs/>
        </w:rPr>
        <w:t xml:space="preserve">(1)</w:t>
      </w:r>
      <w:r>
        <w:t xml:space="preserve"> A person of </w:t>
      </w:r>
      <w:r>
        <w:rPr>
          <w:b/>
          <w:bCs/>
        </w:rPr>
        <w:t xml:space="preserve">any nationality</w:t>
      </w:r>
      <w:r>
        <w:t xml:space="preserve"> may be an arbitrator, unless otherwise agreed.</w:t>
      </w:r>
    </w:p>
    <w:p>
      <w:pPr>
        <w:pStyle w:val="ListParagraph"/>
        <w:numPr>
          <w:ilvl w:val="0"/>
          <w:numId w:val="8"/>
        </w:numPr>
        <w:spacing w:after="70" w:line="262"/>
        <w:jc w:val="both"/>
      </w:pPr>
      <w:r>
        <w:rPr>
          <w:b/>
          <w:bCs/>
        </w:rPr>
        <w:t xml:space="preserve">(2)</w:t>
      </w:r>
      <w:r>
        <w:t xml:space="preserve"> Subject to (6), the parties are free to agree a procedure for appointment.</w:t>
      </w:r>
    </w:p>
    <w:p>
      <w:pPr>
        <w:pStyle w:val="ListParagraph"/>
        <w:numPr>
          <w:ilvl w:val="0"/>
          <w:numId w:val="8"/>
        </w:numPr>
        <w:spacing w:after="70" w:line="262"/>
        <w:jc w:val="both"/>
      </w:pPr>
      <w:r>
        <w:rPr>
          <w:b/>
          <w:bCs/>
        </w:rPr>
        <w:t xml:space="preserve">(3)</w:t>
      </w:r>
      <w:r>
        <w:t xml:space="preserve"> Failing agreement, in a three-member arbitration each party appoints one and the two appoint the third, who acts as </w:t>
      </w:r>
      <w:r>
        <w:rPr>
          <w:b/>
          <w:bCs/>
        </w:rPr>
        <w:t xml:space="preserve">presiding arbitrator</w:t>
      </w:r>
      <w:r>
        <w:t xml:space="preserve">.</w:t>
      </w:r>
    </w:p>
    <w:p>
      <w:pPr>
        <w:pStyle w:val="ListParagraph"/>
        <w:numPr>
          <w:ilvl w:val="0"/>
          <w:numId w:val="8"/>
        </w:numPr>
        <w:spacing w:after="70" w:line="262"/>
        <w:jc w:val="both"/>
      </w:pPr>
      <w:r>
        <w:rPr>
          <w:b/>
          <w:bCs/>
        </w:rPr>
        <w:t xml:space="preserve">(3A)</w:t>
      </w:r>
      <w:r>
        <w:t xml:space="preserve"> The Supreme Court and High Courts may designate arbitral institutions graded by the Arbitration Council (inserted 2019).</w:t>
      </w:r>
    </w:p>
    <w:p>
      <w:pPr>
        <w:pStyle w:val="ListParagraph"/>
        <w:numPr>
          <w:ilvl w:val="0"/>
          <w:numId w:val="8"/>
        </w:numPr>
        <w:spacing w:after="70" w:line="262"/>
        <w:jc w:val="both"/>
      </w:pPr>
      <w:r>
        <w:rPr>
          <w:b/>
          <w:bCs/>
        </w:rPr>
        <w:t xml:space="preserve">(4)</w:t>
      </w:r>
      <w:r>
        <w:t xml:space="preserve"> Where (3) applies and a party fails to appoint within </w:t>
      </w:r>
      <w:r>
        <w:rPr>
          <w:b/>
          <w:bCs/>
        </w:rPr>
        <w:t xml:space="preserve">30 days</w:t>
      </w:r>
      <w:r>
        <w:t xml:space="preserve"> of request, or the two appointees fail to agree on the third within 30 days of their appointment, the appointment is made on application — by the authority designated by the </w:t>
      </w:r>
      <w:r>
        <w:rPr>
          <w:b/>
          <w:bCs/>
        </w:rPr>
        <w:t xml:space="preserve">Supreme Court</w:t>
      </w:r>
      <w:r>
        <w:t xml:space="preserve"> for ICA, otherwise by the </w:t>
      </w:r>
      <w:r>
        <w:rPr>
          <w:b/>
          <w:bCs/>
        </w:rPr>
        <w:t xml:space="preserve">High Court</w:t>
      </w:r>
      <w:r>
        <w:t xml:space="preserve">.</w:t>
      </w:r>
    </w:p>
    <w:p>
      <w:pPr>
        <w:pStyle w:val="ListParagraph"/>
        <w:numPr>
          <w:ilvl w:val="0"/>
          <w:numId w:val="8"/>
        </w:numPr>
        <w:spacing w:after="70" w:line="262"/>
        <w:jc w:val="both"/>
      </w:pPr>
      <w:r>
        <w:rPr>
          <w:b/>
          <w:bCs/>
        </w:rPr>
        <w:t xml:space="preserve">(5)</w:t>
      </w:r>
      <w:r>
        <w:t xml:space="preserve"> Sole-arbitrator case: if the parties do not agree within 30 days of a request, appointment follows (4).</w:t>
      </w:r>
    </w:p>
    <w:p>
      <w:pPr>
        <w:pStyle w:val="ListParagraph"/>
        <w:numPr>
          <w:ilvl w:val="0"/>
          <w:numId w:val="8"/>
        </w:numPr>
        <w:spacing w:after="70" w:line="262"/>
        <w:jc w:val="both"/>
      </w:pPr>
      <w:r>
        <w:rPr>
          <w:b/>
          <w:bCs/>
        </w:rPr>
        <w:t xml:space="preserve">(6)</w:t>
      </w:r>
      <w:r>
        <w:t xml:space="preserve"> Where an agreed procedure exists and (a) a party fails to act under it, (b) the parties or the two appointees fail to reach an agreement expected of them, or (c) a person or institution fails to perform a function entrusted to it — the residuary ground — appointment is made on application.</w:t>
      </w:r>
    </w:p>
    <w:p>
      <w:pPr>
        <w:pStyle w:val="ListParagraph"/>
        <w:numPr>
          <w:ilvl w:val="0"/>
          <w:numId w:val="8"/>
        </w:numPr>
        <w:spacing w:after="70" w:line="262"/>
        <w:jc w:val="both"/>
      </w:pPr>
      <w:r>
        <w:rPr>
          <w:b/>
          <w:bCs/>
        </w:rPr>
        <w:t xml:space="preserve">(6A)</w:t>
      </w:r>
      <w:r>
        <w:t xml:space="preserve"> The court shall, notwithstanding any judgment, decree or order of any court, </w:t>
      </w:r>
      <w:r>
        <w:rPr>
          <w:b/>
          <w:bCs/>
        </w:rPr>
        <w:t xml:space="preserve">confine itself to the examination of the existence of an arbitration agreement</w:t>
      </w:r>
      <w:r>
        <w:t xml:space="preserve"> (inserted 2015).</w:t>
      </w:r>
    </w:p>
    <w:p>
      <w:pPr>
        <w:pStyle w:val="ListParagraph"/>
        <w:numPr>
          <w:ilvl w:val="0"/>
          <w:numId w:val="8"/>
        </w:numPr>
        <w:spacing w:after="70" w:line="262"/>
        <w:jc w:val="both"/>
      </w:pPr>
      <w:r>
        <w:rPr>
          <w:b/>
          <w:bCs/>
        </w:rPr>
        <w:t xml:space="preserve">(6B)</w:t>
      </w:r>
      <w:r>
        <w:t xml:space="preserve"> Designation of a person or institution is </w:t>
      </w:r>
      <w:r>
        <w:rPr>
          <w:b/>
          <w:bCs/>
        </w:rPr>
        <w:t xml:space="preserve">not a delegation of judicial power</w:t>
      </w:r>
      <w:r>
        <w:t xml:space="preserve">; its scope is limited to the act of designation.</w:t>
      </w:r>
    </w:p>
    <w:p>
      <w:pPr>
        <w:pStyle w:val="ListParagraph"/>
        <w:numPr>
          <w:ilvl w:val="0"/>
          <w:numId w:val="8"/>
        </w:numPr>
        <w:spacing w:after="70" w:line="262"/>
        <w:jc w:val="both"/>
      </w:pPr>
      <w:r>
        <w:rPr>
          <w:b/>
          <w:bCs/>
        </w:rPr>
        <w:t xml:space="preserve">(7)</w:t>
      </w:r>
      <w:r>
        <w:t xml:space="preserve"> The decision is </w:t>
      </w:r>
      <w:r>
        <w:rPr>
          <w:b/>
          <w:bCs/>
        </w:rPr>
        <w:t xml:space="preserve">final</w:t>
      </w:r>
      <w:r>
        <w:t xml:space="preserve"> and no appeal, including a Letters Patent Appeal, lies. “Final” operates on the statutory remedies; it does not purport to exclude constitutional jurisdiction.</w:t>
      </w:r>
    </w:p>
    <w:p>
      <w:pPr>
        <w:pStyle w:val="ListParagraph"/>
        <w:numPr>
          <w:ilvl w:val="0"/>
          <w:numId w:val="8"/>
        </w:numPr>
        <w:spacing w:after="70" w:line="262"/>
        <w:jc w:val="both"/>
      </w:pPr>
      <w:r>
        <w:rPr>
          <w:b/>
          <w:bCs/>
        </w:rPr>
        <w:t xml:space="preserve">(8)</w:t>
      </w:r>
      <w:r>
        <w:t xml:space="preserve"> Before appointing, the authority must seek a </w:t>
      </w:r>
      <w:r>
        <w:rPr>
          <w:b/>
          <w:bCs/>
        </w:rPr>
        <w:t xml:space="preserve">written disclosure</w:t>
      </w:r>
      <w:r>
        <w:t xml:space="preserve"> under s. 12(1) and have due regard to (a) qualifications required by the agreement and (b) the disclosure and other considerations likely to secure an independent and impartial arbitrator.</w:t>
      </w:r>
    </w:p>
    <w:p>
      <w:pPr>
        <w:pStyle w:val="ListParagraph"/>
        <w:numPr>
          <w:ilvl w:val="0"/>
          <w:numId w:val="8"/>
        </w:numPr>
        <w:spacing w:after="70" w:line="262"/>
        <w:jc w:val="both"/>
      </w:pPr>
      <w:r>
        <w:rPr>
          <w:b/>
          <w:bCs/>
        </w:rPr>
        <w:t xml:space="preserve">(9)</w:t>
      </w:r>
      <w:r>
        <w:t xml:space="preserve"> In ICA, where the parties are of different nationalities, a sole or third arbitrator may be of a </w:t>
      </w:r>
      <w:r>
        <w:rPr>
          <w:b/>
          <w:bCs/>
        </w:rPr>
        <w:t xml:space="preserve">third nationality</w:t>
      </w:r>
      <w:r>
        <w:t xml:space="preserve">.</w:t>
      </w:r>
    </w:p>
    <w:p>
      <w:pPr>
        <w:pStyle w:val="ListParagraph"/>
        <w:numPr>
          <w:ilvl w:val="0"/>
          <w:numId w:val="8"/>
        </w:numPr>
        <w:spacing w:after="70" w:line="262"/>
        <w:jc w:val="both"/>
      </w:pPr>
      <w:r>
        <w:rPr>
          <w:b/>
          <w:bCs/>
        </w:rPr>
        <w:t xml:space="preserve">(11)</w:t>
      </w:r>
      <w:r>
        <w:t xml:space="preserve"> Where requests are made to different authorities, the one approached </w:t>
      </w:r>
      <w:r>
        <w:rPr>
          <w:b/>
          <w:bCs/>
        </w:rPr>
        <w:t xml:space="preserve">first</w:t>
      </w:r>
      <w:r>
        <w:t xml:space="preserve"> alone is competent — preventing forum shopping.</w:t>
      </w:r>
    </w:p>
    <w:p>
      <w:pPr>
        <w:pStyle w:val="ListParagraph"/>
        <w:numPr>
          <w:ilvl w:val="0"/>
          <w:numId w:val="8"/>
        </w:numPr>
        <w:spacing w:after="70" w:line="262"/>
        <w:jc w:val="both"/>
      </w:pPr>
      <w:r>
        <w:rPr>
          <w:b/>
          <w:bCs/>
        </w:rPr>
        <w:t xml:space="preserve">(12)</w:t>
      </w:r>
      <w:r>
        <w:t xml:space="preserve"> ICA goes to the authority designated by the Supreme Court; all other arbitrations to the High Court.</w:t>
      </w:r>
    </w:p>
    <w:p>
      <w:pPr>
        <w:pStyle w:val="ListParagraph"/>
        <w:numPr>
          <w:ilvl w:val="0"/>
          <w:numId w:val="8"/>
        </w:numPr>
        <w:spacing w:after="70" w:line="262"/>
        <w:jc w:val="both"/>
      </w:pPr>
      <w:r>
        <w:rPr>
          <w:b/>
          <w:bCs/>
        </w:rPr>
        <w:t xml:space="preserve">(13)</w:t>
      </w:r>
      <w:r>
        <w:t xml:space="preserve"> An application is to be disposed of within </w:t>
      </w:r>
      <w:r>
        <w:rPr>
          <w:b/>
          <w:bCs/>
        </w:rPr>
        <w:t xml:space="preserve">30 days</w:t>
      </w:r>
      <w:r>
        <w:t xml:space="preserve"> of service of notice.</w:t>
      </w:r>
    </w:p>
    <w:p>
      <w:pPr>
        <w:pStyle w:val="ListParagraph"/>
        <w:numPr>
          <w:ilvl w:val="0"/>
          <w:numId w:val="8"/>
        </w:numPr>
        <w:spacing w:after="70" w:line="262"/>
        <w:jc w:val="both"/>
      </w:pPr>
      <w:r>
        <w:rPr>
          <w:b/>
          <w:bCs/>
        </w:rPr>
        <w:t xml:space="preserve">(14)</w:t>
      </w:r>
      <w:r>
        <w:t xml:space="preserve"> Fees are determined subject to the rates in the </w:t>
      </w:r>
      <w:r>
        <w:rPr>
          <w:b/>
          <w:bCs/>
        </w:rPr>
        <w:t xml:space="preserve">Fourth Schedule</w:t>
      </w:r>
      <w:r>
        <w:t xml:space="preserve">, except in ICA and where the parties have agreed on institutional fee rules.</w:t>
      </w:r>
    </w:p>
    <w:p>
      <w:pPr>
        <w:spacing w:after="110" w:line="262"/>
        <w:jc w:val="both"/>
      </w:pPr>
      <w:r>
        <w:t xml:space="preserve">Read with </w:t>
      </w:r>
      <w:r>
        <w:rPr>
          <w:b/>
          <w:bCs/>
        </w:rPr>
        <w:t xml:space="preserve">s. 2(1)(e)</w:t>
      </w:r>
      <w:r>
        <w:t xml:space="preserve">, which defines “Court” and in effect creates a special forum in arbitration matters — the principal civil court of original jurisdiction in a district, or the High Court exercising ordinary original civil jurisdiction, and for ICA the High Court.</w:t>
      </w:r>
    </w:p>
    <w:p>
      <w:pPr>
        <w:pStyle w:val="Heading2"/>
        <w:keepNext/>
        <w:spacing w:after="110" w:before="240"/>
      </w:pPr>
      <w:r>
        <w:t xml:space="preserve">7.2  The controversy: judicial or administrative power?</w:t>
      </w:r>
    </w:p>
    <w:p>
      <w:pPr>
        <w:spacing w:after="110" w:line="262"/>
        <w:jc w:val="both"/>
      </w:pPr>
      <w:r>
        <w:t xml:space="preserve">As enacted, appointment was by “the Chief Justice or any person or institution designated by him”. Two features generated a decade of litigation: India had departed from the Model Law, which vests the power in a </w:t>
      </w:r>
      <w:r>
        <w:rPr>
          <w:b/>
          <w:bCs/>
        </w:rPr>
        <w:t xml:space="preserve">court</w:t>
      </w:r>
      <w:r>
        <w:t xml:space="preserve">, by naming the Chief Justice instead; and the power was delegable to “any person or institution”, whereas judicial power cannot ordinarily be delegated. The characterisation mattered for three things — whether contested preliminary issues could be decided (a </w:t>
      </w:r>
      <w:r>
        <w:rPr>
          <w:b/>
          <w:bCs/>
        </w:rPr>
        <w:t xml:space="preserve">mini-trial</w:t>
      </w:r>
      <w:r>
        <w:t xml:space="preserve">), whether the order was open to Art. 136 or only to mandamus, and how far the power could be delegated. The </w:t>
      </w:r>
      <w:r>
        <w:rPr>
          <w:b/>
          <w:bCs/>
        </w:rPr>
        <w:t xml:space="preserve">Appointment of Arbitrators by the Chief Justice of India Scheme, 1996</w:t>
      </w:r>
      <w:r>
        <w:t xml:space="preserve"> complicated matters by using the vocabulary of adjudication (“notice”, “decision”); against which it was said that an interpretation placed on delegated legislation cannot be used to construe the parent Act.</w:t>
      </w:r>
    </w:p>
    <w:p>
      <w:pPr>
        <w:spacing w:after="110" w:line="262"/>
        <w:jc w:val="both"/>
      </w:pPr>
      <w:r>
        <w:t xml:space="preserve">The administrative-law premise for the objection to splitting the power was that if one person hears and another decides, </w:t>
      </w:r>
      <w:r>
        <w:rPr>
          <w:i/>
          <w:iCs/>
        </w:rPr>
        <w:t xml:space="preserve">audi alteram partem</w:t>
      </w:r>
      <w:r>
        <w:t xml:space="preserve"> fails.</w:t>
      </w:r>
    </w:p>
    <w:p>
      <w:pPr>
        <w:keepNext/>
        <w:spacing w:after="60" w:before="170"/>
      </w:pPr>
      <w:r>
        <w:rPr>
          <w:b/>
          <w:bCs/>
          <w:sz w:val="22"/>
          <w:szCs w:val="22"/>
        </w:rPr>
        <w:t xml:space="preserve">Gullapalli Nageswara Rao v. A.P. State Road Transport Corporation (Gullapalli-I)</w:t>
      </w:r>
      <w:r>
        <w:rPr>
          <w:color w:val="404040"/>
          <w:sz w:val="19"/>
          <w:szCs w:val="19"/>
        </w:rPr>
        <w:t xml:space="preserve">  AIR 1959 SC 308 (SC, Constitution Bench of 5, decided 5 Nov 1958, Subba Rao J.).</w:t>
      </w:r>
    </w:p>
    <w:p>
      <w:pPr>
        <w:spacing w:after="70" w:line="258"/>
        <w:ind w:left="259"/>
        <w:jc w:val="both"/>
      </w:pPr>
      <w:r>
        <w:rPr>
          <w:b/>
          <w:bCs/>
          <w:sz w:val="21"/>
          <w:szCs w:val="21"/>
        </w:rPr>
        <w:t xml:space="preserve">Facts. </w:t>
      </w:r>
      <w:r>
        <w:rPr>
          <w:sz w:val="21"/>
          <w:szCs w:val="21"/>
        </w:rPr>
        <w:t xml:space="preserve">Objections to a road transport nationalisation scheme were heard by the Secretary of the Transport Department but the scheme was considered and approved by the Minister; the Department was in substance an interested party.</w:t>
      </w:r>
    </w:p>
    <w:p>
      <w:pPr>
        <w:spacing w:after="70" w:line="258"/>
        <w:ind w:left="259"/>
        <w:jc w:val="both"/>
      </w:pPr>
      <w:r>
        <w:rPr>
          <w:b/>
          <w:bCs/>
          <w:sz w:val="21"/>
          <w:szCs w:val="21"/>
        </w:rPr>
        <w:t xml:space="preserve">Held. </w:t>
      </w:r>
      <w:r>
        <w:rPr>
          <w:sz w:val="21"/>
          <w:szCs w:val="21"/>
        </w:rPr>
        <w:t xml:space="preserve">The scheme was quashed for breach of natural justice. Its two rules are </w:t>
      </w:r>
      <w:r>
        <w:rPr>
          <w:i/>
          <w:iCs/>
          <w:sz w:val="21"/>
          <w:szCs w:val="21"/>
        </w:rPr>
        <w:t xml:space="preserve">nemo judex in causa sua</w:t>
      </w:r>
      <w:r>
        <w:rPr>
          <w:sz w:val="21"/>
          <w:szCs w:val="21"/>
        </w:rPr>
        <w:t xml:space="preserve"> and </w:t>
      </w:r>
      <w:r>
        <w:rPr>
          <w:i/>
          <w:iCs/>
          <w:sz w:val="21"/>
          <w:szCs w:val="21"/>
        </w:rPr>
        <w:t xml:space="preserve">audi alteram partem</w:t>
      </w:r>
      <w:r>
        <w:rPr>
          <w:sz w:val="21"/>
          <w:szCs w:val="21"/>
        </w:rPr>
        <w:t xml:space="preserve">, and the second carries with it that </w:t>
      </w:r>
      <w:r>
        <w:rPr>
          <w:b/>
          <w:bCs/>
          <w:sz w:val="21"/>
          <w:szCs w:val="21"/>
        </w:rPr>
        <w:t xml:space="preserve">the authority which decides must be the authority which hears</w:t>
      </w:r>
      <w:r>
        <w:rPr>
          <w:sz w:val="21"/>
          <w:szCs w:val="21"/>
        </w:rPr>
        <w:t xml:space="preserve">. A split process denies the right to be heard, aggravated here by the Department's interest.</w:t>
      </w:r>
    </w:p>
    <w:p>
      <w:pPr>
        <w:spacing w:after="70" w:line="258"/>
        <w:ind w:left="259"/>
        <w:jc w:val="both"/>
      </w:pPr>
      <w:r>
        <w:rPr>
          <w:b/>
          <w:bCs/>
          <w:sz w:val="21"/>
          <w:szCs w:val="21"/>
        </w:rPr>
        <w:t xml:space="preserve">Why it matters. </w:t>
      </w:r>
      <w:r>
        <w:rPr>
          <w:sz w:val="21"/>
          <w:szCs w:val="21"/>
        </w:rPr>
        <w:t xml:space="preserve">Supplies the reason the s. 11 power could not be split between a person who hears and a person who decides; its second limb (no interested decision-maker) reappears in s. 12 and in the constitutional objection to unilateral appointment clauses.</w:t>
      </w:r>
    </w:p>
    <w:p>
      <w:pPr>
        <w:spacing w:after="70" w:line="258"/>
        <w:ind w:left="259"/>
        <w:jc w:val="both"/>
      </w:pPr>
      <w:r>
        <w:rPr>
          <w:b/>
          <w:bCs/>
          <w:sz w:val="21"/>
          <w:szCs w:val="21"/>
        </w:rPr>
        <w:t xml:space="preserve">Status. </w:t>
      </w:r>
      <w:r>
        <w:rPr>
          <w:sz w:val="21"/>
          <w:szCs w:val="21"/>
        </w:rPr>
        <w:t xml:space="preserve">Good law. Distinguish </w:t>
      </w:r>
      <w:r>
        <w:rPr>
          <w:b/>
          <w:bCs/>
          <w:sz w:val="21"/>
          <w:szCs w:val="21"/>
        </w:rPr>
        <w:t xml:space="preserve">Gullapalli-II</w:t>
      </w:r>
      <w:r>
        <w:rPr>
          <w:sz w:val="21"/>
          <w:szCs w:val="21"/>
        </w:rPr>
        <w:t xml:space="preserve">, AIR 1959 SC 1376 (21 Aug 1959), where a corrected procedure — the Minister both hearing and deciding — was upheld.</w:t>
      </w:r>
    </w:p>
    <w:p>
      <w:pPr>
        <w:pStyle w:val="Heading2"/>
        <w:keepNext/>
        <w:spacing w:after="110" w:before="240"/>
      </w:pPr>
      <w:r>
        <w:t xml:space="preserve">7.3  The line of authority</w:t>
      </w:r>
    </w:p>
    <w:p>
      <w:pPr>
        <w:keepNext/>
        <w:spacing w:after="60" w:before="170"/>
      </w:pPr>
      <w:r>
        <w:rPr>
          <w:b/>
          <w:bCs/>
          <w:sz w:val="22"/>
          <w:szCs w:val="22"/>
        </w:rPr>
        <w:t xml:space="preserve">Konkan Railway Corporation Ltd. v. Mehul Construction Co.</w:t>
      </w:r>
      <w:r>
        <w:rPr>
          <w:color w:val="404040"/>
          <w:sz w:val="19"/>
          <w:szCs w:val="19"/>
        </w:rPr>
        <w:t xml:space="preserve">  (2000) 7 SCC 201 (SC, 3 Judges).</w:t>
      </w:r>
    </w:p>
    <w:p>
      <w:pPr>
        <w:spacing w:after="70" w:line="258"/>
        <w:ind w:left="259"/>
        <w:jc w:val="both"/>
      </w:pPr>
      <w:r>
        <w:rPr>
          <w:b/>
          <w:bCs/>
          <w:sz w:val="21"/>
          <w:szCs w:val="21"/>
        </w:rPr>
        <w:t xml:space="preserve">Held. </w:t>
      </w:r>
      <w:r>
        <w:rPr>
          <w:sz w:val="21"/>
          <w:szCs w:val="21"/>
        </w:rPr>
        <w:t xml:space="preserve">The power is </w:t>
      </w:r>
      <w:r>
        <w:rPr>
          <w:b/>
          <w:bCs/>
          <w:sz w:val="21"/>
          <w:szCs w:val="21"/>
        </w:rPr>
        <w:t xml:space="preserve">administrative</w:t>
      </w:r>
      <w:r>
        <w:rPr>
          <w:sz w:val="21"/>
          <w:szCs w:val="21"/>
        </w:rPr>
        <w:t xml:space="preserve">, not judicial; an order refusing appointment is not amenable to Art. 136, and the remedy is mandamus. Reasoning: the Model Law vests the power in a court, whereas the Act designates the Chief Justice — had a judicial function been intended, Parliament would have said “court” or “judicial authority”. The function is to </w:t>
      </w:r>
      <w:r>
        <w:rPr>
          <w:b/>
          <w:bCs/>
          <w:sz w:val="21"/>
          <w:szCs w:val="21"/>
        </w:rPr>
        <w:t xml:space="preserve">aid the constitution of the tribunal</w:t>
      </w:r>
      <w:r>
        <w:rPr>
          <w:sz w:val="21"/>
          <w:szCs w:val="21"/>
        </w:rPr>
        <w:t xml:space="preserve">; the legislative intent is that the arbitral process be set in motion without delay and contentious issues left to the tribunal, and ss. 13 and 16 show that qualifications, independence, impartiality and jurisdiction may be raised before the arbitrator. A refusal is non-performance of duty, so mandamus lies as against an administrative order.</w:t>
      </w:r>
    </w:p>
    <w:p>
      <w:pPr>
        <w:spacing w:after="70" w:line="258"/>
        <w:ind w:left="259"/>
        <w:jc w:val="both"/>
      </w:pPr>
      <w:r>
        <w:rPr>
          <w:b/>
          <w:bCs/>
          <w:sz w:val="21"/>
          <w:szCs w:val="21"/>
        </w:rPr>
        <w:t xml:space="preserve">Why it matters. </w:t>
      </w:r>
      <w:r>
        <w:rPr>
          <w:sz w:val="21"/>
          <w:szCs w:val="21"/>
        </w:rPr>
        <w:t xml:space="preserve">Origin of the administrative view and of the objection to a mini-trial at the appointment stage.</w:t>
      </w:r>
    </w:p>
    <w:p>
      <w:pPr>
        <w:spacing w:after="70" w:line="258"/>
        <w:ind w:left="259"/>
        <w:jc w:val="both"/>
      </w:pPr>
      <w:r>
        <w:rPr>
          <w:b/>
          <w:bCs/>
          <w:sz w:val="21"/>
          <w:szCs w:val="21"/>
        </w:rPr>
        <w:t xml:space="preserve">Status. </w:t>
      </w:r>
      <w:r>
        <w:rPr>
          <w:sz w:val="21"/>
          <w:szCs w:val="21"/>
        </w:rPr>
        <w:t xml:space="preserve">Affirmed in </w:t>
      </w:r>
      <w:r>
        <w:rPr>
          <w:i/>
          <w:iCs/>
          <w:sz w:val="21"/>
          <w:szCs w:val="21"/>
        </w:rPr>
        <w:t xml:space="preserve">Konkan Railway v. Rani Construction</w:t>
      </w:r>
      <w:r>
        <w:rPr>
          <w:sz w:val="21"/>
          <w:szCs w:val="21"/>
        </w:rPr>
        <w:t xml:space="preserve">, (2002) 2 SCC 388 (Constitution Bench), but </w:t>
      </w:r>
      <w:r>
        <w:rPr>
          <w:b/>
          <w:bCs/>
          <w:sz w:val="21"/>
          <w:szCs w:val="21"/>
        </w:rPr>
        <w:t xml:space="preserve">overruled on the nature of the power</w:t>
      </w:r>
      <w:r>
        <w:rPr>
          <w:sz w:val="21"/>
          <w:szCs w:val="21"/>
        </w:rPr>
        <w:t xml:space="preserve"> by </w:t>
      </w:r>
      <w:r>
        <w:rPr>
          <w:i/>
          <w:iCs/>
          <w:sz w:val="21"/>
          <w:szCs w:val="21"/>
        </w:rPr>
        <w:t xml:space="preserve">SBP &amp; Co. v. Patel Engineering</w:t>
      </w:r>
      <w:r>
        <w:rPr>
          <w:sz w:val="21"/>
          <w:szCs w:val="21"/>
        </w:rPr>
        <w:t xml:space="preserve">. Its reasoning on the narrow scope of the enquiry has in effect been restored by statute (7.4).</w:t>
      </w:r>
    </w:p>
    <w:p>
      <w:pPr>
        <w:spacing w:after="110" w:line="262"/>
        <w:jc w:val="both"/>
      </w:pPr>
      <w:r>
        <w:rPr>
          <w:b/>
          <w:bCs/>
        </w:rPr>
        <w:t xml:space="preserve">Rani Construction</w:t>
      </w:r>
      <w:r>
        <w:t xml:space="preserve"> added two propositions of continuing value: a scheme framed under s. 11 cannot govern the interpretation of s. 11, and to the extent clause 1 of the 1996 Scheme required a show-cause notice it went beyond the section and was bad; and an order nominating an arbitrator is not adjudicatory, the Chief Justice or his designate is not a tribunal, and no SLP lies under Art. 136 — “tribunal” there meaning a </w:t>
      </w:r>
      <w:r>
        <w:rPr>
          <w:b/>
          <w:bCs/>
        </w:rPr>
        <w:t xml:space="preserve">public</w:t>
      </w:r>
      <w:r>
        <w:t xml:space="preserve"> tribunal, not a private arbitral tribunal.</w:t>
      </w:r>
    </w:p>
    <w:p>
      <w:pPr>
        <w:keepNext/>
        <w:spacing w:after="60" w:before="170"/>
      </w:pPr>
      <w:r>
        <w:rPr>
          <w:b/>
          <w:bCs/>
          <w:sz w:val="22"/>
          <w:szCs w:val="22"/>
        </w:rPr>
        <w:t xml:space="preserve">SBP &amp; Co. v. Patel Engineering Ltd.</w:t>
      </w:r>
      <w:r>
        <w:rPr>
          <w:color w:val="404040"/>
          <w:sz w:val="19"/>
          <w:szCs w:val="19"/>
        </w:rPr>
        <w:t xml:space="preserve">  (2005) 8 SCC 618; AIR 2006 SC 450 (SC, 7 Judges, 26 Oct 2005).</w:t>
      </w:r>
    </w:p>
    <w:p>
      <w:pPr>
        <w:spacing w:after="70" w:line="258"/>
        <w:ind w:left="259"/>
        <w:jc w:val="both"/>
      </w:pPr>
      <w:r>
        <w:rPr>
          <w:b/>
          <w:bCs/>
          <w:sz w:val="21"/>
          <w:szCs w:val="21"/>
        </w:rPr>
        <w:t xml:space="preserve">Held. </w:t>
      </w:r>
      <w:r>
        <w:rPr>
          <w:sz w:val="21"/>
          <w:szCs w:val="21"/>
        </w:rPr>
        <w:t xml:space="preserve">By majority, the s. 11(6) power is </w:t>
      </w:r>
      <w:r>
        <w:rPr>
          <w:b/>
          <w:bCs/>
          <w:sz w:val="21"/>
          <w:szCs w:val="21"/>
        </w:rPr>
        <w:t xml:space="preserve">judicial</w:t>
      </w:r>
      <w:r>
        <w:rPr>
          <w:sz w:val="21"/>
          <w:szCs w:val="21"/>
        </w:rPr>
        <w:t xml:space="preserve">; </w:t>
      </w:r>
      <w:r>
        <w:rPr>
          <w:i/>
          <w:iCs/>
          <w:sz w:val="21"/>
          <w:szCs w:val="21"/>
        </w:rPr>
        <w:t xml:space="preserve">Rani Construction</w:t>
      </w:r>
      <w:r>
        <w:rPr>
          <w:sz w:val="21"/>
          <w:szCs w:val="21"/>
        </w:rPr>
        <w:t xml:space="preserve"> overruled. (i) The power, in its entirety, may be delegated by the Chief Justice of a High Court only to another Judge of that Court, and by the CJI only to another Judge of the Supreme Court. (ii) A designated Judge exercises the Chief Justice's statutory power, so whatever is available to the Chief Justice is available in full to the designate. (iii) The Chief Justice or designate may decide the </w:t>
      </w:r>
      <w:r>
        <w:rPr>
          <w:b/>
          <w:bCs/>
          <w:sz w:val="21"/>
          <w:szCs w:val="21"/>
        </w:rPr>
        <w:t xml:space="preserve">preliminary aspects</w:t>
      </w:r>
      <w:r>
        <w:rPr>
          <w:sz w:val="21"/>
          <w:szCs w:val="21"/>
        </w:rPr>
        <w:t xml:space="preserve"> — his own jurisdiction to entertain the request, the existence of a valid arbitration agreement, the existence of a live claim, the existence of the condition for exercising the power, and the arbitrator's qualifications. (iv) He may seek an institution's opinion on nominating a qualified arbitrator under s. 11(8), but the appointing order must be his own. (v) Designating a District Judge is not warranted. Recourse lies under Art. 136, not Art. 226.</w:t>
      </w:r>
    </w:p>
    <w:p>
      <w:pPr>
        <w:spacing w:after="70" w:line="258"/>
        <w:ind w:left="259"/>
        <w:jc w:val="both"/>
      </w:pPr>
      <w:r>
        <w:rPr>
          <w:b/>
          <w:bCs/>
          <w:sz w:val="21"/>
          <w:szCs w:val="21"/>
        </w:rPr>
        <w:t xml:space="preserve">Why it matters. </w:t>
      </w:r>
      <w:r>
        <w:rPr>
          <w:sz w:val="21"/>
          <w:szCs w:val="21"/>
        </w:rPr>
        <w:t xml:space="preserve">The high-water mark of judicial involvement at the appointment stage — and the decision Parliament legislated against in 2015.</w:t>
      </w:r>
    </w:p>
    <w:p>
      <w:pPr>
        <w:spacing w:after="70" w:line="258"/>
        <w:ind w:left="259"/>
        <w:jc w:val="both"/>
      </w:pPr>
      <w:r>
        <w:rPr>
          <w:b/>
          <w:bCs/>
          <w:sz w:val="21"/>
          <w:szCs w:val="21"/>
        </w:rPr>
        <w:t xml:space="preserve">Status. </w:t>
      </w:r>
      <w:r>
        <w:rPr>
          <w:b/>
          <w:bCs/>
          <w:sz w:val="21"/>
          <w:szCs w:val="21"/>
        </w:rPr>
        <w:t xml:space="preserve">Partly displaced.</w:t>
      </w:r>
      <w:r>
        <w:rPr>
          <w:sz w:val="21"/>
          <w:szCs w:val="21"/>
        </w:rPr>
        <w:t xml:space="preserve"> The characterisation as judicial survives; the </w:t>
      </w:r>
      <w:r>
        <w:rPr>
          <w:b/>
          <w:bCs/>
          <w:sz w:val="21"/>
          <w:szCs w:val="21"/>
        </w:rPr>
        <w:t xml:space="preserve">wide preliminary enquiry does not</w:t>
      </w:r>
      <w:r>
        <w:rPr>
          <w:sz w:val="21"/>
          <w:szCs w:val="21"/>
        </w:rPr>
        <w:t xml:space="preserve"> — </w:t>
      </w:r>
      <w:r>
        <w:rPr>
          <w:i/>
          <w:iCs/>
          <w:sz w:val="21"/>
          <w:szCs w:val="21"/>
        </w:rPr>
        <w:t xml:space="preserve">Mayavati Trading Pvt. Ltd. v. Pradyuat Deb Burman</w:t>
      </w:r>
      <w:r>
        <w:rPr>
          <w:sz w:val="21"/>
          <w:szCs w:val="21"/>
        </w:rPr>
        <w:t xml:space="preserve">, (2019) 8 SCC 714, held that after s. 11(6A) </w:t>
      </w:r>
      <w:r>
        <w:rPr>
          <w:i/>
          <w:iCs/>
          <w:sz w:val="21"/>
          <w:szCs w:val="21"/>
        </w:rPr>
        <w:t xml:space="preserve">Patel Engineering</w:t>
      </w:r>
      <w:r>
        <w:rPr>
          <w:sz w:val="21"/>
          <w:szCs w:val="21"/>
        </w:rPr>
        <w:t xml:space="preserve"> is no longer good law on that point.</w:t>
      </w:r>
    </w:p>
    <w:p>
      <w:pPr>
        <w:pStyle w:val="Heading2"/>
        <w:keepNext/>
        <w:spacing w:after="110" w:before="240"/>
      </w:pPr>
      <w:r>
        <w:t xml:space="preserve">7.4  Present position on the scope of enquiry</w:t>
      </w:r>
    </w:p>
    <w:p>
      <w:pPr>
        <w:pStyle w:val="ListParagraph"/>
        <w:numPr>
          <w:ilvl w:val="0"/>
          <w:numId w:val="9"/>
        </w:numPr>
        <w:spacing w:after="70" w:line="262"/>
        <w:jc w:val="both"/>
      </w:pPr>
      <w:r>
        <w:rPr>
          <w:i/>
          <w:iCs/>
        </w:rPr>
        <w:t xml:space="preserve">Mehul Construction</w:t>
      </w:r>
      <w:r>
        <w:t xml:space="preserve"> (2000) and </w:t>
      </w:r>
      <w:r>
        <w:rPr>
          <w:i/>
          <w:iCs/>
        </w:rPr>
        <w:t xml:space="preserve">Rani Construction</w:t>
      </w:r>
      <w:r>
        <w:t xml:space="preserve"> (2002) — administrative; enquiry minimal.</w:t>
      </w:r>
    </w:p>
    <w:p>
      <w:pPr>
        <w:pStyle w:val="ListParagraph"/>
        <w:numPr>
          <w:ilvl w:val="0"/>
          <w:numId w:val="9"/>
        </w:numPr>
        <w:spacing w:after="70" w:line="262"/>
        <w:jc w:val="both"/>
      </w:pPr>
      <w:r>
        <w:rPr>
          <w:i/>
          <w:iCs/>
        </w:rPr>
        <w:t xml:space="preserve">SBP &amp; Co. v. Patel Engineering</w:t>
      </w:r>
      <w:r>
        <w:t xml:space="preserve"> (2005, 7 Judges) — judicial; wide enquiry.</w:t>
      </w:r>
    </w:p>
    <w:p>
      <w:pPr>
        <w:pStyle w:val="ListParagraph"/>
        <w:numPr>
          <w:ilvl w:val="0"/>
          <w:numId w:val="9"/>
        </w:numPr>
        <w:spacing w:after="70" w:line="262"/>
        <w:jc w:val="both"/>
      </w:pPr>
      <w:r>
        <w:rPr>
          <w:i/>
          <w:iCs/>
        </w:rPr>
        <w:t xml:space="preserve">National Insurance Co. v. Boghara Polyfab</w:t>
      </w:r>
      <w:r>
        <w:t xml:space="preserve">, (2009) 1 SCC 267 — catalogued the issues decidable on that approach.</w:t>
      </w:r>
    </w:p>
    <w:p>
      <w:pPr>
        <w:pStyle w:val="ListParagraph"/>
        <w:numPr>
          <w:ilvl w:val="0"/>
          <w:numId w:val="9"/>
        </w:numPr>
        <w:spacing w:after="70" w:line="262"/>
        <w:jc w:val="both"/>
      </w:pPr>
      <w:r>
        <w:t xml:space="preserve">2015: </w:t>
      </w:r>
      <w:r>
        <w:rPr>
          <w:b/>
          <w:bCs/>
        </w:rPr>
        <w:t xml:space="preserve">s. 11(6A)</w:t>
      </w:r>
      <w:r>
        <w:t xml:space="preserve"> confines the court to the existence of the arbitration agreement.</w:t>
      </w:r>
    </w:p>
    <w:p>
      <w:pPr>
        <w:pStyle w:val="ListParagraph"/>
        <w:numPr>
          <w:ilvl w:val="0"/>
          <w:numId w:val="9"/>
        </w:numPr>
        <w:spacing w:after="70" w:line="262"/>
        <w:jc w:val="both"/>
      </w:pPr>
      <w:r>
        <w:rPr>
          <w:i/>
          <w:iCs/>
        </w:rPr>
        <w:t xml:space="preserve">Duro Felguera S.A. v. Gangavaram Port Ltd.</w:t>
      </w:r>
      <w:r>
        <w:t xml:space="preserve">, (2017) 9 SCC 729 — enquiry confined to existence.</w:t>
      </w:r>
    </w:p>
    <w:p>
      <w:pPr>
        <w:pStyle w:val="ListParagraph"/>
        <w:numPr>
          <w:ilvl w:val="0"/>
          <w:numId w:val="9"/>
        </w:numPr>
        <w:spacing w:after="70" w:line="262"/>
        <w:jc w:val="both"/>
      </w:pPr>
      <w:r>
        <w:rPr>
          <w:i/>
          <w:iCs/>
        </w:rPr>
        <w:t xml:space="preserve">Mayavati Trading</w:t>
      </w:r>
      <w:r>
        <w:t xml:space="preserve"> (2019) — the wide enquiry is no longer good law.</w:t>
      </w:r>
    </w:p>
    <w:p>
      <w:pPr>
        <w:pStyle w:val="ListParagraph"/>
        <w:numPr>
          <w:ilvl w:val="0"/>
          <w:numId w:val="9"/>
        </w:numPr>
        <w:spacing w:after="70" w:line="262"/>
        <w:jc w:val="both"/>
      </w:pPr>
      <w:r>
        <w:rPr>
          <w:i/>
          <w:iCs/>
        </w:rPr>
        <w:t xml:space="preserve">In Re: Interplay</w:t>
      </w:r>
      <w:r>
        <w:t xml:space="preserve">, 2023 INSC 1066 (7 Judges) — s. 11(6A) remains in force; narrow enquiry reaffirmed; stamping belongs to the tribunal.</w:t>
      </w:r>
    </w:p>
    <w:p>
      <w:pPr>
        <w:spacing w:after="110" w:line="262"/>
        <w:jc w:val="both"/>
      </w:pPr>
      <w:r>
        <w:rPr>
          <w:b/>
          <w:bCs/>
        </w:rPr>
        <w:t xml:space="preserve">State it thus:</w:t>
      </w:r>
      <w:r>
        <w:t xml:space="preserve"> the referral court makes a limited </w:t>
      </w:r>
      <w:r>
        <w:rPr>
          <w:i/>
          <w:iCs/>
        </w:rPr>
        <w:t xml:space="preserve">prima facie</w:t>
      </w:r>
      <w:r>
        <w:t xml:space="preserve"> examination confined to the </w:t>
      </w:r>
      <w:r>
        <w:rPr>
          <w:b/>
          <w:bCs/>
        </w:rPr>
        <w:t xml:space="preserve">existence</w:t>
      </w:r>
      <w:r>
        <w:t xml:space="preserve"> (and prima facie validity) of the arbitration agreement. Arbitrability and validity are for the tribunal under s. 16, consistently with the rule of first priority. Reference may be declined only where the claim is </w:t>
      </w:r>
      <w:r>
        <w:rPr>
          <w:i/>
          <w:iCs/>
        </w:rPr>
        <w:t xml:space="preserve">ex facie</w:t>
      </w:r>
      <w:r>
        <w:t xml:space="preserve"> or manifestly non-arbitrable, or the agreement manifestly non-existent. Stamping objections do not arise at this stage.</w:t>
      </w:r>
    </w:p>
    <w:p>
      <w:pPr>
        <w:pBdr>
          <w:left w:val="single" w:color="7A7A7A" w:sz="12" w:space="8"/>
        </w:pBdr>
        <w:spacing w:after="140" w:before="110" w:line="252"/>
        <w:ind w:left="288"/>
        <w:jc w:val="both"/>
      </w:pPr>
      <w:r>
        <w:rPr>
          <w:b/>
          <w:bCs/>
          <w:sz w:val="20"/>
          <w:szCs w:val="20"/>
        </w:rPr>
        <w:t xml:space="preserve">S. 11(6A) has not been deleted.</w:t>
      </w:r>
      <w:r>
        <w:rPr>
          <w:sz w:val="20"/>
          <w:szCs w:val="20"/>
        </w:rPr>
        <w:t xml:space="preserve"> S. 3 of the 2019 Amendment purported to omit it, but that omission was </w:t>
      </w:r>
      <w:r>
        <w:rPr>
          <w:b/>
          <w:bCs/>
          <w:sz w:val="20"/>
          <w:szCs w:val="20"/>
        </w:rPr>
        <w:t xml:space="preserve">never notified</w:t>
      </w:r>
      <w:r>
        <w:rPr>
          <w:sz w:val="20"/>
          <w:szCs w:val="20"/>
        </w:rPr>
        <w:t xml:space="preserve">, so s. 11(6A) is operative. </w:t>
      </w:r>
      <w:r>
        <w:rPr>
          <w:i/>
          <w:iCs/>
          <w:sz w:val="20"/>
          <w:szCs w:val="20"/>
        </w:rPr>
        <w:t xml:space="preserve">In Re: Interplay</w:t>
      </w:r>
      <w:r>
        <w:rPr>
          <w:sz w:val="20"/>
          <w:szCs w:val="20"/>
        </w:rPr>
        <w:t xml:space="preserve"> confirmed this and noted that </w:t>
      </w:r>
      <w:r>
        <w:rPr>
          <w:i/>
          <w:iCs/>
          <w:sz w:val="20"/>
          <w:szCs w:val="20"/>
        </w:rPr>
        <w:t xml:space="preserve">Vidya Drolia</w:t>
      </w:r>
      <w:r>
        <w:rPr>
          <w:sz w:val="20"/>
          <w:szCs w:val="20"/>
        </w:rPr>
        <w:t xml:space="preserve">, (2021) 2 SCC 1, had wrongly assumed the omission was in force.</w:t>
      </w:r>
    </w:p>
    <w:p>
      <w:pPr>
        <w:pStyle w:val="Heading2"/>
        <w:keepNext/>
        <w:spacing w:after="110" w:before="240"/>
      </w:pPr>
      <w:r>
        <w:t xml:space="preserve">7.5  The 2019 institutional scheme</w:t>
      </w:r>
    </w:p>
    <w:p>
      <w:pPr>
        <w:spacing w:after="110" w:line="262"/>
        <w:jc w:val="both"/>
      </w:pPr>
      <w:r>
        <w:t xml:space="preserve">The 2019 Amendment routed appointments through graded arbitral institutions designated by the Supreme Court or High Court, and created Part IA for an Arbitration Council of India to grade them. The stated objects were to use recognised institutions rather than courts, to promote institutional over ad hoc arbitration, and to reduce the burden on the Supreme Court and High Courts. </w:t>
      </w:r>
      <w:r>
        <w:rPr>
          <w:b/>
          <w:bCs/>
        </w:rPr>
        <w:t xml:space="preserve">That machinery is not operational</w:t>
      </w:r>
      <w:r>
        <w:t xml:space="preserve"> — the Council has not been constituted and institutions have not been graded or designated — so appointments continue to be made by the Supreme Court and the High Courts.</w:t>
      </w:r>
    </w:p>
    <w:p>
      <w:pPr>
        <w:pBdr>
          <w:left w:val="single" w:color="7A7A7A" w:sz="12" w:space="8"/>
        </w:pBdr>
        <w:spacing w:after="140" w:before="110" w:line="252"/>
        <w:ind w:left="288"/>
        <w:jc w:val="both"/>
      </w:pPr>
      <w:r>
        <w:rPr>
          <w:sz w:val="20"/>
          <w:szCs w:val="20"/>
        </w:rPr>
        <w:t xml:space="preserve">The precise notification status of each 2019 change to s. 11, and of Part IA, should be confirmed from the Gazette or India Code. What is established is that the institutional machinery is not operational and s. 11(6A) remains in force.</w:t>
      </w:r>
    </w:p>
    <w:p>
      <w:pPr>
        <w:pStyle w:val="Heading1"/>
        <w:keepNext/>
        <w:pBdr>
          <w:top w:val="single" w:color="999999" w:sz="8" w:space="10"/>
        </w:pBdr>
        <w:spacing w:after="170" w:before="460"/>
      </w:pPr>
      <w:r>
        <w:t xml:space="preserve">8  Grounds and Procedure for Challenge: ss. 12 and 13</w:t>
      </w:r>
    </w:p>
    <w:p>
      <w:pPr>
        <w:spacing w:after="110" w:line="262"/>
        <w:jc w:val="both"/>
      </w:pPr>
      <w:r>
        <w:t xml:space="preserve">An arbitrator decides in place of a judge and must be independent and impartial. Two features frame the whole scheme: the test is </w:t>
      </w:r>
      <w:r>
        <w:rPr>
          <w:b/>
          <w:bCs/>
        </w:rPr>
        <w:t xml:space="preserve">not actual bias but the likelihood or appearance of bias</w:t>
      </w:r>
      <w:r>
        <w:t xml:space="preserve"> — whether circumstances give rise to justifiable doubts; and disclosure is a </w:t>
      </w:r>
      <w:r>
        <w:rPr>
          <w:b/>
          <w:bCs/>
        </w:rPr>
        <w:t xml:space="preserve">continuing duty</w:t>
      </w:r>
      <w:r>
        <w:t xml:space="preserve">, not a single event at appointment.</w:t>
      </w:r>
    </w:p>
    <w:p>
      <w:pPr>
        <w:pStyle w:val="Heading2"/>
        <w:keepNext/>
        <w:spacing w:after="110" w:before="240"/>
      </w:pPr>
      <w:r>
        <w:t xml:space="preserve">8.1  S. 12 — disclosure, grounds, ineligibility</w:t>
      </w:r>
    </w:p>
    <w:p>
      <w:pPr>
        <w:spacing w:after="110" w:line="262"/>
        <w:jc w:val="both"/>
      </w:pPr>
      <w:r>
        <w:rPr>
          <w:b/>
          <w:bCs/>
        </w:rPr>
        <w:t xml:space="preserve">12(1) Disclosure.</w:t>
      </w:r>
      <w:r>
        <w:t xml:space="preserve"> A person approached about a possible appointment must disclose in writing any circumstances </w:t>
      </w:r>
      <w:r>
        <w:rPr>
          <w:b/>
          <w:bCs/>
        </w:rPr>
        <w:t xml:space="preserve">(a)</w:t>
      </w:r>
      <w:r>
        <w:t xml:space="preserve"> such as the existence, direct or indirect, of any past or present relationship with or interest in any party or in the subject matter — financial, business, professional or other — likely to give rise to justifiable doubts as to independence or impartiality; and </w:t>
      </w:r>
      <w:r>
        <w:rPr>
          <w:b/>
          <w:bCs/>
        </w:rPr>
        <w:t xml:space="preserve">(b)</w:t>
      </w:r>
      <w:r>
        <w:t xml:space="preserve"> likely to affect his ability to devote sufficient time, in particular to complete the arbitration within twelve months. </w:t>
      </w:r>
      <w:r>
        <w:rPr>
          <w:i/>
          <w:iCs/>
        </w:rPr>
        <w:t xml:space="preserve">Explanation 1</w:t>
      </w:r>
      <w:r>
        <w:t xml:space="preserve">: the </w:t>
      </w:r>
      <w:r>
        <w:rPr>
          <w:b/>
          <w:bCs/>
        </w:rPr>
        <w:t xml:space="preserve">Fifth Schedule</w:t>
      </w:r>
      <w:r>
        <w:t xml:space="preserve"> guides the assessment of justifiable doubts. </w:t>
      </w:r>
      <w:r>
        <w:rPr>
          <w:i/>
          <w:iCs/>
        </w:rPr>
        <w:t xml:space="preserve">Explanation 2</w:t>
      </w:r>
      <w:r>
        <w:t xml:space="preserve">: disclosure is in the </w:t>
      </w:r>
      <w:r>
        <w:rPr>
          <w:b/>
          <w:bCs/>
        </w:rPr>
        <w:t xml:space="preserve">Sixth Schedule</w:t>
      </w:r>
      <w:r>
        <w:t xml:space="preserve"> form.</w:t>
      </w:r>
    </w:p>
    <w:p>
      <w:pPr>
        <w:spacing w:after="110" w:line="262"/>
        <w:jc w:val="both"/>
      </w:pPr>
      <w:r>
        <w:rPr>
          <w:b/>
          <w:bCs/>
        </w:rPr>
        <w:t xml:space="preserve">12(2)</w:t>
      </w:r>
      <w:r>
        <w:t xml:space="preserve"> The duty continues from appointment and throughout the proceedings, without delay, unless the parties have already been informed by him.</w:t>
      </w:r>
    </w:p>
    <w:p>
      <w:pPr>
        <w:spacing w:after="110" w:line="262"/>
        <w:jc w:val="both"/>
      </w:pPr>
      <w:r>
        <w:rPr>
          <w:b/>
          <w:bCs/>
        </w:rPr>
        <w:t xml:space="preserve">12(3) Grounds.</w:t>
      </w:r>
      <w:r>
        <w:t xml:space="preserve"> An arbitrator may be challenged </w:t>
      </w:r>
      <w:r>
        <w:rPr>
          <w:b/>
          <w:bCs/>
        </w:rPr>
        <w:t xml:space="preserve">only</w:t>
      </w:r>
      <w:r>
        <w:t xml:space="preserve"> if (a) circumstances exist giving rise to justifiable doubts as to independence or impartiality, or (b) he lacks the qualifications agreed by the parties. The word “only” makes this a </w:t>
      </w:r>
      <w:r>
        <w:rPr>
          <w:b/>
          <w:bCs/>
        </w:rPr>
        <w:t xml:space="preserve">filtering mechanism</w:t>
      </w:r>
      <w:r>
        <w:t xml:space="preserve"> against frivolous objections. The justifiable-doubts standard comes from the UNCITRAL Model Law.</w:t>
      </w:r>
    </w:p>
    <w:p>
      <w:pPr>
        <w:spacing w:after="110" w:line="262"/>
        <w:jc w:val="both"/>
      </w:pPr>
      <w:r>
        <w:rPr>
          <w:b/>
          <w:bCs/>
        </w:rPr>
        <w:t xml:space="preserve">12(4)</w:t>
      </w:r>
      <w:r>
        <w:t xml:space="preserve"> A party may challenge its </w:t>
      </w:r>
      <w:r>
        <w:rPr>
          <w:b/>
          <w:bCs/>
        </w:rPr>
        <w:t xml:space="preserve">own</w:t>
      </w:r>
      <w:r>
        <w:t xml:space="preserve"> appointee, or one in whose appointment it participated, only for reasons of which it became aware </w:t>
      </w:r>
      <w:r>
        <w:rPr>
          <w:b/>
          <w:bCs/>
        </w:rPr>
        <w:t xml:space="preserve">after</w:t>
      </w:r>
      <w:r>
        <w:t xml:space="preserve"> the appointment.</w:t>
      </w:r>
    </w:p>
    <w:p>
      <w:pPr>
        <w:spacing w:after="110" w:line="262"/>
        <w:jc w:val="both"/>
      </w:pPr>
      <w:r>
        <w:rPr>
          <w:b/>
          <w:bCs/>
        </w:rPr>
        <w:t xml:space="preserve">12(5) Ineligibility.</w:t>
      </w:r>
    </w:p>
    <w:p>
      <w:pPr>
        <w:spacing w:after="110" w:before="80" w:line="250"/>
        <w:ind w:left="504" w:right="288"/>
        <w:jc w:val="both"/>
      </w:pPr>
      <w:r>
        <w:rPr>
          <w:sz w:val="20"/>
          <w:szCs w:val="20"/>
        </w:rPr>
        <w:t xml:space="preserve">Notwithstanding any prior agreement to the contrary, any person whose relationship, with the parties or counsel or the subject-matter of the dispute, falls under any of the categories specified in the </w:t>
      </w:r>
      <w:r>
        <w:rPr>
          <w:b/>
          <w:bCs/>
          <w:sz w:val="20"/>
          <w:szCs w:val="20"/>
        </w:rPr>
        <w:t xml:space="preserve">Seventh Schedule</w:t>
      </w:r>
      <w:r>
        <w:rPr>
          <w:sz w:val="20"/>
          <w:szCs w:val="20"/>
        </w:rPr>
        <w:t xml:space="preserve"> shall be </w:t>
      </w:r>
      <w:r>
        <w:rPr>
          <w:b/>
          <w:bCs/>
          <w:sz w:val="20"/>
          <w:szCs w:val="20"/>
        </w:rPr>
        <w:t xml:space="preserve">ineligible</w:t>
      </w:r>
      <w:r>
        <w:rPr>
          <w:sz w:val="20"/>
          <w:szCs w:val="20"/>
        </w:rPr>
        <w:t xml:space="preserve"> to be appointed as an arbitrator: Provided that parties may, subsequent to disputes having arisen between them, waive the applicability of this sub-section by an </w:t>
      </w:r>
      <w:r>
        <w:rPr>
          <w:b/>
          <w:bCs/>
          <w:sz w:val="20"/>
          <w:szCs w:val="20"/>
        </w:rPr>
        <w:t xml:space="preserve">express agreement in writing</w:t>
      </w:r>
      <w:r>
        <w:rPr>
          <w:sz w:val="20"/>
          <w:szCs w:val="20"/>
        </w:rPr>
        <w:t xml:space="preserve">.</w:t>
      </w:r>
    </w:p>
    <w:p>
      <w:pPr>
        <w:spacing w:after="110" w:line="262"/>
        <w:jc w:val="both"/>
      </w:pPr>
      <w:r>
        <w:rPr>
          <w:b/>
          <w:bCs/>
        </w:rPr>
        <w:t xml:space="preserve">The distinction between 12(3) and 12(5) is fundamental.</w:t>
      </w:r>
      <w:r>
        <w:t xml:space="preserve"> Sub-s. (3) creates a ground of </w:t>
      </w:r>
      <w:r>
        <w:rPr>
          <w:b/>
          <w:bCs/>
        </w:rPr>
        <w:t xml:space="preserve">challenge</w:t>
      </w:r>
      <w:r>
        <w:t xml:space="preserve">, decided under s. 13. Sub-s. (5) creates an </w:t>
      </w:r>
      <w:r>
        <w:rPr>
          <w:b/>
          <w:bCs/>
        </w:rPr>
        <w:t xml:space="preserve">ineligibility</w:t>
      </w:r>
      <w:r>
        <w:t xml:space="preserve"> operating in law, and its non obstante clause overrides any prior agreement — including the very contractual clause that named him. It is waivable only by express written agreement made </w:t>
      </w:r>
      <w:r>
        <w:rPr>
          <w:b/>
          <w:bCs/>
        </w:rPr>
        <w:t xml:space="preserve">after</w:t>
      </w:r>
      <w:r>
        <w:t xml:space="preserve"> the dispute has arisen; conduct, participation and silence will not do.</w:t>
      </w:r>
    </w:p>
    <w:p>
      <w:pPr>
        <w:pStyle w:val="Heading3"/>
        <w:keepNext/>
        <w:spacing w:after="80" w:before="170"/>
      </w:pPr>
      <w:r>
        <w:t xml:space="preserve">8.1.1  The IBA traffic-light system</w:t>
      </w:r>
    </w:p>
    <w:p>
      <w:pPr>
        <w:pStyle w:val="ListParagraph"/>
        <w:numPr>
          <w:ilvl w:val="0"/>
          <w:numId w:val="10"/>
        </w:numPr>
        <w:spacing w:after="70" w:line="262"/>
        <w:jc w:val="both"/>
      </w:pPr>
      <w:r>
        <w:rPr>
          <w:b/>
          <w:bCs/>
        </w:rPr>
        <w:t xml:space="preserve">Green list</w:t>
      </w:r>
      <w:r>
        <w:t xml:space="preserve"> — no conflict, no disclosure required (e.g. a mere social or professional acquaintance with counsel).</w:t>
      </w:r>
    </w:p>
    <w:p>
      <w:pPr>
        <w:pStyle w:val="ListParagraph"/>
        <w:numPr>
          <w:ilvl w:val="0"/>
          <w:numId w:val="10"/>
        </w:numPr>
        <w:spacing w:after="70" w:line="262"/>
        <w:jc w:val="both"/>
      </w:pPr>
      <w:r>
        <w:rPr>
          <w:b/>
          <w:bCs/>
        </w:rPr>
        <w:t xml:space="preserve">Orange list</w:t>
      </w:r>
      <w:r>
        <w:t xml:space="preserve"> — may raise doubts without necessarily showing partiality; disclosure required, and the arbitrator may serve unless a party objects (e.g. having sat in a related case).</w:t>
      </w:r>
    </w:p>
    <w:p>
      <w:pPr>
        <w:pStyle w:val="ListParagraph"/>
        <w:numPr>
          <w:ilvl w:val="0"/>
          <w:numId w:val="10"/>
        </w:numPr>
        <w:spacing w:after="70" w:line="262"/>
        <w:jc w:val="both"/>
      </w:pPr>
      <w:r>
        <w:rPr>
          <w:b/>
          <w:bCs/>
        </w:rPr>
        <w:t xml:space="preserve">Red list</w:t>
      </w:r>
      <w:r>
        <w:t xml:space="preserve"> — serious doubts, subdivided into </w:t>
      </w:r>
      <w:r>
        <w:rPr>
          <w:b/>
          <w:bCs/>
        </w:rPr>
        <w:t xml:space="preserve">waivable</w:t>
      </w:r>
      <w:r>
        <w:t xml:space="preserve"> and </w:t>
      </w:r>
      <w:r>
        <w:rPr>
          <w:b/>
          <w:bCs/>
        </w:rPr>
        <w:t xml:space="preserve">non-waivable</w:t>
      </w:r>
      <w:r>
        <w:t xml:space="preserve"> (e.g. a close family relationship with a party is waivable if the parties agree).</w:t>
      </w:r>
    </w:p>
    <w:p>
      <w:pPr>
        <w:pBdr>
          <w:left w:val="single" w:color="7A7A7A" w:sz="12" w:space="8"/>
        </w:pBdr>
        <w:spacing w:after="140" w:before="110" w:line="252"/>
        <w:ind w:left="288"/>
        <w:jc w:val="both"/>
      </w:pPr>
      <w:r>
        <w:rPr>
          <w:sz w:val="20"/>
          <w:szCs w:val="20"/>
        </w:rPr>
        <w:t xml:space="preserve">The class equation of the Seventh Schedule with the IBA “red list”, split into waivable and non-waivable, is a teaching analogy only. The Act's Seventh Schedule is a </w:t>
      </w:r>
      <w:r>
        <w:rPr>
          <w:b/>
          <w:bCs/>
          <w:sz w:val="20"/>
          <w:szCs w:val="20"/>
        </w:rPr>
        <w:t xml:space="preserve">single</w:t>
      </w:r>
      <w:r>
        <w:rPr>
          <w:sz w:val="20"/>
          <w:szCs w:val="20"/>
        </w:rPr>
        <w:t xml:space="preserve"> list of disqualifying relationships, and the only permitted waiver is the express written waiver under the proviso to s. 12(5). The IBA Guidelines (updated 2024) are guidance, not enacted law.</w:t>
      </w:r>
    </w:p>
    <w:p>
      <w:pPr>
        <w:pStyle w:val="Heading2"/>
        <w:keepNext/>
        <w:spacing w:after="110" w:before="240"/>
      </w:pPr>
      <w:r>
        <w:t xml:space="preserve">8.2  S. 13 — procedure</w:t>
      </w:r>
    </w:p>
    <w:p>
      <w:pPr>
        <w:pStyle w:val="ListParagraph"/>
        <w:numPr>
          <w:ilvl w:val="0"/>
          <w:numId w:val="11"/>
        </w:numPr>
        <w:spacing w:after="70" w:line="262"/>
        <w:jc w:val="both"/>
      </w:pPr>
      <w:r>
        <w:rPr>
          <w:b/>
          <w:bCs/>
        </w:rPr>
        <w:t xml:space="preserve">(1)</w:t>
      </w:r>
      <w:r>
        <w:t xml:space="preserve"> Subject to (4), the parties are free to agree a challenge procedure.</w:t>
      </w:r>
    </w:p>
    <w:p>
      <w:pPr>
        <w:pStyle w:val="ListParagraph"/>
        <w:numPr>
          <w:ilvl w:val="0"/>
          <w:numId w:val="11"/>
        </w:numPr>
        <w:spacing w:after="70" w:line="262"/>
        <w:jc w:val="both"/>
      </w:pPr>
      <w:r>
        <w:rPr>
          <w:b/>
          <w:bCs/>
        </w:rPr>
        <w:t xml:space="preserve">(2)</w:t>
      </w:r>
      <w:r>
        <w:t xml:space="preserve"> Failing agreement, the challenging party must, within </w:t>
      </w:r>
      <w:r>
        <w:rPr>
          <w:b/>
          <w:bCs/>
        </w:rPr>
        <w:t xml:space="preserve">fifteen days</w:t>
      </w:r>
      <w:r>
        <w:t xml:space="preserve"> of becoming aware of the constitution of the tribunal or of any circumstance in s. 12(3), send a </w:t>
      </w:r>
      <w:r>
        <w:rPr>
          <w:b/>
          <w:bCs/>
        </w:rPr>
        <w:t xml:space="preserve">written statement of reasons to the tribunal</w:t>
      </w:r>
      <w:r>
        <w:t xml:space="preserve">.</w:t>
      </w:r>
    </w:p>
    <w:p>
      <w:pPr>
        <w:pStyle w:val="ListParagraph"/>
        <w:numPr>
          <w:ilvl w:val="0"/>
          <w:numId w:val="11"/>
        </w:numPr>
        <w:spacing w:after="70" w:line="262"/>
        <w:jc w:val="both"/>
      </w:pPr>
      <w:r>
        <w:rPr>
          <w:b/>
          <w:bCs/>
        </w:rPr>
        <w:t xml:space="preserve">(3)</w:t>
      </w:r>
      <w:r>
        <w:t xml:space="preserve"> Unless the arbitrator withdraws or the other party agrees to the challenge, </w:t>
      </w:r>
      <w:r>
        <w:rPr>
          <w:b/>
          <w:bCs/>
        </w:rPr>
        <w:t xml:space="preserve">the tribunal itself decides</w:t>
      </w:r>
      <w:r>
        <w:t xml:space="preserve">.</w:t>
      </w:r>
    </w:p>
    <w:p>
      <w:pPr>
        <w:pStyle w:val="ListParagraph"/>
        <w:numPr>
          <w:ilvl w:val="0"/>
          <w:numId w:val="11"/>
        </w:numPr>
        <w:spacing w:after="70" w:line="262"/>
        <w:jc w:val="both"/>
      </w:pPr>
      <w:r>
        <w:rPr>
          <w:b/>
          <w:bCs/>
        </w:rPr>
        <w:t xml:space="preserve">(4)</w:t>
      </w:r>
      <w:r>
        <w:t xml:space="preserve"> If the challenge fails, the tribunal </w:t>
      </w:r>
      <w:r>
        <w:rPr>
          <w:b/>
          <w:bCs/>
        </w:rPr>
        <w:t xml:space="preserve">continues</w:t>
      </w:r>
      <w:r>
        <w:t xml:space="preserve"> and makes an award.</w:t>
      </w:r>
    </w:p>
    <w:p>
      <w:pPr>
        <w:pStyle w:val="ListParagraph"/>
        <w:numPr>
          <w:ilvl w:val="0"/>
          <w:numId w:val="11"/>
        </w:numPr>
        <w:spacing w:after="70" w:line="262"/>
        <w:jc w:val="both"/>
      </w:pPr>
      <w:r>
        <w:rPr>
          <w:b/>
          <w:bCs/>
        </w:rPr>
        <w:t xml:space="preserve">(5)</w:t>
      </w:r>
      <w:r>
        <w:t xml:space="preserve"> The challenging party may then apply to set the award aside under </w:t>
      </w:r>
      <w:r>
        <w:rPr>
          <w:b/>
          <w:bCs/>
        </w:rPr>
        <w:t xml:space="preserve">s. 34</w:t>
      </w:r>
      <w:r>
        <w:t xml:space="preserve">.</w:t>
      </w:r>
    </w:p>
    <w:p>
      <w:pPr>
        <w:pStyle w:val="ListParagraph"/>
        <w:numPr>
          <w:ilvl w:val="0"/>
          <w:numId w:val="11"/>
        </w:numPr>
        <w:spacing w:after="70" w:line="262"/>
        <w:jc w:val="both"/>
      </w:pPr>
      <w:r>
        <w:rPr>
          <w:b/>
          <w:bCs/>
        </w:rPr>
        <w:t xml:space="preserve">(6)</w:t>
      </w:r>
      <w:r>
        <w:t xml:space="preserve"> If the award is set aside, the court may decide whether the challenged arbitrator is entitled to any fees.</w:t>
      </w:r>
    </w:p>
    <w:p>
      <w:pPr>
        <w:spacing w:after="110" w:line="262"/>
        <w:jc w:val="both"/>
      </w:pPr>
      <w:r>
        <w:t xml:space="preserve">The scheme is deliberately anti-dilatory: a failed challenge does not halt the arbitration, so a challenge cannot be used to stop an arbitration a party expects to lose. Note that the tribunal decides a challenge to its own member — unusual, and tolerated because the safeguard is s. 34. The challenged arbitrator must be given an opportunity to comment, as natural justice requires.</w:t>
      </w:r>
    </w:p>
    <w:p>
      <w:pPr>
        <w:pStyle w:val="Heading2"/>
        <w:keepNext/>
        <w:spacing w:after="110" w:before="240"/>
      </w:pPr>
      <w:r>
        <w:t xml:space="preserve">8.3  The standard applied: the Chagos challenge</w:t>
      </w:r>
    </w:p>
    <w:p>
      <w:pPr>
        <w:keepNext/>
        <w:spacing w:after="60" w:before="170"/>
      </w:pPr>
      <w:r>
        <w:rPr>
          <w:b/>
          <w:bCs/>
          <w:sz w:val="22"/>
          <w:szCs w:val="22"/>
        </w:rPr>
        <w:t xml:space="preserve">Chagos Marine Protected Area Arbitration (Mauritius v. United Kingdom) — Reasoned Decision on Challenge</w:t>
      </w:r>
      <w:r>
        <w:rPr>
          <w:color w:val="404040"/>
          <w:sz w:val="19"/>
          <w:szCs w:val="19"/>
        </w:rPr>
        <w:t xml:space="preserve">  PCA Case No. 2011-03 (UNCLOS Annex VII); decision on the challenge to Judge Sir Christopher Greenwood, 30 Nov 2011. Merits Award 18 Mar 2015.</w:t>
      </w:r>
    </w:p>
    <w:p>
      <w:pPr>
        <w:spacing w:after="70" w:line="258"/>
        <w:ind w:left="259"/>
        <w:jc w:val="both"/>
      </w:pPr>
      <w:r>
        <w:rPr>
          <w:b/>
          <w:bCs/>
          <w:sz w:val="21"/>
          <w:szCs w:val="21"/>
        </w:rPr>
        <w:t xml:space="preserve">Facts. </w:t>
      </w:r>
      <w:r>
        <w:rPr>
          <w:sz w:val="21"/>
          <w:szCs w:val="21"/>
        </w:rPr>
        <w:t xml:space="preserve">Mauritius commenced arbitration in 2010 over the UK's creation of a Marine Protected Area. The UK nominated Judge Greenwood. Mauritius sought further disclosure, concerned at the long-standing and close working relationship between him and the UK Government and at his having advised the UK on sensitive questions of international law, then challenged the appointment — he had acted for the UK within the preceding three years, and the relationship continued, as shown by his participation in selecting the new FCO legal adviser after his appointment.</w:t>
      </w:r>
    </w:p>
    <w:p>
      <w:pPr>
        <w:spacing w:after="70" w:line="258"/>
        <w:ind w:left="259"/>
        <w:jc w:val="both"/>
      </w:pPr>
      <w:r>
        <w:rPr>
          <w:b/>
          <w:bCs/>
          <w:sz w:val="21"/>
          <w:szCs w:val="21"/>
        </w:rPr>
        <w:t xml:space="preserve">Held. </w:t>
      </w:r>
      <w:r>
        <w:rPr>
          <w:sz w:val="21"/>
          <w:szCs w:val="21"/>
        </w:rPr>
        <w:t xml:space="preserve">The challenge was </w:t>
      </w:r>
      <w:r>
        <w:rPr>
          <w:b/>
          <w:bCs/>
          <w:sz w:val="21"/>
          <w:szCs w:val="21"/>
        </w:rPr>
        <w:t xml:space="preserve">dismissed</w:t>
      </w:r>
      <w:r>
        <w:rPr>
          <w:sz w:val="21"/>
          <w:szCs w:val="21"/>
        </w:rPr>
        <w:t xml:space="preserve">. Mauritius expressly alleged no actual bias: its case was that the relationship was incompatible with an </w:t>
      </w:r>
      <w:r>
        <w:rPr>
          <w:b/>
          <w:bCs/>
          <w:sz w:val="21"/>
          <w:szCs w:val="21"/>
        </w:rPr>
        <w:t xml:space="preserve">appearance-of-bias</w:t>
      </w:r>
      <w:r>
        <w:rPr>
          <w:sz w:val="21"/>
          <w:szCs w:val="21"/>
        </w:rPr>
        <w:t xml:space="preserve"> standard as codified in the IBA Guidelines, which it treated as a general principle of law. The UK argued that the principal test is </w:t>
      </w:r>
      <w:r>
        <w:rPr>
          <w:b/>
          <w:bCs/>
          <w:sz w:val="21"/>
          <w:szCs w:val="21"/>
        </w:rPr>
        <w:t xml:space="preserve">prior involvement in the subject matter</w:t>
      </w:r>
      <w:r>
        <w:rPr>
          <w:sz w:val="21"/>
          <w:szCs w:val="21"/>
        </w:rPr>
        <w:t xml:space="preserve">, as in the practice of the ICJ, ITLOS and other inter-State tribunals. Judge Greenwood commented on the challenge (as is the norm), denied involvement with the Statement of Claim issues or the Chagos Islands, and noted that he had also appeared </w:t>
      </w:r>
      <w:r>
        <w:rPr>
          <w:b/>
          <w:bCs/>
          <w:sz w:val="21"/>
          <w:szCs w:val="21"/>
        </w:rPr>
        <w:t xml:space="preserve">against</w:t>
      </w:r>
      <w:r>
        <w:rPr>
          <w:sz w:val="21"/>
          <w:szCs w:val="21"/>
        </w:rPr>
        <w:t xml:space="preserve"> the UK and had advised more than twenty other States. The tribunal held the applicable standard to be that in </w:t>
      </w:r>
      <w:r>
        <w:rPr>
          <w:b/>
          <w:bCs/>
          <w:sz w:val="21"/>
          <w:szCs w:val="21"/>
        </w:rPr>
        <w:t xml:space="preserve">Art. 10 of the PCA Optional Rules for Arbitrating Disputes between Two States</w:t>
      </w:r>
      <w:r>
        <w:rPr>
          <w:sz w:val="21"/>
          <w:szCs w:val="21"/>
        </w:rPr>
        <w:t xml:space="preserve"> — challenge lies where circumstances give rise to </w:t>
      </w:r>
      <w:r>
        <w:rPr>
          <w:b/>
          <w:bCs/>
          <w:sz w:val="21"/>
          <w:szCs w:val="21"/>
        </w:rPr>
        <w:t xml:space="preserve">justifiable doubts</w:t>
      </w:r>
      <w:r>
        <w:rPr>
          <w:sz w:val="21"/>
          <w:szCs w:val="21"/>
        </w:rPr>
        <w:t xml:space="preserve"> as to impartiality or independence — and that this forms part of the practice of inter-State tribunals. Applied, his prior engagements raised no justifiable doubts.</w:t>
      </w:r>
    </w:p>
    <w:p>
      <w:pPr>
        <w:spacing w:after="70" w:line="258"/>
        <w:ind w:left="259"/>
        <w:jc w:val="both"/>
      </w:pPr>
      <w:r>
        <w:rPr>
          <w:b/>
          <w:bCs/>
          <w:sz w:val="21"/>
          <w:szCs w:val="21"/>
        </w:rPr>
        <w:t xml:space="preserve">Why it matters. </w:t>
      </w:r>
      <w:r>
        <w:rPr>
          <w:sz w:val="21"/>
          <w:szCs w:val="21"/>
        </w:rPr>
        <w:t xml:space="preserve">The same standard as s. 12(3). Three transferable points: the test is likelihood or appearance of bias, not actual bias; what proved decisive was </w:t>
      </w:r>
      <w:r>
        <w:rPr>
          <w:b/>
          <w:bCs/>
          <w:sz w:val="21"/>
          <w:szCs w:val="21"/>
        </w:rPr>
        <w:t xml:space="preserve">involvement in the subject matter of the dispute</w:t>
      </w:r>
      <w:r>
        <w:rPr>
          <w:sz w:val="21"/>
          <w:szCs w:val="21"/>
        </w:rPr>
        <w:t xml:space="preserve"> (here the Chagos Archipelago and the MPA), which was not established; and the challenged arbitrator is heard on the challenge.</w:t>
      </w:r>
    </w:p>
    <w:p>
      <w:pPr>
        <w:spacing w:after="70" w:line="258"/>
        <w:ind w:left="259"/>
        <w:jc w:val="both"/>
      </w:pPr>
      <w:r>
        <w:rPr>
          <w:b/>
          <w:bCs/>
          <w:sz w:val="21"/>
          <w:szCs w:val="21"/>
        </w:rPr>
        <w:t xml:space="preserve">Status. </w:t>
      </w:r>
      <w:r>
        <w:rPr>
          <w:sz w:val="21"/>
          <w:szCs w:val="21"/>
        </w:rPr>
        <w:t xml:space="preserve">An inter-State arbitral decision — persuasive on the content of the standard, not binding in India, where s. 12 and the Schedules govern.</w:t>
      </w:r>
    </w:p>
    <w:p>
      <w:pPr>
        <w:pStyle w:val="Heading2"/>
        <w:keepNext/>
        <w:spacing w:after="110" w:before="240"/>
      </w:pPr>
      <w:r>
        <w:t xml:space="preserve">8.4  The departmental arbitrator</w:t>
      </w:r>
    </w:p>
    <w:p>
      <w:pPr>
        <w:spacing w:after="110" w:line="262"/>
        <w:jc w:val="both"/>
      </w:pPr>
      <w:r>
        <w:t xml:space="preserve">The most litigated application of s. 12(5) concerns clauses by which a public sector undertaking or government department makes one of its own officers, or that officer's nominee, the arbitrator — long established in defence and railway contracts on the view that departmental officers understand the technical subject matter, and sitting very uneasily with the requirement of independence.</w:t>
      </w:r>
    </w:p>
    <w:p>
      <w:pPr>
        <w:keepNext/>
        <w:spacing w:after="60" w:before="170"/>
      </w:pPr>
      <w:r>
        <w:rPr>
          <w:b/>
          <w:bCs/>
          <w:sz w:val="22"/>
          <w:szCs w:val="22"/>
        </w:rPr>
        <w:t xml:space="preserve">Indian Oil Corporation Ltd. v. Raja Transport Pvt. Ltd.</w:t>
      </w:r>
      <w:r>
        <w:rPr>
          <w:color w:val="404040"/>
          <w:sz w:val="19"/>
          <w:szCs w:val="19"/>
        </w:rPr>
        <w:t xml:space="preserve">  (2009) 8 SCC 520 (SC, 24 Aug 2009).</w:t>
      </w:r>
    </w:p>
    <w:p>
      <w:pPr>
        <w:spacing w:after="70" w:line="258"/>
        <w:ind w:left="259"/>
        <w:jc w:val="both"/>
      </w:pPr>
      <w:r>
        <w:rPr>
          <w:b/>
          <w:bCs/>
          <w:sz w:val="21"/>
          <w:szCs w:val="21"/>
        </w:rPr>
        <w:t xml:space="preserve">Held. </w:t>
      </w:r>
      <w:r>
        <w:rPr>
          <w:sz w:val="21"/>
          <w:szCs w:val="21"/>
        </w:rPr>
        <w:t xml:space="preserve">An employee of a party is </w:t>
      </w:r>
      <w:r>
        <w:rPr>
          <w:b/>
          <w:bCs/>
          <w:sz w:val="21"/>
          <w:szCs w:val="21"/>
        </w:rPr>
        <w:t xml:space="preserve">not per se</w:t>
      </w:r>
      <w:r>
        <w:rPr>
          <w:sz w:val="21"/>
          <w:szCs w:val="21"/>
        </w:rPr>
        <w:t xml:space="preserve"> disqualified. Where the parties agreed that a named senior officer would arbitrate, he is presumed independent and impartial, and the clause will be given effect unless a reasonable apprehension of bias is made out on the facts; a bare allegation of employment is insufficient.</w:t>
      </w:r>
    </w:p>
    <w:p>
      <w:pPr>
        <w:spacing w:after="70" w:line="258"/>
        <w:ind w:left="259"/>
        <w:jc w:val="both"/>
      </w:pPr>
      <w:r>
        <w:rPr>
          <w:b/>
          <w:bCs/>
          <w:sz w:val="21"/>
          <w:szCs w:val="21"/>
        </w:rPr>
        <w:t xml:space="preserve">Why it matters. </w:t>
      </w:r>
      <w:r>
        <w:rPr>
          <w:sz w:val="21"/>
          <w:szCs w:val="21"/>
        </w:rPr>
        <w:t xml:space="preserve">The leading pre-2015 authority, and the necessary background to s. 12(5).</w:t>
      </w:r>
    </w:p>
    <w:p>
      <w:pPr>
        <w:spacing w:after="70" w:line="258"/>
        <w:ind w:left="259"/>
        <w:jc w:val="both"/>
      </w:pPr>
      <w:r>
        <w:rPr>
          <w:b/>
          <w:bCs/>
          <w:sz w:val="21"/>
          <w:szCs w:val="21"/>
        </w:rPr>
        <w:t xml:space="preserve">Status. </w:t>
      </w:r>
      <w:r>
        <w:rPr>
          <w:b/>
          <w:bCs/>
          <w:sz w:val="21"/>
          <w:szCs w:val="21"/>
        </w:rPr>
        <w:t xml:space="preserve">Largely superseded.</w:t>
      </w:r>
      <w:r>
        <w:rPr>
          <w:sz w:val="21"/>
          <w:szCs w:val="21"/>
        </w:rPr>
        <w:t xml:space="preserve"> For arbitrations under the amended Act, s. 12(5) with the Seventh Schedule, and </w:t>
      </w:r>
      <w:r>
        <w:rPr>
          <w:i/>
          <w:iCs/>
          <w:sz w:val="21"/>
          <w:szCs w:val="21"/>
        </w:rPr>
        <w:t xml:space="preserve">TRF</w:t>
      </w:r>
      <w:r>
        <w:rPr>
          <w:sz w:val="21"/>
          <w:szCs w:val="21"/>
        </w:rPr>
        <w:t xml:space="preserve"> and </w:t>
      </w:r>
      <w:r>
        <w:rPr>
          <w:i/>
          <w:iCs/>
          <w:sz w:val="21"/>
          <w:szCs w:val="21"/>
        </w:rPr>
        <w:t xml:space="preserve">Perkins Eastman</w:t>
      </w:r>
      <w:r>
        <w:rPr>
          <w:sz w:val="21"/>
          <w:szCs w:val="21"/>
        </w:rPr>
        <w:t xml:space="preserve">, have displaced the presumption of independence for interested employees. Cite it for the historical position, not as current law.</w:t>
      </w:r>
    </w:p>
    <w:p>
      <w:pPr>
        <w:keepNext/>
        <w:spacing w:after="60" w:before="170"/>
      </w:pPr>
      <w:r>
        <w:rPr>
          <w:b/>
          <w:bCs/>
          <w:sz w:val="22"/>
          <w:szCs w:val="22"/>
        </w:rPr>
        <w:t xml:space="preserve">Bharat Broadband Network Ltd. v. United Telecoms Ltd.</w:t>
      </w:r>
      <w:r>
        <w:rPr>
          <w:color w:val="404040"/>
          <w:sz w:val="19"/>
          <w:szCs w:val="19"/>
        </w:rPr>
        <w:t xml:space="preserve">  (2019) 5 SCC 755; 2019 INSC 537 (SC, 16 Apr 2019, R.F. Nariman J.).</w:t>
      </w:r>
    </w:p>
    <w:p>
      <w:pPr>
        <w:spacing w:after="70" w:line="258"/>
        <w:ind w:left="259"/>
        <w:jc w:val="both"/>
      </w:pPr>
      <w:r>
        <w:rPr>
          <w:b/>
          <w:bCs/>
          <w:sz w:val="21"/>
          <w:szCs w:val="21"/>
        </w:rPr>
        <w:t xml:space="preserve">Facts. </w:t>
      </w:r>
      <w:r>
        <w:rPr>
          <w:sz w:val="21"/>
          <w:szCs w:val="21"/>
        </w:rPr>
        <w:t xml:space="preserve">The contract made the CMD, or his nominee, sole arbitrator; the CMD appointed K.H. Khan. Item 5 of the Seventh Schedule covers an arbitrator who is a manager, director or part of the management, or has similar controlling influence, in an affiliate of a party directly involved in the dispute. United Telecoms had filed its statement of claim without reservation.</w:t>
      </w:r>
    </w:p>
    <w:p>
      <w:pPr>
        <w:spacing w:after="70" w:line="258"/>
        <w:ind w:left="259"/>
        <w:jc w:val="both"/>
      </w:pPr>
      <w:r>
        <w:rPr>
          <w:b/>
          <w:bCs/>
          <w:sz w:val="21"/>
          <w:szCs w:val="21"/>
        </w:rPr>
        <w:t xml:space="preserve">Held. </w:t>
      </w:r>
      <w:r>
        <w:rPr>
          <w:sz w:val="21"/>
          <w:szCs w:val="21"/>
        </w:rPr>
        <w:t xml:space="preserve">The appointment was </w:t>
      </w:r>
      <w:r>
        <w:rPr>
          <w:b/>
          <w:bCs/>
          <w:sz w:val="21"/>
          <w:szCs w:val="21"/>
        </w:rPr>
        <w:t xml:space="preserve">void</w:t>
      </w:r>
      <w:r>
        <w:rPr>
          <w:sz w:val="21"/>
          <w:szCs w:val="21"/>
        </w:rPr>
        <w:t xml:space="preserve"> and the mandate terminated. A person ineligible under s. 12(5) is ineligible in law — *</w:t>
      </w:r>
      <w:r>
        <w:rPr>
          <w:b/>
          <w:bCs/>
          <w:sz w:val="21"/>
          <w:szCs w:val="21"/>
        </w:rPr>
        <w:t xml:space="preserve">de jure</w:t>
      </w:r>
      <w:r>
        <w:rPr>
          <w:i/>
          <w:iCs/>
          <w:sz w:val="21"/>
          <w:szCs w:val="21"/>
        </w:rPr>
        <w:t xml:space="preserve"> — and cannot act. Applying </w:t>
      </w:r>
      <w:r>
        <w:rPr>
          <w:sz w:val="21"/>
          <w:szCs w:val="21"/>
        </w:rPr>
        <w:t xml:space="preserve">TRF</w:t>
      </w:r>
      <w:r>
        <w:rPr>
          <w:i/>
          <w:iCs/>
          <w:sz w:val="21"/>
          <w:szCs w:val="21"/>
        </w:rPr>
        <w:t xml:space="preserve">, an ineligible person </w:t>
      </w:r>
      <w:r>
        <w:rPr>
          <w:i/>
          <w:iCs/>
          <w:sz w:val="21"/>
          <w:szCs w:val="21"/>
        </w:rPr>
        <w:t xml:space="preserve">cannot appoint</w:t>
      </w:r>
      <w:r>
        <w:rPr>
          <w:i/>
          <w:iCs/>
          <w:sz w:val="21"/>
          <w:szCs w:val="21"/>
        </w:rPr>
        <w:t xml:space="preserve"> an arbitrator, since he cannot delegate an authority he lacks. Ineligibility is waivable only by an </w:t>
      </w:r>
      <w:r>
        <w:rPr>
          <w:i/>
          <w:iCs/>
          <w:sz w:val="21"/>
          <w:szCs w:val="21"/>
        </w:rPr>
        <w:t xml:space="preserve">express agreement in writing</w:t>
      </w:r>
      <w:r>
        <w:rPr>
          <w:i/>
          <w:iCs/>
          <w:sz w:val="21"/>
          <w:szCs w:val="21"/>
        </w:rPr>
        <w:t xml:space="preserve"> after the dispute arises; filing a claim without reservation is not such an agreement. Being de jure unable to act, the mandate stood terminated under </w:t>
      </w:r>
      <w:r>
        <w:rPr>
          <w:i/>
          <w:iCs/>
          <w:sz w:val="21"/>
          <w:szCs w:val="21"/>
        </w:rPr>
        <w:t xml:space="preserve">s. 14</w:t>
      </w:r>
      <w:r>
        <w:rPr>
          <w:sz w:val="21"/>
          <w:szCs w:val="21"/>
        </w:rPr>
        <w:t xml:space="preserve">*.</w:t>
      </w:r>
    </w:p>
    <w:p>
      <w:pPr>
        <w:spacing w:after="70" w:line="258"/>
        <w:ind w:left="259"/>
        <w:jc w:val="both"/>
      </w:pPr>
      <w:r>
        <w:rPr>
          <w:b/>
          <w:bCs/>
          <w:sz w:val="21"/>
          <w:szCs w:val="21"/>
        </w:rPr>
        <w:t xml:space="preserve">Why it matters. </w:t>
      </w:r>
      <w:r>
        <w:rPr>
          <w:sz w:val="21"/>
          <w:szCs w:val="21"/>
        </w:rPr>
        <w:t xml:space="preserve">Governing authority on s. 12(5), on the form the statutory waiver must take, and on the effect on an appointment already made. It also links ss. 12, 14 and 15: statutory ineligibility produces de jure inability, which terminates the mandate under s. 14, whereupon a substitute is appointed under s. 15(2).</w:t>
      </w:r>
    </w:p>
    <w:p>
      <w:pPr>
        <w:spacing w:after="70" w:line="258"/>
        <w:ind w:left="259"/>
        <w:jc w:val="both"/>
      </w:pPr>
      <w:r>
        <w:rPr>
          <w:b/>
          <w:bCs/>
          <w:sz w:val="21"/>
          <w:szCs w:val="21"/>
        </w:rPr>
        <w:t xml:space="preserve">Status. </w:t>
      </w:r>
      <w:r>
        <w:rPr>
          <w:sz w:val="21"/>
          <w:szCs w:val="21"/>
        </w:rPr>
        <w:t xml:space="preserve">Good law.</w:t>
      </w:r>
    </w:p>
    <w:p>
      <w:pPr>
        <w:pStyle w:val="Heading2"/>
        <w:keepNext/>
        <w:spacing w:after="110" w:before="240"/>
      </w:pPr>
      <w:r>
        <w:t xml:space="preserve">8.5  Present position on unilateral appointment</w:t>
      </w:r>
    </w:p>
    <w:p>
      <w:pPr>
        <w:pStyle w:val="ListParagraph"/>
        <w:numPr>
          <w:ilvl w:val="0"/>
          <w:numId w:val="12"/>
        </w:numPr>
        <w:spacing w:after="70" w:line="262"/>
        <w:jc w:val="both"/>
      </w:pPr>
      <w:r>
        <w:rPr>
          <w:i/>
          <w:iCs/>
        </w:rPr>
        <w:t xml:space="preserve">TRF Ltd. v. Energo Engineering Projects Ltd.</w:t>
      </w:r>
      <w:r>
        <w:t xml:space="preserve">, (2017) 8 SCC 377 (3 Judges) — a person himself ineligible under s. 12(5) cannot </w:t>
      </w:r>
      <w:r>
        <w:rPr>
          <w:b/>
          <w:bCs/>
        </w:rPr>
        <w:t xml:space="preserve">nominate</w:t>
      </w:r>
      <w:r>
        <w:t xml:space="preserve"> an arbitrator.</w:t>
      </w:r>
    </w:p>
    <w:p>
      <w:pPr>
        <w:pStyle w:val="ListParagraph"/>
        <w:numPr>
          <w:ilvl w:val="0"/>
          <w:numId w:val="12"/>
        </w:numPr>
        <w:spacing w:after="70" w:line="262"/>
        <w:jc w:val="both"/>
      </w:pPr>
      <w:r>
        <w:rPr>
          <w:i/>
          <w:iCs/>
        </w:rPr>
        <w:t xml:space="preserve">Perkins Eastman Architects DPC v. HSCC (India) Ltd.</w:t>
      </w:r>
      <w:r>
        <w:t xml:space="preserve">, 2019 SCC OnLine SC 1517; (2020) 20 SCC 760 — a party interested in the outcome cannot </w:t>
      </w:r>
      <w:r>
        <w:rPr>
          <w:b/>
          <w:bCs/>
        </w:rPr>
        <w:t xml:space="preserve">unilaterally appoint</w:t>
      </w:r>
      <w:r>
        <w:t xml:space="preserve"> the sole arbitrator: the interest that disqualifies a person from acting equally disqualifies him from choosing who acts.</w:t>
      </w:r>
    </w:p>
    <w:p>
      <w:pPr>
        <w:pStyle w:val="ListParagraph"/>
        <w:numPr>
          <w:ilvl w:val="0"/>
          <w:numId w:val="12"/>
        </w:numPr>
        <w:spacing w:after="70" w:line="262"/>
        <w:jc w:val="both"/>
      </w:pPr>
      <w:r>
        <w:rPr>
          <w:i/>
          <w:iCs/>
        </w:rPr>
        <w:t xml:space="preserve">Central Organisation for Railway Electrification v. ECI-SPIC-SMO-MCML (JV)</w:t>
      </w:r>
      <w:r>
        <w:t xml:space="preserve"> (</w:t>
      </w:r>
      <w:r>
        <w:rPr>
          <w:b/>
          <w:bCs/>
        </w:rPr>
        <w:t xml:space="preserve">CORE-II</w:t>
      </w:r>
      <w:r>
        <w:t xml:space="preserve">), 2024 INSC 857; 2024 SCC OnLine SC 3219 (Constitution Bench of 5, 8 Nov 2024) — unilateral appointment clauses in </w:t>
      </w:r>
      <w:r>
        <w:rPr>
          <w:b/>
          <w:bCs/>
        </w:rPr>
        <w:t xml:space="preserve">public-private contracts violate Art. 14</w:t>
      </w:r>
      <w:r>
        <w:t xml:space="preserve"> and are impermissible, with prospective effect. </w:t>
      </w:r>
      <w:r>
        <w:rPr>
          <w:i/>
          <w:iCs/>
        </w:rPr>
        <w:t xml:space="preserve">CORE-I</w:t>
      </w:r>
      <w:r>
        <w:t xml:space="preserve">, (2020) 14 SCC 712, is overruled on the point.</w:t>
      </w:r>
    </w:p>
    <w:p>
      <w:pPr>
        <w:spacing w:after="110" w:line="262"/>
        <w:jc w:val="both"/>
      </w:pPr>
      <w:r>
        <w:rPr>
          <w:b/>
          <w:bCs/>
        </w:rPr>
        <w:t xml:space="preserve">Result:</w:t>
      </w:r>
      <w:r>
        <w:t xml:space="preserve"> the departmental arbitrator as traditionally practised is no longer sustainable. A Seventh Schedule person is ineligible; an ineligible person cannot appoint; an interested party cannot unilaterally appoint a sole arbitrator; and in public-private contracts such a clause is unconstitutional. The class observation that the Seventh Schedule draws no distinction between governmental and private organisations is correct — it speaks in terms of relationships and applies to both.</w:t>
      </w:r>
    </w:p>
    <w:p>
      <w:pPr>
        <w:pBdr>
          <w:left w:val="single" w:color="7A7A7A" w:sz="12" w:space="8"/>
        </w:pBdr>
        <w:spacing w:after="140" w:before="110" w:line="252"/>
        <w:ind w:left="288"/>
        <w:jc w:val="both"/>
      </w:pPr>
      <w:r>
        <w:rPr>
          <w:sz w:val="20"/>
          <w:szCs w:val="20"/>
        </w:rPr>
        <w:t xml:space="preserve">The bound-volume SCC citation for </w:t>
      </w:r>
      <w:r>
        <w:rPr>
          <w:i/>
          <w:iCs/>
          <w:sz w:val="20"/>
          <w:szCs w:val="20"/>
        </w:rPr>
        <w:t xml:space="preserve">CORE-II</w:t>
      </w:r>
      <w:r>
        <w:rPr>
          <w:sz w:val="20"/>
          <w:szCs w:val="20"/>
        </w:rPr>
        <w:t xml:space="preserve"> was not confirmed; the neutral and SCC OnLine citations, bench strength and date are established.</w:t>
      </w:r>
    </w:p>
    <w:p>
      <w:pPr>
        <w:pStyle w:val="Heading1"/>
        <w:keepNext/>
        <w:pBdr>
          <w:top w:val="single" w:color="999999" w:sz="8" w:space="10"/>
        </w:pBdr>
        <w:spacing w:after="170" w:before="460"/>
      </w:pPr>
      <w:r>
        <w:t xml:space="preserve">9  Failure to Act, Termination and Substitution: ss. 14 and 15</w:t>
      </w:r>
    </w:p>
    <w:p>
      <w:pPr>
        <w:spacing w:after="110" w:line="262"/>
        <w:jc w:val="both"/>
      </w:pPr>
      <w:r>
        <w:t xml:space="preserve">An arbitrator who cannot do the job must be replaced, and the arbitration must continue rather than collapse. S. 14 deals with inability and failure to act; s. 15 gathers the remaining modes of termination and supplies the substitution machinery.</w:t>
      </w:r>
    </w:p>
    <w:p>
      <w:pPr>
        <w:pStyle w:val="Heading2"/>
        <w:keepNext/>
        <w:spacing w:after="110" w:before="240"/>
      </w:pPr>
      <w:r>
        <w:t xml:space="preserve">9.1  S. 14 — failure or impossibility to act</w:t>
      </w:r>
    </w:p>
    <w:p>
      <w:pPr>
        <w:spacing w:after="110" w:line="262"/>
        <w:jc w:val="both"/>
      </w:pPr>
      <w:r>
        <w:t xml:space="preserve">The mandate terminates, and the arbitrator is to be substituted, where—</w:t>
      </w:r>
    </w:p>
    <w:p>
      <w:pPr>
        <w:pStyle w:val="ListParagraph"/>
        <w:numPr>
          <w:ilvl w:val="0"/>
          <w:numId w:val="13"/>
        </w:numPr>
        <w:spacing w:after="70" w:line="262"/>
        <w:jc w:val="both"/>
      </w:pPr>
      <w:r>
        <w:t xml:space="preserve">he becomes </w:t>
      </w:r>
      <w:r>
        <w:rPr>
          <w:b/>
          <w:bCs/>
        </w:rPr>
        <w:t xml:space="preserve">de jure or de facto unable</w:t>
      </w:r>
      <w:r>
        <w:t xml:space="preserve"> to perform his functions, or for other reasons </w:t>
      </w:r>
      <w:r>
        <w:rPr>
          <w:b/>
          <w:bCs/>
        </w:rPr>
        <w:t xml:space="preserve">fails to act without undue delay</w:t>
      </w:r>
      <w:r>
        <w:t xml:space="preserve">; and</w:t>
      </w:r>
    </w:p>
    <w:p>
      <w:pPr>
        <w:pStyle w:val="ListParagraph"/>
        <w:numPr>
          <w:ilvl w:val="0"/>
          <w:numId w:val="13"/>
        </w:numPr>
        <w:spacing w:after="70" w:line="262"/>
        <w:jc w:val="both"/>
      </w:pPr>
      <w:r>
        <w:t xml:space="preserve">he </w:t>
      </w:r>
      <w:r>
        <w:rPr>
          <w:b/>
          <w:bCs/>
        </w:rPr>
        <w:t xml:space="preserve">withdraws</w:t>
      </w:r>
      <w:r>
        <w:t xml:space="preserve"> from office, or </w:t>
      </w:r>
      <w:r>
        <w:rPr>
          <w:b/>
          <w:bCs/>
        </w:rPr>
        <w:t xml:space="preserve">the parties agree</w:t>
      </w:r>
      <w:r>
        <w:t xml:space="preserve"> to terminate the mandate.</w:t>
      </w:r>
    </w:p>
    <w:p>
      <w:pPr>
        <w:spacing w:after="110" w:line="262"/>
        <w:jc w:val="both"/>
      </w:pPr>
      <w:r>
        <w:t xml:space="preserve">The words directing that he “shall be substituted by another arbitrator” were added in 2015, making explicit what s. 15(2) implied: the object is replacement, not abandonment.</w:t>
      </w:r>
    </w:p>
    <w:tbl>
      <w:tblPr>
        <w:tblW w:type="dxa" w:w="8850"/>
        <w:tblBorders>
          <w:top w:val="single" w:color="8A8A8A" w:sz="3"/>
          <w:left w:val="single" w:color="8A8A8A" w:sz="3"/>
          <w:bottom w:val="single" w:color="8A8A8A" w:sz="3"/>
          <w:right w:val="single" w:color="8A8A8A" w:sz="3"/>
          <w:insideH w:val="single" w:color="C4C4C4" w:sz="2"/>
          <w:insideV w:val="single" w:color="C4C4C4" w:sz="2"/>
        </w:tblBorders>
      </w:tblPr>
      <w:tblGrid>
        <w:gridCol w:w="2100"/>
        <w:gridCol w:w="6750"/>
      </w:tblGrid>
      <w:tr>
        <w:trPr>
          <w:tblHeader/>
        </w:trPr>
        <w:tc>
          <w:tcPr>
            <w:tcW w:type="dxa" w:w="2100"/>
            <w:shd w:fill="EDEDED" w:val="clear"/>
            <w:tcMar>
              <w:top w:type="dxa" w:w="70"/>
              <w:left w:type="dxa" w:w="110"/>
              <w:bottom w:type="dxa" w:w="70"/>
              <w:right w:type="dxa" w:w="110"/>
            </w:tcMar>
          </w:tcPr>
          <w:p>
            <w:pPr>
              <w:spacing w:after="0" w:line="244"/>
            </w:pPr>
            <w:r>
              <w:rPr>
                <w:b/>
                <w:bCs/>
                <w:sz w:val="19"/>
                <w:szCs w:val="19"/>
              </w:rPr>
              <w:t xml:space="preserve">Category</w:t>
            </w:r>
          </w:p>
        </w:tc>
        <w:tc>
          <w:tcPr>
            <w:tcW w:type="dxa" w:w="6750"/>
            <w:shd w:fill="EDEDED" w:val="clear"/>
            <w:tcMar>
              <w:top w:type="dxa" w:w="70"/>
              <w:left w:type="dxa" w:w="110"/>
              <w:bottom w:type="dxa" w:w="70"/>
              <w:right w:type="dxa" w:w="110"/>
            </w:tcMar>
          </w:tcPr>
          <w:p>
            <w:pPr>
              <w:spacing w:after="0" w:line="244"/>
            </w:pPr>
            <w:r>
              <w:rPr>
                <w:b/>
                <w:bCs/>
                <w:sz w:val="19"/>
                <w:szCs w:val="19"/>
              </w:rPr>
              <w:t xml:space="preserve">Nature and illustrations</w:t>
            </w:r>
          </w:p>
        </w:tc>
      </w:tr>
      <w:tr>
        <w:tc>
          <w:tcPr>
            <w:tcW w:type="dxa" w:w="2100"/>
            <w:tcMar>
              <w:top w:type="dxa" w:w="70"/>
              <w:left w:type="dxa" w:w="110"/>
              <w:bottom w:type="dxa" w:w="70"/>
              <w:right w:type="dxa" w:w="110"/>
            </w:tcMar>
          </w:tcPr>
          <w:p>
            <w:pPr>
              <w:spacing w:after="0" w:line="244"/>
            </w:pPr>
            <w:r>
              <w:rPr>
                <w:b w:val="false"/>
                <w:bCs w:val="false"/>
                <w:sz w:val="19"/>
                <w:szCs w:val="19"/>
              </w:rPr>
              <w:t xml:space="preserve">De jure</w:t>
            </w:r>
            <w:r>
              <w:rPr>
                <w:b w:val="false"/>
                <w:bCs w:val="false"/>
                <w:sz w:val="19"/>
                <w:szCs w:val="19"/>
              </w:rPr>
              <w:t xml:space="preserve"> inability</w:t>
            </w:r>
          </w:p>
        </w:tc>
        <w:tc>
          <w:tcPr>
            <w:tcW w:type="dxa" w:w="6750"/>
            <w:tcMar>
              <w:top w:type="dxa" w:w="70"/>
              <w:left w:type="dxa" w:w="110"/>
              <w:bottom w:type="dxa" w:w="70"/>
              <w:right w:type="dxa" w:w="110"/>
            </w:tcMar>
          </w:tcPr>
          <w:p>
            <w:pPr>
              <w:spacing w:after="0" w:line="244"/>
            </w:pPr>
            <w:r>
              <w:rPr>
                <w:b w:val="false"/>
                <w:bCs w:val="false"/>
                <w:sz w:val="19"/>
                <w:szCs w:val="19"/>
              </w:rPr>
              <w:t xml:space="preserve">Disabled </w:t>
            </w:r>
            <w:r>
              <w:rPr>
                <w:b w:val="false"/>
                <w:bCs w:val="false"/>
                <w:sz w:val="19"/>
                <w:szCs w:val="19"/>
              </w:rPr>
              <w:t xml:space="preserve">in law</w:t>
            </w:r>
            <w:r>
              <w:rPr>
                <w:b w:val="false"/>
                <w:bCs w:val="false"/>
                <w:sz w:val="19"/>
                <w:szCs w:val="19"/>
              </w:rPr>
              <w:t xml:space="preserve">; status, not physical capacity, disqualifies. The class illustration is insolvency. The important modern instance is </w:t>
            </w:r>
            <w:r>
              <w:rPr>
                <w:b w:val="false"/>
                <w:bCs w:val="false"/>
                <w:sz w:val="19"/>
                <w:szCs w:val="19"/>
              </w:rPr>
              <w:t xml:space="preserve">s. 12(5) ineligibility</w:t>
            </w:r>
            <w:r>
              <w:rPr>
                <w:b w:val="false"/>
                <w:bCs w:val="false"/>
                <w:sz w:val="19"/>
                <w:szCs w:val="19"/>
              </w:rPr>
              <w:t xml:space="preserve">: </w:t>
            </w:r>
            <w:r>
              <w:rPr>
                <w:b w:val="false"/>
                <w:bCs w:val="false"/>
                <w:i/>
                <w:iCs/>
                <w:sz w:val="19"/>
                <w:szCs w:val="19"/>
              </w:rPr>
              <w:t xml:space="preserve">Bharat Broadband</w:t>
            </w:r>
            <w:r>
              <w:rPr>
                <w:b w:val="false"/>
                <w:bCs w:val="false"/>
                <w:sz w:val="19"/>
                <w:szCs w:val="19"/>
              </w:rPr>
              <w:t xml:space="preserve"> holds such a person de jure unable, so the mandate terminates under s. 14.</w:t>
            </w:r>
          </w:p>
        </w:tc>
      </w:tr>
      <w:tr>
        <w:tc>
          <w:tcPr>
            <w:tcW w:type="dxa" w:w="2100"/>
            <w:tcMar>
              <w:top w:type="dxa" w:w="70"/>
              <w:left w:type="dxa" w:w="110"/>
              <w:bottom w:type="dxa" w:w="70"/>
              <w:right w:type="dxa" w:w="110"/>
            </w:tcMar>
          </w:tcPr>
          <w:p>
            <w:pPr>
              <w:spacing w:after="0" w:line="244"/>
            </w:pPr>
            <w:r>
              <w:rPr>
                <w:b w:val="false"/>
                <w:bCs w:val="false"/>
                <w:sz w:val="19"/>
                <w:szCs w:val="19"/>
              </w:rPr>
              <w:t xml:space="preserve">De facto</w:t>
            </w:r>
            <w:r>
              <w:rPr>
                <w:b w:val="false"/>
                <w:bCs w:val="false"/>
                <w:sz w:val="19"/>
                <w:szCs w:val="19"/>
              </w:rPr>
              <w:t xml:space="preserve"> inability</w:t>
            </w:r>
          </w:p>
        </w:tc>
        <w:tc>
          <w:tcPr>
            <w:tcW w:type="dxa" w:w="6750"/>
            <w:tcMar>
              <w:top w:type="dxa" w:w="70"/>
              <w:left w:type="dxa" w:w="110"/>
              <w:bottom w:type="dxa" w:w="70"/>
              <w:right w:type="dxa" w:w="110"/>
            </w:tcMar>
          </w:tcPr>
          <w:p>
            <w:pPr>
              <w:spacing w:after="0" w:line="244"/>
            </w:pPr>
            <w:r>
              <w:rPr>
                <w:b w:val="false"/>
                <w:bCs w:val="false"/>
                <w:sz w:val="19"/>
                <w:szCs w:val="19"/>
              </w:rPr>
              <w:t xml:space="preserve">Disabled </w:t>
            </w:r>
            <w:r>
              <w:rPr>
                <w:b w:val="false"/>
                <w:bCs w:val="false"/>
                <w:sz w:val="19"/>
                <w:szCs w:val="19"/>
              </w:rPr>
              <w:t xml:space="preserve">in fact</w:t>
            </w:r>
            <w:r>
              <w:rPr>
                <w:b w:val="false"/>
                <w:bCs w:val="false"/>
                <w:sz w:val="19"/>
                <w:szCs w:val="19"/>
              </w:rPr>
              <w:t xml:space="preserve"> though still qualified in law — detention or arrest, serious illness, unsoundness of mind. The test is practical: can he summon and hear witnesses, read the documents, deliberate and decide?</w:t>
            </w:r>
          </w:p>
        </w:tc>
      </w:tr>
      <w:tr>
        <w:tc>
          <w:tcPr>
            <w:tcW w:type="dxa" w:w="2100"/>
            <w:tcMar>
              <w:top w:type="dxa" w:w="70"/>
              <w:left w:type="dxa" w:w="110"/>
              <w:bottom w:type="dxa" w:w="70"/>
              <w:right w:type="dxa" w:w="110"/>
            </w:tcMar>
          </w:tcPr>
          <w:p>
            <w:pPr>
              <w:spacing w:after="0" w:line="244"/>
            </w:pPr>
            <w:r>
              <w:rPr>
                <w:b w:val="false"/>
                <w:bCs w:val="false"/>
                <w:sz w:val="19"/>
                <w:szCs w:val="19"/>
              </w:rPr>
              <w:t xml:space="preserve">Failure to act without undue delay</w:t>
            </w:r>
          </w:p>
        </w:tc>
        <w:tc>
          <w:tcPr>
            <w:tcW w:type="dxa" w:w="6750"/>
            <w:tcMar>
              <w:top w:type="dxa" w:w="70"/>
              <w:left w:type="dxa" w:w="110"/>
              <w:bottom w:type="dxa" w:w="70"/>
              <w:right w:type="dxa" w:w="110"/>
            </w:tcMar>
          </w:tcPr>
          <w:p>
            <w:pPr>
              <w:spacing w:after="0" w:line="244"/>
            </w:pPr>
            <w:r>
              <w:rPr>
                <w:b w:val="false"/>
                <w:bCs w:val="false"/>
                <w:sz w:val="19"/>
                <w:szCs w:val="19"/>
              </w:rPr>
              <w:t xml:space="preserve">A separate limb: he is able to act but does not do so within a reasonable time. A failure of performance, not an incapacity.</w:t>
            </w:r>
          </w:p>
        </w:tc>
      </w:tr>
    </w:tbl>
    <w:p>
      <w:pPr>
        <w:spacing w:after="110"/>
      </w:pPr>
      <w:r>
        <w:rPr>
          <w:sz w:val="10"/>
          <w:szCs w:val="10"/>
        </w:rPr>
        <w:t xml:space="preserve"/>
      </w:r>
    </w:p>
    <w:p>
      <w:pPr>
        <w:spacing w:after="110" w:line="262"/>
        <w:jc w:val="both"/>
      </w:pPr>
      <w:r>
        <w:rPr>
          <w:b/>
          <w:bCs/>
        </w:rPr>
        <w:t xml:space="preserve">S. 14(2).</w:t>
      </w:r>
      <w:r>
        <w:t xml:space="preserve"> If a controversy remains on any ground in clause (a), a party may — unless the parties agree otherwise — apply to </w:t>
      </w:r>
      <w:r>
        <w:rPr>
          <w:b/>
          <w:bCs/>
        </w:rPr>
        <w:t xml:space="preserve">the court</w:t>
      </w:r>
      <w:r>
        <w:t xml:space="preserve"> to decide on termination. This is one of the instances in which Part I expressly authorises intervention, so it is consistent with s. 5.</w:t>
      </w:r>
    </w:p>
    <w:p>
      <w:pPr>
        <w:spacing w:after="110" w:line="262"/>
        <w:jc w:val="both"/>
      </w:pPr>
      <w:r>
        <w:rPr>
          <w:b/>
          <w:bCs/>
        </w:rPr>
        <w:t xml:space="preserve">S. 14(3).</w:t>
      </w:r>
      <w:r>
        <w:t xml:space="preserve"> Withdrawal, or a party's agreement to termination, </w:t>
      </w:r>
      <w:r>
        <w:rPr>
          <w:b/>
          <w:bCs/>
        </w:rPr>
        <w:t xml:space="preserve">does not imply acceptance of the validity</w:t>
      </w:r>
      <w:r>
        <w:t xml:space="preserve"> of any ground in s. 14 or s. 12(3). This removes the disincentive to a graceful exit: an arbitrator who resigns rather than fight a challenge has not conceded bias, and a party who consents has not conceded the ground.</w:t>
      </w:r>
    </w:p>
    <w:p>
      <w:pPr>
        <w:pStyle w:val="Heading2"/>
        <w:keepNext/>
        <w:spacing w:after="110" w:before="240"/>
      </w:pPr>
      <w:r>
        <w:t xml:space="preserve">9.2  S. 15 — termination of mandate and substitution</w:t>
      </w:r>
    </w:p>
    <w:p>
      <w:pPr>
        <w:pStyle w:val="ListParagraph"/>
        <w:numPr>
          <w:ilvl w:val="0"/>
          <w:numId w:val="14"/>
        </w:numPr>
        <w:spacing w:after="70" w:line="262"/>
        <w:jc w:val="both"/>
      </w:pPr>
      <w:r>
        <w:rPr>
          <w:b/>
          <w:bCs/>
        </w:rPr>
        <w:t xml:space="preserve">(1)</w:t>
      </w:r>
      <w:r>
        <w:t xml:space="preserve"> In addition to the circumstances in s. 13 or s. 14, the mandate terminates (a) where the arbitrator withdraws for </w:t>
      </w:r>
      <w:r>
        <w:rPr>
          <w:b/>
          <w:bCs/>
        </w:rPr>
        <w:t xml:space="preserve">any</w:t>
      </w:r>
      <w:r>
        <w:t xml:space="preserve"> reason, or (b) by or pursuant to </w:t>
      </w:r>
      <w:r>
        <w:rPr>
          <w:b/>
          <w:bCs/>
        </w:rPr>
        <w:t xml:space="preserve">agreement of the parties</w:t>
      </w:r>
      <w:r>
        <w:t xml:space="preserve">. The opening words show that ss. 13, 14 and 15 are cumulative.</w:t>
      </w:r>
    </w:p>
    <w:p>
      <w:pPr>
        <w:pStyle w:val="ListParagraph"/>
        <w:numPr>
          <w:ilvl w:val="0"/>
          <w:numId w:val="14"/>
        </w:numPr>
        <w:spacing w:after="70" w:line="262"/>
        <w:jc w:val="both"/>
      </w:pPr>
      <w:r>
        <w:rPr>
          <w:b/>
          <w:bCs/>
        </w:rPr>
        <w:t xml:space="preserve">(2)</w:t>
      </w:r>
      <w:r>
        <w:t xml:space="preserve"> On termination, a substitute is appointed </w:t>
      </w:r>
      <w:r>
        <w:rPr>
          <w:b/>
          <w:bCs/>
        </w:rPr>
        <w:t xml:space="preserve">according to the rules that were applicable to the appointment of the arbitrator being replaced</w:t>
      </w:r>
      <w:r>
        <w:t xml:space="preserve"> — the same route as the original appointment. This is why s. 11 continues to matter after the tribunal is first constituted.</w:t>
      </w:r>
    </w:p>
    <w:p>
      <w:pPr>
        <w:pStyle w:val="ListParagraph"/>
        <w:numPr>
          <w:ilvl w:val="0"/>
          <w:numId w:val="14"/>
        </w:numPr>
        <w:spacing w:after="70" w:line="262"/>
        <w:jc w:val="both"/>
      </w:pPr>
      <w:r>
        <w:rPr>
          <w:b/>
          <w:bCs/>
        </w:rPr>
        <w:t xml:space="preserve">(3)</w:t>
      </w:r>
      <w:r>
        <w:t xml:space="preserve"> Unless otherwise agreed, hearings previously held </w:t>
      </w:r>
      <w:r>
        <w:rPr>
          <w:b/>
          <w:bCs/>
        </w:rPr>
        <w:t xml:space="preserve">may be repeated at the discretion of the tribunal</w:t>
      </w:r>
      <w:r>
        <w:t xml:space="preserve"> — the discretion is the tribunal's, and will ordinarily be exercised where the reconstituted tribunal cannot fairly decide on the existing record (again, he who decides must hear).</w:t>
      </w:r>
    </w:p>
    <w:p>
      <w:pPr>
        <w:pStyle w:val="ListParagraph"/>
        <w:numPr>
          <w:ilvl w:val="0"/>
          <w:numId w:val="14"/>
        </w:numPr>
        <w:spacing w:after="70" w:line="262"/>
        <w:jc w:val="both"/>
      </w:pPr>
      <w:r>
        <w:rPr>
          <w:b/>
          <w:bCs/>
        </w:rPr>
        <w:t xml:space="preserve">(4)</w:t>
      </w:r>
      <w:r>
        <w:t xml:space="preserve"> Unless otherwise agreed, an order or ruling made before the replacement is </w:t>
      </w:r>
      <w:r>
        <w:rPr>
          <w:b/>
          <w:bCs/>
        </w:rPr>
        <w:t xml:space="preserve">not invalid solely</w:t>
      </w:r>
      <w:r>
        <w:t xml:space="preserve"> because the composition has changed — without which every substitution would unravel the interlocutory history.</w:t>
      </w:r>
    </w:p>
    <w:p>
      <w:pPr>
        <w:spacing w:after="110" w:line="262"/>
        <w:jc w:val="both"/>
      </w:pPr>
      <w:r>
        <w:rPr>
          <w:b/>
          <w:bCs/>
        </w:rPr>
        <w:t xml:space="preserve">Routes to termination, summarised:</w:t>
      </w:r>
      <w:r>
        <w:t xml:space="preserve"> successful challenge (ss. 12–13); de jure or de facto inability or failure to act, with recourse to the court under s. 14(2); withdrawal or agreement (ss. 14(1)(b), 15(1)); and, outside these topics but worth noting, expiry of the s. 29A period unless extended.</w:t>
      </w:r>
    </w:p>
    <w:p>
      <w:pPr>
        <w:pStyle w:val="Heading1"/>
        <w:keepNext/>
        <w:pBdr>
          <w:top w:val="single" w:color="999999" w:sz="8" w:space="10"/>
        </w:pBdr>
        <w:spacing w:after="170" w:before="460"/>
      </w:pPr>
      <w:r>
        <w:t xml:space="preserve">10  Competence of the Arbitral Tribunal: s. 16</w:t>
      </w:r>
    </w:p>
    <w:p>
      <w:pPr>
        <w:spacing w:after="110" w:line="262"/>
        <w:jc w:val="both"/>
      </w:pPr>
      <w:r>
        <w:t xml:space="preserve">S. 16 answers a question that would otherwise be circular. The tribunal's authority comes from the arbitration agreement; if a party denies that a valid agreement exists, who decides? The Act resolves it by two doctrines. </w:t>
      </w:r>
      <w:r>
        <w:rPr>
          <w:b/>
          <w:bCs/>
        </w:rPr>
        <w:t xml:space="preserve">Competence-competence</w:t>
      </w:r>
      <w:r>
        <w:t xml:space="preserve"> gives the tribunal power to rule on its own jurisdiction. </w:t>
      </w:r>
      <w:r>
        <w:rPr>
          <w:b/>
          <w:bCs/>
        </w:rPr>
        <w:t xml:space="preserve">Separability</w:t>
      </w:r>
      <w:r>
        <w:t xml:space="preserve"> treats the arbitration clause as independent of the contract containing it, so an attack on the contract does not automatically destroy that authority.</w:t>
      </w:r>
    </w:p>
    <w:p>
      <w:pPr>
        <w:pStyle w:val="Heading2"/>
        <w:keepNext/>
        <w:spacing w:after="110" w:before="240"/>
      </w:pPr>
      <w:r>
        <w:t xml:space="preserve">10.1  S. 16(1) — the two doctrines</w:t>
      </w:r>
    </w:p>
    <w:p>
      <w:pPr>
        <w:spacing w:after="110" w:line="262"/>
        <w:jc w:val="both"/>
      </w:pPr>
      <w:r>
        <w:t xml:space="preserve">The tribunal may rule on its own jurisdiction, including on any objection as to the existence or validity of the arbitration agreement, and for that purpose—</w:t>
      </w:r>
    </w:p>
    <w:p>
      <w:pPr>
        <w:pStyle w:val="ListParagraph"/>
        <w:numPr>
          <w:ilvl w:val="0"/>
          <w:numId w:val="15"/>
        </w:numPr>
        <w:spacing w:after="70" w:line="262"/>
        <w:jc w:val="both"/>
      </w:pPr>
      <w:r>
        <w:t xml:space="preserve">an arbitration clause forming part of a contract </w:t>
      </w:r>
      <w:r>
        <w:rPr>
          <w:b/>
          <w:bCs/>
        </w:rPr>
        <w:t xml:space="preserve">shall be treated as an agreement independent of the other terms</w:t>
      </w:r>
      <w:r>
        <w:t xml:space="preserve"> of the contract; and</w:t>
      </w:r>
    </w:p>
    <w:p>
      <w:pPr>
        <w:pStyle w:val="ListParagraph"/>
        <w:numPr>
          <w:ilvl w:val="0"/>
          <w:numId w:val="15"/>
        </w:numPr>
        <w:spacing w:after="70" w:line="262"/>
        <w:jc w:val="both"/>
      </w:pPr>
      <w:r>
        <w:t xml:space="preserve">a decision by the tribunal that the contract is null and void *</w:t>
      </w:r>
      <w:r>
        <w:rPr>
          <w:i/>
          <w:iCs/>
        </w:rPr>
        <w:t xml:space="preserve">shall not entail </w:t>
      </w:r>
      <w:r>
        <w:t xml:space="preserve">ipso jure</w:t>
      </w:r>
      <w:r>
        <w:rPr>
          <w:i/>
          <w:iCs/>
        </w:rPr>
        <w:t xml:space="preserve"> the invalidity of the arbitration clause</w:t>
      </w:r>
      <w:r>
        <w:t xml:space="preserve">*.</w:t>
      </w:r>
    </w:p>
    <w:p>
      <w:pPr>
        <w:spacing w:after="110" w:line="262"/>
        <w:jc w:val="both"/>
      </w:pPr>
      <w:r>
        <w:rPr>
          <w:i/>
          <w:iCs/>
        </w:rPr>
        <w:t xml:space="preserve">Ipso jure</w:t>
      </w:r>
      <w:r>
        <w:t xml:space="preserve"> means “by operation of law itself”: invalidity of the main contract does not of itself carry the clause down with it. The clause survives so the tribunal can determine the consequences of the invalidity. The class materials call clause (b) the </w:t>
      </w:r>
      <w:r>
        <w:rPr>
          <w:b/>
          <w:bCs/>
        </w:rPr>
        <w:t xml:space="preserve">doctrine of separation</w:t>
      </w:r>
      <w:r>
        <w:t xml:space="preserve"> — the same idea as separability or severability.</w:t>
      </w:r>
    </w:p>
    <w:p>
      <w:pPr>
        <w:spacing w:after="110" w:line="262"/>
        <w:jc w:val="both"/>
      </w:pPr>
      <w:r>
        <w:t xml:space="preserve">Practically, where the contract is said to be void, rescinded or procured by fraud, the tribunal keeps jurisdiction to decide those very questions. It is otherwise where the attack is aimed at the </w:t>
      </w:r>
      <w:r>
        <w:rPr>
          <w:b/>
          <w:bCs/>
        </w:rPr>
        <w:t xml:space="preserve">arbitration agreement itself</w:t>
      </w:r>
      <w:r>
        <w:t xml:space="preserve">: separability protects the clause from the contract's fate, not from its own invalidity.</w:t>
      </w:r>
    </w:p>
    <w:p>
      <w:pPr>
        <w:pStyle w:val="Heading2"/>
        <w:keepNext/>
        <w:spacing w:after="110" w:before="240"/>
      </w:pPr>
      <w:r>
        <w:t xml:space="preserve">10.2  Timing of pleas — two different rules</w:t>
      </w:r>
    </w:p>
    <w:p>
      <w:pPr>
        <w:pStyle w:val="ListParagraph"/>
        <w:numPr>
          <w:ilvl w:val="0"/>
          <w:numId w:val="16"/>
        </w:numPr>
        <w:spacing w:after="70" w:line="262"/>
        <w:jc w:val="both"/>
      </w:pPr>
      <w:r>
        <w:rPr>
          <w:b/>
          <w:bCs/>
        </w:rPr>
        <w:t xml:space="preserve">No jurisdiction at all</w:t>
      </w:r>
      <w:r>
        <w:t xml:space="preserve"> (an </w:t>
      </w:r>
      <w:r>
        <w:rPr>
          <w:i/>
          <w:iCs/>
        </w:rPr>
        <w:t xml:space="preserve">ab initio</w:t>
      </w:r>
      <w:r>
        <w:t xml:space="preserve"> objection) — must be raised </w:t>
      </w:r>
      <w:r>
        <w:rPr>
          <w:b/>
          <w:bCs/>
        </w:rPr>
        <w:t xml:space="preserve">not later than the submission of the statement of defence</w:t>
      </w:r>
      <w:r>
        <w:t xml:space="preserve"> (s. 16(2)). The proviso matters: a party is </w:t>
      </w:r>
      <w:r>
        <w:rPr>
          <w:b/>
          <w:bCs/>
        </w:rPr>
        <w:t xml:space="preserve">not</w:t>
      </w:r>
      <w:r>
        <w:t xml:space="preserve"> precluded merely because it appointed, or participated in appointing, an arbitrator. Participation in constituting the tribunal is not submission to its jurisdiction.</w:t>
      </w:r>
    </w:p>
    <w:p>
      <w:pPr>
        <w:pStyle w:val="ListParagraph"/>
        <w:numPr>
          <w:ilvl w:val="0"/>
          <w:numId w:val="16"/>
        </w:numPr>
        <w:spacing w:after="70" w:line="262"/>
        <w:jc w:val="both"/>
      </w:pPr>
      <w:r>
        <w:rPr>
          <w:b/>
          <w:bCs/>
        </w:rPr>
        <w:t xml:space="preserve">Excess of the scope of authority</w:t>
      </w:r>
      <w:r>
        <w:t xml:space="preserve"> — must be raised </w:t>
      </w:r>
      <w:r>
        <w:rPr>
          <w:b/>
          <w:bCs/>
        </w:rPr>
        <w:t xml:space="preserve">as soon as the matter alleged to be beyond the scope is raised</w:t>
      </w:r>
      <w:r>
        <w:t xml:space="preserve"> during the proceedings (s. 16(3)). It cannot be tied to the statement of defence, because the excess may occur at any stage.</w:t>
      </w:r>
    </w:p>
    <w:p>
      <w:pPr>
        <w:pStyle w:val="ListParagraph"/>
        <w:numPr>
          <w:ilvl w:val="0"/>
          <w:numId w:val="16"/>
        </w:numPr>
        <w:spacing w:after="70" w:line="262"/>
        <w:jc w:val="both"/>
      </w:pPr>
      <w:r>
        <w:rPr>
          <w:b/>
          <w:bCs/>
        </w:rPr>
        <w:t xml:space="preserve">Condonation</w:t>
      </w:r>
      <w:r>
        <w:t xml:space="preserve"> — the tribunal may admit a later plea in either case if it considers the delay </w:t>
      </w:r>
      <w:r>
        <w:rPr>
          <w:b/>
          <w:bCs/>
        </w:rPr>
        <w:t xml:space="preserve">justified</w:t>
      </w:r>
      <w:r>
        <w:t xml:space="preserve"> (s. 16(4)).</w:t>
      </w:r>
    </w:p>
    <w:p>
      <w:pPr>
        <w:spacing w:after="110" w:line="262"/>
        <w:jc w:val="both"/>
      </w:pPr>
      <w:r>
        <w:t xml:space="preserve">Contrast ordinary civil procedure, where a plea to jurisdiction may often be taken later. Here the outer limit is fixed and the sanction for delay is loss of the plea, subject to condonation — the same policy as s. 4: no objection may be kept in reserve.</w:t>
      </w:r>
    </w:p>
    <w:p>
      <w:pPr>
        <w:pStyle w:val="Heading2"/>
        <w:keepNext/>
        <w:spacing w:after="110" w:before="240"/>
      </w:pPr>
      <w:r>
        <w:t xml:space="preserve">10.3  Consequences: s. 16(5) and (6)</w:t>
      </w:r>
    </w:p>
    <w:p>
      <w:pPr>
        <w:spacing w:after="110" w:line="262"/>
        <w:jc w:val="both"/>
      </w:pPr>
      <w:r>
        <w:t xml:space="preserve">The tribunal decides the plea. Where it </w:t>
      </w:r>
      <w:r>
        <w:rPr>
          <w:b/>
          <w:bCs/>
        </w:rPr>
        <w:t xml:space="preserve">rejects</w:t>
      </w:r>
      <w:r>
        <w:t xml:space="preserve"> the plea it continues and makes an award, and the aggrieved party's remedy is an application under </w:t>
      </w:r>
      <w:r>
        <w:rPr>
          <w:b/>
          <w:bCs/>
        </w:rPr>
        <w:t xml:space="preserve">s. 34</w:t>
      </w:r>
      <w:r>
        <w:t xml:space="preserve">. Note the asymmetry: a rejection is </w:t>
      </w:r>
      <w:r>
        <w:rPr>
          <w:b/>
          <w:bCs/>
        </w:rPr>
        <w:t xml:space="preserve">not separately appealable</w:t>
      </w:r>
      <w:r>
        <w:t xml:space="preserve"> — the objector must see the arbitration through to an award — whereas an order </w:t>
      </w:r>
      <w:r>
        <w:rPr>
          <w:b/>
          <w:bCs/>
        </w:rPr>
        <w:t xml:space="preserve">accepting</w:t>
      </w:r>
      <w:r>
        <w:t xml:space="preserve"> a plea of no jurisdiction ends the arbitration and is appealable under </w:t>
      </w:r>
      <w:r>
        <w:rPr>
          <w:b/>
          <w:bCs/>
        </w:rPr>
        <w:t xml:space="preserve">s. 37(2)(a)</w:t>
      </w:r>
      <w:r>
        <w:t xml:space="preserve">. The design is deliberately weighted against interlocutory interference.</w:t>
      </w:r>
    </w:p>
    <w:p>
      <w:pPr>
        <w:pStyle w:val="Heading2"/>
        <w:keepNext/>
        <w:spacing w:after="110" w:before="240"/>
      </w:pPr>
      <w:r>
        <w:t xml:space="preserve">10.4  Link with ss. 8 and 11</w:t>
      </w:r>
    </w:p>
    <w:p>
      <w:pPr>
        <w:spacing w:after="110" w:line="262"/>
        <w:jc w:val="both"/>
      </w:pPr>
      <w:r>
        <w:t xml:space="preserve">S. 16 is the source of the </w:t>
      </w:r>
      <w:r>
        <w:rPr>
          <w:b/>
          <w:bCs/>
        </w:rPr>
        <w:t xml:space="preserve">rule of first priority</w:t>
      </w:r>
      <w:r>
        <w:t xml:space="preserve">. Where existence or validity is in issue the tribunal decides first; the court's role is confined to a prima facie view under s. 8 and, by s. 11(6A), to the existence of the agreement under s. 11. Fuller consideration comes only under s. 34, and even then within that section's limits.</w:t>
      </w:r>
    </w:p>
    <w:p>
      <w:pPr>
        <w:spacing w:after="110" w:line="262"/>
        <w:jc w:val="both"/>
      </w:pPr>
      <w:r>
        <w:t xml:space="preserve">The arrangement is imperfect, and the class materials say so candidly: a wrong prima facie view either constitutes a tribunal with no consensual basis, or leaves a valid agreement unenforced. The Act accepts that risk in preference to full determination of jurisdiction at the threshold, and relies on s. 34 as the corrective.</w:t>
      </w:r>
    </w:p>
    <w:p>
      <w:pPr>
        <w:pStyle w:val="Heading1"/>
        <w:keepNext/>
        <w:pBdr>
          <w:top w:val="single" w:color="999999" w:sz="8" w:space="10"/>
        </w:pBdr>
        <w:spacing w:after="170" w:before="460"/>
      </w:pPr>
      <w:r>
        <w:t xml:space="preserve">11  Conduct of Arbitral Proceedings: Chapter V, ss. 18–26</w:t>
      </w:r>
    </w:p>
    <w:p>
      <w:pPr>
        <w:spacing w:after="110" w:line="262"/>
        <w:jc w:val="both"/>
      </w:pPr>
      <w:r>
        <w:t xml:space="preserve">Chapter V holds two objectives in tension and reconciles them: </w:t>
      </w:r>
      <w:r>
        <w:rPr>
          <w:b/>
          <w:bCs/>
        </w:rPr>
        <w:t xml:space="preserve">flexibility</w:t>
      </w:r>
      <w:r>
        <w:t xml:space="preserve">, freeing the tribunal from rigid court procedure, and </w:t>
      </w:r>
      <w:r>
        <w:rPr>
          <w:b/>
          <w:bCs/>
        </w:rPr>
        <w:t xml:space="preserve">due process</w:t>
      </w:r>
      <w:r>
        <w:t xml:space="preserve">, requiring that whatever procedure is adopted treats the parties equally and hears each properly. Most of the Chapter is derogable (“unless otherwise agreed by the parties”); s. 18 is the non-derogable core.</w:t>
      </w:r>
    </w:p>
    <w:p>
      <w:pPr>
        <w:pStyle w:val="Heading2"/>
        <w:keepNext/>
        <w:spacing w:after="110" w:before="240"/>
      </w:pPr>
      <w:r>
        <w:t xml:space="preserve">11.1  S. 18 — equal treatment</w:t>
      </w:r>
    </w:p>
    <w:p>
      <w:pPr>
        <w:spacing w:after="110" w:before="80" w:line="250"/>
        <w:ind w:left="504" w:right="288"/>
        <w:jc w:val="both"/>
      </w:pPr>
      <w:r>
        <w:rPr>
          <w:b/>
          <w:bCs/>
          <w:sz w:val="20"/>
          <w:szCs w:val="20"/>
        </w:rPr>
        <w:t xml:space="preserve">18.</w:t>
      </w:r>
      <w:r>
        <w:rPr>
          <w:sz w:val="20"/>
          <w:szCs w:val="20"/>
        </w:rPr>
        <w:t xml:space="preserve"> The parties shall be treated with equality and each party shall be given a </w:t>
      </w:r>
      <w:r>
        <w:rPr>
          <w:b/>
          <w:bCs/>
          <w:sz w:val="20"/>
          <w:szCs w:val="20"/>
        </w:rPr>
        <w:t xml:space="preserve">full opportunity</w:t>
      </w:r>
      <w:r>
        <w:rPr>
          <w:sz w:val="20"/>
          <w:szCs w:val="20"/>
        </w:rPr>
        <w:t xml:space="preserve"> to present his case.</w:t>
      </w:r>
    </w:p>
    <w:p>
      <w:pPr>
        <w:spacing w:after="110" w:line="262"/>
        <w:jc w:val="both"/>
      </w:pPr>
      <w:r>
        <w:t xml:space="preserve">The due process clause of the Act, and </w:t>
      </w:r>
      <w:r>
        <w:rPr>
          <w:b/>
          <w:bCs/>
        </w:rPr>
        <w:t xml:space="preserve">non-derogable</w:t>
      </w:r>
      <w:r>
        <w:t xml:space="preserve">. Two requirements: equality of treatment, and a full opportunity for each side. It is the arbitral counterpart of </w:t>
      </w:r>
      <w:r>
        <w:rPr>
          <w:i/>
          <w:iCs/>
        </w:rPr>
        <w:t xml:space="preserve">audi alteram partem</w:t>
      </w:r>
      <w:r>
        <w:t xml:space="preserve">, and breach is the substance of </w:t>
      </w:r>
      <w:r>
        <w:rPr>
          <w:b/>
          <w:bCs/>
        </w:rPr>
        <w:t xml:space="preserve">s. 34(2)(a)(iii)</w:t>
      </w:r>
      <w:r>
        <w:t xml:space="preserve"> — that the applicant had no proper notice of the appointment or the proceedings, or was otherwise unable to present his case.</w:t>
      </w:r>
    </w:p>
    <w:p>
      <w:pPr>
        <w:pBdr>
          <w:left w:val="single" w:color="7A7A7A" w:sz="12" w:space="8"/>
        </w:pBdr>
        <w:spacing w:after="140" w:before="110" w:line="252"/>
        <w:ind w:left="288"/>
        <w:jc w:val="both"/>
      </w:pPr>
      <w:r>
        <w:rPr>
          <w:sz w:val="20"/>
          <w:szCs w:val="20"/>
        </w:rPr>
        <w:t xml:space="preserve">Do not reproduce the class diagram distinguishing “natural justice — public bodies” from “due process — private parties”. The twin rules of natural justice (including </w:t>
      </w:r>
      <w:r>
        <w:rPr>
          <w:i/>
          <w:iCs/>
          <w:sz w:val="20"/>
          <w:szCs w:val="20"/>
        </w:rPr>
        <w:t xml:space="preserve">Gullapalli-I</w:t>
      </w:r>
      <w:r>
        <w:rPr>
          <w:sz w:val="20"/>
          <w:szCs w:val="20"/>
        </w:rPr>
        <w:t xml:space="preserve">: he who decides must hear) and the statutory guarantees in ss. 12 and 18 apply to </w:t>
      </w:r>
      <w:r>
        <w:rPr>
          <w:b/>
          <w:bCs/>
          <w:sz w:val="20"/>
          <w:szCs w:val="20"/>
        </w:rPr>
        <w:t xml:space="preserve">every</w:t>
      </w:r>
      <w:r>
        <w:rPr>
          <w:sz w:val="20"/>
          <w:szCs w:val="20"/>
        </w:rPr>
        <w:t xml:space="preserve"> arbitral tribunal, whether the parties are public or private. The label differs between legal traditions; the content does not.</w:t>
      </w:r>
    </w:p>
    <w:p>
      <w:pPr>
        <w:spacing w:after="110" w:line="262"/>
        <w:jc w:val="both"/>
      </w:pPr>
      <w:r>
        <w:rPr>
          <w:b/>
          <w:bCs/>
        </w:rPr>
        <w:t xml:space="preserve">Reform note.</w:t>
      </w:r>
      <w:r>
        <w:t xml:space="preserve"> The Draft Arbitration and Conciliation (Amendment) Bill, 2024 proposes substituting “fair and reasonable opportunity” for “full opportunity”. That is a </w:t>
      </w:r>
      <w:r>
        <w:rPr>
          <w:b/>
          <w:bCs/>
        </w:rPr>
        <w:t xml:space="preserve">proposal only</w:t>
      </w:r>
      <w:r>
        <w:t xml:space="preserve"> — see 12.2.</w:t>
      </w:r>
    </w:p>
    <w:p>
      <w:pPr>
        <w:pStyle w:val="Heading2"/>
        <w:keepNext/>
        <w:spacing w:after="110" w:before="240"/>
      </w:pPr>
      <w:r>
        <w:t xml:space="preserve">11.2  S. 19 — rules of procedure</w:t>
      </w:r>
    </w:p>
    <w:p>
      <w:pPr>
        <w:pStyle w:val="ListParagraph"/>
        <w:numPr>
          <w:ilvl w:val="0"/>
          <w:numId w:val="17"/>
        </w:numPr>
        <w:spacing w:after="70" w:line="262"/>
        <w:jc w:val="both"/>
      </w:pPr>
      <w:r>
        <w:rPr>
          <w:b/>
          <w:bCs/>
        </w:rPr>
        <w:t xml:space="preserve">(1)</w:t>
      </w:r>
      <w:r>
        <w:t xml:space="preserve"> The tribunal is </w:t>
      </w:r>
      <w:r>
        <w:rPr>
          <w:b/>
          <w:bCs/>
        </w:rPr>
        <w:t xml:space="preserve">not bound</w:t>
      </w:r>
      <w:r>
        <w:t xml:space="preserve"> by the Code of Civil Procedure, 1908 or the law of evidence — because technical court procedure lengthens proceedings and would defeat the purpose of arbitration.</w:t>
      </w:r>
    </w:p>
    <w:p>
      <w:pPr>
        <w:pStyle w:val="ListParagraph"/>
        <w:numPr>
          <w:ilvl w:val="0"/>
          <w:numId w:val="17"/>
        </w:numPr>
        <w:spacing w:after="70" w:line="262"/>
        <w:jc w:val="both"/>
      </w:pPr>
      <w:r>
        <w:rPr>
          <w:b/>
          <w:bCs/>
        </w:rPr>
        <w:t xml:space="preserve">(2)</w:t>
      </w:r>
      <w:r>
        <w:t xml:space="preserve"> Subject to Part I, the parties may agree the procedure.</w:t>
      </w:r>
    </w:p>
    <w:p>
      <w:pPr>
        <w:pStyle w:val="ListParagraph"/>
        <w:numPr>
          <w:ilvl w:val="0"/>
          <w:numId w:val="17"/>
        </w:numPr>
        <w:spacing w:after="70" w:line="262"/>
        <w:jc w:val="both"/>
      </w:pPr>
      <w:r>
        <w:rPr>
          <w:b/>
          <w:bCs/>
        </w:rPr>
        <w:t xml:space="preserve">(3)</w:t>
      </w:r>
      <w:r>
        <w:t xml:space="preserve"> Failing agreement, the tribunal may conduct proceedings in the manner it considers appropriate, subject to Part I.</w:t>
      </w:r>
    </w:p>
    <w:p>
      <w:pPr>
        <w:pStyle w:val="ListParagraph"/>
        <w:numPr>
          <w:ilvl w:val="0"/>
          <w:numId w:val="17"/>
        </w:numPr>
        <w:spacing w:after="70" w:line="262"/>
        <w:jc w:val="both"/>
      </w:pPr>
      <w:r>
        <w:rPr>
          <w:b/>
          <w:bCs/>
        </w:rPr>
        <w:t xml:space="preserve">(4)</w:t>
      </w:r>
      <w:r>
        <w:t xml:space="preserve"> That power includes determining the </w:t>
      </w:r>
      <w:r>
        <w:rPr>
          <w:b/>
          <w:bCs/>
        </w:rPr>
        <w:t xml:space="preserve">admissibility, relevance, materiality and weight</w:t>
      </w:r>
      <w:r>
        <w:t xml:space="preserve"> of any evidence.</w:t>
      </w:r>
    </w:p>
    <w:p>
      <w:pPr>
        <w:spacing w:after="110" w:line="262"/>
        <w:jc w:val="both"/>
      </w:pPr>
      <w:r>
        <w:t xml:space="preserve">Two points of nuance. The tribunal is </w:t>
      </w:r>
      <w:r>
        <w:rPr>
          <w:b/>
          <w:bCs/>
        </w:rPr>
        <w:t xml:space="preserve">not bound</w:t>
      </w:r>
      <w:r>
        <w:t xml:space="preserve"> by those enactments but is not forbidden to draw on them, and tribunals commonly do; s. 19 removes the compulsion, not the option. And s. 19(3) is “subject to this Part”, hence subject to s. 18 — procedural freedom does not license unequal treatment. In practice tribunals hold a procedural hearing at the outset and record the result in </w:t>
      </w:r>
      <w:r>
        <w:rPr>
          <w:b/>
          <w:bCs/>
        </w:rPr>
        <w:t xml:space="preserve">procedural orders</w:t>
      </w:r>
      <w:r>
        <w:t xml:space="preserve"> fixing the timetable, pleadings, mode of evidence and hearing arrangements. S. 19(4) makes the tribunal master of the evidence.</w:t>
      </w:r>
    </w:p>
    <w:p>
      <w:pPr>
        <w:pBdr>
          <w:left w:val="single" w:color="7A7A7A" w:sz="12" w:space="8"/>
        </w:pBdr>
        <w:spacing w:after="140" w:before="110" w:line="252"/>
        <w:ind w:left="288"/>
        <w:jc w:val="both"/>
      </w:pPr>
      <w:r>
        <w:rPr>
          <w:sz w:val="20"/>
          <w:szCs w:val="20"/>
        </w:rPr>
        <w:t xml:space="preserve">Not verified: s. 19(1) as enacted refers to the Indian Evidence Act, 1872, since replaced by the Bharatiya Sakshya Adhiniyam, 2023 (the class note says “CPC and BSA”). Whether s. 19(1) was textually amended, or is read as referring to the new Act under general savings, should be checked in the bare Act. The substance is unaffected.</w:t>
      </w:r>
    </w:p>
    <w:p>
      <w:pPr>
        <w:pStyle w:val="Heading2"/>
        <w:keepNext/>
        <w:spacing w:after="110" w:before="240"/>
      </w:pPr>
      <w:r>
        <w:t xml:space="preserve">11.3  S. 20 — place of arbitration: seat and venue</w:t>
      </w:r>
    </w:p>
    <w:p>
      <w:pPr>
        <w:pStyle w:val="ListParagraph"/>
        <w:numPr>
          <w:ilvl w:val="0"/>
          <w:numId w:val="18"/>
        </w:numPr>
        <w:spacing w:after="70" w:line="262"/>
        <w:jc w:val="both"/>
      </w:pPr>
      <w:r>
        <w:rPr>
          <w:b/>
          <w:bCs/>
        </w:rPr>
        <w:t xml:space="preserve">(1)</w:t>
      </w:r>
      <w:r>
        <w:t xml:space="preserve"> The parties are free to agree the place of arbitration.</w:t>
      </w:r>
    </w:p>
    <w:p>
      <w:pPr>
        <w:pStyle w:val="ListParagraph"/>
        <w:numPr>
          <w:ilvl w:val="0"/>
          <w:numId w:val="18"/>
        </w:numPr>
        <w:spacing w:after="70" w:line="262"/>
        <w:jc w:val="both"/>
      </w:pPr>
      <w:r>
        <w:rPr>
          <w:b/>
          <w:bCs/>
        </w:rPr>
        <w:t xml:space="preserve">(2)</w:t>
      </w:r>
      <w:r>
        <w:t xml:space="preserve"> Failing agreement, the tribunal determines it having regard to the circumstances of the case, </w:t>
      </w:r>
      <w:r>
        <w:rPr>
          <w:b/>
          <w:bCs/>
        </w:rPr>
        <w:t xml:space="preserve">including the convenience of the parties</w:t>
      </w:r>
      <w:r>
        <w:t xml:space="preserve">.</w:t>
      </w:r>
    </w:p>
    <w:p>
      <w:pPr>
        <w:pStyle w:val="ListParagraph"/>
        <w:numPr>
          <w:ilvl w:val="0"/>
          <w:numId w:val="18"/>
        </w:numPr>
        <w:spacing w:after="70" w:line="262"/>
        <w:jc w:val="both"/>
      </w:pPr>
      <w:r>
        <w:rPr>
          <w:b/>
          <w:bCs/>
        </w:rPr>
        <w:t xml:space="preserve">(3)</w:t>
      </w:r>
      <w:r>
        <w:t xml:space="preserve"> Notwithstanding (1) and (2), the tribunal may, unless otherwise agreed, </w:t>
      </w:r>
      <w:r>
        <w:rPr>
          <w:b/>
          <w:bCs/>
        </w:rPr>
        <w:t xml:space="preserve">meet at any place</w:t>
      </w:r>
      <w:r>
        <w:t xml:space="preserve"> it considers appropriate for consultation among its members, for hearing witnesses, experts or the parties, or for inspection.</w:t>
      </w:r>
    </w:p>
    <w:p>
      <w:pPr>
        <w:spacing w:after="110" w:line="262"/>
        <w:jc w:val="both"/>
      </w:pPr>
      <w:r>
        <w:t xml:space="preserve">“Place” in (1) and (2) means the juridical </w:t>
      </w:r>
      <w:r>
        <w:rPr>
          <w:b/>
          <w:bCs/>
        </w:rPr>
        <w:t xml:space="preserve">seat</w:t>
      </w:r>
      <w:r>
        <w:t xml:space="preserve"> — a legal concept that fixes the </w:t>
      </w:r>
      <w:r>
        <w:rPr>
          <w:i/>
          <w:iCs/>
        </w:rPr>
        <w:t xml:space="preserve">lex arbitri</w:t>
      </w:r>
      <w:r>
        <w:t xml:space="preserve"> and identifies the supervising courts, including the set-aside jurisdiction. That is why </w:t>
      </w:r>
      <w:r>
        <w:rPr>
          <w:i/>
          <w:iCs/>
        </w:rPr>
        <w:t xml:space="preserve">BALCO</w:t>
      </w:r>
      <w:r>
        <w:t xml:space="preserve"> adopted a seat-centric approach (1.6). The </w:t>
      </w:r>
      <w:r>
        <w:rPr>
          <w:b/>
          <w:bCs/>
        </w:rPr>
        <w:t xml:space="preserve">venue</w:t>
      </w:r>
      <w:r>
        <w:t xml:space="preserve"> is where the tribunal in fact sits, and s. 20(3) lets it sit elsewhere without disturbing the seat; a tribunal may be seated in India and hear witnesses abroad, and the legal consequences follow the seat. Where no seat is chosen, the tribunal infers one from the circumstances — the class illustration being that where the same parties' earlier contracts expressly named a seat and the present one is silent, the tribunal may reasonably infer the same seat. That is an inference from circumstances, not a presumption of law.</w:t>
      </w:r>
    </w:p>
    <w:p>
      <w:pPr>
        <w:pStyle w:val="Heading2"/>
        <w:keepNext/>
        <w:spacing w:after="110" w:before="240"/>
      </w:pPr>
      <w:r>
        <w:t xml:space="preserve">11.4  S. 21 — commencement</w:t>
      </w:r>
    </w:p>
    <w:p>
      <w:pPr>
        <w:spacing w:after="110" w:line="262"/>
        <w:jc w:val="both"/>
      </w:pPr>
      <w:r>
        <w:t xml:space="preserve">Unless otherwise agreed, proceedings in respect of a particular dispute commence </w:t>
      </w:r>
      <w:r>
        <w:rPr>
          <w:b/>
          <w:bCs/>
        </w:rPr>
        <w:t xml:space="preserve">on the date the respondent receives the request for that dispute to be referred to arbitration</w:t>
      </w:r>
      <w:r>
        <w:t xml:space="preserve">. Three points: the trigger is </w:t>
      </w:r>
      <w:r>
        <w:rPr>
          <w:b/>
          <w:bCs/>
        </w:rPr>
        <w:t xml:space="preserve">receipt</w:t>
      </w:r>
      <w:r>
        <w:t xml:space="preserve">, not despatch; the request must relate to the particular dispute, so a general reservation of rights will not do; and this request is the </w:t>
      </w:r>
      <w:r>
        <w:rPr>
          <w:b/>
          <w:bCs/>
        </w:rPr>
        <w:t xml:space="preserve">notice of arbitration</w:t>
      </w:r>
      <w:r>
        <w:t xml:space="preserve">, to be distinguished from an earlier </w:t>
      </w:r>
      <w:r>
        <w:rPr>
          <w:b/>
          <w:bCs/>
        </w:rPr>
        <w:t xml:space="preserve">notice of dispute</w:t>
      </w:r>
      <w:r>
        <w:t xml:space="preserve"> or demand — the former invokes the arbitration agreement, the latter merely asserts a grievance, and in practice the notice of arbitration comes well after. The date matters for the ninety-day rule in s. 9(2), for limitation, and for the s. 17 power.</w:t>
      </w:r>
    </w:p>
    <w:p>
      <w:pPr>
        <w:pStyle w:val="Heading2"/>
        <w:keepNext/>
        <w:spacing w:after="110" w:before="240"/>
      </w:pPr>
      <w:r>
        <w:t xml:space="preserve">11.5  S. 22 — language</w:t>
      </w:r>
    </w:p>
    <w:p>
      <w:pPr>
        <w:spacing w:after="110" w:line="262"/>
        <w:jc w:val="both"/>
      </w:pPr>
      <w:r>
        <w:rPr>
          <w:b/>
          <w:bCs/>
        </w:rPr>
        <w:t xml:space="preserve">(1)</w:t>
      </w:r>
      <w:r>
        <w:t xml:space="preserve"> The parties may agree the language; </w:t>
      </w:r>
      <w:r>
        <w:rPr>
          <w:b/>
          <w:bCs/>
        </w:rPr>
        <w:t xml:space="preserve">(2)</w:t>
      </w:r>
      <w:r>
        <w:t xml:space="preserve"> failing agreement, the tribunal determines it; </w:t>
      </w:r>
      <w:r>
        <w:rPr>
          <w:b/>
          <w:bCs/>
        </w:rPr>
        <w:t xml:space="preserve">(3)</w:t>
      </w:r>
      <w:r>
        <w:t xml:space="preserve"> unless otherwise specified, the agreement or determination applies to </w:t>
      </w:r>
      <w:r>
        <w:rPr>
          <w:b/>
          <w:bCs/>
        </w:rPr>
        <w:t xml:space="preserve">any written statement by a party, any hearing, and any arbitral award, decision or other communication by or to the tribunal</w:t>
      </w:r>
      <w:r>
        <w:t xml:space="preserve">; </w:t>
      </w:r>
      <w:r>
        <w:rPr>
          <w:b/>
          <w:bCs/>
        </w:rPr>
        <w:t xml:space="preserve">(4)</w:t>
      </w:r>
      <w:r>
        <w:t xml:space="preserve"> the tribunal may order that documentary evidence be accompanied by a </w:t>
      </w:r>
      <w:r>
        <w:rPr>
          <w:b/>
          <w:bCs/>
        </w:rPr>
        <w:t xml:space="preserve">translation</w:t>
      </w:r>
      <w:r>
        <w:t xml:space="preserve">. Note that (3) reaches the tribunal's own output — awards and decisions — and not merely the parties' submissions.</w:t>
      </w:r>
    </w:p>
    <w:p>
      <w:pPr>
        <w:pStyle w:val="Heading2"/>
        <w:keepNext/>
        <w:spacing w:after="110" w:before="240"/>
      </w:pPr>
      <w:r>
        <w:t xml:space="preserve">11.6  S. 23 — statements of claim and defence</w:t>
      </w:r>
    </w:p>
    <w:p>
      <w:pPr>
        <w:spacing w:after="110" w:line="262"/>
        <w:jc w:val="both"/>
      </w:pPr>
      <w:r>
        <w:rPr>
          <w:b/>
          <w:bCs/>
        </w:rPr>
        <w:t xml:space="preserve">(1)</w:t>
      </w:r>
      <w:r>
        <w:t xml:space="preserve"> Within the time agreed or determined, the </w:t>
      </w:r>
      <w:r>
        <w:rPr>
          <w:b/>
          <w:bCs/>
        </w:rPr>
        <w:t xml:space="preserve">claimant</w:t>
      </w:r>
      <w:r>
        <w:t xml:space="preserve"> states (i) the facts supporting his claim, (ii) the points at issue and (iii) the relief or remedy sought; the </w:t>
      </w:r>
      <w:r>
        <w:rPr>
          <w:b/>
          <w:bCs/>
        </w:rPr>
        <w:t xml:space="preserve">respondent</w:t>
      </w:r>
      <w:r>
        <w:t xml:space="preserve"> states his defence in respect of these particulars, unless the parties have agreed otherwise on the required elements. These are the arbitral equivalents of plaint and written statement. </w:t>
      </w:r>
      <w:r>
        <w:rPr>
          <w:b/>
          <w:bCs/>
        </w:rPr>
        <w:t xml:space="preserve">(2)</w:t>
      </w:r>
      <w:r>
        <w:t xml:space="preserve"> The parties may submit all documents they consider relevant (the exhibits), or refer to documents and evidence they will submit.</w:t>
      </w:r>
    </w:p>
    <w:p>
      <w:pPr>
        <w:spacing w:after="110" w:line="262"/>
        <w:jc w:val="both"/>
      </w:pPr>
      <w:r>
        <w:rPr>
          <w:b/>
          <w:bCs/>
        </w:rPr>
        <w:t xml:space="preserve">(2A) Counterclaim and set-off</w:t>
      </w:r>
      <w:r>
        <w:t xml:space="preserve"> (inserted 2015). The respondent may submit a counterclaim or plead a set-off, which the tribunal shall adjudicate </w:t>
      </w:r>
      <w:r>
        <w:rPr>
          <w:b/>
          <w:bCs/>
        </w:rPr>
        <w:t xml:space="preserve">if it falls within the scope of the arbitration agreement</w:t>
      </w:r>
      <w:r>
        <w:t xml:space="preserve"> — the qualification is essential, jurisdiction being consensual. The two differ: a </w:t>
      </w:r>
      <w:r>
        <w:rPr>
          <w:b/>
          <w:bCs/>
        </w:rPr>
        <w:t xml:space="preserve">counterclaim</w:t>
      </w:r>
      <w:r>
        <w:t xml:space="preserve"> is an independent claim on which the respondent may recover affirmatively; a </w:t>
      </w:r>
      <w:r>
        <w:rPr>
          <w:b/>
          <w:bCs/>
        </w:rPr>
        <w:t xml:space="preserve">set-off</w:t>
      </w:r>
      <w:r>
        <w:t xml:space="preserve"> is defensive, reducing or extinguishing the claim and yielding no independent recovery.</w:t>
      </w:r>
    </w:p>
    <w:p>
      <w:pPr>
        <w:spacing w:after="110" w:line="262"/>
        <w:jc w:val="both"/>
      </w:pPr>
      <w:r>
        <w:rPr>
          <w:b/>
          <w:bCs/>
        </w:rPr>
        <w:t xml:space="preserve">(3) Amendment.</w:t>
      </w:r>
      <w:r>
        <w:t xml:space="preserve"> Unless otherwise agreed, either party may amend or supplement its claim or defence during the proceedings, </w:t>
      </w:r>
      <w:r>
        <w:rPr>
          <w:b/>
          <w:bCs/>
        </w:rPr>
        <w:t xml:space="preserve">unless the tribunal considers it inappropriate having regard to the delay</w:t>
      </w:r>
      <w:r>
        <w:t xml:space="preserve"> in making it. Permission is the rule and refusal the exception, and the ground of refusal named in the provision is delay — the class emphasis “no other ground” is a fair reading, though a tribunal will also refuse an amendment falling outside the arbitration agreement, for want of jurisdiction. The CPC comparison drawn in class is apt: amendments are generally allowed, the test being whether the amendment helps determine the </w:t>
      </w:r>
      <w:r>
        <w:rPr>
          <w:b/>
          <w:bCs/>
        </w:rPr>
        <w:t xml:space="preserve">real question in controversy</w:t>
      </w:r>
      <w:r>
        <w:t xml:space="preserve">.</w:t>
      </w:r>
    </w:p>
    <w:p>
      <w:pPr>
        <w:spacing w:after="110" w:line="262"/>
        <w:jc w:val="both"/>
      </w:pPr>
      <w:r>
        <w:rPr>
          <w:b/>
          <w:bCs/>
        </w:rPr>
        <w:t xml:space="preserve">(4) Six-month timetable</w:t>
      </w:r>
      <w:r>
        <w:t xml:space="preserve"> (inserted 2019). Claim and defence must be completed within </w:t>
      </w:r>
      <w:r>
        <w:rPr>
          <w:b/>
          <w:bCs/>
        </w:rPr>
        <w:t xml:space="preserve">six months from the date the arbitrator, or all the arbitrators, received written notice of appointment</w:t>
      </w:r>
      <w:r>
        <w:t xml:space="preserve">.</w:t>
      </w:r>
    </w:p>
    <w:p>
      <w:pPr>
        <w:pBdr>
          <w:left w:val="single" w:color="7A7A7A" w:sz="12" w:space="8"/>
        </w:pBdr>
        <w:spacing w:after="140" w:before="110" w:line="252"/>
        <w:ind w:left="288"/>
        <w:jc w:val="both"/>
      </w:pPr>
      <w:r>
        <w:rPr>
          <w:b/>
          <w:bCs/>
          <w:sz w:val="20"/>
          <w:szCs w:val="20"/>
        </w:rPr>
        <w:t xml:space="preserve">Correction.</w:t>
      </w:r>
      <w:r>
        <w:rPr>
          <w:sz w:val="20"/>
          <w:szCs w:val="20"/>
        </w:rPr>
        <w:t xml:space="preserve"> The class notes cite this as “s. 23(9)”. </w:t>
      </w:r>
      <w:r>
        <w:rPr>
          <w:b/>
          <w:bCs/>
          <w:sz w:val="20"/>
          <w:szCs w:val="20"/>
        </w:rPr>
        <w:t xml:space="preserve">There is no s. 23(9)</w:t>
      </w:r>
      <w:r>
        <w:rPr>
          <w:sz w:val="20"/>
          <w:szCs w:val="20"/>
        </w:rPr>
        <w:t xml:space="preserve"> — the provision is </w:t>
      </w:r>
      <w:r>
        <w:rPr>
          <w:b/>
          <w:bCs/>
          <w:sz w:val="20"/>
          <w:szCs w:val="20"/>
        </w:rPr>
        <w:t xml:space="preserve">s. 23(4)</w:t>
      </w:r>
      <w:r>
        <w:rPr>
          <w:sz w:val="20"/>
          <w:szCs w:val="20"/>
        </w:rPr>
        <w:t xml:space="preserve">. The relationship intended is with </w:t>
      </w:r>
      <w:r>
        <w:rPr>
          <w:b/>
          <w:bCs/>
          <w:sz w:val="20"/>
          <w:szCs w:val="20"/>
        </w:rPr>
        <w:t xml:space="preserve">s. 29A</w:t>
      </w:r>
      <w:r>
        <w:rPr>
          <w:sz w:val="20"/>
          <w:szCs w:val="20"/>
        </w:rPr>
        <w:t xml:space="preserve">, not with a sub-section of s. 23: under s. 29A(1) as amended in 2019, the twelve months for making the award run from completion of pleadings under s. 23(4). The two periods are therefore consecutive, which is the point the notes record as “exclusive”.</w:t>
      </w:r>
    </w:p>
    <w:p>
      <w:pPr>
        <w:spacing w:after="110" w:line="262"/>
        <w:jc w:val="both"/>
      </w:pPr>
      <w:r>
        <w:t xml:space="preserve">For completeness on s. 29A (outside the prescribed topics, noted for the link): the award is due within twelve months of completion of pleadings; the parties may extend by consent by up to six months (s. 29A(3)); beyond that only a court may extend, for sufficient cause (s. 29A(4)–(5)). For </w:t>
      </w:r>
      <w:r>
        <w:rPr>
          <w:b/>
          <w:bCs/>
        </w:rPr>
        <w:t xml:space="preserve">ICA</w:t>
      </w:r>
      <w:r>
        <w:t xml:space="preserve"> the twelve months is </w:t>
      </w:r>
      <w:r>
        <w:rPr>
          <w:b/>
          <w:bCs/>
        </w:rPr>
        <w:t xml:space="preserve">directory, not mandatory</w:t>
      </w:r>
      <w:r>
        <w:t xml:space="preserve"> — the tribunal is expected to endeavour to finish within twelve months but is not bound by the domestic limit: </w:t>
      </w:r>
      <w:r>
        <w:rPr>
          <w:i/>
          <w:iCs/>
        </w:rPr>
        <w:t xml:space="preserve">Tata Sons Pvt. Ltd. v. Siva Industries and Holdings Ltd.</w:t>
      </w:r>
      <w:r>
        <w:t xml:space="preserve"> (SC, 5 January 2023). The report citation for that case was not confirmed.</w:t>
      </w:r>
    </w:p>
    <w:p>
      <w:pPr>
        <w:pStyle w:val="Heading2"/>
        <w:keepNext/>
        <w:spacing w:after="110" w:before="240"/>
      </w:pPr>
      <w:r>
        <w:t xml:space="preserve">11.7  S. 24 — hearings and written proceedings</w:t>
      </w:r>
    </w:p>
    <w:p>
      <w:pPr>
        <w:spacing w:after="110" w:line="262"/>
        <w:jc w:val="both"/>
      </w:pPr>
      <w:r>
        <w:rPr>
          <w:b/>
          <w:bCs/>
        </w:rPr>
        <w:t xml:space="preserve">(1)</w:t>
      </w:r>
      <w:r>
        <w:t xml:space="preserve"> Unless otherwise agreed, the tribunal decides whether to hold oral hearings for evidence or argument, or to proceed on documents and other materials — a </w:t>
      </w:r>
      <w:r>
        <w:rPr>
          <w:b/>
          <w:bCs/>
        </w:rPr>
        <w:t xml:space="preserve">documents-only arbitration</w:t>
      </w:r>
      <w:r>
        <w:t xml:space="preserve">. The discretion is heavily qualified:</w:t>
      </w:r>
    </w:p>
    <w:p>
      <w:pPr>
        <w:pStyle w:val="ListParagraph"/>
        <w:numPr>
          <w:ilvl w:val="0"/>
          <w:numId w:val="19"/>
        </w:numPr>
        <w:spacing w:after="70" w:line="262"/>
        <w:jc w:val="both"/>
      </w:pPr>
      <w:r>
        <w:rPr>
          <w:b/>
          <w:bCs/>
        </w:rPr>
        <w:t xml:space="preserve">First proviso.</w:t>
      </w:r>
      <w:r>
        <w:t xml:space="preserve"> The tribunal </w:t>
      </w:r>
      <w:r>
        <w:rPr>
          <w:b/>
          <w:bCs/>
        </w:rPr>
        <w:t xml:space="preserve">shall</w:t>
      </w:r>
      <w:r>
        <w:t xml:space="preserve"> hold oral hearings, at an appropriate stage, </w:t>
      </w:r>
      <w:r>
        <w:rPr>
          <w:b/>
          <w:bCs/>
        </w:rPr>
        <w:t xml:space="preserve">on a party's request</w:t>
      </w:r>
      <w:r>
        <w:t xml:space="preserve">, unless the parties have agreed there shall be none. In effect a party is entitled to an oral hearing on asking. Dispensing with it is the </w:t>
      </w:r>
      <w:r>
        <w:rPr>
          <w:b/>
          <w:bCs/>
        </w:rPr>
        <w:t xml:space="preserve">exception</w:t>
      </w:r>
      <w:r>
        <w:t xml:space="preserve">, requiring either agreement or a case decidable on the papers — a dispute turning on complicated facts calls for oral hearing; one capable of decision on documents may not.</w:t>
      </w:r>
    </w:p>
    <w:p>
      <w:pPr>
        <w:pStyle w:val="ListParagraph"/>
        <w:numPr>
          <w:ilvl w:val="0"/>
          <w:numId w:val="19"/>
        </w:numPr>
        <w:spacing w:after="70" w:line="262"/>
        <w:jc w:val="both"/>
      </w:pPr>
      <w:r>
        <w:rPr>
          <w:b/>
          <w:bCs/>
        </w:rPr>
        <w:t xml:space="preserve">Second proviso.</w:t>
      </w:r>
      <w:r>
        <w:t xml:space="preserve"> The tribunal shall, so far as possible, hold oral hearings </w:t>
      </w:r>
      <w:r>
        <w:rPr>
          <w:b/>
          <w:bCs/>
        </w:rPr>
        <w:t xml:space="preserve">on a day-to-day basis</w:t>
      </w:r>
      <w:r>
        <w:t xml:space="preserve">, shall </w:t>
      </w:r>
      <w:r>
        <w:rPr>
          <w:b/>
          <w:bCs/>
        </w:rPr>
        <w:t xml:space="preserve">not grant any adjournment unless sufficient cause is made out</w:t>
      </w:r>
      <w:r>
        <w:t xml:space="preserve">, and </w:t>
      </w:r>
      <w:r>
        <w:rPr>
          <w:b/>
          <w:bCs/>
        </w:rPr>
        <w:t xml:space="preserve">may impose costs, including exemplary costs</w:t>
      </w:r>
      <w:r>
        <w:t xml:space="preserve">, on a party seeking an adjournment without sufficient cause. This is the Act's principal weapon against the tactical adjournment.</w:t>
      </w:r>
    </w:p>
    <w:p>
      <w:pPr>
        <w:spacing w:after="110" w:line="262"/>
        <w:jc w:val="both"/>
      </w:pPr>
      <w:r>
        <w:rPr>
          <w:b/>
          <w:bCs/>
        </w:rPr>
        <w:t xml:space="preserve">(2)</w:t>
      </w:r>
      <w:r>
        <w:t xml:space="preserve"> The parties must be given </w:t>
      </w:r>
      <w:r>
        <w:rPr>
          <w:b/>
          <w:bCs/>
        </w:rPr>
        <w:t xml:space="preserve">sufficient advance notice</w:t>
      </w:r>
      <w:r>
        <w:t xml:space="preserve"> of any hearing and of any meeting for inspection of documents, goods or property. </w:t>
      </w:r>
      <w:r>
        <w:rPr>
          <w:b/>
          <w:bCs/>
        </w:rPr>
        <w:t xml:space="preserve">(3)</w:t>
      </w:r>
      <w:r>
        <w:t xml:space="preserve"> All statements, documents, information and applications supplied to the tribunal by one party </w:t>
      </w:r>
      <w:r>
        <w:rPr>
          <w:b/>
          <w:bCs/>
        </w:rPr>
        <w:t xml:space="preserve">must be communicated to the other</w:t>
      </w:r>
      <w:r>
        <w:t xml:space="preserve">, and any expert report or evidentiary document on which the tribunal may rely must be communicated to the parties. These two are s. 18 in operation: a party cannot have a full opportunity if it does not know when the tribunal sits or what material it has. S. 24(3) also bars the tribunal from relying on material the parties have not seen — carried further by s. 26.</w:t>
      </w:r>
    </w:p>
    <w:p>
      <w:pPr>
        <w:pStyle w:val="Heading2"/>
        <w:keepNext/>
        <w:spacing w:after="110" w:before="240"/>
      </w:pPr>
      <w:r>
        <w:t xml:space="preserve">11.8  S. 25 — default of a party</w:t>
      </w:r>
    </w:p>
    <w:p>
      <w:pPr>
        <w:spacing w:after="110" w:line="262"/>
        <w:jc w:val="both"/>
      </w:pPr>
      <w:r>
        <w:t xml:space="preserve">Unless otherwise agreed, where </w:t>
      </w:r>
      <w:r>
        <w:rPr>
          <w:b/>
          <w:bCs/>
        </w:rPr>
        <w:t xml:space="preserve">without showing sufficient cause</w:t>
      </w:r>
      <w:r>
        <w:t xml:space="preserve">—</w:t>
      </w:r>
    </w:p>
    <w:tbl>
      <w:tblPr>
        <w:tblW w:type="dxa" w:w="8850"/>
        <w:tblBorders>
          <w:top w:val="single" w:color="8A8A8A" w:sz="3"/>
          <w:left w:val="single" w:color="8A8A8A" w:sz="3"/>
          <w:bottom w:val="single" w:color="8A8A8A" w:sz="3"/>
          <w:right w:val="single" w:color="8A8A8A" w:sz="3"/>
          <w:insideH w:val="single" w:color="C4C4C4" w:sz="2"/>
          <w:insideV w:val="single" w:color="C4C4C4" w:sz="2"/>
        </w:tblBorders>
      </w:tblPr>
      <w:tblGrid>
        <w:gridCol w:w="3550"/>
        <w:gridCol w:w="5300"/>
      </w:tblGrid>
      <w:tr>
        <w:trPr>
          <w:tblHeader/>
        </w:trPr>
        <w:tc>
          <w:tcPr>
            <w:tcW w:type="dxa" w:w="3550"/>
            <w:shd w:fill="EDEDED" w:val="clear"/>
            <w:tcMar>
              <w:top w:type="dxa" w:w="70"/>
              <w:left w:type="dxa" w:w="110"/>
              <w:bottom w:type="dxa" w:w="70"/>
              <w:right w:type="dxa" w:w="110"/>
            </w:tcMar>
          </w:tcPr>
          <w:p>
            <w:pPr>
              <w:spacing w:after="0" w:line="244"/>
            </w:pPr>
            <w:r>
              <w:rPr>
                <w:b/>
                <w:bCs/>
                <w:sz w:val="19"/>
                <w:szCs w:val="19"/>
              </w:rPr>
              <w:t xml:space="preserve">Default</w:t>
            </w:r>
          </w:p>
        </w:tc>
        <w:tc>
          <w:tcPr>
            <w:tcW w:type="dxa" w:w="5300"/>
            <w:shd w:fill="EDEDED" w:val="clear"/>
            <w:tcMar>
              <w:top w:type="dxa" w:w="70"/>
              <w:left w:type="dxa" w:w="110"/>
              <w:bottom w:type="dxa" w:w="70"/>
              <w:right w:type="dxa" w:w="110"/>
            </w:tcMar>
          </w:tcPr>
          <w:p>
            <w:pPr>
              <w:spacing w:after="0" w:line="244"/>
            </w:pPr>
            <w:r>
              <w:rPr>
                <w:b/>
                <w:bCs/>
                <w:sz w:val="19"/>
                <w:szCs w:val="19"/>
              </w:rPr>
              <w:t xml:space="preserve">Consequence</w:t>
            </w:r>
          </w:p>
        </w:tc>
      </w:tr>
      <w:tr>
        <w:tc>
          <w:tcPr>
            <w:tcW w:type="dxa" w:w="3550"/>
            <w:tcMar>
              <w:top w:type="dxa" w:w="70"/>
              <w:left w:type="dxa" w:w="110"/>
              <w:bottom w:type="dxa" w:w="70"/>
              <w:right w:type="dxa" w:w="110"/>
            </w:tcMar>
          </w:tcPr>
          <w:p>
            <w:pPr>
              <w:spacing w:after="0" w:line="244"/>
            </w:pPr>
            <w:r>
              <w:rPr>
                <w:b w:val="false"/>
                <w:bCs w:val="false"/>
                <w:sz w:val="19"/>
                <w:szCs w:val="19"/>
              </w:rPr>
              <w:t xml:space="preserve">(a)</w:t>
            </w:r>
            <w:r>
              <w:rPr>
                <w:b w:val="false"/>
                <w:bCs w:val="false"/>
                <w:sz w:val="19"/>
                <w:szCs w:val="19"/>
              </w:rPr>
              <w:t xml:space="preserve"> the claimant fails to communicate his statement of claim under s. 23(1)</w:t>
            </w:r>
          </w:p>
        </w:tc>
        <w:tc>
          <w:tcPr>
            <w:tcW w:type="dxa" w:w="5300"/>
            <w:tcMar>
              <w:top w:type="dxa" w:w="70"/>
              <w:left w:type="dxa" w:w="110"/>
              <w:bottom w:type="dxa" w:w="70"/>
              <w:right w:type="dxa" w:w="110"/>
            </w:tcMar>
          </w:tcPr>
          <w:p>
            <w:pPr>
              <w:spacing w:after="0" w:line="244"/>
            </w:pPr>
            <w:r>
              <w:rPr>
                <w:b w:val="false"/>
                <w:bCs w:val="false"/>
                <w:sz w:val="19"/>
                <w:szCs w:val="19"/>
              </w:rPr>
              <w:t xml:space="preserve">The tribunal </w:t>
            </w:r>
            <w:r>
              <w:rPr>
                <w:b w:val="false"/>
                <w:bCs w:val="false"/>
                <w:sz w:val="19"/>
                <w:szCs w:val="19"/>
              </w:rPr>
              <w:t xml:space="preserve">shall terminate</w:t>
            </w:r>
            <w:r>
              <w:rPr>
                <w:b w:val="false"/>
                <w:bCs w:val="false"/>
                <w:sz w:val="19"/>
                <w:szCs w:val="19"/>
              </w:rPr>
              <w:t xml:space="preserve"> the proceedings — there is no claim to try.</w:t>
            </w:r>
          </w:p>
        </w:tc>
      </w:tr>
      <w:tr>
        <w:tc>
          <w:tcPr>
            <w:tcW w:type="dxa" w:w="3550"/>
            <w:tcMar>
              <w:top w:type="dxa" w:w="70"/>
              <w:left w:type="dxa" w:w="110"/>
              <w:bottom w:type="dxa" w:w="70"/>
              <w:right w:type="dxa" w:w="110"/>
            </w:tcMar>
          </w:tcPr>
          <w:p>
            <w:pPr>
              <w:spacing w:after="0" w:line="244"/>
            </w:pPr>
            <w:r>
              <w:rPr>
                <w:b w:val="false"/>
                <w:bCs w:val="false"/>
                <w:sz w:val="19"/>
                <w:szCs w:val="19"/>
              </w:rPr>
              <w:t xml:space="preserve">(b)</w:t>
            </w:r>
            <w:r>
              <w:rPr>
                <w:b w:val="false"/>
                <w:bCs w:val="false"/>
                <w:sz w:val="19"/>
                <w:szCs w:val="19"/>
              </w:rPr>
              <w:t xml:space="preserve"> the respondent fails to communicate his statement of defence under s. 23(1)</w:t>
            </w:r>
          </w:p>
        </w:tc>
        <w:tc>
          <w:tcPr>
            <w:tcW w:type="dxa" w:w="5300"/>
            <w:tcMar>
              <w:top w:type="dxa" w:w="70"/>
              <w:left w:type="dxa" w:w="110"/>
              <w:bottom w:type="dxa" w:w="70"/>
              <w:right w:type="dxa" w:w="110"/>
            </w:tcMar>
          </w:tcPr>
          <w:p>
            <w:pPr>
              <w:spacing w:after="0" w:line="244"/>
            </w:pPr>
            <w:r>
              <w:rPr>
                <w:b w:val="false"/>
                <w:bCs w:val="false"/>
                <w:sz w:val="19"/>
                <w:szCs w:val="19"/>
              </w:rPr>
              <w:t xml:space="preserve">The tribunal </w:t>
            </w:r>
            <w:r>
              <w:rPr>
                <w:b w:val="false"/>
                <w:bCs w:val="false"/>
                <w:sz w:val="19"/>
                <w:szCs w:val="19"/>
              </w:rPr>
              <w:t xml:space="preserve">shall continue</w:t>
            </w:r>
            <w:r>
              <w:rPr>
                <w:b w:val="false"/>
                <w:bCs w:val="false"/>
                <w:sz w:val="19"/>
                <w:szCs w:val="19"/>
              </w:rPr>
              <w:t xml:space="preserve">, </w:t>
            </w:r>
            <w:r>
              <w:rPr>
                <w:b w:val="false"/>
                <w:bCs w:val="false"/>
                <w:sz w:val="19"/>
                <w:szCs w:val="19"/>
              </w:rPr>
              <w:t xml:space="preserve">without treating that failure in itself as an admission of the claimant's allegations</w:t>
            </w:r>
            <w:r>
              <w:rPr>
                <w:b w:val="false"/>
                <w:bCs w:val="false"/>
                <w:sz w:val="19"/>
                <w:szCs w:val="19"/>
              </w:rPr>
              <w:t xml:space="preserve">, and has discretion to treat the right to file the defence as </w:t>
            </w:r>
            <w:r>
              <w:rPr>
                <w:b w:val="false"/>
                <w:bCs w:val="false"/>
                <w:sz w:val="19"/>
                <w:szCs w:val="19"/>
              </w:rPr>
              <w:t xml:space="preserve">forfeited</w:t>
            </w:r>
            <w:r>
              <w:rPr>
                <w:b w:val="false"/>
                <w:bCs w:val="false"/>
                <w:sz w:val="19"/>
                <w:szCs w:val="19"/>
              </w:rPr>
              <w:t xml:space="preserve">.</w:t>
            </w:r>
          </w:p>
        </w:tc>
      </w:tr>
      <w:tr>
        <w:tc>
          <w:tcPr>
            <w:tcW w:type="dxa" w:w="3550"/>
            <w:tcMar>
              <w:top w:type="dxa" w:w="70"/>
              <w:left w:type="dxa" w:w="110"/>
              <w:bottom w:type="dxa" w:w="70"/>
              <w:right w:type="dxa" w:w="110"/>
            </w:tcMar>
          </w:tcPr>
          <w:p>
            <w:pPr>
              <w:spacing w:after="0" w:line="244"/>
            </w:pPr>
            <w:r>
              <w:rPr>
                <w:b w:val="false"/>
                <w:bCs w:val="false"/>
                <w:sz w:val="19"/>
                <w:szCs w:val="19"/>
              </w:rPr>
              <w:t xml:space="preserve">(c)</w:t>
            </w:r>
            <w:r>
              <w:rPr>
                <w:b w:val="false"/>
                <w:bCs w:val="false"/>
                <w:sz w:val="19"/>
                <w:szCs w:val="19"/>
              </w:rPr>
              <w:t xml:space="preserve"> a party fails to appear at an oral hearing or to produce documentary evidence</w:t>
            </w:r>
          </w:p>
        </w:tc>
        <w:tc>
          <w:tcPr>
            <w:tcW w:type="dxa" w:w="5300"/>
            <w:tcMar>
              <w:top w:type="dxa" w:w="70"/>
              <w:left w:type="dxa" w:w="110"/>
              <w:bottom w:type="dxa" w:w="70"/>
              <w:right w:type="dxa" w:w="110"/>
            </w:tcMar>
          </w:tcPr>
          <w:p>
            <w:pPr>
              <w:spacing w:after="0" w:line="244"/>
            </w:pPr>
            <w:r>
              <w:rPr>
                <w:b w:val="false"/>
                <w:bCs w:val="false"/>
                <w:sz w:val="19"/>
                <w:szCs w:val="19"/>
              </w:rPr>
              <w:t xml:space="preserve">The tribunal </w:t>
            </w:r>
            <w:r>
              <w:rPr>
                <w:b w:val="false"/>
                <w:bCs w:val="false"/>
                <w:sz w:val="19"/>
                <w:szCs w:val="19"/>
              </w:rPr>
              <w:t xml:space="preserve">may continue</w:t>
            </w:r>
            <w:r>
              <w:rPr>
                <w:b w:val="false"/>
                <w:bCs w:val="false"/>
                <w:sz w:val="19"/>
                <w:szCs w:val="19"/>
              </w:rPr>
              <w:t xml:space="preserve"> and make the award </w:t>
            </w:r>
            <w:r>
              <w:rPr>
                <w:b w:val="false"/>
                <w:bCs w:val="false"/>
                <w:sz w:val="19"/>
                <w:szCs w:val="19"/>
              </w:rPr>
              <w:t xml:space="preserve">on the evidence before it</w:t>
            </w:r>
            <w:r>
              <w:rPr>
                <w:b w:val="false"/>
                <w:bCs w:val="false"/>
                <w:sz w:val="19"/>
                <w:szCs w:val="19"/>
              </w:rPr>
              <w:t xml:space="preserve">.</w:t>
            </w:r>
          </w:p>
        </w:tc>
      </w:tr>
    </w:tbl>
    <w:p>
      <w:pPr>
        <w:spacing w:after="110"/>
      </w:pPr>
      <w:r>
        <w:rPr>
          <w:sz w:val="10"/>
          <w:szCs w:val="10"/>
        </w:rPr>
        <w:t xml:space="preserve"/>
      </w:r>
    </w:p>
    <w:p>
      <w:pPr>
        <w:spacing w:after="110" w:line="262"/>
        <w:jc w:val="both"/>
      </w:pPr>
      <w:r>
        <w:t xml:space="preserve">Clause (b) repays attention: the words about not treating default as an admission were added in 2015, and they matter — a respondent's default is </w:t>
      </w:r>
      <w:r>
        <w:rPr>
          <w:b/>
          <w:bCs/>
        </w:rPr>
        <w:t xml:space="preserve">not</w:t>
      </w:r>
      <w:r>
        <w:t xml:space="preserve"> a concession. The claimant must still prove its case and the tribunal must still decide on the evidence, which distinguishes the arbitral position from the consequences of non-filing of a written statement in some civil proceedings. The consequences the class notes group as “civil penalties” — forfeiture of the right to file the defence, and with it the opportunity to examine witnesses, and imposition of costs — are procedural consequences designed to keep the arbitration moving, not punishments, and operate only where no sufficient cause is shown.</w:t>
      </w:r>
    </w:p>
    <w:p>
      <w:pPr>
        <w:pStyle w:val="Heading2"/>
        <w:keepNext/>
        <w:spacing w:after="110" w:before="240"/>
      </w:pPr>
      <w:r>
        <w:t xml:space="preserve">11.9  S. 26 — expert appointed by the tribunal</w:t>
      </w:r>
    </w:p>
    <w:tbl>
      <w:tblPr>
        <w:tblW w:type="dxa" w:w="8850"/>
        <w:tblBorders>
          <w:top w:val="single" w:color="8A8A8A" w:sz="3"/>
          <w:left w:val="single" w:color="8A8A8A" w:sz="3"/>
          <w:bottom w:val="single" w:color="8A8A8A" w:sz="3"/>
          <w:right w:val="single" w:color="8A8A8A" w:sz="3"/>
          <w:insideH w:val="single" w:color="C4C4C4" w:sz="2"/>
          <w:insideV w:val="single" w:color="C4C4C4" w:sz="2"/>
        </w:tblBorders>
      </w:tblPr>
      <w:tblGrid>
        <w:gridCol w:w="2100"/>
        <w:gridCol w:w="6750"/>
      </w:tblGrid>
      <w:tr>
        <w:trPr>
          <w:tblHeader/>
        </w:trPr>
        <w:tc>
          <w:tcPr>
            <w:tcW w:type="dxa" w:w="2100"/>
            <w:shd w:fill="EDEDED" w:val="clear"/>
            <w:tcMar>
              <w:top w:type="dxa" w:w="70"/>
              <w:left w:type="dxa" w:w="110"/>
              <w:bottom w:type="dxa" w:w="70"/>
              <w:right w:type="dxa" w:w="110"/>
            </w:tcMar>
          </w:tcPr>
          <w:p>
            <w:pPr>
              <w:spacing w:after="0" w:line="244"/>
            </w:pPr>
            <w:r>
              <w:rPr>
                <w:b/>
                <w:bCs/>
                <w:sz w:val="19"/>
                <w:szCs w:val="19"/>
              </w:rPr>
              <w:t xml:space="preserve">Type of expert</w:t>
            </w:r>
          </w:p>
        </w:tc>
        <w:tc>
          <w:tcPr>
            <w:tcW w:type="dxa" w:w="6750"/>
            <w:shd w:fill="EDEDED" w:val="clear"/>
            <w:tcMar>
              <w:top w:type="dxa" w:w="70"/>
              <w:left w:type="dxa" w:w="110"/>
              <w:bottom w:type="dxa" w:w="70"/>
              <w:right w:type="dxa" w:w="110"/>
            </w:tcMar>
          </w:tcPr>
          <w:p>
            <w:pPr>
              <w:spacing w:after="0" w:line="244"/>
            </w:pPr>
            <w:r>
              <w:rPr>
                <w:b/>
                <w:bCs/>
                <w:sz w:val="19"/>
                <w:szCs w:val="19"/>
              </w:rPr>
              <w:t xml:space="preserve">Character</w:t>
            </w:r>
          </w:p>
        </w:tc>
      </w:tr>
      <w:tr>
        <w:tc>
          <w:tcPr>
            <w:tcW w:type="dxa" w:w="2100"/>
            <w:tcMar>
              <w:top w:type="dxa" w:w="70"/>
              <w:left w:type="dxa" w:w="110"/>
              <w:bottom w:type="dxa" w:w="70"/>
              <w:right w:type="dxa" w:w="110"/>
            </w:tcMar>
          </w:tcPr>
          <w:p>
            <w:pPr>
              <w:spacing w:after="0" w:line="244"/>
            </w:pPr>
            <w:r>
              <w:rPr>
                <w:b w:val="false"/>
                <w:bCs w:val="false"/>
                <w:sz w:val="19"/>
                <w:szCs w:val="19"/>
              </w:rPr>
              <w:t xml:space="preserve">Party-appointed</w:t>
            </w:r>
          </w:p>
        </w:tc>
        <w:tc>
          <w:tcPr>
            <w:tcW w:type="dxa" w:w="6750"/>
            <w:tcMar>
              <w:top w:type="dxa" w:w="70"/>
              <w:left w:type="dxa" w:w="110"/>
              <w:bottom w:type="dxa" w:w="70"/>
              <w:right w:type="dxa" w:w="110"/>
            </w:tcMar>
          </w:tcPr>
          <w:p>
            <w:pPr>
              <w:spacing w:after="0" w:line="244"/>
            </w:pPr>
            <w:r>
              <w:rPr>
                <w:b w:val="false"/>
                <w:bCs w:val="false"/>
                <w:sz w:val="19"/>
                <w:szCs w:val="19"/>
              </w:rPr>
              <w:t xml:space="preserve">Retained and instructed by a party in support of its case — a witness, tested by cross-examination. S. 26(2) expressly preserves a party's right to present its own expert witnesses.</w:t>
            </w:r>
          </w:p>
        </w:tc>
      </w:tr>
      <w:tr>
        <w:tc>
          <w:tcPr>
            <w:tcW w:type="dxa" w:w="2100"/>
            <w:tcMar>
              <w:top w:type="dxa" w:w="70"/>
              <w:left w:type="dxa" w:w="110"/>
              <w:bottom w:type="dxa" w:w="70"/>
              <w:right w:type="dxa" w:w="110"/>
            </w:tcMar>
          </w:tcPr>
          <w:p>
            <w:pPr>
              <w:spacing w:after="0" w:line="244"/>
            </w:pPr>
            <w:r>
              <w:rPr>
                <w:b w:val="false"/>
                <w:bCs w:val="false"/>
                <w:sz w:val="19"/>
                <w:szCs w:val="19"/>
              </w:rPr>
              <w:t xml:space="preserve">Tribunal-appointed</w:t>
            </w:r>
          </w:p>
        </w:tc>
        <w:tc>
          <w:tcPr>
            <w:tcW w:type="dxa" w:w="6750"/>
            <w:tcMar>
              <w:top w:type="dxa" w:w="70"/>
              <w:left w:type="dxa" w:w="110"/>
              <w:bottom w:type="dxa" w:w="70"/>
              <w:right w:type="dxa" w:w="110"/>
            </w:tcMar>
          </w:tcPr>
          <w:p>
            <w:pPr>
              <w:spacing w:after="0" w:line="244"/>
            </w:pPr>
            <w:r>
              <w:rPr>
                <w:b w:val="false"/>
                <w:bCs w:val="false"/>
                <w:sz w:val="19"/>
                <w:szCs w:val="19"/>
              </w:rPr>
              <w:t xml:space="preserve">Appointed under s. 26(1) to report to the tribunal on issues the tribunal identifies. Because the tribunal commissioned the report and may rely on it, s. 26 builds in safeguards.</w:t>
            </w:r>
          </w:p>
        </w:tc>
      </w:tr>
    </w:tbl>
    <w:p>
      <w:pPr>
        <w:spacing w:after="110"/>
      </w:pPr>
      <w:r>
        <w:rPr>
          <w:sz w:val="10"/>
          <w:szCs w:val="10"/>
        </w:rPr>
        <w:t xml:space="preserve"/>
      </w:r>
    </w:p>
    <w:p>
      <w:pPr>
        <w:spacing w:after="110" w:line="262"/>
        <w:jc w:val="both"/>
      </w:pPr>
      <w:r>
        <w:t xml:space="preserve">Unless otherwise agreed: </w:t>
      </w:r>
      <w:r>
        <w:rPr>
          <w:b/>
          <w:bCs/>
        </w:rPr>
        <w:t xml:space="preserve">(1)</w:t>
      </w:r>
      <w:r>
        <w:t xml:space="preserve"> the tribunal may (a) appoint one or more experts to report on </w:t>
      </w:r>
      <w:r>
        <w:rPr>
          <w:b/>
          <w:bCs/>
        </w:rPr>
        <w:t xml:space="preserve">specific issues to be determined by the tribunal</w:t>
      </w:r>
      <w:r>
        <w:t xml:space="preserve">, and (b) require a party to give the expert relevant information or to produce or provide access to relevant documents, goods or property; </w:t>
      </w:r>
      <w:r>
        <w:rPr>
          <w:b/>
          <w:bCs/>
        </w:rPr>
        <w:t xml:space="preserve">(2)</w:t>
      </w:r>
      <w:r>
        <w:t xml:space="preserve"> if a party requests or the tribunal considers it necessary, the expert shall, after delivering his report, </w:t>
      </w:r>
      <w:r>
        <w:rPr>
          <w:b/>
          <w:bCs/>
        </w:rPr>
        <w:t xml:space="preserve">participate in an oral hearing</w:t>
      </w:r>
      <w:r>
        <w:t xml:space="preserve"> where the parties may put questions to him and present their own expert witnesses; </w:t>
      </w:r>
      <w:r>
        <w:rPr>
          <w:b/>
          <w:bCs/>
        </w:rPr>
        <w:t xml:space="preserve">(3)</w:t>
      </w:r>
      <w:r>
        <w:t xml:space="preserve"> on a party's request the expert shall </w:t>
      </w:r>
      <w:r>
        <w:rPr>
          <w:b/>
          <w:bCs/>
        </w:rPr>
        <w:t xml:space="preserve">make available for examination</w:t>
      </w:r>
      <w:r>
        <w:t xml:space="preserve"> all documents, goods or property in his possession with which he was provided to prepare the report.</w:t>
      </w:r>
    </w:p>
    <w:p>
      <w:pPr>
        <w:spacing w:after="110" w:line="262"/>
        <w:jc w:val="both"/>
      </w:pPr>
      <w:r>
        <w:t xml:space="preserve">Sub-sections (2) and (3) are the due process safeguards — the expert can be questioned, a competing expert can be called, and the foundation of the report can be inspected. The same principle as s. 24(3). The mandate is confined to the specific issues identified: the expert does not decide the dispute, and the tribunal cannot delegate its adjudicative function to him.</w:t>
      </w:r>
    </w:p>
    <w:p>
      <w:pPr>
        <w:pStyle w:val="Heading1"/>
        <w:keepNext/>
        <w:pBdr>
          <w:top w:val="single" w:color="999999" w:sz="8" w:space="10"/>
        </w:pBdr>
        <w:spacing w:after="170" w:before="460"/>
      </w:pPr>
      <w:r>
        <w:t xml:space="preserve">12  Corrections and Cautions</w:t>
      </w:r>
    </w:p>
    <w:p>
      <w:pPr>
        <w:pStyle w:val="Heading2"/>
        <w:keepNext/>
        <w:spacing w:after="110" w:before="240"/>
      </w:pPr>
      <w:r>
        <w:t xml:space="preserve">12.1  Errors in the class notes, corrected</w:t>
      </w:r>
    </w:p>
    <w:tbl>
      <w:tblPr>
        <w:tblW w:type="dxa" w:w="8850"/>
        <w:tblBorders>
          <w:top w:val="single" w:color="8A8A8A" w:sz="3"/>
          <w:left w:val="single" w:color="8A8A8A" w:sz="3"/>
          <w:bottom w:val="single" w:color="8A8A8A" w:sz="3"/>
          <w:right w:val="single" w:color="8A8A8A" w:sz="3"/>
          <w:insideH w:val="single" w:color="C4C4C4" w:sz="2"/>
          <w:insideV w:val="single" w:color="C4C4C4" w:sz="2"/>
        </w:tblBorders>
      </w:tblPr>
      <w:tblGrid>
        <w:gridCol w:w="3400"/>
        <w:gridCol w:w="5450"/>
      </w:tblGrid>
      <w:tr>
        <w:trPr>
          <w:tblHeader/>
        </w:trPr>
        <w:tc>
          <w:tcPr>
            <w:tcW w:type="dxa" w:w="3400"/>
            <w:shd w:fill="EDEDED" w:val="clear"/>
            <w:tcMar>
              <w:top w:type="dxa" w:w="70"/>
              <w:left w:type="dxa" w:w="110"/>
              <w:bottom w:type="dxa" w:w="70"/>
              <w:right w:type="dxa" w:w="110"/>
            </w:tcMar>
          </w:tcPr>
          <w:p>
            <w:pPr>
              <w:spacing w:after="0" w:line="244"/>
            </w:pPr>
            <w:r>
              <w:rPr>
                <w:b/>
                <w:bCs/>
                <w:sz w:val="19"/>
                <w:szCs w:val="19"/>
              </w:rPr>
              <w:t xml:space="preserve">In the notes</w:t>
            </w:r>
          </w:p>
        </w:tc>
        <w:tc>
          <w:tcPr>
            <w:tcW w:type="dxa" w:w="5450"/>
            <w:shd w:fill="EDEDED" w:val="clear"/>
            <w:tcMar>
              <w:top w:type="dxa" w:w="70"/>
              <w:left w:type="dxa" w:w="110"/>
              <w:bottom w:type="dxa" w:w="70"/>
              <w:right w:type="dxa" w:w="110"/>
            </w:tcMar>
          </w:tcPr>
          <w:p>
            <w:pPr>
              <w:spacing w:after="0" w:line="244"/>
            </w:pPr>
            <w:r>
              <w:rPr>
                <w:b/>
                <w:bCs/>
                <w:sz w:val="19"/>
                <w:szCs w:val="19"/>
              </w:rPr>
              <w:t xml:space="preserve">Correct position</w:t>
            </w:r>
          </w:p>
        </w:tc>
      </w:tr>
      <w:tr>
        <w:tc>
          <w:tcPr>
            <w:tcW w:type="dxa" w:w="3400"/>
            <w:tcMar>
              <w:top w:type="dxa" w:w="70"/>
              <w:left w:type="dxa" w:w="110"/>
              <w:bottom w:type="dxa" w:w="70"/>
              <w:right w:type="dxa" w:w="110"/>
            </w:tcMar>
          </w:tcPr>
          <w:p>
            <w:pPr>
              <w:spacing w:after="0" w:line="244"/>
            </w:pPr>
            <w:r>
              <w:rPr>
                <w:b w:val="false"/>
                <w:bCs w:val="false"/>
                <w:sz w:val="19"/>
                <w:szCs w:val="19"/>
              </w:rPr>
              <w:t xml:space="preserve">“S. 23(9)” for the six-month pleadings timetable</w:t>
            </w:r>
          </w:p>
        </w:tc>
        <w:tc>
          <w:tcPr>
            <w:tcW w:type="dxa" w:w="5450"/>
            <w:tcMar>
              <w:top w:type="dxa" w:w="70"/>
              <w:left w:type="dxa" w:w="110"/>
              <w:bottom w:type="dxa" w:w="70"/>
              <w:right w:type="dxa" w:w="110"/>
            </w:tcMar>
          </w:tcPr>
          <w:p>
            <w:pPr>
              <w:spacing w:after="0" w:line="244"/>
            </w:pPr>
            <w:r>
              <w:rPr>
                <w:b w:val="false"/>
                <w:bCs w:val="false"/>
                <w:sz w:val="19"/>
                <w:szCs w:val="19"/>
              </w:rPr>
              <w:t xml:space="preserve">S. 23(4)</w:t>
            </w:r>
            <w:r>
              <w:rPr>
                <w:b w:val="false"/>
                <w:bCs w:val="false"/>
                <w:sz w:val="19"/>
                <w:szCs w:val="19"/>
              </w:rPr>
              <w:t xml:space="preserve">; there is no s. 23(9). The link is with s. 29A. See 11.6.</w:t>
            </w:r>
          </w:p>
        </w:tc>
      </w:tr>
      <w:tr>
        <w:tc>
          <w:tcPr>
            <w:tcW w:type="dxa" w:w="3400"/>
            <w:tcMar>
              <w:top w:type="dxa" w:w="70"/>
              <w:left w:type="dxa" w:w="110"/>
              <w:bottom w:type="dxa" w:w="70"/>
              <w:right w:type="dxa" w:w="110"/>
            </w:tcMar>
          </w:tcPr>
          <w:p>
            <w:pPr>
              <w:spacing w:after="0" w:line="244"/>
            </w:pPr>
            <w:r>
              <w:rPr>
                <w:b w:val="false"/>
                <w:bCs w:val="false"/>
                <w:sz w:val="19"/>
                <w:szCs w:val="19"/>
              </w:rPr>
              <w:t xml:space="preserve">S. 11(6A) deleted by the 2019 Amendment</w:t>
            </w:r>
          </w:p>
        </w:tc>
        <w:tc>
          <w:tcPr>
            <w:tcW w:type="dxa" w:w="5450"/>
            <w:tcMar>
              <w:top w:type="dxa" w:w="70"/>
              <w:left w:type="dxa" w:w="110"/>
              <w:bottom w:type="dxa" w:w="70"/>
              <w:right w:type="dxa" w:w="110"/>
            </w:tcMar>
          </w:tcPr>
          <w:p>
            <w:pPr>
              <w:spacing w:after="0" w:line="244"/>
            </w:pPr>
            <w:r>
              <w:rPr>
                <w:b w:val="false"/>
                <w:bCs w:val="false"/>
                <w:sz w:val="19"/>
                <w:szCs w:val="19"/>
              </w:rPr>
              <w:t xml:space="preserve">The omission was </w:t>
            </w:r>
            <w:r>
              <w:rPr>
                <w:b w:val="false"/>
                <w:bCs w:val="false"/>
                <w:sz w:val="19"/>
                <w:szCs w:val="19"/>
              </w:rPr>
              <w:t xml:space="preserve">never notified</w:t>
            </w:r>
            <w:r>
              <w:rPr>
                <w:b w:val="false"/>
                <w:bCs w:val="false"/>
                <w:sz w:val="19"/>
                <w:szCs w:val="19"/>
              </w:rPr>
              <w:t xml:space="preserve">; s. 11(6A) remains in force (</w:t>
            </w:r>
            <w:r>
              <w:rPr>
                <w:b w:val="false"/>
                <w:bCs w:val="false"/>
                <w:i/>
                <w:iCs/>
                <w:sz w:val="19"/>
                <w:szCs w:val="19"/>
              </w:rPr>
              <w:t xml:space="preserve">In Re: Interplay</w:t>
            </w:r>
            <w:r>
              <w:rPr>
                <w:b w:val="false"/>
                <w:bCs w:val="false"/>
                <w:sz w:val="19"/>
                <w:szCs w:val="19"/>
              </w:rPr>
              <w:t xml:space="preserve">). See 7.4.</w:t>
            </w:r>
          </w:p>
        </w:tc>
      </w:tr>
      <w:tr>
        <w:tc>
          <w:tcPr>
            <w:tcW w:type="dxa" w:w="3400"/>
            <w:tcMar>
              <w:top w:type="dxa" w:w="70"/>
              <w:left w:type="dxa" w:w="110"/>
              <w:bottom w:type="dxa" w:w="70"/>
              <w:right w:type="dxa" w:w="110"/>
            </w:tcMar>
          </w:tcPr>
          <w:p>
            <w:pPr>
              <w:spacing w:after="0" w:line="244"/>
            </w:pPr>
            <w:r>
              <w:rPr>
                <w:b w:val="false"/>
                <w:bCs w:val="false"/>
                <w:sz w:val="19"/>
                <w:szCs w:val="19"/>
              </w:rPr>
              <w:t xml:space="preserve">“Jantia Constructions v. UoI”; “2011 (4) SCALE 745”</w:t>
            </w:r>
          </w:p>
        </w:tc>
        <w:tc>
          <w:tcPr>
            <w:tcW w:type="dxa" w:w="5450"/>
            <w:tcMar>
              <w:top w:type="dxa" w:w="70"/>
              <w:left w:type="dxa" w:w="110"/>
              <w:bottom w:type="dxa" w:w="70"/>
              <w:right w:type="dxa" w:w="110"/>
            </w:tcMar>
          </w:tcPr>
          <w:p>
            <w:pPr>
              <w:spacing w:after="0" w:line="244"/>
            </w:pPr>
            <w:r>
              <w:rPr>
                <w:b w:val="false"/>
                <w:bCs w:val="false"/>
                <w:i/>
                <w:iCs/>
                <w:sz w:val="19"/>
                <w:szCs w:val="19"/>
              </w:rPr>
              <w:t xml:space="preserve">Union of India v. Tantia Construction Pvt. Ltd.</w:t>
            </w:r>
            <w:r>
              <w:rPr>
                <w:b w:val="false"/>
                <w:bCs w:val="false"/>
                <w:sz w:val="19"/>
                <w:szCs w:val="19"/>
              </w:rPr>
              <w:t xml:space="preserve">, </w:t>
            </w:r>
            <w:r>
              <w:rPr>
                <w:b w:val="false"/>
                <w:bCs w:val="false"/>
                <w:sz w:val="19"/>
                <w:szCs w:val="19"/>
              </w:rPr>
              <w:t xml:space="preserve">(2011) 5 SCC 697</w:t>
            </w:r>
            <w:r>
              <w:rPr>
                <w:b w:val="false"/>
                <w:bCs w:val="false"/>
                <w:sz w:val="19"/>
                <w:szCs w:val="19"/>
              </w:rPr>
              <w:t xml:space="preserve">, distinguished from the separate 2021 matter. See 3.2.</w:t>
            </w:r>
          </w:p>
        </w:tc>
      </w:tr>
      <w:tr>
        <w:tc>
          <w:tcPr>
            <w:tcW w:type="dxa" w:w="3400"/>
            <w:tcMar>
              <w:top w:type="dxa" w:w="70"/>
              <w:left w:type="dxa" w:w="110"/>
              <w:bottom w:type="dxa" w:w="70"/>
              <w:right w:type="dxa" w:w="110"/>
            </w:tcMar>
          </w:tcPr>
          <w:p>
            <w:pPr>
              <w:spacing w:after="0" w:line="244"/>
            </w:pPr>
            <w:r>
              <w:rPr>
                <w:b w:val="false"/>
                <w:bCs w:val="false"/>
                <w:sz w:val="19"/>
                <w:szCs w:val="19"/>
              </w:rPr>
              <w:t xml:space="preserve">“Court-annexed arbitration (s. 69 CPC)”</w:t>
            </w:r>
          </w:p>
        </w:tc>
        <w:tc>
          <w:tcPr>
            <w:tcW w:type="dxa" w:w="5450"/>
            <w:tcMar>
              <w:top w:type="dxa" w:w="70"/>
              <w:left w:type="dxa" w:w="110"/>
              <w:bottom w:type="dxa" w:w="70"/>
              <w:right w:type="dxa" w:w="110"/>
            </w:tcMar>
          </w:tcPr>
          <w:p>
            <w:pPr>
              <w:spacing w:after="0" w:line="244"/>
            </w:pPr>
            <w:r>
              <w:rPr>
                <w:b w:val="false"/>
                <w:bCs w:val="false"/>
                <w:sz w:val="19"/>
                <w:szCs w:val="19"/>
              </w:rPr>
              <w:t xml:space="preserve">S. 89</w:t>
            </w:r>
            <w:r>
              <w:rPr>
                <w:b w:val="false"/>
                <w:bCs w:val="false"/>
                <w:sz w:val="19"/>
                <w:szCs w:val="19"/>
              </w:rPr>
              <w:t xml:space="preserve"> of the Code of Civil Procedure, 1908, as cited correctly elsewhere in the same materials.</w:t>
            </w:r>
          </w:p>
        </w:tc>
      </w:tr>
      <w:tr>
        <w:tc>
          <w:tcPr>
            <w:tcW w:type="dxa" w:w="3400"/>
            <w:tcMar>
              <w:top w:type="dxa" w:w="70"/>
              <w:left w:type="dxa" w:w="110"/>
              <w:bottom w:type="dxa" w:w="70"/>
              <w:right w:type="dxa" w:w="110"/>
            </w:tcMar>
          </w:tcPr>
          <w:p>
            <w:pPr>
              <w:spacing w:after="0" w:line="244"/>
            </w:pPr>
            <w:r>
              <w:rPr>
                <w:b w:val="false"/>
                <w:bCs w:val="false"/>
                <w:sz w:val="19"/>
                <w:szCs w:val="19"/>
              </w:rPr>
              <w:t xml:space="preserve">“S. 34 CPC sets aside the arbitral award”</w:t>
            </w:r>
          </w:p>
        </w:tc>
        <w:tc>
          <w:tcPr>
            <w:tcW w:type="dxa" w:w="5450"/>
            <w:tcMar>
              <w:top w:type="dxa" w:w="70"/>
              <w:left w:type="dxa" w:w="110"/>
              <w:bottom w:type="dxa" w:w="70"/>
              <w:right w:type="dxa" w:w="110"/>
            </w:tcMar>
          </w:tcPr>
          <w:p>
            <w:pPr>
              <w:spacing w:after="0" w:line="244"/>
            </w:pPr>
            <w:r>
              <w:rPr>
                <w:b w:val="false"/>
                <w:bCs w:val="false"/>
                <w:sz w:val="19"/>
                <w:szCs w:val="19"/>
              </w:rPr>
              <w:t xml:space="preserve">S. 34 of the Arbitration and Conciliation Act, 1996</w:t>
            </w:r>
            <w:r>
              <w:rPr>
                <w:b w:val="false"/>
                <w:bCs w:val="false"/>
                <w:sz w:val="19"/>
                <w:szCs w:val="19"/>
              </w:rPr>
              <w:t xml:space="preserve">, not of the CPC.</w:t>
            </w:r>
          </w:p>
        </w:tc>
      </w:tr>
      <w:tr>
        <w:tc>
          <w:tcPr>
            <w:tcW w:type="dxa" w:w="3400"/>
            <w:tcMar>
              <w:top w:type="dxa" w:w="70"/>
              <w:left w:type="dxa" w:w="110"/>
              <w:bottom w:type="dxa" w:w="70"/>
              <w:right w:type="dxa" w:w="110"/>
            </w:tcMar>
          </w:tcPr>
          <w:p>
            <w:pPr>
              <w:spacing w:after="0" w:line="244"/>
            </w:pPr>
            <w:r>
              <w:rPr>
                <w:b w:val="false"/>
                <w:bCs w:val="false"/>
                <w:sz w:val="19"/>
                <w:szCs w:val="19"/>
              </w:rPr>
              <w:t xml:space="preserve">Natural justice for public bodies, due process for private parties</w:t>
            </w:r>
          </w:p>
        </w:tc>
        <w:tc>
          <w:tcPr>
            <w:tcW w:type="dxa" w:w="5450"/>
            <w:tcMar>
              <w:top w:type="dxa" w:w="70"/>
              <w:left w:type="dxa" w:w="110"/>
              <w:bottom w:type="dxa" w:w="70"/>
              <w:right w:type="dxa" w:w="110"/>
            </w:tcMar>
          </w:tcPr>
          <w:p>
            <w:pPr>
              <w:spacing w:after="0" w:line="244"/>
            </w:pPr>
            <w:r>
              <w:rPr>
                <w:b w:val="false"/>
                <w:bCs w:val="false"/>
                <w:sz w:val="19"/>
                <w:szCs w:val="19"/>
              </w:rPr>
              <w:t xml:space="preserve">Both apply to all arbitral tribunals alike. See 11.1.</w:t>
            </w:r>
          </w:p>
        </w:tc>
      </w:tr>
      <w:tr>
        <w:tc>
          <w:tcPr>
            <w:tcW w:type="dxa" w:w="3400"/>
            <w:tcMar>
              <w:top w:type="dxa" w:w="70"/>
              <w:left w:type="dxa" w:w="110"/>
              <w:bottom w:type="dxa" w:w="70"/>
              <w:right w:type="dxa" w:w="110"/>
            </w:tcMar>
          </w:tcPr>
          <w:p>
            <w:pPr>
              <w:spacing w:after="0" w:line="244"/>
            </w:pPr>
            <w:r>
              <w:rPr>
                <w:b w:val="false"/>
                <w:bCs w:val="false"/>
                <w:sz w:val="19"/>
                <w:szCs w:val="19"/>
              </w:rPr>
              <w:t xml:space="preserve">Seventh Schedule = IBA “red list”, split waivable / non-waivable</w:t>
            </w:r>
          </w:p>
        </w:tc>
        <w:tc>
          <w:tcPr>
            <w:tcW w:type="dxa" w:w="5450"/>
            <w:tcMar>
              <w:top w:type="dxa" w:w="70"/>
              <w:left w:type="dxa" w:w="110"/>
              <w:bottom w:type="dxa" w:w="70"/>
              <w:right w:type="dxa" w:w="110"/>
            </w:tcMar>
          </w:tcPr>
          <w:p>
            <w:pPr>
              <w:spacing w:after="0" w:line="244"/>
            </w:pPr>
            <w:r>
              <w:rPr>
                <w:b w:val="false"/>
                <w:bCs w:val="false"/>
                <w:sz w:val="19"/>
                <w:szCs w:val="19"/>
              </w:rPr>
              <w:t xml:space="preserve">Analogy only. The Schedule is a single list; the sole waiver is the express written waiver under the proviso to s. 12(5). See 8.1.1.</w:t>
            </w:r>
          </w:p>
        </w:tc>
      </w:tr>
    </w:tbl>
    <w:p>
      <w:pPr>
        <w:spacing w:after="110"/>
      </w:pPr>
      <w:r>
        <w:rPr>
          <w:sz w:val="10"/>
          <w:szCs w:val="10"/>
        </w:rPr>
        <w:t xml:space="preserve"/>
      </w:r>
    </w:p>
    <w:p>
      <w:pPr>
        <w:pStyle w:val="Heading2"/>
        <w:keepNext/>
        <w:spacing w:after="110" w:before="240"/>
      </w:pPr>
      <w:r>
        <w:t xml:space="preserve">12.2  Points not verified — do not assert as settled law</w:t>
      </w:r>
    </w:p>
    <w:p>
      <w:pPr>
        <w:pStyle w:val="ListParagraph"/>
        <w:numPr>
          <w:ilvl w:val="0"/>
          <w:numId w:val="20"/>
        </w:numPr>
        <w:spacing w:after="70" w:line="262"/>
        <w:jc w:val="both"/>
      </w:pPr>
      <w:r>
        <w:t xml:space="preserve">The Atomic Energy Act and an Institute of Technology Act as instances of </w:t>
      </w:r>
      <w:r>
        <w:rPr>
          <w:b/>
          <w:bCs/>
        </w:rPr>
        <w:t xml:space="preserve">compulsory arbitration</w:t>
      </w:r>
      <w:r>
        <w:t xml:space="preserve"> — the general proposition (that some statutes supply their own arbitral machinery, governed by that statute rather than the 1996 Act) is sound; the specific sections were not verified.</w:t>
      </w:r>
    </w:p>
    <w:p>
      <w:pPr>
        <w:pStyle w:val="ListParagraph"/>
        <w:numPr>
          <w:ilvl w:val="0"/>
          <w:numId w:val="20"/>
        </w:numPr>
        <w:spacing w:after="70" w:line="262"/>
        <w:jc w:val="both"/>
      </w:pPr>
      <w:r>
        <w:t xml:space="preserve">Attribution to the </w:t>
      </w:r>
      <w:r>
        <w:rPr>
          <w:b/>
          <w:bCs/>
        </w:rPr>
        <w:t xml:space="preserve">2019 Amendment</w:t>
      </w:r>
      <w:r>
        <w:t xml:space="preserve"> of the narrowing of s. 17(1), and the class note about “revival” of a dissolved tribunal. See 5.2.</w:t>
      </w:r>
    </w:p>
    <w:p>
      <w:pPr>
        <w:pStyle w:val="ListParagraph"/>
        <w:numPr>
          <w:ilvl w:val="0"/>
          <w:numId w:val="20"/>
        </w:numPr>
        <w:spacing w:after="70" w:line="262"/>
        <w:jc w:val="both"/>
      </w:pPr>
      <w:r>
        <w:t xml:space="preserve">Whether </w:t>
      </w:r>
      <w:r>
        <w:rPr>
          <w:b/>
          <w:bCs/>
        </w:rPr>
        <w:t xml:space="preserve">s. 19(1)</w:t>
      </w:r>
      <w:r>
        <w:t xml:space="preserve"> now refers to the Bharatiya Sakshya Adhiniyam, 2023 or is read as so referring. See 11.2.</w:t>
      </w:r>
    </w:p>
    <w:p>
      <w:pPr>
        <w:pStyle w:val="ListParagraph"/>
        <w:numPr>
          <w:ilvl w:val="0"/>
          <w:numId w:val="20"/>
        </w:numPr>
        <w:spacing w:after="70" w:line="262"/>
        <w:jc w:val="both"/>
      </w:pPr>
      <w:r>
        <w:t xml:space="preserve">“</w:t>
      </w:r>
      <w:r>
        <w:rPr>
          <w:b/>
          <w:bCs/>
        </w:rPr>
        <w:t xml:space="preserve">In Re Cauvery</w:t>
      </w:r>
      <w:r>
        <w:t xml:space="preserve"> Irrigation Protection Ordinance”, cited for an interim remedy where the statute is silent — the name as recorded could not be matched to a verified citation, so it is used in substance only and not cited as authority (5.1).</w:t>
      </w:r>
    </w:p>
    <w:p>
      <w:pPr>
        <w:pStyle w:val="ListParagraph"/>
        <w:numPr>
          <w:ilvl w:val="0"/>
          <w:numId w:val="20"/>
        </w:numPr>
        <w:spacing w:after="70" w:line="262"/>
        <w:jc w:val="both"/>
      </w:pPr>
      <w:r>
        <w:t xml:space="preserve">The “</w:t>
      </w:r>
      <w:r>
        <w:rPr>
          <w:b/>
          <w:bCs/>
        </w:rPr>
        <w:t xml:space="preserve">Mauritius Convention</w:t>
      </w:r>
      <w:r>
        <w:t xml:space="preserve">” for publication of arbitration information, and the “2015 / 2018 Indian Model BIT” for multi-tier arbitration — the underlying propositions are retained, but the instrument names and years given in the sources conflict with each other and were not verified.</w:t>
      </w:r>
    </w:p>
    <w:p>
      <w:pPr>
        <w:pStyle w:val="ListParagraph"/>
        <w:numPr>
          <w:ilvl w:val="0"/>
          <w:numId w:val="20"/>
        </w:numPr>
        <w:spacing w:after="70" w:line="262"/>
        <w:jc w:val="both"/>
      </w:pPr>
      <w:r>
        <w:t xml:space="preserve">Bound-volume </w:t>
      </w:r>
      <w:r>
        <w:rPr>
          <w:b/>
          <w:bCs/>
        </w:rPr>
        <w:t xml:space="preserve">SCC citations</w:t>
      </w:r>
      <w:r>
        <w:t xml:space="preserve"> for </w:t>
      </w:r>
      <w:r>
        <w:rPr>
          <w:i/>
          <w:iCs/>
        </w:rPr>
        <w:t xml:space="preserve">In Re: Interplay</w:t>
      </w:r>
      <w:r>
        <w:t xml:space="preserve">, </w:t>
      </w:r>
      <w:r>
        <w:rPr>
          <w:i/>
          <w:iCs/>
        </w:rPr>
        <w:t xml:space="preserve">Cox and Kings</w:t>
      </w:r>
      <w:r>
        <w:t xml:space="preserve">, </w:t>
      </w:r>
      <w:r>
        <w:rPr>
          <w:i/>
          <w:iCs/>
        </w:rPr>
        <w:t xml:space="preserve">CORE-II</w:t>
      </w:r>
      <w:r>
        <w:t xml:space="preserve"> and </w:t>
      </w:r>
      <w:r>
        <w:rPr>
          <w:i/>
          <w:iCs/>
        </w:rPr>
        <w:t xml:space="preserve">Tata Sons v. Siva Industries</w:t>
      </w:r>
      <w:r>
        <w:t xml:space="preserve">; neutral or SCC OnLine citations are used instead.</w:t>
      </w:r>
    </w:p>
    <w:p>
      <w:pPr>
        <w:pStyle w:val="Heading2"/>
        <w:keepNext/>
        <w:spacing w:after="110" w:before="240"/>
      </w:pPr>
      <w:r>
        <w:t xml:space="preserve">12.3  Reform proposals — not law</w:t>
      </w:r>
    </w:p>
    <w:p>
      <w:pPr>
        <w:spacing w:after="110" w:line="262"/>
        <w:jc w:val="both"/>
      </w:pPr>
      <w:r>
        <w:t xml:space="preserve">The </w:t>
      </w:r>
      <w:r>
        <w:rPr>
          <w:b/>
          <w:bCs/>
        </w:rPr>
        <w:t xml:space="preserve">Viswanathan Expert Committee Report</w:t>
      </w:r>
      <w:r>
        <w:t xml:space="preserve"> was submitted on </w:t>
      </w:r>
      <w:r>
        <w:rPr>
          <w:b/>
          <w:bCs/>
        </w:rPr>
        <w:t xml:space="preserve">7 February 2024</w:t>
      </w:r>
      <w:r>
        <w:t xml:space="preserve">, and the </w:t>
      </w:r>
      <w:r>
        <w:rPr>
          <w:b/>
          <w:bCs/>
        </w:rPr>
        <w:t xml:space="preserve">Draft Arbitration and Conciliation (Amendment) Bill, 2024</w:t>
      </w:r>
      <w:r>
        <w:t xml:space="preserve"> was released for consultation on </w:t>
      </w:r>
      <w:r>
        <w:rPr>
          <w:b/>
          <w:bCs/>
        </w:rPr>
        <w:t xml:space="preserve">18 October 2024</w:t>
      </w:r>
      <w:r>
        <w:t xml:space="preserve"> (proposing, among other things, to rename the Act, codify the seat, amend s. 18, and delete the Fourth Schedule). Neither is law; the Bill has not been introduced in Parliament or enacted. Earlier, </w:t>
      </w:r>
      <w:r>
        <w:rPr>
          <w:b/>
          <w:bCs/>
        </w:rPr>
        <w:t xml:space="preserve">Law Commission Report No. 246 (2014)</w:t>
      </w:r>
      <w:r>
        <w:t xml:space="preserve"> underpinned the 2015 Amendment and the </w:t>
      </w:r>
      <w:r>
        <w:rPr>
          <w:b/>
          <w:bCs/>
        </w:rPr>
        <w:t xml:space="preserve">Srikrishna Committee Report (2017)</w:t>
      </w:r>
      <w:r>
        <w:t xml:space="preserve"> the institutional provisions of the 2019 Amendment — both advisory.</w:t>
      </w:r>
    </w:p>
    <w:p>
      <w:pPr>
        <w:pStyle w:val="Heading2"/>
        <w:keepNext/>
        <w:spacing w:after="110" w:before="240"/>
      </w:pPr>
      <w:r>
        <w:t xml:space="preserve">12.4  One development beyond these topics, worth knowing</w:t>
      </w:r>
    </w:p>
    <w:p>
      <w:pPr>
        <w:spacing w:after="110" w:line="262"/>
        <w:jc w:val="both"/>
      </w:pPr>
      <w:r>
        <w:t xml:space="preserve">The proposition repeated throughout the course — no recourse on the merits, and even an erroneous award must be enforced — remains the rule, but there is now a narrow exception. </w:t>
      </w:r>
      <w:r>
        <w:rPr>
          <w:i/>
          <w:iCs/>
        </w:rPr>
        <w:t xml:space="preserve">Gayatri Balasamy v. ISG Novasoft Technologies Ltd.</w:t>
      </w:r>
      <w:r>
        <w:t xml:space="preserve">, 2025 INSC 605 (SC, Constitution Bench of 5, 30 April 2025, 4:1, Viswanathan J. dissenting), recognises a </w:t>
      </w:r>
      <w:r>
        <w:rPr>
          <w:b/>
          <w:bCs/>
        </w:rPr>
        <w:t xml:space="preserve">limited</w:t>
      </w:r>
      <w:r>
        <w:t xml:space="preserve"> power to modify an award under ss. 34 and 37: severing invalid from valid portions of a severable award; correcting clerical, computational, typographical and other manifest errors on the face of the record; modifying post-award interest; and, in the Supreme Court alone and sparingly, under Art. 142.</w:t>
      </w:r>
    </w:p>
    <w:p>
      <w:r>
        <w:br w:type="page"/>
      </w:r>
    </w:p>
    <w:p>
      <w:pPr>
        <w:pStyle w:val="Heading1"/>
        <w:keepNext/>
        <w:pBdr>
          <w:top w:val="single" w:color="999999" w:sz="8" w:space="10"/>
        </w:pBdr>
        <w:spacing w:after="170" w:before="460"/>
      </w:pPr>
      <w:r>
        <w:t xml:space="preserve">Table of Cases</w:t>
      </w:r>
    </w:p>
    <w:tbl>
      <w:tblPr>
        <w:tblW w:type="dxa" w:w="8850"/>
        <w:tblBorders>
          <w:top w:val="single" w:color="8A8A8A" w:sz="3"/>
          <w:left w:val="single" w:color="8A8A8A" w:sz="3"/>
          <w:bottom w:val="single" w:color="8A8A8A" w:sz="3"/>
          <w:right w:val="single" w:color="8A8A8A" w:sz="3"/>
          <w:insideH w:val="single" w:color="C4C4C4" w:sz="2"/>
          <w:insideV w:val="single" w:color="C4C4C4" w:sz="2"/>
        </w:tblBorders>
      </w:tblPr>
      <w:tblGrid>
        <w:gridCol w:w="3350"/>
        <w:gridCol w:w="2800"/>
        <w:gridCol w:w="2700"/>
      </w:tblGrid>
      <w:tr>
        <w:trPr>
          <w:tblHeader/>
        </w:trPr>
        <w:tc>
          <w:tcPr>
            <w:tcW w:type="dxa" w:w="3350"/>
            <w:shd w:fill="EDEDED" w:val="clear"/>
            <w:tcMar>
              <w:top w:type="dxa" w:w="70"/>
              <w:left w:type="dxa" w:w="110"/>
              <w:bottom w:type="dxa" w:w="70"/>
              <w:right w:type="dxa" w:w="110"/>
            </w:tcMar>
          </w:tcPr>
          <w:p>
            <w:pPr>
              <w:spacing w:after="0" w:line="244"/>
            </w:pPr>
            <w:r>
              <w:rPr>
                <w:b/>
                <w:bCs/>
                <w:sz w:val="19"/>
                <w:szCs w:val="19"/>
              </w:rPr>
              <w:t xml:space="preserve">Case</w:t>
            </w:r>
          </w:p>
        </w:tc>
        <w:tc>
          <w:tcPr>
            <w:tcW w:type="dxa" w:w="2800"/>
            <w:shd w:fill="EDEDED" w:val="clear"/>
            <w:tcMar>
              <w:top w:type="dxa" w:w="70"/>
              <w:left w:type="dxa" w:w="110"/>
              <w:bottom w:type="dxa" w:w="70"/>
              <w:right w:type="dxa" w:w="110"/>
            </w:tcMar>
          </w:tcPr>
          <w:p>
            <w:pPr>
              <w:spacing w:after="0" w:line="244"/>
            </w:pPr>
            <w:r>
              <w:rPr>
                <w:b/>
                <w:bCs/>
                <w:sz w:val="19"/>
                <w:szCs w:val="19"/>
              </w:rPr>
              <w:t xml:space="preserve">Citation</w:t>
            </w:r>
          </w:p>
        </w:tc>
        <w:tc>
          <w:tcPr>
            <w:tcW w:type="dxa" w:w="2700"/>
            <w:shd w:fill="EDEDED" w:val="clear"/>
            <w:tcMar>
              <w:top w:type="dxa" w:w="70"/>
              <w:left w:type="dxa" w:w="110"/>
              <w:bottom w:type="dxa" w:w="70"/>
              <w:right w:type="dxa" w:w="110"/>
            </w:tcMar>
          </w:tcPr>
          <w:p>
            <w:pPr>
              <w:spacing w:after="0" w:line="244"/>
            </w:pPr>
            <w:r>
              <w:rPr>
                <w:b/>
                <w:bCs/>
                <w:sz w:val="19"/>
                <w:szCs w:val="19"/>
              </w:rPr>
              <w:t xml:space="preserve">Topic</w:t>
            </w:r>
          </w:p>
        </w:tc>
      </w:tr>
      <w:tr>
        <w:tc>
          <w:tcPr>
            <w:tcW w:type="dxa" w:w="3350"/>
            <w:tcMar>
              <w:top w:type="dxa" w:w="70"/>
              <w:left w:type="dxa" w:w="110"/>
              <w:bottom w:type="dxa" w:w="70"/>
              <w:right w:type="dxa" w:w="110"/>
            </w:tcMar>
          </w:tcPr>
          <w:p>
            <w:pPr>
              <w:spacing w:after="0" w:line="244"/>
            </w:pPr>
            <w:r>
              <w:rPr>
                <w:b w:val="false"/>
                <w:bCs w:val="false"/>
                <w:sz w:val="19"/>
                <w:szCs w:val="19"/>
              </w:rPr>
              <w:t xml:space="preserve">BALCO (Bharat Aluminium Co. v. Kaiser Aluminium Technical Services Inc.)</w:t>
            </w:r>
          </w:p>
        </w:tc>
        <w:tc>
          <w:tcPr>
            <w:tcW w:type="dxa" w:w="2800"/>
            <w:tcMar>
              <w:top w:type="dxa" w:w="70"/>
              <w:left w:type="dxa" w:w="110"/>
              <w:bottom w:type="dxa" w:w="70"/>
              <w:right w:type="dxa" w:w="110"/>
            </w:tcMar>
          </w:tcPr>
          <w:p>
            <w:pPr>
              <w:spacing w:after="0" w:line="244"/>
            </w:pPr>
            <w:r>
              <w:rPr>
                <w:b w:val="false"/>
                <w:bCs w:val="false"/>
                <w:sz w:val="19"/>
                <w:szCs w:val="19"/>
              </w:rPr>
              <w:t xml:space="preserve">(2012) 9 SCC 552 (CB of 5, 6 Sept 2012)</w:t>
            </w:r>
          </w:p>
        </w:tc>
        <w:tc>
          <w:tcPr>
            <w:tcW w:type="dxa" w:w="2700"/>
            <w:tcMar>
              <w:top w:type="dxa" w:w="70"/>
              <w:left w:type="dxa" w:w="110"/>
              <w:bottom w:type="dxa" w:w="70"/>
              <w:right w:type="dxa" w:w="110"/>
            </w:tcMar>
          </w:tcPr>
          <w:p>
            <w:pPr>
              <w:spacing w:after="0" w:line="244"/>
            </w:pPr>
            <w:r>
              <w:rPr>
                <w:b w:val="false"/>
                <w:bCs w:val="false"/>
                <w:sz w:val="19"/>
                <w:szCs w:val="19"/>
              </w:rPr>
              <w:t xml:space="preserve">1.6 — Part I; seat-centric</w:t>
            </w:r>
          </w:p>
        </w:tc>
      </w:tr>
      <w:tr>
        <w:tc>
          <w:tcPr>
            <w:tcW w:type="dxa" w:w="3350"/>
            <w:tcMar>
              <w:top w:type="dxa" w:w="70"/>
              <w:left w:type="dxa" w:w="110"/>
              <w:bottom w:type="dxa" w:w="70"/>
              <w:right w:type="dxa" w:w="110"/>
            </w:tcMar>
          </w:tcPr>
          <w:p>
            <w:pPr>
              <w:spacing w:after="0" w:line="244"/>
            </w:pPr>
            <w:r>
              <w:rPr>
                <w:b w:val="false"/>
                <w:bCs w:val="false"/>
                <w:sz w:val="19"/>
                <w:szCs w:val="19"/>
              </w:rPr>
              <w:t xml:space="preserve">Bharat Broadband Network Ltd. v. United Telecoms Ltd.</w:t>
            </w:r>
          </w:p>
        </w:tc>
        <w:tc>
          <w:tcPr>
            <w:tcW w:type="dxa" w:w="2800"/>
            <w:tcMar>
              <w:top w:type="dxa" w:w="70"/>
              <w:left w:type="dxa" w:w="110"/>
              <w:bottom w:type="dxa" w:w="70"/>
              <w:right w:type="dxa" w:w="110"/>
            </w:tcMar>
          </w:tcPr>
          <w:p>
            <w:pPr>
              <w:spacing w:after="0" w:line="244"/>
            </w:pPr>
            <w:r>
              <w:rPr>
                <w:b w:val="false"/>
                <w:bCs w:val="false"/>
                <w:sz w:val="19"/>
                <w:szCs w:val="19"/>
              </w:rPr>
              <w:t xml:space="preserve">(2019) 5 SCC 755; 2019 INSC 537</w:t>
            </w:r>
          </w:p>
        </w:tc>
        <w:tc>
          <w:tcPr>
            <w:tcW w:type="dxa" w:w="2700"/>
            <w:tcMar>
              <w:top w:type="dxa" w:w="70"/>
              <w:left w:type="dxa" w:w="110"/>
              <w:bottom w:type="dxa" w:w="70"/>
              <w:right w:type="dxa" w:w="110"/>
            </w:tcMar>
          </w:tcPr>
          <w:p>
            <w:pPr>
              <w:spacing w:after="0" w:line="244"/>
            </w:pPr>
            <w:r>
              <w:rPr>
                <w:b w:val="false"/>
                <w:bCs w:val="false"/>
                <w:sz w:val="19"/>
                <w:szCs w:val="19"/>
              </w:rPr>
              <w:t xml:space="preserve">8.4 — s. 12(5); 9.1 — s. 14</w:t>
            </w:r>
          </w:p>
        </w:tc>
      </w:tr>
      <w:tr>
        <w:tc>
          <w:tcPr>
            <w:tcW w:type="dxa" w:w="3350"/>
            <w:tcMar>
              <w:top w:type="dxa" w:w="70"/>
              <w:left w:type="dxa" w:w="110"/>
              <w:bottom w:type="dxa" w:w="70"/>
              <w:right w:type="dxa" w:w="110"/>
            </w:tcMar>
          </w:tcPr>
          <w:p>
            <w:pPr>
              <w:spacing w:after="0" w:line="244"/>
            </w:pPr>
            <w:r>
              <w:rPr>
                <w:b w:val="false"/>
                <w:bCs w:val="false"/>
                <w:sz w:val="19"/>
                <w:szCs w:val="19"/>
              </w:rPr>
              <w:t xml:space="preserve">Bhatia International v. Bulk Trading S.A.</w:t>
            </w:r>
          </w:p>
        </w:tc>
        <w:tc>
          <w:tcPr>
            <w:tcW w:type="dxa" w:w="2800"/>
            <w:tcMar>
              <w:top w:type="dxa" w:w="70"/>
              <w:left w:type="dxa" w:w="110"/>
              <w:bottom w:type="dxa" w:w="70"/>
              <w:right w:type="dxa" w:w="110"/>
            </w:tcMar>
          </w:tcPr>
          <w:p>
            <w:pPr>
              <w:spacing w:after="0" w:line="244"/>
            </w:pPr>
            <w:r>
              <w:rPr>
                <w:b w:val="false"/>
                <w:bCs w:val="false"/>
                <w:sz w:val="19"/>
                <w:szCs w:val="19"/>
              </w:rPr>
              <w:t xml:space="preserve">(2002) 4 SCC 105 (3 Judges)</w:t>
            </w:r>
          </w:p>
        </w:tc>
        <w:tc>
          <w:tcPr>
            <w:tcW w:type="dxa" w:w="2700"/>
            <w:tcMar>
              <w:top w:type="dxa" w:w="70"/>
              <w:left w:type="dxa" w:w="110"/>
              <w:bottom w:type="dxa" w:w="70"/>
              <w:right w:type="dxa" w:w="110"/>
            </w:tcMar>
          </w:tcPr>
          <w:p>
            <w:pPr>
              <w:spacing w:after="0" w:line="244"/>
            </w:pPr>
            <w:r>
              <w:rPr>
                <w:b w:val="false"/>
                <w:bCs w:val="false"/>
                <w:sz w:val="19"/>
                <w:szCs w:val="19"/>
              </w:rPr>
              <w:t xml:space="preserve">1.6 — overruled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Booz Allen &amp; Hamilton Inc. v. SBI Home Finance Ltd.</w:t>
            </w:r>
          </w:p>
        </w:tc>
        <w:tc>
          <w:tcPr>
            <w:tcW w:type="dxa" w:w="2800"/>
            <w:tcMar>
              <w:top w:type="dxa" w:w="70"/>
              <w:left w:type="dxa" w:w="110"/>
              <w:bottom w:type="dxa" w:w="70"/>
              <w:right w:type="dxa" w:w="110"/>
            </w:tcMar>
          </w:tcPr>
          <w:p>
            <w:pPr>
              <w:spacing w:after="0" w:line="244"/>
            </w:pPr>
            <w:r>
              <w:rPr>
                <w:b w:val="false"/>
                <w:bCs w:val="false"/>
                <w:sz w:val="19"/>
                <w:szCs w:val="19"/>
              </w:rPr>
              <w:t xml:space="preserve">(2011) 5 SCC 532</w:t>
            </w:r>
          </w:p>
        </w:tc>
        <w:tc>
          <w:tcPr>
            <w:tcW w:type="dxa" w:w="2700"/>
            <w:tcMar>
              <w:top w:type="dxa" w:w="70"/>
              <w:left w:type="dxa" w:w="110"/>
              <w:bottom w:type="dxa" w:w="70"/>
              <w:right w:type="dxa" w:w="110"/>
            </w:tcMar>
          </w:tcPr>
          <w:p>
            <w:pPr>
              <w:spacing w:after="0" w:line="244"/>
            </w:pPr>
            <w:r>
              <w:rPr>
                <w:b w:val="false"/>
                <w:bCs w:val="false"/>
                <w:sz w:val="19"/>
                <w:szCs w:val="19"/>
              </w:rPr>
              <w:t xml:space="preserve">3.5 — non-arbitrability</w:t>
            </w:r>
          </w:p>
        </w:tc>
      </w:tr>
      <w:tr>
        <w:tc>
          <w:tcPr>
            <w:tcW w:type="dxa" w:w="3350"/>
            <w:tcMar>
              <w:top w:type="dxa" w:w="70"/>
              <w:left w:type="dxa" w:w="110"/>
              <w:bottom w:type="dxa" w:w="70"/>
              <w:right w:type="dxa" w:w="110"/>
            </w:tcMar>
          </w:tcPr>
          <w:p>
            <w:pPr>
              <w:spacing w:after="0" w:line="244"/>
            </w:pPr>
            <w:r>
              <w:rPr>
                <w:b w:val="false"/>
                <w:bCs w:val="false"/>
                <w:sz w:val="19"/>
                <w:szCs w:val="19"/>
              </w:rPr>
              <w:t xml:space="preserve">CORE-I (Central Organisation for Rly Electrification v. ECI-SPIC-SMO-MCML)</w:t>
            </w:r>
          </w:p>
        </w:tc>
        <w:tc>
          <w:tcPr>
            <w:tcW w:type="dxa" w:w="2800"/>
            <w:tcMar>
              <w:top w:type="dxa" w:w="70"/>
              <w:left w:type="dxa" w:w="110"/>
              <w:bottom w:type="dxa" w:w="70"/>
              <w:right w:type="dxa" w:w="110"/>
            </w:tcMar>
          </w:tcPr>
          <w:p>
            <w:pPr>
              <w:spacing w:after="0" w:line="244"/>
            </w:pPr>
            <w:r>
              <w:rPr>
                <w:b w:val="false"/>
                <w:bCs w:val="false"/>
                <w:sz w:val="19"/>
                <w:szCs w:val="19"/>
              </w:rPr>
              <w:t xml:space="preserve">(2020) 14 SCC 712 (3 Judges)</w:t>
            </w:r>
          </w:p>
        </w:tc>
        <w:tc>
          <w:tcPr>
            <w:tcW w:type="dxa" w:w="2700"/>
            <w:tcMar>
              <w:top w:type="dxa" w:w="70"/>
              <w:left w:type="dxa" w:w="110"/>
              <w:bottom w:type="dxa" w:w="70"/>
              <w:right w:type="dxa" w:w="110"/>
            </w:tcMar>
          </w:tcPr>
          <w:p>
            <w:pPr>
              <w:spacing w:after="0" w:line="244"/>
            </w:pPr>
            <w:r>
              <w:rPr>
                <w:b w:val="false"/>
                <w:bCs w:val="false"/>
                <w:sz w:val="19"/>
                <w:szCs w:val="19"/>
              </w:rPr>
              <w:t xml:space="preserve">8.5 — overruled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CORE-II (Central Organisation for Rly Electrification v. ECI-SPIC-SMO-MCML)</w:t>
            </w:r>
          </w:p>
        </w:tc>
        <w:tc>
          <w:tcPr>
            <w:tcW w:type="dxa" w:w="2800"/>
            <w:tcMar>
              <w:top w:type="dxa" w:w="70"/>
              <w:left w:type="dxa" w:w="110"/>
              <w:bottom w:type="dxa" w:w="70"/>
              <w:right w:type="dxa" w:w="110"/>
            </w:tcMar>
          </w:tcPr>
          <w:p>
            <w:pPr>
              <w:spacing w:after="0" w:line="244"/>
            </w:pPr>
            <w:r>
              <w:rPr>
                <w:b w:val="false"/>
                <w:bCs w:val="false"/>
                <w:sz w:val="19"/>
                <w:szCs w:val="19"/>
              </w:rPr>
              <w:t xml:space="preserve">2024 INSC 857; 2024 SCC OnLine SC 3219 (CB of 5, 8 Nov 2024)</w:t>
            </w:r>
          </w:p>
        </w:tc>
        <w:tc>
          <w:tcPr>
            <w:tcW w:type="dxa" w:w="2700"/>
            <w:tcMar>
              <w:top w:type="dxa" w:w="70"/>
              <w:left w:type="dxa" w:w="110"/>
              <w:bottom w:type="dxa" w:w="70"/>
              <w:right w:type="dxa" w:w="110"/>
            </w:tcMar>
          </w:tcPr>
          <w:p>
            <w:pPr>
              <w:spacing w:after="0" w:line="244"/>
            </w:pPr>
            <w:r>
              <w:rPr>
                <w:b w:val="false"/>
                <w:bCs w:val="false"/>
                <w:sz w:val="19"/>
                <w:szCs w:val="19"/>
              </w:rPr>
              <w:t xml:space="preserve">8.5 — unilateral appointment; Art. 14</w:t>
            </w:r>
          </w:p>
        </w:tc>
      </w:tr>
      <w:tr>
        <w:tc>
          <w:tcPr>
            <w:tcW w:type="dxa" w:w="3350"/>
            <w:tcMar>
              <w:top w:type="dxa" w:w="70"/>
              <w:left w:type="dxa" w:w="110"/>
              <w:bottom w:type="dxa" w:w="70"/>
              <w:right w:type="dxa" w:w="110"/>
            </w:tcMar>
          </w:tcPr>
          <w:p>
            <w:pPr>
              <w:spacing w:after="0" w:line="244"/>
            </w:pPr>
            <w:r>
              <w:rPr>
                <w:b w:val="false"/>
                <w:bCs w:val="false"/>
                <w:sz w:val="19"/>
                <w:szCs w:val="19"/>
              </w:rPr>
              <w:t xml:space="preserve">Chagos MPA Arbitration (Mauritius v. UK) — Decision on Challenge</w:t>
            </w:r>
          </w:p>
        </w:tc>
        <w:tc>
          <w:tcPr>
            <w:tcW w:type="dxa" w:w="2800"/>
            <w:tcMar>
              <w:top w:type="dxa" w:w="70"/>
              <w:left w:type="dxa" w:w="110"/>
              <w:bottom w:type="dxa" w:w="70"/>
              <w:right w:type="dxa" w:w="110"/>
            </w:tcMar>
          </w:tcPr>
          <w:p>
            <w:pPr>
              <w:spacing w:after="0" w:line="244"/>
            </w:pPr>
            <w:r>
              <w:rPr>
                <w:b w:val="false"/>
                <w:bCs w:val="false"/>
                <w:sz w:val="19"/>
                <w:szCs w:val="19"/>
              </w:rPr>
              <w:t xml:space="preserve">PCA Case No. 2011-03, 30 Nov 2011</w:t>
            </w:r>
          </w:p>
        </w:tc>
        <w:tc>
          <w:tcPr>
            <w:tcW w:type="dxa" w:w="2700"/>
            <w:tcMar>
              <w:top w:type="dxa" w:w="70"/>
              <w:left w:type="dxa" w:w="110"/>
              <w:bottom w:type="dxa" w:w="70"/>
              <w:right w:type="dxa" w:w="110"/>
            </w:tcMar>
          </w:tcPr>
          <w:p>
            <w:pPr>
              <w:spacing w:after="0" w:line="244"/>
            </w:pPr>
            <w:r>
              <w:rPr>
                <w:b w:val="false"/>
                <w:bCs w:val="false"/>
                <w:sz w:val="19"/>
                <w:szCs w:val="19"/>
              </w:rPr>
              <w:t xml:space="preserve">8.3 — justifiable doubts</w:t>
            </w:r>
          </w:p>
        </w:tc>
      </w:tr>
      <w:tr>
        <w:tc>
          <w:tcPr>
            <w:tcW w:type="dxa" w:w="3350"/>
            <w:tcMar>
              <w:top w:type="dxa" w:w="70"/>
              <w:left w:type="dxa" w:w="110"/>
              <w:bottom w:type="dxa" w:w="70"/>
              <w:right w:type="dxa" w:w="110"/>
            </w:tcMar>
          </w:tcPr>
          <w:p>
            <w:pPr>
              <w:spacing w:after="0" w:line="244"/>
            </w:pPr>
            <w:r>
              <w:rPr>
                <w:b w:val="false"/>
                <w:bCs w:val="false"/>
                <w:sz w:val="19"/>
                <w:szCs w:val="19"/>
              </w:rPr>
              <w:t xml:space="preserve">Cox and Kings Ltd. v. SAP India Pvt. Ltd.</w:t>
            </w:r>
          </w:p>
        </w:tc>
        <w:tc>
          <w:tcPr>
            <w:tcW w:type="dxa" w:w="2800"/>
            <w:tcMar>
              <w:top w:type="dxa" w:w="70"/>
              <w:left w:type="dxa" w:w="110"/>
              <w:bottom w:type="dxa" w:w="70"/>
              <w:right w:type="dxa" w:w="110"/>
            </w:tcMar>
          </w:tcPr>
          <w:p>
            <w:pPr>
              <w:spacing w:after="0" w:line="244"/>
            </w:pPr>
            <w:r>
              <w:rPr>
                <w:b w:val="false"/>
                <w:bCs w:val="false"/>
                <w:sz w:val="19"/>
                <w:szCs w:val="19"/>
              </w:rPr>
              <w:t xml:space="preserve">2023 INSC 1051 (CB of 5, 6 Dec 2023)</w:t>
            </w:r>
          </w:p>
        </w:tc>
        <w:tc>
          <w:tcPr>
            <w:tcW w:type="dxa" w:w="2700"/>
            <w:tcMar>
              <w:top w:type="dxa" w:w="70"/>
              <w:left w:type="dxa" w:w="110"/>
              <w:bottom w:type="dxa" w:w="70"/>
              <w:right w:type="dxa" w:w="110"/>
            </w:tcMar>
          </w:tcPr>
          <w:p>
            <w:pPr>
              <w:spacing w:after="0" w:line="244"/>
            </w:pPr>
            <w:r>
              <w:rPr>
                <w:b w:val="false"/>
                <w:bCs w:val="false"/>
                <w:sz w:val="19"/>
                <w:szCs w:val="19"/>
              </w:rPr>
              <w:t xml:space="preserve">4.3 — non-signatories</w:t>
            </w:r>
          </w:p>
        </w:tc>
      </w:tr>
      <w:tr>
        <w:tc>
          <w:tcPr>
            <w:tcW w:type="dxa" w:w="3350"/>
            <w:tcMar>
              <w:top w:type="dxa" w:w="70"/>
              <w:left w:type="dxa" w:w="110"/>
              <w:bottom w:type="dxa" w:w="70"/>
              <w:right w:type="dxa" w:w="110"/>
            </w:tcMar>
          </w:tcPr>
          <w:p>
            <w:pPr>
              <w:spacing w:after="0" w:line="244"/>
            </w:pPr>
            <w:r>
              <w:rPr>
                <w:b w:val="false"/>
                <w:bCs w:val="false"/>
                <w:sz w:val="19"/>
                <w:szCs w:val="19"/>
              </w:rPr>
              <w:t xml:space="preserve">Duro Felguera S.A. v. Gangavaram Port Ltd.</w:t>
            </w:r>
          </w:p>
        </w:tc>
        <w:tc>
          <w:tcPr>
            <w:tcW w:type="dxa" w:w="2800"/>
            <w:tcMar>
              <w:top w:type="dxa" w:w="70"/>
              <w:left w:type="dxa" w:w="110"/>
              <w:bottom w:type="dxa" w:w="70"/>
              <w:right w:type="dxa" w:w="110"/>
            </w:tcMar>
          </w:tcPr>
          <w:p>
            <w:pPr>
              <w:spacing w:after="0" w:line="244"/>
            </w:pPr>
            <w:r>
              <w:rPr>
                <w:b w:val="false"/>
                <w:bCs w:val="false"/>
                <w:sz w:val="19"/>
                <w:szCs w:val="19"/>
              </w:rPr>
              <w:t xml:space="preserve">(2017) 9 SCC 729</w:t>
            </w:r>
          </w:p>
        </w:tc>
        <w:tc>
          <w:tcPr>
            <w:tcW w:type="dxa" w:w="2700"/>
            <w:tcMar>
              <w:top w:type="dxa" w:w="70"/>
              <w:left w:type="dxa" w:w="110"/>
              <w:bottom w:type="dxa" w:w="70"/>
              <w:right w:type="dxa" w:w="110"/>
            </w:tcMar>
          </w:tcPr>
          <w:p>
            <w:pPr>
              <w:spacing w:after="0" w:line="244"/>
            </w:pPr>
            <w:r>
              <w:rPr>
                <w:b w:val="false"/>
                <w:bCs w:val="false"/>
                <w:sz w:val="19"/>
                <w:szCs w:val="19"/>
              </w:rPr>
              <w:t xml:space="preserve">7.4 — s. 11(6A)</w:t>
            </w:r>
          </w:p>
        </w:tc>
      </w:tr>
      <w:tr>
        <w:tc>
          <w:tcPr>
            <w:tcW w:type="dxa" w:w="3350"/>
            <w:tcMar>
              <w:top w:type="dxa" w:w="70"/>
              <w:left w:type="dxa" w:w="110"/>
              <w:bottom w:type="dxa" w:w="70"/>
              <w:right w:type="dxa" w:w="110"/>
            </w:tcMar>
          </w:tcPr>
          <w:p>
            <w:pPr>
              <w:spacing w:after="0" w:line="244"/>
            </w:pPr>
            <w:r>
              <w:rPr>
                <w:b w:val="false"/>
                <w:bCs w:val="false"/>
                <w:sz w:val="19"/>
                <w:szCs w:val="19"/>
              </w:rPr>
              <w:t xml:space="preserve">Emaar MGF Land Ltd. v. Aftab Singh</w:t>
            </w:r>
          </w:p>
        </w:tc>
        <w:tc>
          <w:tcPr>
            <w:tcW w:type="dxa" w:w="2800"/>
            <w:tcMar>
              <w:top w:type="dxa" w:w="70"/>
              <w:left w:type="dxa" w:w="110"/>
              <w:bottom w:type="dxa" w:w="70"/>
              <w:right w:type="dxa" w:w="110"/>
            </w:tcMar>
          </w:tcPr>
          <w:p>
            <w:pPr>
              <w:spacing w:after="0" w:line="244"/>
            </w:pPr>
            <w:r>
              <w:rPr>
                <w:b w:val="false"/>
                <w:bCs w:val="false"/>
                <w:sz w:val="19"/>
                <w:szCs w:val="19"/>
              </w:rPr>
              <w:t xml:space="preserve">(2019) 12 SCC 751; 2018 SCC OnLine SC 2771</w:t>
            </w:r>
          </w:p>
        </w:tc>
        <w:tc>
          <w:tcPr>
            <w:tcW w:type="dxa" w:w="2700"/>
            <w:tcMar>
              <w:top w:type="dxa" w:w="70"/>
              <w:left w:type="dxa" w:w="110"/>
              <w:bottom w:type="dxa" w:w="70"/>
              <w:right w:type="dxa" w:w="110"/>
            </w:tcMar>
          </w:tcPr>
          <w:p>
            <w:pPr>
              <w:spacing w:after="0" w:line="244"/>
            </w:pPr>
            <w:r>
              <w:rPr>
                <w:b w:val="false"/>
                <w:bCs w:val="false"/>
                <w:sz w:val="19"/>
                <w:szCs w:val="19"/>
              </w:rPr>
              <w:t xml:space="preserve">3.5 — s. 8; consumer disputes</w:t>
            </w:r>
          </w:p>
        </w:tc>
      </w:tr>
      <w:tr>
        <w:tc>
          <w:tcPr>
            <w:tcW w:type="dxa" w:w="3350"/>
            <w:tcMar>
              <w:top w:type="dxa" w:w="70"/>
              <w:left w:type="dxa" w:w="110"/>
              <w:bottom w:type="dxa" w:w="70"/>
              <w:right w:type="dxa" w:w="110"/>
            </w:tcMar>
          </w:tcPr>
          <w:p>
            <w:pPr>
              <w:spacing w:after="0" w:line="244"/>
            </w:pPr>
            <w:r>
              <w:rPr>
                <w:b w:val="false"/>
                <w:bCs w:val="false"/>
                <w:sz w:val="19"/>
                <w:szCs w:val="19"/>
              </w:rPr>
              <w:t xml:space="preserve">Firm Ashok Traders v. Gurumukh Das Saluja</w:t>
            </w:r>
          </w:p>
        </w:tc>
        <w:tc>
          <w:tcPr>
            <w:tcW w:type="dxa" w:w="2800"/>
            <w:tcMar>
              <w:top w:type="dxa" w:w="70"/>
              <w:left w:type="dxa" w:w="110"/>
              <w:bottom w:type="dxa" w:w="70"/>
              <w:right w:type="dxa" w:w="110"/>
            </w:tcMar>
          </w:tcPr>
          <w:p>
            <w:pPr>
              <w:spacing w:after="0" w:line="244"/>
            </w:pPr>
            <w:r>
              <w:rPr>
                <w:b w:val="false"/>
                <w:bCs w:val="false"/>
                <w:sz w:val="19"/>
                <w:szCs w:val="19"/>
              </w:rPr>
              <w:t xml:space="preserve">(2004) 3 SCC 155</w:t>
            </w:r>
          </w:p>
        </w:tc>
        <w:tc>
          <w:tcPr>
            <w:tcW w:type="dxa" w:w="2700"/>
            <w:tcMar>
              <w:top w:type="dxa" w:w="70"/>
              <w:left w:type="dxa" w:w="110"/>
              <w:bottom w:type="dxa" w:w="70"/>
              <w:right w:type="dxa" w:w="110"/>
            </w:tcMar>
          </w:tcPr>
          <w:p>
            <w:pPr>
              <w:spacing w:after="0" w:line="244"/>
            </w:pPr>
            <w:r>
              <w:rPr>
                <w:b w:val="false"/>
                <w:bCs w:val="false"/>
                <w:sz w:val="19"/>
                <w:szCs w:val="19"/>
              </w:rPr>
              <w:t xml:space="preserve">5.1 — s. 9 is statutory</w:t>
            </w:r>
          </w:p>
        </w:tc>
      </w:tr>
      <w:tr>
        <w:tc>
          <w:tcPr>
            <w:tcW w:type="dxa" w:w="3350"/>
            <w:tcMar>
              <w:top w:type="dxa" w:w="70"/>
              <w:left w:type="dxa" w:w="110"/>
              <w:bottom w:type="dxa" w:w="70"/>
              <w:right w:type="dxa" w:w="110"/>
            </w:tcMar>
          </w:tcPr>
          <w:p>
            <w:pPr>
              <w:spacing w:after="0" w:line="244"/>
            </w:pPr>
            <w:r>
              <w:rPr>
                <w:b w:val="false"/>
                <w:bCs w:val="false"/>
                <w:sz w:val="19"/>
                <w:szCs w:val="19"/>
              </w:rPr>
              <w:t xml:space="preserve">Garware Wall Ropes Ltd. v. Coastal Marine Constructions</w:t>
            </w:r>
          </w:p>
        </w:tc>
        <w:tc>
          <w:tcPr>
            <w:tcW w:type="dxa" w:w="2800"/>
            <w:tcMar>
              <w:top w:type="dxa" w:w="70"/>
              <w:left w:type="dxa" w:w="110"/>
              <w:bottom w:type="dxa" w:w="70"/>
              <w:right w:type="dxa" w:w="110"/>
            </w:tcMar>
          </w:tcPr>
          <w:p>
            <w:pPr>
              <w:spacing w:after="0" w:line="244"/>
            </w:pPr>
            <w:r>
              <w:rPr>
                <w:b w:val="false"/>
                <w:bCs w:val="false"/>
                <w:sz w:val="19"/>
                <w:szCs w:val="19"/>
              </w:rPr>
              <w:t xml:space="preserve">(2019) 9 SCC 209</w:t>
            </w:r>
          </w:p>
        </w:tc>
        <w:tc>
          <w:tcPr>
            <w:tcW w:type="dxa" w:w="2700"/>
            <w:tcMar>
              <w:top w:type="dxa" w:w="70"/>
              <w:left w:type="dxa" w:w="110"/>
              <w:bottom w:type="dxa" w:w="70"/>
              <w:right w:type="dxa" w:w="110"/>
            </w:tcMar>
          </w:tcPr>
          <w:p>
            <w:pPr>
              <w:spacing w:after="0" w:line="244"/>
            </w:pPr>
            <w:r>
              <w:rPr>
                <w:b w:val="false"/>
                <w:bCs w:val="false"/>
                <w:sz w:val="19"/>
                <w:szCs w:val="19"/>
              </w:rPr>
              <w:t xml:space="preserve">4.3 — stamping (paras 22, 29 overruled)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Gayatri Balasamy v. ISG Novasoft Technologies Ltd.</w:t>
            </w:r>
          </w:p>
        </w:tc>
        <w:tc>
          <w:tcPr>
            <w:tcW w:type="dxa" w:w="2800"/>
            <w:tcMar>
              <w:top w:type="dxa" w:w="70"/>
              <w:left w:type="dxa" w:w="110"/>
              <w:bottom w:type="dxa" w:w="70"/>
              <w:right w:type="dxa" w:w="110"/>
            </w:tcMar>
          </w:tcPr>
          <w:p>
            <w:pPr>
              <w:spacing w:after="0" w:line="244"/>
            </w:pPr>
            <w:r>
              <w:rPr>
                <w:b w:val="false"/>
                <w:bCs w:val="false"/>
                <w:sz w:val="19"/>
                <w:szCs w:val="19"/>
              </w:rPr>
              <w:t xml:space="preserve">2025 INSC 605 (CB of 5, 30 Apr 2025, 4:1)</w:t>
            </w:r>
          </w:p>
        </w:tc>
        <w:tc>
          <w:tcPr>
            <w:tcW w:type="dxa" w:w="2700"/>
            <w:tcMar>
              <w:top w:type="dxa" w:w="70"/>
              <w:left w:type="dxa" w:w="110"/>
              <w:bottom w:type="dxa" w:w="70"/>
              <w:right w:type="dxa" w:w="110"/>
            </w:tcMar>
          </w:tcPr>
          <w:p>
            <w:pPr>
              <w:spacing w:after="0" w:line="244"/>
            </w:pPr>
            <w:r>
              <w:rPr>
                <w:b w:val="false"/>
                <w:bCs w:val="false"/>
                <w:sz w:val="19"/>
                <w:szCs w:val="19"/>
              </w:rPr>
              <w:t xml:space="preserve">12.4 — modification of award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Gullapalli Nageswara Rao v. APSRTC (Gullapalli-I)</w:t>
            </w:r>
          </w:p>
        </w:tc>
        <w:tc>
          <w:tcPr>
            <w:tcW w:type="dxa" w:w="2800"/>
            <w:tcMar>
              <w:top w:type="dxa" w:w="70"/>
              <w:left w:type="dxa" w:w="110"/>
              <w:bottom w:type="dxa" w:w="70"/>
              <w:right w:type="dxa" w:w="110"/>
            </w:tcMar>
          </w:tcPr>
          <w:p>
            <w:pPr>
              <w:spacing w:after="0" w:line="244"/>
            </w:pPr>
            <w:r>
              <w:rPr>
                <w:b w:val="false"/>
                <w:bCs w:val="false"/>
                <w:sz w:val="19"/>
                <w:szCs w:val="19"/>
              </w:rPr>
              <w:t xml:space="preserve">AIR 1959 SC 308 (CB of 5, 5 Nov 1958)</w:t>
            </w:r>
          </w:p>
        </w:tc>
        <w:tc>
          <w:tcPr>
            <w:tcW w:type="dxa" w:w="2700"/>
            <w:tcMar>
              <w:top w:type="dxa" w:w="70"/>
              <w:left w:type="dxa" w:w="110"/>
              <w:bottom w:type="dxa" w:w="70"/>
              <w:right w:type="dxa" w:w="110"/>
            </w:tcMar>
          </w:tcPr>
          <w:p>
            <w:pPr>
              <w:spacing w:after="0" w:line="244"/>
            </w:pPr>
            <w:r>
              <w:rPr>
                <w:b w:val="false"/>
                <w:bCs w:val="false"/>
                <w:sz w:val="19"/>
                <w:szCs w:val="19"/>
              </w:rPr>
              <w:t xml:space="preserve">7.2 — natural justice; 11.1</w:t>
            </w:r>
          </w:p>
        </w:tc>
      </w:tr>
      <w:tr>
        <w:tc>
          <w:tcPr>
            <w:tcW w:type="dxa" w:w="3350"/>
            <w:tcMar>
              <w:top w:type="dxa" w:w="70"/>
              <w:left w:type="dxa" w:w="110"/>
              <w:bottom w:type="dxa" w:w="70"/>
              <w:right w:type="dxa" w:w="110"/>
            </w:tcMar>
          </w:tcPr>
          <w:p>
            <w:pPr>
              <w:spacing w:after="0" w:line="244"/>
            </w:pPr>
            <w:r>
              <w:rPr>
                <w:b w:val="false"/>
                <w:bCs w:val="false"/>
                <w:sz w:val="19"/>
                <w:szCs w:val="19"/>
              </w:rPr>
              <w:t xml:space="preserve">Gullapalli Nageswara Rao v. State of A.P. (Gullapalli-II)</w:t>
            </w:r>
          </w:p>
        </w:tc>
        <w:tc>
          <w:tcPr>
            <w:tcW w:type="dxa" w:w="2800"/>
            <w:tcMar>
              <w:top w:type="dxa" w:w="70"/>
              <w:left w:type="dxa" w:w="110"/>
              <w:bottom w:type="dxa" w:w="70"/>
              <w:right w:type="dxa" w:w="110"/>
            </w:tcMar>
          </w:tcPr>
          <w:p>
            <w:pPr>
              <w:spacing w:after="0" w:line="244"/>
            </w:pPr>
            <w:r>
              <w:rPr>
                <w:b w:val="false"/>
                <w:bCs w:val="false"/>
                <w:sz w:val="19"/>
                <w:szCs w:val="19"/>
              </w:rPr>
              <w:t xml:space="preserve">AIR 1959 SC 1376 (21 Aug 1959)</w:t>
            </w:r>
          </w:p>
        </w:tc>
        <w:tc>
          <w:tcPr>
            <w:tcW w:type="dxa" w:w="2700"/>
            <w:tcMar>
              <w:top w:type="dxa" w:w="70"/>
              <w:left w:type="dxa" w:w="110"/>
              <w:bottom w:type="dxa" w:w="70"/>
              <w:right w:type="dxa" w:w="110"/>
            </w:tcMar>
          </w:tcPr>
          <w:p>
            <w:pPr>
              <w:spacing w:after="0" w:line="244"/>
            </w:pPr>
            <w:r>
              <w:rPr>
                <w:b w:val="false"/>
                <w:bCs w:val="false"/>
                <w:sz w:val="19"/>
                <w:szCs w:val="19"/>
              </w:rPr>
              <w:t xml:space="preserve">7.2 — distinguished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In Re: Interplay (Arbitration Agreements and the Indian Stamp Act)</w:t>
            </w:r>
          </w:p>
        </w:tc>
        <w:tc>
          <w:tcPr>
            <w:tcW w:type="dxa" w:w="2800"/>
            <w:tcMar>
              <w:top w:type="dxa" w:w="70"/>
              <w:left w:type="dxa" w:w="110"/>
              <w:bottom w:type="dxa" w:w="70"/>
              <w:right w:type="dxa" w:w="110"/>
            </w:tcMar>
          </w:tcPr>
          <w:p>
            <w:pPr>
              <w:spacing w:after="0" w:line="244"/>
            </w:pPr>
            <w:r>
              <w:rPr>
                <w:b w:val="false"/>
                <w:bCs w:val="false"/>
                <w:sz w:val="19"/>
                <w:szCs w:val="19"/>
              </w:rPr>
              <w:t xml:space="preserve">2023 INSC 1066 (7 Judges, 13 Dec 2023)</w:t>
            </w:r>
          </w:p>
        </w:tc>
        <w:tc>
          <w:tcPr>
            <w:tcW w:type="dxa" w:w="2700"/>
            <w:tcMar>
              <w:top w:type="dxa" w:w="70"/>
              <w:left w:type="dxa" w:w="110"/>
              <w:bottom w:type="dxa" w:w="70"/>
              <w:right w:type="dxa" w:w="110"/>
            </w:tcMar>
          </w:tcPr>
          <w:p>
            <w:pPr>
              <w:spacing w:after="0" w:line="244"/>
            </w:pPr>
            <w:r>
              <w:rPr>
                <w:b w:val="false"/>
                <w:bCs w:val="false"/>
                <w:sz w:val="19"/>
                <w:szCs w:val="19"/>
              </w:rPr>
              <w:t xml:space="preserve">4.3, 7.4 — stamping; s. 11(6A)</w:t>
            </w:r>
          </w:p>
        </w:tc>
      </w:tr>
      <w:tr>
        <w:tc>
          <w:tcPr>
            <w:tcW w:type="dxa" w:w="3350"/>
            <w:tcMar>
              <w:top w:type="dxa" w:w="70"/>
              <w:left w:type="dxa" w:w="110"/>
              <w:bottom w:type="dxa" w:w="70"/>
              <w:right w:type="dxa" w:w="110"/>
            </w:tcMar>
          </w:tcPr>
          <w:p>
            <w:pPr>
              <w:spacing w:after="0" w:line="244"/>
            </w:pPr>
            <w:r>
              <w:rPr>
                <w:b w:val="false"/>
                <w:bCs w:val="false"/>
                <w:sz w:val="19"/>
                <w:szCs w:val="19"/>
              </w:rPr>
              <w:t xml:space="preserve">Indian Oil Corporation Ltd. v. Raja Transport Pvt. Ltd.</w:t>
            </w:r>
          </w:p>
        </w:tc>
        <w:tc>
          <w:tcPr>
            <w:tcW w:type="dxa" w:w="2800"/>
            <w:tcMar>
              <w:top w:type="dxa" w:w="70"/>
              <w:left w:type="dxa" w:w="110"/>
              <w:bottom w:type="dxa" w:w="70"/>
              <w:right w:type="dxa" w:w="110"/>
            </w:tcMar>
          </w:tcPr>
          <w:p>
            <w:pPr>
              <w:spacing w:after="0" w:line="244"/>
            </w:pPr>
            <w:r>
              <w:rPr>
                <w:b w:val="false"/>
                <w:bCs w:val="false"/>
                <w:sz w:val="19"/>
                <w:szCs w:val="19"/>
              </w:rPr>
              <w:t xml:space="preserve">(2009) 8 SCC 520 (24 Aug 2009)</w:t>
            </w:r>
          </w:p>
        </w:tc>
        <w:tc>
          <w:tcPr>
            <w:tcW w:type="dxa" w:w="2700"/>
            <w:tcMar>
              <w:top w:type="dxa" w:w="70"/>
              <w:left w:type="dxa" w:w="110"/>
              <w:bottom w:type="dxa" w:w="70"/>
              <w:right w:type="dxa" w:w="110"/>
            </w:tcMar>
          </w:tcPr>
          <w:p>
            <w:pPr>
              <w:spacing w:after="0" w:line="244"/>
            </w:pPr>
            <w:r>
              <w:rPr>
                <w:b w:val="false"/>
                <w:bCs w:val="false"/>
                <w:sz w:val="19"/>
                <w:szCs w:val="19"/>
              </w:rPr>
              <w:t xml:space="preserve">8.4 — employee arbitrator</w:t>
            </w:r>
          </w:p>
        </w:tc>
      </w:tr>
      <w:tr>
        <w:tc>
          <w:tcPr>
            <w:tcW w:type="dxa" w:w="3350"/>
            <w:tcMar>
              <w:top w:type="dxa" w:w="70"/>
              <w:left w:type="dxa" w:w="110"/>
              <w:bottom w:type="dxa" w:w="70"/>
              <w:right w:type="dxa" w:w="110"/>
            </w:tcMar>
          </w:tcPr>
          <w:p>
            <w:pPr>
              <w:spacing w:after="0" w:line="244"/>
            </w:pPr>
            <w:r>
              <w:rPr>
                <w:b w:val="false"/>
                <w:bCs w:val="false"/>
                <w:sz w:val="19"/>
                <w:szCs w:val="19"/>
              </w:rPr>
              <w:t xml:space="preserve">Jagdish Chander v. Ramesh Chander</w:t>
            </w:r>
          </w:p>
        </w:tc>
        <w:tc>
          <w:tcPr>
            <w:tcW w:type="dxa" w:w="2800"/>
            <w:tcMar>
              <w:top w:type="dxa" w:w="70"/>
              <w:left w:type="dxa" w:w="110"/>
              <w:bottom w:type="dxa" w:w="70"/>
              <w:right w:type="dxa" w:w="110"/>
            </w:tcMar>
          </w:tcPr>
          <w:p>
            <w:pPr>
              <w:spacing w:after="0" w:line="244"/>
            </w:pPr>
            <w:r>
              <w:rPr>
                <w:b w:val="false"/>
                <w:bCs w:val="false"/>
                <w:sz w:val="19"/>
                <w:szCs w:val="19"/>
              </w:rPr>
              <w:t xml:space="preserve">(2007) 5 SCC 719</w:t>
            </w:r>
          </w:p>
        </w:tc>
        <w:tc>
          <w:tcPr>
            <w:tcW w:type="dxa" w:w="2700"/>
            <w:tcMar>
              <w:top w:type="dxa" w:w="70"/>
              <w:left w:type="dxa" w:w="110"/>
              <w:bottom w:type="dxa" w:w="70"/>
              <w:right w:type="dxa" w:w="110"/>
            </w:tcMar>
          </w:tcPr>
          <w:p>
            <w:pPr>
              <w:spacing w:after="0" w:line="244"/>
            </w:pPr>
            <w:r>
              <w:rPr>
                <w:b w:val="false"/>
                <w:bCs w:val="false"/>
                <w:sz w:val="19"/>
                <w:szCs w:val="19"/>
              </w:rPr>
              <w:t xml:space="preserve">4.2 — s. 7</w:t>
            </w:r>
          </w:p>
        </w:tc>
      </w:tr>
      <w:tr>
        <w:tc>
          <w:tcPr>
            <w:tcW w:type="dxa" w:w="3350"/>
            <w:tcMar>
              <w:top w:type="dxa" w:w="70"/>
              <w:left w:type="dxa" w:w="110"/>
              <w:bottom w:type="dxa" w:w="70"/>
              <w:right w:type="dxa" w:w="110"/>
            </w:tcMar>
          </w:tcPr>
          <w:p>
            <w:pPr>
              <w:spacing w:after="0" w:line="244"/>
            </w:pPr>
            <w:r>
              <w:rPr>
                <w:b w:val="false"/>
                <w:bCs w:val="false"/>
                <w:sz w:val="19"/>
                <w:szCs w:val="19"/>
              </w:rPr>
              <w:t xml:space="preserve">Konkan Railway Corpn. v. Mehul Construction Co.</w:t>
            </w:r>
          </w:p>
        </w:tc>
        <w:tc>
          <w:tcPr>
            <w:tcW w:type="dxa" w:w="2800"/>
            <w:tcMar>
              <w:top w:type="dxa" w:w="70"/>
              <w:left w:type="dxa" w:w="110"/>
              <w:bottom w:type="dxa" w:w="70"/>
              <w:right w:type="dxa" w:w="110"/>
            </w:tcMar>
          </w:tcPr>
          <w:p>
            <w:pPr>
              <w:spacing w:after="0" w:line="244"/>
            </w:pPr>
            <w:r>
              <w:rPr>
                <w:b w:val="false"/>
                <w:bCs w:val="false"/>
                <w:sz w:val="19"/>
                <w:szCs w:val="19"/>
              </w:rPr>
              <w:t xml:space="preserve">(2000) 7 SCC 201 (3 Judges)</w:t>
            </w:r>
          </w:p>
        </w:tc>
        <w:tc>
          <w:tcPr>
            <w:tcW w:type="dxa" w:w="2700"/>
            <w:tcMar>
              <w:top w:type="dxa" w:w="70"/>
              <w:left w:type="dxa" w:w="110"/>
              <w:bottom w:type="dxa" w:w="70"/>
              <w:right w:type="dxa" w:w="110"/>
            </w:tcMar>
          </w:tcPr>
          <w:p>
            <w:pPr>
              <w:spacing w:after="0" w:line="244"/>
            </w:pPr>
            <w:r>
              <w:rPr>
                <w:b w:val="false"/>
                <w:bCs w:val="false"/>
                <w:sz w:val="19"/>
                <w:szCs w:val="19"/>
              </w:rPr>
              <w:t xml:space="preserve">7.3 — s. 11 administrative</w:t>
            </w:r>
          </w:p>
        </w:tc>
      </w:tr>
      <w:tr>
        <w:tc>
          <w:tcPr>
            <w:tcW w:type="dxa" w:w="3350"/>
            <w:tcMar>
              <w:top w:type="dxa" w:w="70"/>
              <w:left w:type="dxa" w:w="110"/>
              <w:bottom w:type="dxa" w:w="70"/>
              <w:right w:type="dxa" w:w="110"/>
            </w:tcMar>
          </w:tcPr>
          <w:p>
            <w:pPr>
              <w:spacing w:after="0" w:line="244"/>
            </w:pPr>
            <w:r>
              <w:rPr>
                <w:b w:val="false"/>
                <w:bCs w:val="false"/>
                <w:sz w:val="19"/>
                <w:szCs w:val="19"/>
              </w:rPr>
              <w:t xml:space="preserve">Konkan Railway Corpn. v. Rani Construction Pvt. Ltd.</w:t>
            </w:r>
          </w:p>
        </w:tc>
        <w:tc>
          <w:tcPr>
            <w:tcW w:type="dxa" w:w="2800"/>
            <w:tcMar>
              <w:top w:type="dxa" w:w="70"/>
              <w:left w:type="dxa" w:w="110"/>
              <w:bottom w:type="dxa" w:w="70"/>
              <w:right w:type="dxa" w:w="110"/>
            </w:tcMar>
          </w:tcPr>
          <w:p>
            <w:pPr>
              <w:spacing w:after="0" w:line="244"/>
            </w:pPr>
            <w:r>
              <w:rPr>
                <w:b w:val="false"/>
                <w:bCs w:val="false"/>
                <w:sz w:val="19"/>
                <w:szCs w:val="19"/>
              </w:rPr>
              <w:t xml:space="preserve">(2002) 2 SCC 388 (CB)</w:t>
            </w:r>
          </w:p>
        </w:tc>
        <w:tc>
          <w:tcPr>
            <w:tcW w:type="dxa" w:w="2700"/>
            <w:tcMar>
              <w:top w:type="dxa" w:w="70"/>
              <w:left w:type="dxa" w:w="110"/>
              <w:bottom w:type="dxa" w:w="70"/>
              <w:right w:type="dxa" w:w="110"/>
            </w:tcMar>
          </w:tcPr>
          <w:p>
            <w:pPr>
              <w:spacing w:after="0" w:line="244"/>
            </w:pPr>
            <w:r>
              <w:rPr>
                <w:b w:val="false"/>
                <w:bCs w:val="false"/>
                <w:sz w:val="19"/>
                <w:szCs w:val="19"/>
              </w:rPr>
              <w:t xml:space="preserve">7.3 — affirmed Mehul</w:t>
            </w:r>
          </w:p>
        </w:tc>
      </w:tr>
      <w:tr>
        <w:tc>
          <w:tcPr>
            <w:tcW w:type="dxa" w:w="3350"/>
            <w:tcMar>
              <w:top w:type="dxa" w:w="70"/>
              <w:left w:type="dxa" w:w="110"/>
              <w:bottom w:type="dxa" w:w="70"/>
              <w:right w:type="dxa" w:w="110"/>
            </w:tcMar>
          </w:tcPr>
          <w:p>
            <w:pPr>
              <w:spacing w:after="0" w:line="244"/>
            </w:pPr>
            <w:r>
              <w:rPr>
                <w:b w:val="false"/>
                <w:bCs w:val="false"/>
                <w:sz w:val="19"/>
                <w:szCs w:val="19"/>
              </w:rPr>
              <w:t xml:space="preserve">Mayavati Trading Pvt. Ltd. v. Pradyuat Deb Burman</w:t>
            </w:r>
          </w:p>
        </w:tc>
        <w:tc>
          <w:tcPr>
            <w:tcW w:type="dxa" w:w="2800"/>
            <w:tcMar>
              <w:top w:type="dxa" w:w="70"/>
              <w:left w:type="dxa" w:w="110"/>
              <w:bottom w:type="dxa" w:w="70"/>
              <w:right w:type="dxa" w:w="110"/>
            </w:tcMar>
          </w:tcPr>
          <w:p>
            <w:pPr>
              <w:spacing w:after="0" w:line="244"/>
            </w:pPr>
            <w:r>
              <w:rPr>
                <w:b w:val="false"/>
                <w:bCs w:val="false"/>
                <w:sz w:val="19"/>
                <w:szCs w:val="19"/>
              </w:rPr>
              <w:t xml:space="preserve">(2019) 8 SCC 714</w:t>
            </w:r>
          </w:p>
        </w:tc>
        <w:tc>
          <w:tcPr>
            <w:tcW w:type="dxa" w:w="2700"/>
            <w:tcMar>
              <w:top w:type="dxa" w:w="70"/>
              <w:left w:type="dxa" w:w="110"/>
              <w:bottom w:type="dxa" w:w="70"/>
              <w:right w:type="dxa" w:w="110"/>
            </w:tcMar>
          </w:tcPr>
          <w:p>
            <w:pPr>
              <w:spacing w:after="0" w:line="244"/>
            </w:pPr>
            <w:r>
              <w:rPr>
                <w:b w:val="false"/>
                <w:bCs w:val="false"/>
                <w:sz w:val="19"/>
                <w:szCs w:val="19"/>
              </w:rPr>
              <w:t xml:space="preserve">7.4 — Patel Engineering displaced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N.N. Global Mercantile Pvt. Ltd. v. Indo Unique Flame Ltd.</w:t>
            </w:r>
          </w:p>
        </w:tc>
        <w:tc>
          <w:tcPr>
            <w:tcW w:type="dxa" w:w="2800"/>
            <w:tcMar>
              <w:top w:type="dxa" w:w="70"/>
              <w:left w:type="dxa" w:w="110"/>
              <w:bottom w:type="dxa" w:w="70"/>
              <w:right w:type="dxa" w:w="110"/>
            </w:tcMar>
          </w:tcPr>
          <w:p>
            <w:pPr>
              <w:spacing w:after="0" w:line="244"/>
            </w:pPr>
            <w:r>
              <w:rPr>
                <w:b w:val="false"/>
                <w:bCs w:val="false"/>
                <w:sz w:val="19"/>
                <w:szCs w:val="19"/>
              </w:rPr>
              <w:t xml:space="preserve">(2023) 7 SCC 1 (5 Judges)</w:t>
            </w:r>
          </w:p>
        </w:tc>
        <w:tc>
          <w:tcPr>
            <w:tcW w:type="dxa" w:w="2700"/>
            <w:tcMar>
              <w:top w:type="dxa" w:w="70"/>
              <w:left w:type="dxa" w:w="110"/>
              <w:bottom w:type="dxa" w:w="70"/>
              <w:right w:type="dxa" w:w="110"/>
            </w:tcMar>
          </w:tcPr>
          <w:p>
            <w:pPr>
              <w:spacing w:after="0" w:line="244"/>
            </w:pPr>
            <w:r>
              <w:rPr>
                <w:b w:val="false"/>
                <w:bCs w:val="false"/>
                <w:sz w:val="19"/>
                <w:szCs w:val="19"/>
              </w:rPr>
              <w:t xml:space="preserve">4.3 — overruled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Narayan Prasad Lohia v. Nikunj Kumar Lohia</w:t>
            </w:r>
          </w:p>
        </w:tc>
        <w:tc>
          <w:tcPr>
            <w:tcW w:type="dxa" w:w="2800"/>
            <w:tcMar>
              <w:top w:type="dxa" w:w="70"/>
              <w:left w:type="dxa" w:w="110"/>
              <w:bottom w:type="dxa" w:w="70"/>
              <w:right w:type="dxa" w:w="110"/>
            </w:tcMar>
          </w:tcPr>
          <w:p>
            <w:pPr>
              <w:spacing w:after="0" w:line="244"/>
            </w:pPr>
            <w:r>
              <w:rPr>
                <w:b w:val="false"/>
                <w:bCs w:val="false"/>
                <w:sz w:val="19"/>
                <w:szCs w:val="19"/>
              </w:rPr>
              <w:t xml:space="preserve">(2002) 3 SCC 572; AIR 2002 SC 1139 (3 Judges)</w:t>
            </w:r>
          </w:p>
        </w:tc>
        <w:tc>
          <w:tcPr>
            <w:tcW w:type="dxa" w:w="2700"/>
            <w:tcMar>
              <w:top w:type="dxa" w:w="70"/>
              <w:left w:type="dxa" w:w="110"/>
              <w:bottom w:type="dxa" w:w="70"/>
              <w:right w:type="dxa" w:w="110"/>
            </w:tcMar>
          </w:tcPr>
          <w:p>
            <w:pPr>
              <w:spacing w:after="0" w:line="244"/>
            </w:pPr>
            <w:r>
              <w:rPr>
                <w:b w:val="false"/>
                <w:bCs w:val="false"/>
                <w:sz w:val="19"/>
                <w:szCs w:val="19"/>
              </w:rPr>
              <w:t xml:space="preserve">6.1 — s. 10; 2.4 — s. 4</w:t>
            </w:r>
          </w:p>
        </w:tc>
      </w:tr>
      <w:tr>
        <w:tc>
          <w:tcPr>
            <w:tcW w:type="dxa" w:w="3350"/>
            <w:tcMar>
              <w:top w:type="dxa" w:w="70"/>
              <w:left w:type="dxa" w:w="110"/>
              <w:bottom w:type="dxa" w:w="70"/>
              <w:right w:type="dxa" w:w="110"/>
            </w:tcMar>
          </w:tcPr>
          <w:p>
            <w:pPr>
              <w:spacing w:after="0" w:line="244"/>
            </w:pPr>
            <w:r>
              <w:rPr>
                <w:b w:val="false"/>
                <w:bCs w:val="false"/>
                <w:sz w:val="19"/>
                <w:szCs w:val="19"/>
              </w:rPr>
              <w:t xml:space="preserve">National Insurance Co. v. Boghara Polyfab Pvt. Ltd.</w:t>
            </w:r>
          </w:p>
        </w:tc>
        <w:tc>
          <w:tcPr>
            <w:tcW w:type="dxa" w:w="2800"/>
            <w:tcMar>
              <w:top w:type="dxa" w:w="70"/>
              <w:left w:type="dxa" w:w="110"/>
              <w:bottom w:type="dxa" w:w="70"/>
              <w:right w:type="dxa" w:w="110"/>
            </w:tcMar>
          </w:tcPr>
          <w:p>
            <w:pPr>
              <w:spacing w:after="0" w:line="244"/>
            </w:pPr>
            <w:r>
              <w:rPr>
                <w:b w:val="false"/>
                <w:bCs w:val="false"/>
                <w:sz w:val="19"/>
                <w:szCs w:val="19"/>
              </w:rPr>
              <w:t xml:space="preserve">(2009) 1 SCC 267</w:t>
            </w:r>
          </w:p>
        </w:tc>
        <w:tc>
          <w:tcPr>
            <w:tcW w:type="dxa" w:w="2700"/>
            <w:tcMar>
              <w:top w:type="dxa" w:w="70"/>
              <w:left w:type="dxa" w:w="110"/>
              <w:bottom w:type="dxa" w:w="70"/>
              <w:right w:type="dxa" w:w="110"/>
            </w:tcMar>
          </w:tcPr>
          <w:p>
            <w:pPr>
              <w:spacing w:after="0" w:line="244"/>
            </w:pPr>
            <w:r>
              <w:rPr>
                <w:b w:val="false"/>
                <w:bCs w:val="false"/>
                <w:sz w:val="19"/>
                <w:szCs w:val="19"/>
              </w:rPr>
              <w:t xml:space="preserve">7.4 — appointment-stage issues</w:t>
            </w:r>
          </w:p>
        </w:tc>
      </w:tr>
      <w:tr>
        <w:tc>
          <w:tcPr>
            <w:tcW w:type="dxa" w:w="3350"/>
            <w:tcMar>
              <w:top w:type="dxa" w:w="70"/>
              <w:left w:type="dxa" w:w="110"/>
              <w:bottom w:type="dxa" w:w="70"/>
              <w:right w:type="dxa" w:w="110"/>
            </w:tcMar>
          </w:tcPr>
          <w:p>
            <w:pPr>
              <w:spacing w:after="0" w:line="244"/>
            </w:pPr>
            <w:r>
              <w:rPr>
                <w:b w:val="false"/>
                <w:bCs w:val="false"/>
                <w:sz w:val="19"/>
                <w:szCs w:val="19"/>
              </w:rPr>
              <w:t xml:space="preserve">Perkins Eastman Architects DPC v. HSCC (India) Ltd.</w:t>
            </w:r>
          </w:p>
        </w:tc>
        <w:tc>
          <w:tcPr>
            <w:tcW w:type="dxa" w:w="2800"/>
            <w:tcMar>
              <w:top w:type="dxa" w:w="70"/>
              <w:left w:type="dxa" w:w="110"/>
              <w:bottom w:type="dxa" w:w="70"/>
              <w:right w:type="dxa" w:w="110"/>
            </w:tcMar>
          </w:tcPr>
          <w:p>
            <w:pPr>
              <w:spacing w:after="0" w:line="244"/>
            </w:pPr>
            <w:r>
              <w:rPr>
                <w:b w:val="false"/>
                <w:bCs w:val="false"/>
                <w:sz w:val="19"/>
                <w:szCs w:val="19"/>
              </w:rPr>
              <w:t xml:space="preserve">2019 SCC OnLine SC 1517; (2020) 20 SCC 760</w:t>
            </w:r>
          </w:p>
        </w:tc>
        <w:tc>
          <w:tcPr>
            <w:tcW w:type="dxa" w:w="2700"/>
            <w:tcMar>
              <w:top w:type="dxa" w:w="70"/>
              <w:left w:type="dxa" w:w="110"/>
              <w:bottom w:type="dxa" w:w="70"/>
              <w:right w:type="dxa" w:w="110"/>
            </w:tcMar>
          </w:tcPr>
          <w:p>
            <w:pPr>
              <w:spacing w:after="0" w:line="244"/>
            </w:pPr>
            <w:r>
              <w:rPr>
                <w:b w:val="false"/>
                <w:bCs w:val="false"/>
                <w:sz w:val="19"/>
                <w:szCs w:val="19"/>
              </w:rPr>
              <w:t xml:space="preserve">8.5 — unilateral appointment</w:t>
            </w:r>
          </w:p>
        </w:tc>
      </w:tr>
      <w:tr>
        <w:tc>
          <w:tcPr>
            <w:tcW w:type="dxa" w:w="3350"/>
            <w:tcMar>
              <w:top w:type="dxa" w:w="70"/>
              <w:left w:type="dxa" w:w="110"/>
              <w:bottom w:type="dxa" w:w="70"/>
              <w:right w:type="dxa" w:w="110"/>
            </w:tcMar>
          </w:tcPr>
          <w:p>
            <w:pPr>
              <w:spacing w:after="0" w:line="244"/>
            </w:pPr>
            <w:r>
              <w:rPr>
                <w:b w:val="false"/>
                <w:bCs w:val="false"/>
                <w:sz w:val="19"/>
                <w:szCs w:val="19"/>
              </w:rPr>
              <w:t xml:space="preserve">R.M. Investments &amp; Trading Co. Pvt. Ltd. v. Boeing Co.</w:t>
            </w:r>
          </w:p>
        </w:tc>
        <w:tc>
          <w:tcPr>
            <w:tcW w:type="dxa" w:w="2800"/>
            <w:tcMar>
              <w:top w:type="dxa" w:w="70"/>
              <w:left w:type="dxa" w:w="110"/>
              <w:bottom w:type="dxa" w:w="70"/>
              <w:right w:type="dxa" w:w="110"/>
            </w:tcMar>
          </w:tcPr>
          <w:p>
            <w:pPr>
              <w:spacing w:after="0" w:line="244"/>
            </w:pPr>
            <w:r>
              <w:rPr>
                <w:b w:val="false"/>
                <w:bCs w:val="false"/>
                <w:sz w:val="19"/>
                <w:szCs w:val="19"/>
              </w:rPr>
              <w:t xml:space="preserve">(1994) 4 SCC 541; AIR 1994 SC 1136</w:t>
            </w:r>
          </w:p>
        </w:tc>
        <w:tc>
          <w:tcPr>
            <w:tcW w:type="dxa" w:w="2700"/>
            <w:tcMar>
              <w:top w:type="dxa" w:w="70"/>
              <w:left w:type="dxa" w:w="110"/>
              <w:bottom w:type="dxa" w:w="70"/>
              <w:right w:type="dxa" w:w="110"/>
            </w:tcMar>
          </w:tcPr>
          <w:p>
            <w:pPr>
              <w:spacing w:after="0" w:line="244"/>
            </w:pPr>
            <w:r>
              <w:rPr>
                <w:b w:val="false"/>
                <w:bCs w:val="false"/>
                <w:sz w:val="19"/>
                <w:szCs w:val="19"/>
              </w:rPr>
              <w:t xml:space="preserve">1.2 — “commercial”</w:t>
            </w:r>
          </w:p>
        </w:tc>
      </w:tr>
      <w:tr>
        <w:tc>
          <w:tcPr>
            <w:tcW w:type="dxa" w:w="3350"/>
            <w:tcMar>
              <w:top w:type="dxa" w:w="70"/>
              <w:left w:type="dxa" w:w="110"/>
              <w:bottom w:type="dxa" w:w="70"/>
              <w:right w:type="dxa" w:w="110"/>
            </w:tcMar>
          </w:tcPr>
          <w:p>
            <w:pPr>
              <w:spacing w:after="0" w:line="244"/>
            </w:pPr>
            <w:r>
              <w:rPr>
                <w:b w:val="false"/>
                <w:bCs w:val="false"/>
                <w:sz w:val="19"/>
                <w:szCs w:val="19"/>
              </w:rPr>
              <w:t xml:space="preserve">Saipem S.p.A. v. Bangladesh</w:t>
            </w:r>
          </w:p>
        </w:tc>
        <w:tc>
          <w:tcPr>
            <w:tcW w:type="dxa" w:w="2800"/>
            <w:tcMar>
              <w:top w:type="dxa" w:w="70"/>
              <w:left w:type="dxa" w:w="110"/>
              <w:bottom w:type="dxa" w:w="70"/>
              <w:right w:type="dxa" w:w="110"/>
            </w:tcMar>
          </w:tcPr>
          <w:p>
            <w:pPr>
              <w:spacing w:after="0" w:line="244"/>
            </w:pPr>
            <w:r>
              <w:rPr>
                <w:b w:val="false"/>
                <w:bCs w:val="false"/>
                <w:sz w:val="19"/>
                <w:szCs w:val="19"/>
              </w:rPr>
              <w:t xml:space="preserve">ICSID ARB/05/7; Award 30 June 2009</w:t>
            </w:r>
          </w:p>
        </w:tc>
        <w:tc>
          <w:tcPr>
            <w:tcW w:type="dxa" w:w="2700"/>
            <w:tcMar>
              <w:top w:type="dxa" w:w="70"/>
              <w:left w:type="dxa" w:w="110"/>
              <w:bottom w:type="dxa" w:w="70"/>
              <w:right w:type="dxa" w:w="110"/>
            </w:tcMar>
          </w:tcPr>
          <w:p>
            <w:pPr>
              <w:spacing w:after="0" w:line="244"/>
            </w:pPr>
            <w:r>
              <w:rPr>
                <w:b w:val="false"/>
                <w:bCs w:val="false"/>
                <w:sz w:val="19"/>
                <w:szCs w:val="19"/>
              </w:rPr>
              <w:t xml:space="preserve">1.8 — judicial interference</w:t>
            </w:r>
          </w:p>
        </w:tc>
      </w:tr>
      <w:tr>
        <w:tc>
          <w:tcPr>
            <w:tcW w:type="dxa" w:w="3350"/>
            <w:tcMar>
              <w:top w:type="dxa" w:w="70"/>
              <w:left w:type="dxa" w:w="110"/>
              <w:bottom w:type="dxa" w:w="70"/>
              <w:right w:type="dxa" w:w="110"/>
            </w:tcMar>
          </w:tcPr>
          <w:p>
            <w:pPr>
              <w:spacing w:after="0" w:line="244"/>
            </w:pPr>
            <w:r>
              <w:rPr>
                <w:b w:val="false"/>
                <w:bCs w:val="false"/>
                <w:sz w:val="19"/>
                <w:szCs w:val="19"/>
              </w:rPr>
              <w:t xml:space="preserve">SBP &amp; Co. v. Patel Engineering Ltd.</w:t>
            </w:r>
          </w:p>
        </w:tc>
        <w:tc>
          <w:tcPr>
            <w:tcW w:type="dxa" w:w="2800"/>
            <w:tcMar>
              <w:top w:type="dxa" w:w="70"/>
              <w:left w:type="dxa" w:w="110"/>
              <w:bottom w:type="dxa" w:w="70"/>
              <w:right w:type="dxa" w:w="110"/>
            </w:tcMar>
          </w:tcPr>
          <w:p>
            <w:pPr>
              <w:spacing w:after="0" w:line="244"/>
            </w:pPr>
            <w:r>
              <w:rPr>
                <w:b w:val="false"/>
                <w:bCs w:val="false"/>
                <w:sz w:val="19"/>
                <w:szCs w:val="19"/>
              </w:rPr>
              <w:t xml:space="preserve">(2005) 8 SCC 618; AIR 2006 SC 450 (7 Judges)</w:t>
            </w:r>
          </w:p>
        </w:tc>
        <w:tc>
          <w:tcPr>
            <w:tcW w:type="dxa" w:w="2700"/>
            <w:tcMar>
              <w:top w:type="dxa" w:w="70"/>
              <w:left w:type="dxa" w:w="110"/>
              <w:bottom w:type="dxa" w:w="70"/>
              <w:right w:type="dxa" w:w="110"/>
            </w:tcMar>
          </w:tcPr>
          <w:p>
            <w:pPr>
              <w:spacing w:after="0" w:line="244"/>
            </w:pPr>
            <w:r>
              <w:rPr>
                <w:b w:val="false"/>
                <w:bCs w:val="false"/>
                <w:sz w:val="19"/>
                <w:szCs w:val="19"/>
              </w:rPr>
              <w:t xml:space="preserve">7.3 — s. 11 judicial</w:t>
            </w:r>
          </w:p>
        </w:tc>
      </w:tr>
      <w:tr>
        <w:tc>
          <w:tcPr>
            <w:tcW w:type="dxa" w:w="3350"/>
            <w:tcMar>
              <w:top w:type="dxa" w:w="70"/>
              <w:left w:type="dxa" w:w="110"/>
              <w:bottom w:type="dxa" w:w="70"/>
              <w:right w:type="dxa" w:w="110"/>
            </w:tcMar>
          </w:tcPr>
          <w:p>
            <w:pPr>
              <w:spacing w:after="0" w:line="244"/>
            </w:pPr>
            <w:r>
              <w:rPr>
                <w:b w:val="false"/>
                <w:bCs w:val="false"/>
                <w:sz w:val="19"/>
                <w:szCs w:val="19"/>
              </w:rPr>
              <w:t xml:space="preserve">Scott v. Avery</w:t>
            </w:r>
          </w:p>
        </w:tc>
        <w:tc>
          <w:tcPr>
            <w:tcW w:type="dxa" w:w="2800"/>
            <w:tcMar>
              <w:top w:type="dxa" w:w="70"/>
              <w:left w:type="dxa" w:w="110"/>
              <w:bottom w:type="dxa" w:w="70"/>
              <w:right w:type="dxa" w:w="110"/>
            </w:tcMar>
          </w:tcPr>
          <w:p>
            <w:pPr>
              <w:spacing w:after="0" w:line="244"/>
            </w:pPr>
            <w:r>
              <w:rPr>
                <w:b w:val="false"/>
                <w:bCs w:val="false"/>
                <w:sz w:val="19"/>
                <w:szCs w:val="19"/>
              </w:rPr>
              <w:t xml:space="preserve">(1856) 5 HL Cas 811; 10 ER 1121 (HL)</w:t>
            </w:r>
          </w:p>
        </w:tc>
        <w:tc>
          <w:tcPr>
            <w:tcW w:type="dxa" w:w="2700"/>
            <w:tcMar>
              <w:top w:type="dxa" w:w="70"/>
              <w:left w:type="dxa" w:w="110"/>
              <w:bottom w:type="dxa" w:w="70"/>
              <w:right w:type="dxa" w:w="110"/>
            </w:tcMar>
          </w:tcPr>
          <w:p>
            <w:pPr>
              <w:spacing w:after="0" w:line="244"/>
            </w:pPr>
            <w:r>
              <w:rPr>
                <w:b w:val="false"/>
                <w:bCs w:val="false"/>
                <w:sz w:val="19"/>
                <w:szCs w:val="19"/>
              </w:rPr>
              <w:t xml:space="preserve">2.2 — condition precedent</w:t>
            </w:r>
          </w:p>
        </w:tc>
      </w:tr>
      <w:tr>
        <w:tc>
          <w:tcPr>
            <w:tcW w:type="dxa" w:w="3350"/>
            <w:tcMar>
              <w:top w:type="dxa" w:w="70"/>
              <w:left w:type="dxa" w:w="110"/>
              <w:bottom w:type="dxa" w:w="70"/>
              <w:right w:type="dxa" w:w="110"/>
            </w:tcMar>
          </w:tcPr>
          <w:p>
            <w:pPr>
              <w:spacing w:after="0" w:line="244"/>
            </w:pPr>
            <w:r>
              <w:rPr>
                <w:b w:val="false"/>
                <w:bCs w:val="false"/>
                <w:sz w:val="19"/>
                <w:szCs w:val="19"/>
              </w:rPr>
              <w:t xml:space="preserve">SMS Tea Estates Pvt. Ltd. v. Chandmari Tea Co.</w:t>
            </w:r>
          </w:p>
        </w:tc>
        <w:tc>
          <w:tcPr>
            <w:tcW w:type="dxa" w:w="2800"/>
            <w:tcMar>
              <w:top w:type="dxa" w:w="70"/>
              <w:left w:type="dxa" w:w="110"/>
              <w:bottom w:type="dxa" w:w="70"/>
              <w:right w:type="dxa" w:w="110"/>
            </w:tcMar>
          </w:tcPr>
          <w:p>
            <w:pPr>
              <w:spacing w:after="0" w:line="244"/>
            </w:pPr>
            <w:r>
              <w:rPr>
                <w:b w:val="false"/>
                <w:bCs w:val="false"/>
                <w:sz w:val="19"/>
                <w:szCs w:val="19"/>
              </w:rPr>
              <w:t xml:space="preserve">(2011) 14 SCC 66</w:t>
            </w:r>
          </w:p>
        </w:tc>
        <w:tc>
          <w:tcPr>
            <w:tcW w:type="dxa" w:w="2700"/>
            <w:tcMar>
              <w:top w:type="dxa" w:w="70"/>
              <w:left w:type="dxa" w:w="110"/>
              <w:bottom w:type="dxa" w:w="70"/>
              <w:right w:type="dxa" w:w="110"/>
            </w:tcMar>
          </w:tcPr>
          <w:p>
            <w:pPr>
              <w:spacing w:after="0" w:line="244"/>
            </w:pPr>
            <w:r>
              <w:rPr>
                <w:b w:val="false"/>
                <w:bCs w:val="false"/>
                <w:sz w:val="19"/>
                <w:szCs w:val="19"/>
              </w:rPr>
              <w:t xml:space="preserve">4.3 — overruled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Sundaram Finance Ltd. v. NEPC India Ltd.</w:t>
            </w:r>
          </w:p>
        </w:tc>
        <w:tc>
          <w:tcPr>
            <w:tcW w:type="dxa" w:w="2800"/>
            <w:tcMar>
              <w:top w:type="dxa" w:w="70"/>
              <w:left w:type="dxa" w:w="110"/>
              <w:bottom w:type="dxa" w:w="70"/>
              <w:right w:type="dxa" w:w="110"/>
            </w:tcMar>
          </w:tcPr>
          <w:p>
            <w:pPr>
              <w:spacing w:after="0" w:line="244"/>
            </w:pPr>
            <w:r>
              <w:rPr>
                <w:b w:val="false"/>
                <w:bCs w:val="false"/>
                <w:sz w:val="19"/>
                <w:szCs w:val="19"/>
              </w:rPr>
              <w:t xml:space="preserve">(1999) 2 SCC 479; AIR 1999 SC 565</w:t>
            </w:r>
          </w:p>
        </w:tc>
        <w:tc>
          <w:tcPr>
            <w:tcW w:type="dxa" w:w="2700"/>
            <w:tcMar>
              <w:top w:type="dxa" w:w="70"/>
              <w:left w:type="dxa" w:w="110"/>
              <w:bottom w:type="dxa" w:w="70"/>
              <w:right w:type="dxa" w:w="110"/>
            </w:tcMar>
          </w:tcPr>
          <w:p>
            <w:pPr>
              <w:spacing w:after="0" w:line="244"/>
            </w:pPr>
            <w:r>
              <w:rPr>
                <w:b w:val="false"/>
                <w:bCs w:val="false"/>
                <w:sz w:val="19"/>
                <w:szCs w:val="19"/>
              </w:rPr>
              <w:t xml:space="preserve">5.1 — s. 9 pre-commencement</w:t>
            </w:r>
          </w:p>
        </w:tc>
      </w:tr>
      <w:tr>
        <w:tc>
          <w:tcPr>
            <w:tcW w:type="dxa" w:w="3350"/>
            <w:tcMar>
              <w:top w:type="dxa" w:w="70"/>
              <w:left w:type="dxa" w:w="110"/>
              <w:bottom w:type="dxa" w:w="70"/>
              <w:right w:type="dxa" w:w="110"/>
            </w:tcMar>
          </w:tcPr>
          <w:p>
            <w:pPr>
              <w:spacing w:after="0" w:line="244"/>
            </w:pPr>
            <w:r>
              <w:rPr>
                <w:b w:val="false"/>
                <w:bCs w:val="false"/>
                <w:sz w:val="19"/>
                <w:szCs w:val="19"/>
              </w:rPr>
              <w:t xml:space="preserve">Tata Sons Pvt. Ltd. v. Siva Industries and Holdings Ltd.</w:t>
            </w:r>
          </w:p>
        </w:tc>
        <w:tc>
          <w:tcPr>
            <w:tcW w:type="dxa" w:w="2800"/>
            <w:tcMar>
              <w:top w:type="dxa" w:w="70"/>
              <w:left w:type="dxa" w:w="110"/>
              <w:bottom w:type="dxa" w:w="70"/>
              <w:right w:type="dxa" w:w="110"/>
            </w:tcMar>
          </w:tcPr>
          <w:p>
            <w:pPr>
              <w:spacing w:after="0" w:line="244"/>
            </w:pPr>
            <w:r>
              <w:rPr>
                <w:b w:val="false"/>
                <w:bCs w:val="false"/>
                <w:sz w:val="19"/>
                <w:szCs w:val="19"/>
              </w:rPr>
              <w:t xml:space="preserve">SC, 5 Jan 2023 (citation to be verified)</w:t>
            </w:r>
          </w:p>
        </w:tc>
        <w:tc>
          <w:tcPr>
            <w:tcW w:type="dxa" w:w="2700"/>
            <w:tcMar>
              <w:top w:type="dxa" w:w="70"/>
              <w:left w:type="dxa" w:w="110"/>
              <w:bottom w:type="dxa" w:w="70"/>
              <w:right w:type="dxa" w:w="110"/>
            </w:tcMar>
          </w:tcPr>
          <w:p>
            <w:pPr>
              <w:spacing w:after="0" w:line="244"/>
            </w:pPr>
            <w:r>
              <w:rPr>
                <w:b w:val="false"/>
                <w:bCs w:val="false"/>
                <w:sz w:val="19"/>
                <w:szCs w:val="19"/>
              </w:rPr>
              <w:t xml:space="preserve">11.6 — s. 29A and ICA</w:t>
            </w:r>
          </w:p>
        </w:tc>
      </w:tr>
      <w:tr>
        <w:tc>
          <w:tcPr>
            <w:tcW w:type="dxa" w:w="3350"/>
            <w:tcMar>
              <w:top w:type="dxa" w:w="70"/>
              <w:left w:type="dxa" w:w="110"/>
              <w:bottom w:type="dxa" w:w="70"/>
              <w:right w:type="dxa" w:w="110"/>
            </w:tcMar>
          </w:tcPr>
          <w:p>
            <w:pPr>
              <w:spacing w:after="0" w:line="244"/>
            </w:pPr>
            <w:r>
              <w:rPr>
                <w:b w:val="false"/>
                <w:bCs w:val="false"/>
                <w:sz w:val="19"/>
                <w:szCs w:val="19"/>
              </w:rPr>
              <w:t xml:space="preserve">TDM Infrastructure P. Ltd. v. UE Development India P. Ltd.</w:t>
            </w:r>
          </w:p>
        </w:tc>
        <w:tc>
          <w:tcPr>
            <w:tcW w:type="dxa" w:w="2800"/>
            <w:tcMar>
              <w:top w:type="dxa" w:w="70"/>
              <w:left w:type="dxa" w:w="110"/>
              <w:bottom w:type="dxa" w:w="70"/>
              <w:right w:type="dxa" w:w="110"/>
            </w:tcMar>
          </w:tcPr>
          <w:p>
            <w:pPr>
              <w:spacing w:after="0" w:line="244"/>
            </w:pPr>
            <w:r>
              <w:rPr>
                <w:b w:val="false"/>
                <w:bCs w:val="false"/>
                <w:sz w:val="19"/>
                <w:szCs w:val="19"/>
              </w:rPr>
              <w:t xml:space="preserve">(2008) 14 SCC 271</w:t>
            </w:r>
          </w:p>
        </w:tc>
        <w:tc>
          <w:tcPr>
            <w:tcW w:type="dxa" w:w="2700"/>
            <w:tcMar>
              <w:top w:type="dxa" w:w="70"/>
              <w:left w:type="dxa" w:w="110"/>
              <w:bottom w:type="dxa" w:w="70"/>
              <w:right w:type="dxa" w:w="110"/>
            </w:tcMar>
          </w:tcPr>
          <w:p>
            <w:pPr>
              <w:spacing w:after="0" w:line="244"/>
            </w:pPr>
            <w:r>
              <w:rPr>
                <w:b w:val="false"/>
                <w:bCs w:val="false"/>
                <w:sz w:val="19"/>
                <w:szCs w:val="19"/>
              </w:rPr>
              <w:t xml:space="preserve">1.3 — nationality</w:t>
            </w:r>
          </w:p>
        </w:tc>
      </w:tr>
      <w:tr>
        <w:tc>
          <w:tcPr>
            <w:tcW w:type="dxa" w:w="3350"/>
            <w:tcMar>
              <w:top w:type="dxa" w:w="70"/>
              <w:left w:type="dxa" w:w="110"/>
              <w:bottom w:type="dxa" w:w="70"/>
              <w:right w:type="dxa" w:w="110"/>
            </w:tcMar>
          </w:tcPr>
          <w:p>
            <w:pPr>
              <w:spacing w:after="0" w:line="244"/>
            </w:pPr>
            <w:r>
              <w:rPr>
                <w:b w:val="false"/>
                <w:bCs w:val="false"/>
                <w:sz w:val="19"/>
                <w:szCs w:val="19"/>
              </w:rPr>
              <w:t xml:space="preserve">TRF Ltd. v. Energo Engineering Projects Ltd.</w:t>
            </w:r>
          </w:p>
        </w:tc>
        <w:tc>
          <w:tcPr>
            <w:tcW w:type="dxa" w:w="2800"/>
            <w:tcMar>
              <w:top w:type="dxa" w:w="70"/>
              <w:left w:type="dxa" w:w="110"/>
              <w:bottom w:type="dxa" w:w="70"/>
              <w:right w:type="dxa" w:w="110"/>
            </w:tcMar>
          </w:tcPr>
          <w:p>
            <w:pPr>
              <w:spacing w:after="0" w:line="244"/>
            </w:pPr>
            <w:r>
              <w:rPr>
                <w:b w:val="false"/>
                <w:bCs w:val="false"/>
                <w:sz w:val="19"/>
                <w:szCs w:val="19"/>
              </w:rPr>
              <w:t xml:space="preserve">(2017) 8 SCC 377 (3 Judges)</w:t>
            </w:r>
          </w:p>
        </w:tc>
        <w:tc>
          <w:tcPr>
            <w:tcW w:type="dxa" w:w="2700"/>
            <w:tcMar>
              <w:top w:type="dxa" w:w="70"/>
              <w:left w:type="dxa" w:w="110"/>
              <w:bottom w:type="dxa" w:w="70"/>
              <w:right w:type="dxa" w:w="110"/>
            </w:tcMar>
          </w:tcPr>
          <w:p>
            <w:pPr>
              <w:spacing w:after="0" w:line="244"/>
            </w:pPr>
            <w:r>
              <w:rPr>
                <w:b w:val="false"/>
                <w:bCs w:val="false"/>
                <w:sz w:val="19"/>
                <w:szCs w:val="19"/>
              </w:rPr>
              <w:t xml:space="preserve">8.5 — ineligible person cannot nominate</w:t>
            </w:r>
          </w:p>
        </w:tc>
      </w:tr>
      <w:tr>
        <w:tc>
          <w:tcPr>
            <w:tcW w:type="dxa" w:w="3350"/>
            <w:tcMar>
              <w:top w:type="dxa" w:w="70"/>
              <w:left w:type="dxa" w:w="110"/>
              <w:bottom w:type="dxa" w:w="70"/>
              <w:right w:type="dxa" w:w="110"/>
            </w:tcMar>
          </w:tcPr>
          <w:p>
            <w:pPr>
              <w:spacing w:after="0" w:line="244"/>
            </w:pPr>
            <w:r>
              <w:rPr>
                <w:b w:val="false"/>
                <w:bCs w:val="false"/>
                <w:sz w:val="19"/>
                <w:szCs w:val="19"/>
              </w:rPr>
              <w:t xml:space="preserve">Union of India v. Tantia Construction Pvt. Ltd.</w:t>
            </w:r>
          </w:p>
        </w:tc>
        <w:tc>
          <w:tcPr>
            <w:tcW w:type="dxa" w:w="2800"/>
            <w:tcMar>
              <w:top w:type="dxa" w:w="70"/>
              <w:left w:type="dxa" w:w="110"/>
              <w:bottom w:type="dxa" w:w="70"/>
              <w:right w:type="dxa" w:w="110"/>
            </w:tcMar>
          </w:tcPr>
          <w:p>
            <w:pPr>
              <w:spacing w:after="0" w:line="244"/>
            </w:pPr>
            <w:r>
              <w:rPr>
                <w:b w:val="false"/>
                <w:bCs w:val="false"/>
                <w:sz w:val="19"/>
                <w:szCs w:val="19"/>
              </w:rPr>
              <w:t xml:space="preserve">(2011) 5 SCC 697</w:t>
            </w:r>
          </w:p>
        </w:tc>
        <w:tc>
          <w:tcPr>
            <w:tcW w:type="dxa" w:w="2700"/>
            <w:tcMar>
              <w:top w:type="dxa" w:w="70"/>
              <w:left w:type="dxa" w:w="110"/>
              <w:bottom w:type="dxa" w:w="70"/>
              <w:right w:type="dxa" w:w="110"/>
            </w:tcMar>
          </w:tcPr>
          <w:p>
            <w:pPr>
              <w:spacing w:after="0" w:line="244"/>
            </w:pPr>
            <w:r>
              <w:rPr>
                <w:b w:val="false"/>
                <w:bCs w:val="false"/>
                <w:sz w:val="19"/>
                <w:szCs w:val="19"/>
              </w:rPr>
              <w:t xml:space="preserve">3.2 — s. 5 and writ jurisdiction</w:t>
            </w:r>
          </w:p>
        </w:tc>
      </w:tr>
      <w:tr>
        <w:tc>
          <w:tcPr>
            <w:tcW w:type="dxa" w:w="3350"/>
            <w:tcMar>
              <w:top w:type="dxa" w:w="70"/>
              <w:left w:type="dxa" w:w="110"/>
              <w:bottom w:type="dxa" w:w="70"/>
              <w:right w:type="dxa" w:w="110"/>
            </w:tcMar>
          </w:tcPr>
          <w:p>
            <w:pPr>
              <w:spacing w:after="0" w:line="244"/>
            </w:pPr>
            <w:r>
              <w:rPr>
                <w:b w:val="false"/>
                <w:bCs w:val="false"/>
                <w:sz w:val="19"/>
                <w:szCs w:val="19"/>
              </w:rPr>
              <w:t xml:space="preserve">Union of India v. Tantia Constructions Ltd.</w:t>
            </w:r>
          </w:p>
        </w:tc>
        <w:tc>
          <w:tcPr>
            <w:tcW w:type="dxa" w:w="2800"/>
            <w:tcMar>
              <w:top w:type="dxa" w:w="70"/>
              <w:left w:type="dxa" w:w="110"/>
              <w:bottom w:type="dxa" w:w="70"/>
              <w:right w:type="dxa" w:w="110"/>
            </w:tcMar>
          </w:tcPr>
          <w:p>
            <w:pPr>
              <w:spacing w:after="0" w:line="244"/>
            </w:pPr>
            <w:r>
              <w:rPr>
                <w:b w:val="false"/>
                <w:bCs w:val="false"/>
                <w:sz w:val="19"/>
                <w:szCs w:val="19"/>
              </w:rPr>
              <w:t xml:space="preserve">2021 SCC OnLine SC 271 (3 Judges)</w:t>
            </w:r>
          </w:p>
        </w:tc>
        <w:tc>
          <w:tcPr>
            <w:tcW w:type="dxa" w:w="2700"/>
            <w:tcMar>
              <w:top w:type="dxa" w:w="70"/>
              <w:left w:type="dxa" w:w="110"/>
              <w:bottom w:type="dxa" w:w="70"/>
              <w:right w:type="dxa" w:w="110"/>
            </w:tcMar>
          </w:tcPr>
          <w:p>
            <w:pPr>
              <w:spacing w:after="0" w:line="244"/>
            </w:pPr>
            <w:r>
              <w:rPr>
                <w:b w:val="false"/>
                <w:bCs w:val="false"/>
                <w:sz w:val="19"/>
                <w:szCs w:val="19"/>
              </w:rPr>
              <w:t xml:space="preserve">3.2, 8.5 — reference to larger Bench</w:t>
            </w:r>
          </w:p>
        </w:tc>
      </w:tr>
      <w:tr>
        <w:tc>
          <w:tcPr>
            <w:tcW w:type="dxa" w:w="3350"/>
            <w:tcMar>
              <w:top w:type="dxa" w:w="70"/>
              <w:left w:type="dxa" w:w="110"/>
              <w:bottom w:type="dxa" w:w="70"/>
              <w:right w:type="dxa" w:w="110"/>
            </w:tcMar>
          </w:tcPr>
          <w:p>
            <w:pPr>
              <w:spacing w:after="0" w:line="244"/>
            </w:pPr>
            <w:r>
              <w:rPr>
                <w:b w:val="false"/>
                <w:bCs w:val="false"/>
                <w:sz w:val="19"/>
                <w:szCs w:val="19"/>
              </w:rPr>
              <w:t xml:space="preserve">Venture Global Engineering v. Satyam Computer Services Ltd.</w:t>
            </w:r>
          </w:p>
        </w:tc>
        <w:tc>
          <w:tcPr>
            <w:tcW w:type="dxa" w:w="2800"/>
            <w:tcMar>
              <w:top w:type="dxa" w:w="70"/>
              <w:left w:type="dxa" w:w="110"/>
              <w:bottom w:type="dxa" w:w="70"/>
              <w:right w:type="dxa" w:w="110"/>
            </w:tcMar>
          </w:tcPr>
          <w:p>
            <w:pPr>
              <w:spacing w:after="0" w:line="244"/>
            </w:pPr>
            <w:r>
              <w:rPr>
                <w:b w:val="false"/>
                <w:bCs w:val="false"/>
                <w:sz w:val="19"/>
                <w:szCs w:val="19"/>
              </w:rPr>
              <w:t xml:space="preserve">(2008) 4 SCC 190</w:t>
            </w:r>
          </w:p>
        </w:tc>
        <w:tc>
          <w:tcPr>
            <w:tcW w:type="dxa" w:w="2700"/>
            <w:tcMar>
              <w:top w:type="dxa" w:w="70"/>
              <w:left w:type="dxa" w:w="110"/>
              <w:bottom w:type="dxa" w:w="70"/>
              <w:right w:type="dxa" w:w="110"/>
            </w:tcMar>
          </w:tcPr>
          <w:p>
            <w:pPr>
              <w:spacing w:after="0" w:line="244"/>
            </w:pPr>
            <w:r>
              <w:rPr>
                <w:b w:val="false"/>
                <w:bCs w:val="false"/>
                <w:sz w:val="19"/>
                <w:szCs w:val="19"/>
              </w:rPr>
              <w:t xml:space="preserve">1.6 — overruled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Vidya Drolia v. Durga Trading Corporation</w:t>
            </w:r>
          </w:p>
        </w:tc>
        <w:tc>
          <w:tcPr>
            <w:tcW w:type="dxa" w:w="2800"/>
            <w:tcMar>
              <w:top w:type="dxa" w:w="70"/>
              <w:left w:type="dxa" w:w="110"/>
              <w:bottom w:type="dxa" w:w="70"/>
              <w:right w:type="dxa" w:w="110"/>
            </w:tcMar>
          </w:tcPr>
          <w:p>
            <w:pPr>
              <w:spacing w:after="0" w:line="244"/>
            </w:pPr>
            <w:r>
              <w:rPr>
                <w:b w:val="false"/>
                <w:bCs w:val="false"/>
                <w:sz w:val="19"/>
                <w:szCs w:val="19"/>
              </w:rPr>
              <w:t xml:space="preserve">(2021) 2 SCC 1 (3 Judges)</w:t>
            </w:r>
          </w:p>
        </w:tc>
        <w:tc>
          <w:tcPr>
            <w:tcW w:type="dxa" w:w="2700"/>
            <w:tcMar>
              <w:top w:type="dxa" w:w="70"/>
              <w:left w:type="dxa" w:w="110"/>
              <w:bottom w:type="dxa" w:w="70"/>
              <w:right w:type="dxa" w:w="110"/>
            </w:tcMar>
          </w:tcPr>
          <w:p>
            <w:pPr>
              <w:spacing w:after="0" w:line="244"/>
            </w:pPr>
            <w:r>
              <w:rPr>
                <w:b w:val="false"/>
                <w:bCs w:val="false"/>
                <w:sz w:val="19"/>
                <w:szCs w:val="19"/>
              </w:rPr>
              <w:t xml:space="preserve">3.5 — fourfold test</w:t>
            </w:r>
          </w:p>
        </w:tc>
      </w:tr>
      <w:tr>
        <w:tc>
          <w:tcPr>
            <w:tcW w:type="dxa" w:w="3350"/>
            <w:tcMar>
              <w:top w:type="dxa" w:w="70"/>
              <w:left w:type="dxa" w:w="110"/>
              <w:bottom w:type="dxa" w:w="70"/>
              <w:right w:type="dxa" w:w="110"/>
            </w:tcMar>
          </w:tcPr>
          <w:p>
            <w:pPr>
              <w:spacing w:after="0" w:line="244"/>
            </w:pPr>
            <w:r>
              <w:rPr>
                <w:b w:val="false"/>
                <w:bCs w:val="false"/>
                <w:sz w:val="19"/>
                <w:szCs w:val="19"/>
              </w:rPr>
              <w:t xml:space="preserve">Wellington Associates Ltd. v. Kirit Mehta</w:t>
            </w:r>
          </w:p>
        </w:tc>
        <w:tc>
          <w:tcPr>
            <w:tcW w:type="dxa" w:w="2800"/>
            <w:tcMar>
              <w:top w:type="dxa" w:w="70"/>
              <w:left w:type="dxa" w:w="110"/>
              <w:bottom w:type="dxa" w:w="70"/>
              <w:right w:type="dxa" w:w="110"/>
            </w:tcMar>
          </w:tcPr>
          <w:p>
            <w:pPr>
              <w:spacing w:after="0" w:line="244"/>
            </w:pPr>
            <w:r>
              <w:rPr>
                <w:b w:val="false"/>
                <w:bCs w:val="false"/>
                <w:sz w:val="19"/>
                <w:szCs w:val="19"/>
              </w:rPr>
              <w:t xml:space="preserve">(2000) 4 SCC 272</w:t>
            </w:r>
          </w:p>
        </w:tc>
        <w:tc>
          <w:tcPr>
            <w:tcW w:type="dxa" w:w="2700"/>
            <w:tcMar>
              <w:top w:type="dxa" w:w="70"/>
              <w:left w:type="dxa" w:w="110"/>
              <w:bottom w:type="dxa" w:w="70"/>
              <w:right w:type="dxa" w:w="110"/>
            </w:tcMar>
          </w:tcPr>
          <w:p>
            <w:pPr>
              <w:spacing w:after="0" w:line="244"/>
            </w:pPr>
            <w:r>
              <w:rPr>
                <w:b w:val="false"/>
                <w:bCs w:val="false"/>
                <w:sz w:val="19"/>
                <w:szCs w:val="19"/>
              </w:rPr>
              <w:t xml:space="preserve">4.2 — “may be referred”</w:t>
            </w:r>
          </w:p>
        </w:tc>
      </w:tr>
      <w:tr>
        <w:tc>
          <w:tcPr>
            <w:tcW w:type="dxa" w:w="3350"/>
            <w:tcMar>
              <w:top w:type="dxa" w:w="70"/>
              <w:left w:type="dxa" w:w="110"/>
              <w:bottom w:type="dxa" w:w="70"/>
              <w:right w:type="dxa" w:w="110"/>
            </w:tcMar>
          </w:tcPr>
          <w:p>
            <w:pPr>
              <w:spacing w:after="0" w:line="244"/>
            </w:pPr>
            <w:r>
              <w:rPr>
                <w:b w:val="false"/>
                <w:bCs w:val="false"/>
                <w:sz w:val="19"/>
                <w:szCs w:val="19"/>
              </w:rPr>
              <w:t xml:space="preserve">White Industries Australia Ltd. v. Republic of India</w:t>
            </w:r>
          </w:p>
        </w:tc>
        <w:tc>
          <w:tcPr>
            <w:tcW w:type="dxa" w:w="2800"/>
            <w:tcMar>
              <w:top w:type="dxa" w:w="70"/>
              <w:left w:type="dxa" w:w="110"/>
              <w:bottom w:type="dxa" w:w="70"/>
              <w:right w:type="dxa" w:w="110"/>
            </w:tcMar>
          </w:tcPr>
          <w:p>
            <w:pPr>
              <w:spacing w:after="0" w:line="244"/>
            </w:pPr>
            <w:r>
              <w:rPr>
                <w:b w:val="false"/>
                <w:bCs w:val="false"/>
                <w:sz w:val="19"/>
                <w:szCs w:val="19"/>
              </w:rPr>
              <w:t xml:space="preserve">UNCITRAL; Final Award 30 Nov 2011</w:t>
            </w:r>
          </w:p>
        </w:tc>
        <w:tc>
          <w:tcPr>
            <w:tcW w:type="dxa" w:w="2700"/>
            <w:tcMar>
              <w:top w:type="dxa" w:w="70"/>
              <w:left w:type="dxa" w:w="110"/>
              <w:bottom w:type="dxa" w:w="70"/>
              <w:right w:type="dxa" w:w="110"/>
            </w:tcMar>
          </w:tcPr>
          <w:p>
            <w:pPr>
              <w:spacing w:after="0" w:line="244"/>
            </w:pPr>
            <w:r>
              <w:rPr>
                <w:b w:val="false"/>
                <w:bCs w:val="false"/>
                <w:sz w:val="19"/>
                <w:szCs w:val="19"/>
              </w:rPr>
              <w:t xml:space="preserve">1.8 — effective means</w:t>
            </w:r>
          </w:p>
        </w:tc>
      </w:tr>
    </w:tbl>
    <w:p>
      <w:pPr>
        <w:spacing w:after="110"/>
      </w:pPr>
      <w:r>
        <w:rPr>
          <w:sz w:val="10"/>
          <w:szCs w:val="10"/>
        </w:rPr>
        <w:t xml:space="preserve"/>
      </w:r>
    </w:p>
    <w:p>
      <w:pPr>
        <w:pStyle w:val="Heading1"/>
        <w:keepNext/>
        <w:pBdr>
          <w:top w:val="single" w:color="999999" w:sz="8" w:space="10"/>
        </w:pBdr>
        <w:spacing w:after="170" w:before="460"/>
      </w:pPr>
      <w:r>
        <w:t xml:space="preserve">Statutes, Instruments and Sources</w:t>
      </w:r>
    </w:p>
    <w:p>
      <w:pPr>
        <w:pStyle w:val="Heading2"/>
        <w:keepNext/>
        <w:spacing w:after="110" w:before="240"/>
      </w:pPr>
      <w:r>
        <w:t xml:space="preserve">Arbitration and Conciliation Act, 1996</w:t>
      </w:r>
    </w:p>
    <w:p>
      <w:pPr>
        <w:spacing w:after="110" w:line="262"/>
        <w:jc w:val="both"/>
      </w:pPr>
      <w:r>
        <w:rPr>
          <w:b/>
          <w:bCs/>
        </w:rPr>
        <w:t xml:space="preserve">Definitions and scope:</w:t>
      </w:r>
      <w:r>
        <w:t xml:space="preserve"> s. 2(1)(e) (Court), 2(1)(f) (ICA), 2(1)(h) (party), 2(2) and proviso, 2(7). </w:t>
      </w:r>
      <w:r>
        <w:rPr>
          <w:b/>
          <w:bCs/>
        </w:rPr>
        <w:t xml:space="preserve">Part I:</w:t>
      </w:r>
      <w:r>
        <w:t xml:space="preserve"> ss. 4, 5, 7, 8, 9, 10, 11 (incl. (3A), (6A), (6B), (14)), 12, 13, 14, 15, 16, 17, 18, 19, 20, 21, 22, 23 (incl. (2A), (4)), 24, 25, 26, 27, 29A, 34 (incl. (2)(a)(iii)–(v)), 36, 37 (incl. (1)(b), (2)(a), (2)(b)). </w:t>
      </w:r>
      <w:r>
        <w:rPr>
          <w:b/>
          <w:bCs/>
        </w:rPr>
        <w:t xml:space="preserve">Part II:</w:t>
      </w:r>
      <w:r>
        <w:t xml:space="preserve"> s. 48. </w:t>
      </w:r>
      <w:r>
        <w:rPr>
          <w:b/>
          <w:bCs/>
        </w:rPr>
        <w:t xml:space="preserve">Part IA:</w:t>
      </w:r>
      <w:r>
        <w:t xml:space="preserve"> Arbitration Council of India (not operational). </w:t>
      </w:r>
      <w:r>
        <w:rPr>
          <w:b/>
          <w:bCs/>
        </w:rPr>
        <w:t xml:space="preserve">Schedules:</w:t>
      </w:r>
      <w:r>
        <w:t xml:space="preserve"> Fourth (fees), Fifth (justifiable doubts), Sixth (disclosure form), Seventh (ineligibility).</w:t>
      </w:r>
    </w:p>
    <w:p>
      <w:pPr>
        <w:pStyle w:val="Heading2"/>
        <w:keepNext/>
        <w:spacing w:after="110" w:before="240"/>
      </w:pPr>
      <w:r>
        <w:t xml:space="preserve">Amending Acts</w:t>
      </w:r>
    </w:p>
    <w:p>
      <w:pPr>
        <w:pStyle w:val="ListParagraph"/>
        <w:numPr>
          <w:ilvl w:val="0"/>
          <w:numId w:val="21"/>
        </w:numPr>
        <w:spacing w:after="70" w:line="262"/>
        <w:jc w:val="both"/>
      </w:pPr>
      <w:r>
        <w:rPr>
          <w:b/>
          <w:bCs/>
        </w:rPr>
        <w:t xml:space="preserve">Act 3 of 2016</w:t>
      </w:r>
      <w:r>
        <w:t xml:space="preserve"> (the 2015 Amendment), in force 23 October 2015 — amended ss. 2(1)(f), 2(2) proviso, 8, 9, 11, 12, 14, 17, 23(2A), 24, 25 and 34, and inserted the Fourth to Seventh Schedules.</w:t>
      </w:r>
    </w:p>
    <w:p>
      <w:pPr>
        <w:pStyle w:val="ListParagraph"/>
        <w:numPr>
          <w:ilvl w:val="0"/>
          <w:numId w:val="21"/>
        </w:numPr>
        <w:spacing w:after="70" w:line="262"/>
        <w:jc w:val="both"/>
      </w:pPr>
      <w:r>
        <w:rPr>
          <w:b/>
          <w:bCs/>
        </w:rPr>
        <w:t xml:space="preserve">Act 33 of 2019</w:t>
      </w:r>
      <w:r>
        <w:t xml:space="preserve"> — inserted ss. 11(3A) and 23(4), amended s. 29A and s. 34(2)(a), created Part IA. Its omission of s. 11(6A) has </w:t>
      </w:r>
      <w:r>
        <w:rPr>
          <w:b/>
          <w:bCs/>
        </w:rPr>
        <w:t xml:space="preserve">not</w:t>
      </w:r>
      <w:r>
        <w:t xml:space="preserve"> been brought into force.</w:t>
      </w:r>
    </w:p>
    <w:p>
      <w:pPr>
        <w:pStyle w:val="ListParagraph"/>
        <w:numPr>
          <w:ilvl w:val="0"/>
          <w:numId w:val="21"/>
        </w:numPr>
        <w:spacing w:after="70" w:line="262"/>
        <w:jc w:val="both"/>
      </w:pPr>
      <w:r>
        <w:rPr>
          <w:b/>
          <w:bCs/>
        </w:rPr>
        <w:t xml:space="preserve">Act 3 of 2021</w:t>
      </w:r>
      <w:r>
        <w:t xml:space="preserve">.</w:t>
      </w:r>
    </w:p>
    <w:p>
      <w:pPr>
        <w:pStyle w:val="Heading2"/>
        <w:keepNext/>
        <w:spacing w:after="110" w:before="240"/>
      </w:pPr>
      <w:r>
        <w:t xml:space="preserve">Other Indian legislation</w:t>
      </w:r>
    </w:p>
    <w:p>
      <w:pPr>
        <w:spacing w:after="110" w:line="262"/>
        <w:jc w:val="both"/>
      </w:pPr>
      <w:r>
        <w:t xml:space="preserve">Constitution of India, Arts. 14, 19(1)(g), 32, 136, 142, 226, 227, 301. Code of Civil Procedure, 1908, s. 89 and the execution provisions. Consumer Protection Act, 1986, s. 3. Indian Evidence Act, 1872, replaced by the Bharatiya Sakshya Adhiniyam, 2023. Indian Stamp Act, 1899. Mediation Act, 2023. Repealed and consolidated: Arbitration Act, 1940; Arbitration (Protocol and Convention) Act, 1937; Foreign Awards (Recognition and Enforcement) Act, 1961.</w:t>
      </w:r>
    </w:p>
    <w:p>
      <w:pPr>
        <w:pStyle w:val="Heading2"/>
        <w:keepNext/>
        <w:spacing w:after="110" w:before="240"/>
      </w:pPr>
      <w:r>
        <w:t xml:space="preserve">International instruments and soft law</w:t>
      </w:r>
    </w:p>
    <w:p>
      <w:pPr>
        <w:spacing w:after="110" w:line="262"/>
        <w:jc w:val="both"/>
      </w:pPr>
      <w:r>
        <w:t xml:space="preserve">UNCITRAL Model Law on International Commercial Arbitration 1985, as revised 2006 (esp. Art. 5), and the Model Law on Electronic Commerce. New York Convention 1958. Geneva Protocol 1923 and Geneva Convention 1927 — under the Geneva regime a rule of </w:t>
      </w:r>
      <w:r>
        <w:rPr>
          <w:b/>
          <w:bCs/>
        </w:rPr>
        <w:t xml:space="preserve">double exequatur</w:t>
      </w:r>
      <w:r>
        <w:t xml:space="preserve"> applied, the award requiring confirmation by the courts of the seat before enforcement elsewhere; the New York Convention dispensed with that, making the award enforceable directly subject to limited grounds of refusal. UNCLOS, Annex VII. PCA Optional Rules for Arbitrating Disputes between Two States, Art. 10. IBA Guidelines on Conflicts of Interest in International Arbitration (updated 2024). Singapore International Arbitration Act 1994 (cited by way of comparison, dealing exclusively with international arbitration).</w:t>
      </w:r>
    </w:p>
    <w:p>
      <w:pPr>
        <w:pStyle w:val="Heading2"/>
        <w:keepNext/>
        <w:spacing w:after="110" w:before="240"/>
      </w:pPr>
      <w:r>
        <w:t xml:space="preserve">Sources used</w:t>
      </w:r>
    </w:p>
    <w:p>
      <w:pPr>
        <w:spacing w:after="110" w:line="262"/>
        <w:jc w:val="both"/>
      </w:pPr>
      <w:r>
        <w:rPr>
          <w:b/>
          <w:bCs/>
        </w:rPr>
        <w:t xml:space="preserve">Uploaded materials, all reviewed in full:</w:t>
      </w:r>
      <w:r>
        <w:t xml:space="preserve"> the course syllabus; handwritten class notes ADR-1 to ADR-4 (20 July – 17 August 2026, with a closing note of 7 September 2026); the 54-page transcription of the principal notebook, including embedded lecture slides and reproduced bare text of ss. 4, 5, 12, 13 and 34; and transcripts of eight recorded lectures (23 and 27 July, 30 July, 3, 6, 10, 13 and 17 August 2026).</w:t>
      </w:r>
    </w:p>
    <w:p>
      <w:pPr>
        <w:spacing w:after="110" w:line="262"/>
        <w:jc w:val="both"/>
      </w:pPr>
      <w:r>
        <w:rPr>
          <w:b/>
          <w:bCs/>
        </w:rPr>
        <w:t xml:space="preserve">Verification:</w:t>
      </w:r>
      <w:r>
        <w:t xml:space="preserve"> statutory text, section numbering, marginal titles and amendment history against India Code (indiacode.nic.in) and Gazette notifications; judgments against the judgment texts and the SCC and neutral “INSC” citations; </w:t>
      </w:r>
      <w:r>
        <w:rPr>
          <w:i/>
          <w:iCs/>
        </w:rPr>
        <w:t xml:space="preserve">Saipem</w:t>
      </w:r>
      <w:r>
        <w:t xml:space="preserve"> against ICSID case records; the Chagos challenge against Permanent Court of Arbitration records; </w:t>
      </w:r>
      <w:r>
        <w:rPr>
          <w:i/>
          <w:iCs/>
        </w:rPr>
        <w:t xml:space="preserve">White Industries</w:t>
      </w:r>
      <w:r>
        <w:t xml:space="preserve"> against investment-treaty award records (the award itself is unpublished).</w:t>
      </w:r>
    </w:p>
    <w:p>
      <w:pPr>
        <w:spacing w:after="110" w:line="262"/>
        <w:jc w:val="both"/>
      </w:pPr>
      <w:r>
        <w:rPr>
          <w:b/>
          <w:bCs/>
        </w:rPr>
        <w:t xml:space="preserve">Committee reports:</w:t>
      </w:r>
      <w:r>
        <w:t xml:space="preserve"> Law Commission of India Report No. 246 (August 2014) and its Supplementary Report; Srikrishna Committee Report (2017); Viswanathan Expert Committee Report (7 February 2024); Draft Amendment Bill 2024.</w:t>
      </w:r>
    </w:p>
    <w:p>
      <w:pPr>
        <w:spacing w:after="110" w:line="262"/>
        <w:jc w:val="both"/>
      </w:pPr>
      <w:r>
        <w:rPr>
          <w:b/>
          <w:bCs/>
        </w:rPr>
        <w:t xml:space="preserve">Prescribed further reading (syllabus):</w:t>
      </w:r>
      <w:r>
        <w:t xml:space="preserve"> Markanda and Markanda, </w:t>
      </w:r>
      <w:r>
        <w:rPr>
          <w:i/>
          <w:iCs/>
        </w:rPr>
        <w:t xml:space="preserve">Law Relating to Arbitration and Conciliation</w:t>
      </w:r>
      <w:r>
        <w:t xml:space="preserve">; Gary Born, </w:t>
      </w:r>
      <w:r>
        <w:rPr>
          <w:i/>
          <w:iCs/>
        </w:rPr>
        <w:t xml:space="preserve">International Arbitration: Law and Practice</w:t>
      </w:r>
      <w:r>
        <w:t xml:space="preserve"> (2012); Blackaby and others, </w:t>
      </w:r>
      <w:r>
        <w:rPr>
          <w:i/>
          <w:iCs/>
        </w:rPr>
        <w:t xml:space="preserve">Redfern and Hunter on International Arbitration</w:t>
      </w:r>
      <w:r>
        <w:t xml:space="preserve"> (2009); Bachawat, </w:t>
      </w:r>
      <w:r>
        <w:rPr>
          <w:i/>
          <w:iCs/>
        </w:rPr>
        <w:t xml:space="preserve">Law of Arbitration and Conciliation</w:t>
      </w:r>
      <w:r>
        <w:t xml:space="preserve"> (5th edn, 2010); Weintraub, </w:t>
      </w:r>
      <w:r>
        <w:rPr>
          <w:i/>
          <w:iCs/>
        </w:rPr>
        <w:t xml:space="preserve">International Litigation and Arbitration</w:t>
      </w:r>
      <w:r>
        <w:t xml:space="preserve"> (6th edn, 2011); P. Chandrasekhara Rao, </w:t>
      </w:r>
      <w:r>
        <w:rPr>
          <w:i/>
          <w:iCs/>
        </w:rPr>
        <w:t xml:space="preserve">The Arbitration and Conciliation Act, 1996: A Commentary</w:t>
      </w:r>
      <w:r>
        <w:t xml:space="preserve">; Sriram Panchu, </w:t>
      </w:r>
      <w:r>
        <w:rPr>
          <w:i/>
          <w:iCs/>
        </w:rPr>
        <w:t xml:space="preserve">Mediation Practice and Law</w:t>
      </w:r>
      <w:r>
        <w:t xml:space="preserve">. No legal proposition in these notes rests on a secondary source alone.</w:t>
      </w:r>
    </w:p>
    <w:sectPr>
      <w:headerReference w:type="default" r:id="rId7"/>
      <w:headerReference w:type="first" r:id="rId8"/>
      <w:footerReference w:type="default" r:id="rId9"/>
      <w:footerReference w:type="first" r:id="rId10"/>
      <w:pgSz w:w="11906" w:h="16838" w:orient="portrait"/>
      <w:pgMar w:top="1300" w:right="1340" w:bottom="1300" w:left="13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A6A"/>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3"/>
      </w:pBdr>
      <w:spacing w:after="50"/>
      <w:jc w:val="right"/>
    </w:pPr>
    <w:r>
      <w:rPr>
        <w:rFonts w:ascii="Calibri" w:cs="Calibri" w:eastAsia="Calibri" w:hAnsi="Calibri"/>
        <w:color w:val="6A6A6A"/>
        <w:sz w:val="16"/>
        <w:szCs w:val="16"/>
      </w:rPr>
      <w:t xml:space="preserve">ADR — Consolidated Legal Notes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start"/>
      <w:pPr>
        <w:ind w:left="489" w:hanging="302"/>
      </w:pPr>
    </w:lvl>
  </w:abstractNum>
  <w:abstractNum w:abstractNumId="4" w15:restartNumberingAfterBreak="0">
    <w:multiLevelType w:val="hybridMultilevel"/>
    <w:lvl w:ilvl="0" w15:tentative="1">
      <w:start w:val="1"/>
      <w:numFmt w:val="lowerLetter"/>
      <w:lvlText w:val="(%1)"/>
      <w:lvlJc w:val="start"/>
      <w:pPr>
        <w:ind w:left="576" w:hanging="388"/>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4"/>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4"/>
    <w:lvlOverride w:ilvl="0">
      <w:startOverride w:val="1"/>
    </w:lvlOverride>
  </w:num>
  <w:num w:numId="14">
    <w:abstractNumId w:val="3"/>
    <w:lvlOverride w:ilvl="0">
      <w:startOverride w:val="1"/>
    </w:lvlOverride>
  </w:num>
  <w:num w:numId="15">
    <w:abstractNumId w:val="4"/>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6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Calibri" w:cs="Calibri" w:eastAsia="Calibri" w:hAnsi="Calibri"/>
      <w:b/>
      <w:bCs/>
      <w:color w:val="1A1A1A"/>
      <w:sz w:val="27"/>
      <w:szCs w:val="27"/>
    </w:rPr>
  </w:style>
  <w:style w:type="paragraph" w:styleId="Heading2">
    <w:name w:val="Heading 2"/>
    <w:basedOn w:val="Normal"/>
    <w:next w:val="Normal"/>
    <w:qFormat/>
    <w:pPr>
      <w:outlineLvl w:val="1"/>
    </w:pPr>
    <w:rPr>
      <w:rFonts w:ascii="Calibri" w:cs="Calibri" w:eastAsia="Calibri" w:hAnsi="Calibri"/>
      <w:b/>
      <w:bCs/>
      <w:color w:val="222222"/>
      <w:sz w:val="23"/>
      <w:szCs w:val="23"/>
    </w:rPr>
  </w:style>
  <w:style w:type="paragraph" w:styleId="Heading3">
    <w:name w:val="Heading 3"/>
    <w:basedOn w:val="Normal"/>
    <w:next w:val="Normal"/>
    <w:qFormat/>
    <w:pPr>
      <w:outlineLvl w:val="2"/>
    </w:pPr>
    <w:rPr>
      <w:rFonts w:ascii="Calibri" w:cs="Calibri" w:eastAsia="Calibri" w:hAnsi="Calibri"/>
      <w:b/>
      <w:bCs/>
      <w:color w:val="333333"/>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Dispute Resolution — Consolidated Legal Notes</dc:title>
  <dc:creator>Consolidated Legal Notes</dc:creator>
  <cp:lastModifiedBy>Un-named</cp:lastModifiedBy>
  <cp:revision>1</cp:revision>
  <dcterms:created xsi:type="dcterms:W3CDTF">2026-09-16T19:25:43.095Z</dcterms:created>
  <dcterms:modified xsi:type="dcterms:W3CDTF">2026-09-16T19:25:43.095Z</dcterms:modified>
</cp:coreProperties>
</file>

<file path=docProps/custom.xml><?xml version="1.0" encoding="utf-8"?>
<Properties xmlns="http://schemas.openxmlformats.org/officeDocument/2006/custom-properties" xmlns:vt="http://schemas.openxmlformats.org/officeDocument/2006/docPropsVTypes"/>
</file>