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t xml:space="preserve"/>
      </w:r>
    </w:p>
    <w:p>
      <w:pPr>
        <w:spacing w:after="110" w:before="0" w:line="276"/>
        <w:jc w:val="center"/>
      </w:pPr>
      <w:r>
        <w:rPr>
          <w:rFonts w:ascii="Cambria" w:cs="Cambria" w:eastAsia="Cambria" w:hAnsi="Cambria"/>
          <w:b/>
          <w:bCs/>
          <w:i w:val="false"/>
          <w:iCs w:val="false"/>
          <w:caps w:val="false"/>
          <w:color w:val="1F3864"/>
          <w:sz w:val="44"/>
          <w:szCs w:val="44"/>
        </w:rPr>
        <w:t xml:space="preserve">International Investment Law</w:t>
      </w:r>
    </w:p>
    <w:p>
      <w:pPr>
        <w:spacing w:after="180" w:before="0" w:line="276"/>
        <w:jc w:val="center"/>
      </w:pPr>
      <w:r>
        <w:rPr>
          <w:rFonts w:ascii="Cambria" w:cs="Cambria" w:eastAsia="Cambria" w:hAnsi="Cambria"/>
          <w:b w:val="false"/>
          <w:bCs w:val="false"/>
          <w:i/>
          <w:iCs/>
          <w:caps w:val="false"/>
          <w:color w:val="2F5496"/>
          <w:sz w:val="28"/>
          <w:szCs w:val="28"/>
        </w:rPr>
        <w:t xml:space="preserve">Consolidated Examination Notes</w:t>
      </w:r>
    </w:p>
    <w:p>
      <w:pPr>
        <w:pBdr>
          <w:bottom w:val="single" w:color="2F5496" w:sz="10" w:space="6"/>
        </w:pBdr>
        <w:spacing w:after="200" w:before="150"/>
        <w:jc w:val="center"/>
      </w:pPr>
      <w:r>
        <w:t xml:space="preserve"/>
      </w:r>
    </w:p>
    <w:p>
      <w:pPr>
        <w:spacing w:after="110" w:before="0" w:line="276"/>
        <w:jc w:val="center"/>
      </w:pPr>
      <w:r>
        <w:rPr>
          <w:rFonts w:ascii="Cambria" w:cs="Cambria" w:eastAsia="Cambria" w:hAnsi="Cambria"/>
          <w:b w:val="false"/>
          <w:bCs w:val="false"/>
          <w:i w:val="false"/>
          <w:iCs w:val="false"/>
          <w:caps w:val="false"/>
          <w:color w:val="000000"/>
          <w:sz w:val="21"/>
          <w:szCs w:val="21"/>
        </w:rPr>
        <w:t xml:space="preserve">I  ·  Evolution of International Investment Law and the Theory of Diplomatic Protection</w:t>
      </w:r>
    </w:p>
    <w:p>
      <w:pPr>
        <w:spacing w:after="110" w:before="0" w:line="276"/>
        <w:jc w:val="center"/>
      </w:pPr>
      <w:r>
        <w:rPr>
          <w:rFonts w:ascii="Cambria" w:cs="Cambria" w:eastAsia="Cambria" w:hAnsi="Cambria"/>
          <w:b w:val="false"/>
          <w:bCs w:val="false"/>
          <w:i w:val="false"/>
          <w:iCs w:val="false"/>
          <w:caps w:val="false"/>
          <w:color w:val="000000"/>
          <w:sz w:val="21"/>
          <w:szCs w:val="21"/>
        </w:rPr>
        <w:t xml:space="preserve">II  ·  Sources of International Investment Law</w:t>
      </w:r>
    </w:p>
    <w:p>
      <w:pPr>
        <w:spacing w:after="110" w:before="0" w:line="276"/>
        <w:jc w:val="center"/>
      </w:pPr>
      <w:r>
        <w:rPr>
          <w:rFonts w:ascii="Cambria" w:cs="Cambria" w:eastAsia="Cambria" w:hAnsi="Cambria"/>
          <w:b w:val="false"/>
          <w:bCs w:val="false"/>
          <w:i w:val="false"/>
          <w:iCs w:val="false"/>
          <w:caps w:val="false"/>
          <w:color w:val="000000"/>
          <w:sz w:val="21"/>
          <w:szCs w:val="21"/>
        </w:rPr>
        <w:t xml:space="preserve">III  ·  ICSID Convention — Articles 27, 53 and 54</w:t>
      </w:r>
    </w:p>
    <w:p>
      <w:pPr>
        <w:spacing w:after="110" w:before="0" w:line="276"/>
        <w:jc w:val="center"/>
      </w:pPr>
      <w:r>
        <w:rPr>
          <w:rFonts w:ascii="Cambria" w:cs="Cambria" w:eastAsia="Cambria" w:hAnsi="Cambria"/>
          <w:b w:val="false"/>
          <w:bCs w:val="false"/>
          <w:i w:val="false"/>
          <w:iCs w:val="false"/>
          <w:caps w:val="false"/>
          <w:color w:val="000000"/>
          <w:sz w:val="21"/>
          <w:szCs w:val="21"/>
        </w:rPr>
        <w:t xml:space="preserve">IV  ·  Salient Features of Bilateral Investment Treaties</w:t>
      </w:r>
    </w:p>
    <w:p>
      <w:pPr>
        <w:spacing w:after="200" w:before="0" w:line="276"/>
        <w:jc w:val="center"/>
      </w:pPr>
      <w:r>
        <w:rPr>
          <w:rFonts w:ascii="Cambria" w:cs="Cambria" w:eastAsia="Cambria" w:hAnsi="Cambria"/>
          <w:b w:val="false"/>
          <w:bCs w:val="false"/>
          <w:i/>
          <w:iCs/>
          <w:caps w:val="false"/>
          <w:color w:val="000000"/>
          <w:sz w:val="21"/>
          <w:szCs w:val="21"/>
        </w:rPr>
        <w:t xml:space="preserve">White Industries v India  ·  SPP v Egypt  ·  AAPL v Sri Lanka</w:t>
      </w:r>
    </w:p>
    <w:p>
      <w:pPr>
        <w:pBdr>
          <w:bottom w:val="single" w:color="2F5496" w:sz="10" w:space="6"/>
        </w:pBdr>
        <w:spacing w:after="200" w:before="150"/>
        <w:jc w:val="center"/>
      </w:pPr>
      <w:r>
        <w:t xml:space="preserve"/>
      </w:r>
    </w:p>
    <w:p>
      <w:pPr>
        <w:spacing w:after="900"/>
      </w:pPr>
      <w:r>
        <w:t xml:space="preserve"/>
      </w:r>
    </w:p>
    <w:p>
      <w:pPr>
        <w:spacing w:after="50" w:before="0" w:line="276"/>
        <w:jc w:val="center"/>
      </w:pPr>
      <w:r>
        <w:rPr>
          <w:rFonts w:ascii="Cambria" w:cs="Cambria" w:eastAsia="Cambria" w:hAnsi="Cambria"/>
          <w:b/>
          <w:bCs/>
          <w:i w:val="false"/>
          <w:iCs w:val="false"/>
          <w:caps/>
          <w:color w:val="000000"/>
          <w:sz w:val="20"/>
          <w:szCs w:val="20"/>
        </w:rPr>
        <w:t xml:space="preserve">Jurisdiction</w:t>
      </w:r>
    </w:p>
    <w:p>
      <w:pPr>
        <w:spacing w:after="15" w:before="0" w:line="276"/>
        <w:jc w:val="center"/>
      </w:pPr>
      <w:r>
        <w:rPr>
          <w:rFonts w:ascii="Cambria" w:cs="Cambria" w:eastAsia="Cambria" w:hAnsi="Cambria"/>
          <w:b w:val="false"/>
          <w:bCs w:val="false"/>
          <w:i w:val="false"/>
          <w:iCs w:val="false"/>
          <w:caps w:val="false"/>
          <w:color w:val="000000"/>
          <w:sz w:val="20"/>
          <w:szCs w:val="20"/>
        </w:rPr>
        <w:t xml:space="preserve">Public international law — treaty practice and investment arbitration,</w:t>
      </w:r>
    </w:p>
    <w:p>
      <w:pPr>
        <w:spacing w:after="260" w:before="0" w:line="276"/>
        <w:jc w:val="center"/>
      </w:pPr>
      <w:r>
        <w:rPr>
          <w:rFonts w:ascii="Cambria" w:cs="Cambria" w:eastAsia="Cambria" w:hAnsi="Cambria"/>
          <w:b w:val="false"/>
          <w:bCs w:val="false"/>
          <w:i w:val="false"/>
          <w:iCs w:val="false"/>
          <w:caps w:val="false"/>
          <w:color w:val="000000"/>
          <w:sz w:val="20"/>
          <w:szCs w:val="20"/>
        </w:rPr>
        <w:t xml:space="preserve">with Indian treaty practice where relevant</w:t>
      </w:r>
    </w:p>
    <w:p>
      <w:pPr>
        <w:spacing w:after="50" w:before="0" w:line="276"/>
        <w:jc w:val="center"/>
      </w:pPr>
      <w:r>
        <w:rPr>
          <w:rFonts w:ascii="Cambria" w:cs="Cambria" w:eastAsia="Cambria" w:hAnsi="Cambria"/>
          <w:b/>
          <w:bCs/>
          <w:i w:val="false"/>
          <w:iCs w:val="false"/>
          <w:caps/>
          <w:color w:val="000000"/>
          <w:sz w:val="20"/>
          <w:szCs w:val="20"/>
        </w:rPr>
        <w:t xml:space="preserve">Purpose</w:t>
      </w:r>
    </w:p>
    <w:p>
      <w:pPr>
        <w:spacing w:after="260" w:before="0" w:line="276"/>
        <w:jc w:val="center"/>
      </w:pPr>
      <w:r>
        <w:rPr>
          <w:rFonts w:ascii="Cambria" w:cs="Cambria" w:eastAsia="Cambria" w:hAnsi="Cambria"/>
          <w:b w:val="false"/>
          <w:bCs w:val="false"/>
          <w:i w:val="false"/>
          <w:iCs w:val="false"/>
          <w:caps w:val="false"/>
          <w:color w:val="000000"/>
          <w:sz w:val="20"/>
          <w:szCs w:val="20"/>
        </w:rPr>
        <w:t xml:space="preserve">University examination and revision notes</w:t>
      </w:r>
    </w:p>
    <w:p>
      <w:pPr>
        <w:spacing w:after="50" w:before="0" w:line="276"/>
        <w:jc w:val="center"/>
      </w:pPr>
      <w:r>
        <w:rPr>
          <w:rFonts w:ascii="Cambria" w:cs="Cambria" w:eastAsia="Cambria" w:hAnsi="Cambria"/>
          <w:b/>
          <w:bCs/>
          <w:i w:val="false"/>
          <w:iCs w:val="false"/>
          <w:caps/>
          <w:color w:val="000000"/>
          <w:sz w:val="20"/>
          <w:szCs w:val="20"/>
        </w:rPr>
        <w:t xml:space="preserve">Date of Preparation</w:t>
      </w:r>
    </w:p>
    <w:p>
      <w:pPr>
        <w:spacing w:after="110" w:before="0" w:line="276"/>
        <w:jc w:val="center"/>
      </w:pPr>
      <w:r>
        <w:rPr>
          <w:rFonts w:ascii="Cambria" w:cs="Cambria" w:eastAsia="Cambria" w:hAnsi="Cambria"/>
          <w:b w:val="false"/>
          <w:bCs w:val="false"/>
          <w:i w:val="false"/>
          <w:iCs w:val="false"/>
          <w:caps w:val="false"/>
          <w:color w:val="000000"/>
          <w:sz w:val="20"/>
          <w:szCs w:val="20"/>
        </w:rPr>
        <w:t xml:space="preserve">17 September 2026</w:t>
      </w:r>
    </w:p>
    <w:p>
      <w:pPr>
        <w:sectPr>
          <w:pgSz w:w="11906" w:h="16838" w:orient="portrait"/>
          <w:pgMar w:top="1440" w:right="1440" w:bottom="1440" w:left="1440" w:header="708" w:footer="708" w:gutter="0"/>
          <w:pgNumType/>
          <w:docGrid w:linePitch="360"/>
        </w:sectPr>
      </w:pPr>
    </w:p>
    <w:p>
      <w:pPr>
        <w:spacing w:after="160"/>
      </w:pPr>
      <w:r>
        <w:rPr>
          <w:rFonts w:ascii="Cambria" w:cs="Cambria" w:eastAsia="Cambria" w:hAnsi="Cambria"/>
          <w:b/>
          <w:bCs/>
          <w:color w:val="1F3864"/>
          <w:sz w:val="30"/>
          <w:szCs w:val="30"/>
        </w:rPr>
        <w:t xml:space="preserve">Scope and Conventions</w:t>
      </w:r>
    </w:p>
    <w:p>
      <w:r>
        <w:t xml:space="preserve">These notes consolidate four uploaded sources — three sets of transcribed class notes and four lecture transcripts — into the four prescribed topics. Repeated material has been merged, each case placed under the topic it explains, and nothing outside the four topics included.</w:t>
      </w:r>
    </w:p>
    <w:p>
      <w:r>
        <w:rPr>
          <w:b/>
          <w:bCs/>
        </w:rPr>
        <w:t xml:space="preserve">Sourcing.</w:t>
      </w:r>
      <w:r>
        <w:t xml:space="preserve"> Class material is stated without attribution; researched additions carry their own authority in the text (case citation, treaty article, or named source), with quoted text sourced immediately below it.</w:t>
      </w:r>
    </w:p>
    <w:p>
      <w:r>
        <w:rPr>
          <w:b/>
          <w:bCs/>
        </w:rPr>
        <w:t xml:space="preserve">Red-ruled notes</w:t>
      </w:r>
      <w:r>
        <w:t xml:space="preserve"> correct an error in the class materials or flag a point that could not be verified. Nothing so flagged should be cited without checking the primary source; all such points are collected in Annexure C.</w:t>
      </w:r>
    </w:p>
    <w:p>
      <w:pPr>
        <w:pageBreakBefore/>
        <w:spacing w:after="120" w:before="340"/>
      </w:pPr>
      <w:r>
        <w:rPr>
          <w:rFonts w:ascii="Cambria" w:cs="Cambria" w:eastAsia="Cambria" w:hAnsi="Cambria"/>
          <w:b/>
          <w:bCs/>
          <w:color w:val="1F3864"/>
          <w:sz w:val="30"/>
          <w:szCs w:val="30"/>
        </w:rPr>
        <w:t xml:space="preserve">Contents</w:t>
      </w:r>
    </w:p>
    <w:p>
      <w:pPr>
        <w:spacing w:after="200"/>
      </w:pPr>
      <w:r>
        <w:rPr>
          <w:rFonts w:ascii="Cambria" w:cs="Cambria" w:eastAsia="Cambria" w:hAnsi="Cambria"/>
          <w:i/>
          <w:iCs/>
          <w:color w:val="555555"/>
          <w:sz w:val="19"/>
          <w:szCs w:val="19"/>
        </w:rPr>
        <w:t xml:space="preserve">A live Word field. If the entries are blank, or after editing, click inside and press F9 (or right-click → Update Field).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 Evolution of International Investment Law and the Theory of Diplomatic Protection</w:t>
      </w:r>
    </w:p>
    <w:p>
      <w:pPr>
        <w:pStyle w:val="Heading2"/>
      </w:pPr>
      <w:r>
        <w:t xml:space="preserve">1.1 Why the Subject Exists</w:t>
      </w:r>
    </w:p>
    <w:p>
      <w:r>
        <w:t xml:space="preserve">Until the mid-twentieth century a foreign investor had no answer to three questions: what standards of treatment am I owed, who will decide if they are broken, and how is that decision enforced? The only available mechanism was </w:t>
      </w:r>
      <w:r>
        <w:rPr>
          <w:b/>
          <w:bCs/>
        </w:rPr>
        <w:t xml:space="preserve">diplomatic protection</w:t>
      </w:r>
      <w:r>
        <w:t xml:space="preserve">, which answered none of them adequately. International investment law was built to supply what diplomatic protection could not.</w:t>
      </w:r>
    </w:p>
    <w:p>
      <w:r>
        <w:t xml:space="preserve">Two categories of State recur throughout: </w:t>
      </w:r>
      <w:r>
        <w:rPr>
          <w:b/>
          <w:bCs/>
        </w:rPr>
        <w:t xml:space="preserve">capital-exporting States</w:t>
      </w:r>
      <w:r>
        <w:t xml:space="preserve">, whose nationals invest abroad, and </w:t>
      </w:r>
      <w:r>
        <w:rPr>
          <w:b/>
          <w:bCs/>
        </w:rPr>
        <w:t xml:space="preserve">capital-importing States</w:t>
      </w:r>
      <w:r>
        <w:t xml:space="preserve">, which receive investment. The categories describe a position in a relationship, not a permanent status.</w:t>
      </w:r>
    </w:p>
    <w:p>
      <w:pPr>
        <w:pStyle w:val="Heading2"/>
      </w:pPr>
      <w:r>
        <w:t xml:space="preserve">1.2 Diplomatic Protection: Meaning and Basis</w:t>
      </w:r>
    </w:p>
    <w:p>
      <w:r>
        <w:t xml:space="preserve">Diplomatic protection is the invocation by a State of the responsibility of another State for injury caused by an internationally wrongful act to a natural or legal person who is its national (ILC Draft Articles on Diplomatic Protection 2006, Article 1). It covers injury to the person </w:t>
      </w:r>
      <w:r>
        <w:rPr>
          <w:b/>
          <w:bCs/>
        </w:rPr>
        <w:t xml:space="preserve">and</w:t>
      </w:r>
      <w:r>
        <w:t xml:space="preserve"> to property and investments.</w:t>
      </w:r>
    </w:p>
    <w:p>
      <w:r>
        <w:t xml:space="preserve">It is a rule of </w:t>
      </w:r>
      <w:r>
        <w:rPr>
          <w:b/>
          <w:bCs/>
        </w:rPr>
        <w:t xml:space="preserve">customary international law</w:t>
      </w:r>
      <w:r>
        <w:t xml:space="preserve">. Its classical statement is in </w:t>
      </w:r>
      <w:r>
        <w:rPr>
          <w:b/>
          <w:bCs/>
        </w:rPr>
        <w:t xml:space="preserve">Mavrommatis</w:t>
      </w:r>
      <w:r>
        <w:t xml:space="preserve">:</w:t>
      </w:r>
    </w:p>
    <w:p>
      <w:pPr>
        <w:spacing w:after="120" w:before="120" w:line="259"/>
        <w:ind w:left="720" w:right="360"/>
        <w:jc w:val="both"/>
      </w:pPr>
      <w:r>
        <w:rPr>
          <w:sz w:val="21"/>
          <w:szCs w:val="21"/>
        </w:rPr>
        <w:t xml:space="preserve">“By taking up the case of one of its subjects and by resorting to diplomatic action or international judicial proceedings on his behalf, a State is in reality asserting its own rights — its right to ensure, in the person of its subjects, respect for the rules of international law.”</w:t>
      </w:r>
    </w:p>
    <w:p>
      <w:pPr>
        <w:spacing w:after="160"/>
        <w:ind w:left="720" w:right="360"/>
      </w:pPr>
      <w:r>
        <w:rPr>
          <w:i/>
          <w:iCs/>
          <w:color w:val="444444"/>
          <w:sz w:val="19"/>
          <w:szCs w:val="19"/>
        </w:rPr>
        <w:t xml:space="preserve">Mavrommatis Palestine Concessions (Greece v United Kingdom), PCIJ, Judgment No 2, 1924, Series A No 2, at 12.</w:t>
      </w:r>
    </w:p>
    <w:p>
      <w:r>
        <w:t xml:space="preserve">This is the </w:t>
      </w:r>
      <w:r>
        <w:rPr>
          <w:b/>
          <w:bCs/>
        </w:rPr>
        <w:t xml:space="preserve">Vattelian fiction</w:t>
      </w:r>
      <w:r>
        <w:t xml:space="preserve">: injury to a national is treated as injury to his State. Every defect of the doctrine follows from it, because the claim belongs to the State, not to the investor.</w:t>
      </w:r>
    </w:p>
    <w:p>
      <w:r>
        <w:rPr>
          <w:b/>
          <w:bCs/>
        </w:rPr>
        <w:t xml:space="preserve">Distinguish diplomatic immunity</w:t>
      </w:r>
      <w:r>
        <w:t xml:space="preserve">, which is the personal privilege of diplomatic and consular agents against the jurisdiction of the receiving State. Immunity protects a few officials; diplomatic protection concerns any national.</w:t>
      </w:r>
    </w:p>
    <w:p>
      <w:r>
        <w:rPr>
          <w:b/>
          <w:bCs/>
        </w:rPr>
        <w:t xml:space="preserve">Diplomatic espousal</w:t>
      </w:r>
      <w:r>
        <w:t xml:space="preserve"> is the act by which the home State adopts the national’s claim and presents it as its own, converting a commercial grievance into an inter-State dispute.</w:t>
      </w:r>
    </w:p>
    <w:p>
      <w:pPr>
        <w:pStyle w:val="Heading2"/>
      </w:pPr>
      <w:r>
        <w:t xml:space="preserve">1.3 Essential Requirements</w:t>
      </w:r>
    </w:p>
    <w:p>
      <w:pPr>
        <w:spacing w:after="100"/>
        <w:ind w:left="640" w:hanging="400"/>
      </w:pPr>
      <w:r>
        <w:rPr>
          <w:b/>
          <w:bCs/>
        </w:rPr>
        <w:t xml:space="preserve">(1) </w:t>
      </w:r>
      <w:r>
        <w:rPr>
          <w:b/>
          <w:bCs/>
        </w:rPr>
        <w:t xml:space="preserve">Internationally wrongful act</w:t>
      </w:r>
      <w:r>
        <w:t xml:space="preserve"> attributable to the host State causing injury to the national.</w:t>
      </w:r>
    </w:p>
    <w:p>
      <w:pPr>
        <w:spacing w:after="100"/>
        <w:ind w:left="640" w:hanging="400"/>
      </w:pPr>
      <w:r>
        <w:rPr>
          <w:b/>
          <w:bCs/>
        </w:rPr>
        <w:t xml:space="preserve">(2) </w:t>
      </w:r>
      <w:r>
        <w:rPr>
          <w:b/>
          <w:bCs/>
        </w:rPr>
        <w:t xml:space="preserve">Nationality of the claim.</w:t>
      </w:r>
      <w:r>
        <w:t xml:space="preserve"> Natural persons: nationality under the law of the conferring State (Arts 3–4). Companies: State of incorporation and registered office (</w:t>
      </w:r>
      <w:r>
        <w:rPr>
          <w:b/>
          <w:bCs/>
        </w:rPr>
        <w:t xml:space="preserve">Barcelona Traction</w:t>
      </w:r>
      <w:r>
        <w:t xml:space="preserve">; Art 9).</w:t>
      </w:r>
    </w:p>
    <w:p>
      <w:pPr>
        <w:spacing w:after="100"/>
        <w:ind w:left="640" w:hanging="400"/>
      </w:pPr>
      <w:r>
        <w:rPr>
          <w:b/>
          <w:bCs/>
        </w:rPr>
        <w:t xml:space="preserve">(3) </w:t>
      </w:r>
      <w:r>
        <w:rPr>
          <w:b/>
          <w:bCs/>
        </w:rPr>
        <w:t xml:space="preserve">Continuous nationality</w:t>
      </w:r>
      <w:r>
        <w:t xml:space="preserve"> at the date of injury and of the claim (Arts 5, 10).</w:t>
      </w:r>
    </w:p>
    <w:p>
      <w:pPr>
        <w:spacing w:after="100"/>
        <w:ind w:left="640" w:hanging="400"/>
      </w:pPr>
      <w:r>
        <w:rPr>
          <w:b/>
          <w:bCs/>
        </w:rPr>
        <w:t xml:space="preserve">(4) </w:t>
      </w:r>
      <w:r>
        <w:rPr>
          <w:b/>
          <w:bCs/>
        </w:rPr>
        <w:t xml:space="preserve">Exhaustion of local remedies</w:t>
      </w:r>
      <w:r>
        <w:t xml:space="preserve"> (</w:t>
      </w:r>
      <w:r>
        <w:rPr>
          <w:b/>
          <w:bCs/>
        </w:rPr>
        <w:t xml:space="preserve">Interhandel</w:t>
      </w:r>
      <w:r>
        <w:t xml:space="preserve">; Arts 14–15), subject to exceptions — no reasonably available effective remedy, undue delay attributable to the State, no relevant connection.</w:t>
      </w:r>
    </w:p>
    <w:p>
      <w:pPr>
        <w:spacing w:after="100"/>
        <w:ind w:left="640" w:hanging="400"/>
      </w:pPr>
      <w:r>
        <w:rPr>
          <w:b/>
          <w:bCs/>
        </w:rPr>
        <w:t xml:space="preserve">(5) </w:t>
      </w:r>
      <w:r>
        <w:rPr>
          <w:b/>
          <w:bCs/>
        </w:rPr>
        <w:t xml:space="preserve">Discretion of the home State.</w:t>
      </w:r>
      <w:r>
        <w:t xml:space="preserve"> It may refuse, settle, discontinue, or keep the compensation. Article 19 only *recommends* that it consider acting and transfer compensation.</w:t>
      </w:r>
    </w:p>
    <w:p>
      <w:pPr>
        <w:pStyle w:val="Heading2"/>
      </w:pPr>
      <w:r>
        <w:t xml:space="preserve">1.4 Why It Failed the Investor</w:t>
      </w:r>
    </w:p>
    <w:p>
      <w:pPr>
        <w:spacing w:after="100"/>
        <w:ind w:left="640" w:hanging="400"/>
      </w:pPr>
      <w:r>
        <w:rPr>
          <w:b/>
          <w:bCs/>
        </w:rPr>
        <w:t xml:space="preserve">(a) </w:t>
      </w:r>
      <w:r>
        <w:rPr>
          <w:b/>
          <w:bCs/>
        </w:rPr>
        <w:t xml:space="preserve">Forum.</w:t>
      </w:r>
      <w:r>
        <w:t xml:space="preserve"> Only States may be parties before the ICJ (ICJ Statute, Art 34(1)). The investor has no direct access — the “bottleneck”.</w:t>
      </w:r>
    </w:p>
    <w:p>
      <w:pPr>
        <w:spacing w:after="100"/>
        <w:ind w:left="640" w:hanging="400"/>
      </w:pPr>
      <w:r>
        <w:rPr>
          <w:b/>
          <w:bCs/>
        </w:rPr>
        <w:t xml:space="preserve">(b) </w:t>
      </w:r>
      <w:r>
        <w:rPr>
          <w:b/>
          <w:bCs/>
        </w:rPr>
        <w:t xml:space="preserve">Substantive law.</w:t>
      </w:r>
      <w:r>
        <w:t xml:space="preserve"> The customary rules were uncodified and contested: an international minimum standard (capital exporters) against national treatment alone (capital importers).</w:t>
      </w:r>
    </w:p>
    <w:p>
      <w:pPr>
        <w:spacing w:after="100"/>
        <w:ind w:left="640" w:hanging="400"/>
      </w:pPr>
      <w:r>
        <w:rPr>
          <w:b/>
          <w:bCs/>
        </w:rPr>
        <w:t xml:space="preserve">(c) </w:t>
      </w:r>
      <w:r>
        <w:rPr>
          <w:b/>
          <w:bCs/>
        </w:rPr>
        <w:t xml:space="preserve">Political discretion.</w:t>
      </w:r>
      <w:r>
        <w:t xml:space="preserve"> The home State weighs one investor against its entire relationship with the host State, and frequently declines. Any compensation recovered is in law the State’s.</w:t>
      </w:r>
    </w:p>
    <w:p>
      <w:pPr>
        <w:pStyle w:val="Heading2"/>
      </w:pPr>
      <w:r>
        <w:t xml:space="preserve">1.5 Leading Cases</w:t>
      </w:r>
    </w:p>
    <w:p>
      <w:pPr>
        <w:spacing w:after="40" w:before="150"/>
      </w:pPr>
      <w:r>
        <w:rPr>
          <w:b/>
          <w:bCs/>
          <w:sz w:val="21"/>
          <w:szCs w:val="21"/>
        </w:rPr>
        <w:t xml:space="preserve">Mavrommatis Palestine Concessions (Greece v UK), PCIJ 1924, Series A No 2</w:t>
      </w:r>
    </w:p>
    <w:p>
      <w:pPr>
        <w:spacing w:after="30" w:line="250"/>
        <w:ind w:left="340"/>
        <w:jc w:val="both"/>
      </w:pPr>
      <w:r>
        <w:rPr>
          <w:b/>
          <w:bCs/>
          <w:i/>
          <w:iCs/>
          <w:sz w:val="20"/>
          <w:szCs w:val="20"/>
        </w:rPr>
        <w:t xml:space="preserve">Held </w:t>
      </w:r>
      <w:r>
        <w:rPr>
          <w:sz w:val="20"/>
          <w:szCs w:val="20"/>
        </w:rPr>
        <w:t xml:space="preserve">A State espousing its national’s claim asserts its own right; the dispute becomes inter-State. Jurisdiction upheld for the Jerusalem concessions, declined for Jaffa.</w:t>
      </w:r>
    </w:p>
    <w:p>
      <w:pPr>
        <w:spacing w:after="30" w:line="250"/>
        <w:ind w:left="340"/>
        <w:jc w:val="both"/>
      </w:pPr>
      <w:r>
        <w:rPr>
          <w:b/>
          <w:bCs/>
          <w:i/>
          <w:iCs/>
          <w:sz w:val="20"/>
          <w:szCs w:val="20"/>
        </w:rPr>
        <w:t xml:space="preserve">Use </w:t>
      </w:r>
      <w:r>
        <w:rPr>
          <w:sz w:val="20"/>
          <w:szCs w:val="20"/>
        </w:rPr>
        <w:t xml:space="preserve">Foundation of the doctrine; the background against which ICSID Article 27 was drafted.</w:t>
      </w:r>
    </w:p>
    <w:p>
      <w:pPr>
        <w:spacing w:after="40" w:before="150"/>
      </w:pPr>
      <w:r>
        <w:rPr>
          <w:b/>
          <w:bCs/>
          <w:sz w:val="21"/>
          <w:szCs w:val="21"/>
        </w:rPr>
        <w:t xml:space="preserve">Nottebohm (Liechtenstein v Guatemala), ICJ Reports 1955, p 4</w:t>
      </w:r>
    </w:p>
    <w:p>
      <w:pPr>
        <w:spacing w:after="30" w:line="250"/>
        <w:ind w:left="340"/>
        <w:jc w:val="both"/>
      </w:pPr>
      <w:r>
        <w:rPr>
          <w:b/>
          <w:bCs/>
          <w:i/>
          <w:iCs/>
          <w:sz w:val="20"/>
          <w:szCs w:val="20"/>
        </w:rPr>
        <w:t xml:space="preserve">Facts </w:t>
      </w:r>
      <w:r>
        <w:rPr>
          <w:sz w:val="20"/>
          <w:szCs w:val="20"/>
        </w:rPr>
        <w:t xml:space="preserve">German by birth, long resident in Guatemala, naturalised in Liechtenstein in 1939.</w:t>
      </w:r>
    </w:p>
    <w:p>
      <w:pPr>
        <w:spacing w:after="30" w:line="250"/>
        <w:ind w:left="340"/>
        <w:jc w:val="both"/>
      </w:pPr>
      <w:r>
        <w:rPr>
          <w:b/>
          <w:bCs/>
          <w:i/>
          <w:iCs/>
          <w:sz w:val="20"/>
          <w:szCs w:val="20"/>
        </w:rPr>
        <w:t xml:space="preserve">Held </w:t>
      </w:r>
      <w:r>
        <w:rPr>
          <w:sz w:val="20"/>
          <w:szCs w:val="20"/>
        </w:rPr>
        <w:t xml:space="preserve">Claim inadmissible: the naturalisation lacked a </w:t>
      </w:r>
      <w:r>
        <w:rPr>
          <w:b/>
          <w:bCs/>
          <w:sz w:val="20"/>
          <w:szCs w:val="20"/>
        </w:rPr>
        <w:t xml:space="preserve">genuine link</w:t>
      </w:r>
      <w:r>
        <w:rPr>
          <w:sz w:val="20"/>
          <w:szCs w:val="20"/>
        </w:rPr>
        <w:t xml:space="preserve"> and was not opposable to Guatemala (at 23, 26).</w:t>
      </w:r>
    </w:p>
    <w:p>
      <w:pPr>
        <w:spacing w:after="30" w:line="250"/>
        <w:ind w:left="340"/>
        <w:jc w:val="both"/>
      </w:pPr>
      <w:r>
        <w:rPr>
          <w:b/>
          <w:bCs/>
          <w:i/>
          <w:iCs/>
          <w:sz w:val="20"/>
          <w:szCs w:val="20"/>
        </w:rPr>
        <w:t xml:space="preserve">Use </w:t>
      </w:r>
      <w:r>
        <w:rPr>
          <w:sz w:val="20"/>
          <w:szCs w:val="20"/>
        </w:rPr>
        <w:t xml:space="preserve">Nationality of claims is a substantive filter. Reappears in treaty practice as treaty shopping and denial of benefits.</w:t>
      </w:r>
    </w:p>
    <w:p>
      <w:pPr>
        <w:spacing w:after="30" w:line="250"/>
        <w:ind w:left="340"/>
        <w:jc w:val="both"/>
      </w:pPr>
      <w:r>
        <w:rPr>
          <w:b/>
          <w:bCs/>
          <w:i/>
          <w:iCs/>
          <w:sz w:val="20"/>
          <w:szCs w:val="20"/>
        </w:rPr>
        <w:t xml:space="preserve">Caution </w:t>
      </w:r>
      <w:r>
        <w:rPr>
          <w:sz w:val="20"/>
          <w:szCs w:val="20"/>
        </w:rPr>
        <w:t xml:space="preserve">Confined to opposability in a diplomatic protection claim; not a general rule invalidating conferred nationality.</w:t>
      </w:r>
    </w:p>
    <w:p>
      <w:pPr>
        <w:spacing w:after="40" w:before="150"/>
      </w:pPr>
      <w:r>
        <w:rPr>
          <w:b/>
          <w:bCs/>
          <w:sz w:val="21"/>
          <w:szCs w:val="21"/>
        </w:rPr>
        <w:t xml:space="preserve">Interhandel (Switzerland v USA), ICJ, Preliminary Objections, 21 March 1959</w:t>
      </w:r>
    </w:p>
    <w:p>
      <w:pPr>
        <w:spacing w:after="30" w:line="250"/>
        <w:ind w:left="340"/>
        <w:jc w:val="both"/>
      </w:pPr>
      <w:r>
        <w:rPr>
          <w:b/>
          <w:bCs/>
          <w:i/>
          <w:iCs/>
          <w:sz w:val="20"/>
          <w:szCs w:val="20"/>
        </w:rPr>
        <w:t xml:space="preserve">Held </w:t>
      </w:r>
      <w:r>
        <w:rPr>
          <w:sz w:val="20"/>
          <w:szCs w:val="20"/>
        </w:rPr>
        <w:t xml:space="preserve">Inadmissible for failure to exhaust local remedies, described as a well-established rule of customary international law (at 27).</w:t>
      </w:r>
    </w:p>
    <w:p>
      <w:pPr>
        <w:spacing w:after="30" w:line="250"/>
        <w:ind w:left="340"/>
        <w:jc w:val="both"/>
      </w:pPr>
      <w:r>
        <w:rPr>
          <w:b/>
          <w:bCs/>
          <w:i/>
          <w:iCs/>
          <w:sz w:val="20"/>
          <w:szCs w:val="20"/>
        </w:rPr>
        <w:t xml:space="preserve">Use </w:t>
      </w:r>
      <w:r>
        <w:rPr>
          <w:sz w:val="20"/>
          <w:szCs w:val="20"/>
        </w:rPr>
        <w:t xml:space="preserve">The procedural burden that investment treaties later removed — and that the Indian Model BIT 2015 restored in modified form.</w:t>
      </w:r>
    </w:p>
    <w:p>
      <w:pPr>
        <w:spacing w:after="40" w:before="150"/>
      </w:pPr>
      <w:r>
        <w:rPr>
          <w:b/>
          <w:bCs/>
          <w:sz w:val="21"/>
          <w:szCs w:val="21"/>
        </w:rPr>
        <w:t xml:space="preserve">Barcelona Traction (Belgium v Spain), ICJ Reports 1970, p 3 — the central case</w:t>
      </w:r>
    </w:p>
    <w:p>
      <w:pPr>
        <w:spacing w:after="30" w:line="250"/>
        <w:ind w:left="340"/>
        <w:jc w:val="both"/>
      </w:pPr>
      <w:r>
        <w:rPr>
          <w:b/>
          <w:bCs/>
          <w:i/>
          <w:iCs/>
          <w:sz w:val="20"/>
          <w:szCs w:val="20"/>
        </w:rPr>
        <w:t xml:space="preserve">Facts </w:t>
      </w:r>
      <w:r>
        <w:rPr>
          <w:sz w:val="20"/>
          <w:szCs w:val="20"/>
        </w:rPr>
        <w:t xml:space="preserve">Company incorporated in Canada in 1911 with its head office there; most shares held by Belgian nationals. Placed in receivership after measures taken in Spain.</w:t>
      </w:r>
    </w:p>
    <w:p>
      <w:pPr>
        <w:spacing w:after="30" w:line="250"/>
        <w:ind w:left="340"/>
        <w:jc w:val="both"/>
      </w:pPr>
      <w:r>
        <w:rPr>
          <w:b/>
          <w:bCs/>
          <w:i/>
          <w:iCs/>
          <w:sz w:val="20"/>
          <w:szCs w:val="20"/>
        </w:rPr>
        <w:t xml:space="preserve">Held </w:t>
      </w:r>
      <w:r>
        <w:rPr>
          <w:sz w:val="20"/>
          <w:szCs w:val="20"/>
        </w:rPr>
        <w:t xml:space="preserve">Belgium had no </w:t>
      </w:r>
      <w:r>
        <w:rPr>
          <w:b/>
          <w:bCs/>
          <w:sz w:val="20"/>
          <w:szCs w:val="20"/>
        </w:rPr>
        <w:t xml:space="preserve">jus standi</w:t>
      </w:r>
      <w:r>
        <w:rPr>
          <w:sz w:val="20"/>
          <w:szCs w:val="20"/>
        </w:rPr>
        <w:t xml:space="preserve">. Corporate nationality follows incorporation and registered office (Canada); only Canada could protect the company. The suggested exceptions failed — the company, though in receivership, had not ceased to exist (paras 65–66).</w:t>
      </w:r>
    </w:p>
    <w:p>
      <w:pPr>
        <w:spacing w:after="30" w:line="250"/>
        <w:ind w:left="340"/>
        <w:jc w:val="both"/>
      </w:pPr>
      <w:r>
        <w:rPr>
          <w:b/>
          <w:bCs/>
          <w:i/>
          <w:iCs/>
          <w:sz w:val="20"/>
          <w:szCs w:val="20"/>
        </w:rPr>
        <w:t xml:space="preserve">Principle </w:t>
      </w:r>
      <w:r>
        <w:rPr>
          <w:sz w:val="20"/>
          <w:szCs w:val="20"/>
        </w:rPr>
        <w:t xml:space="preserve">Injury to a company is not injury to its shareholders; separate legal personality is respected.</w:t>
      </w:r>
    </w:p>
    <w:p>
      <w:pPr>
        <w:spacing w:after="30" w:line="250"/>
        <w:ind w:left="340"/>
        <w:jc w:val="both"/>
      </w:pPr>
      <w:r>
        <w:rPr>
          <w:b/>
          <w:bCs/>
          <w:i/>
          <w:iCs/>
          <w:sz w:val="20"/>
          <w:szCs w:val="20"/>
        </w:rPr>
        <w:t xml:space="preserve">Use </w:t>
      </w:r>
      <w:r>
        <w:rPr>
          <w:sz w:val="20"/>
          <w:szCs w:val="20"/>
        </w:rPr>
        <w:t xml:space="preserve">Demonstrates the practical collapse of diplomatic protection: investment is routed through third-State companies, leaving shareholders’ States powerless. Treaties respond by defining “investor” to include shareholders.</w:t>
      </w:r>
    </w:p>
    <w:p>
      <w:pPr>
        <w:spacing w:after="40" w:before="150"/>
      </w:pPr>
      <w:r>
        <w:rPr>
          <w:b/>
          <w:bCs/>
          <w:sz w:val="21"/>
          <w:szCs w:val="21"/>
        </w:rPr>
        <w:t xml:space="preserve">ELSI (USA v Italy), ICJ Chamber, 20 July 1989</w:t>
      </w:r>
    </w:p>
    <w:p>
      <w:pPr>
        <w:spacing w:after="30" w:line="250"/>
        <w:ind w:left="340"/>
        <w:jc w:val="both"/>
      </w:pPr>
      <w:r>
        <w:rPr>
          <w:b/>
          <w:bCs/>
          <w:i/>
          <w:iCs/>
          <w:sz w:val="20"/>
          <w:szCs w:val="20"/>
        </w:rPr>
        <w:t xml:space="preserve">Held </w:t>
      </w:r>
      <w:r>
        <w:rPr>
          <w:sz w:val="20"/>
          <w:szCs w:val="20"/>
        </w:rPr>
        <w:t xml:space="preserve">The local remedies rule applies to treaty-based claims unless clearly waived; on the facts it was satisfied (para 50).</w:t>
      </w:r>
    </w:p>
    <w:p>
      <w:pPr>
        <w:spacing w:after="30" w:line="250"/>
        <w:ind w:left="340"/>
        <w:jc w:val="both"/>
      </w:pPr>
      <w:r>
        <w:rPr>
          <w:b/>
          <w:bCs/>
          <w:i/>
          <w:iCs/>
          <w:sz w:val="20"/>
          <w:szCs w:val="20"/>
        </w:rPr>
        <w:t xml:space="preserve">Use </w:t>
      </w:r>
      <w:r>
        <w:rPr>
          <w:sz w:val="20"/>
          <w:szCs w:val="20"/>
        </w:rPr>
        <w:t xml:space="preserve">Why modern treaties deal with local remedies expressly.</w:t>
      </w:r>
    </w:p>
    <w:p>
      <w:pPr>
        <w:spacing w:after="40" w:before="150"/>
      </w:pPr>
      <w:r>
        <w:rPr>
          <w:b/>
          <w:bCs/>
          <w:sz w:val="21"/>
          <w:szCs w:val="21"/>
        </w:rPr>
        <w:t xml:space="preserve">Ahmadou Sadio Diallo (Guinea v DR Congo), ICJ 2007 (objections), 2010 (merits)</w:t>
      </w:r>
    </w:p>
    <w:p>
      <w:pPr>
        <w:spacing w:after="30" w:line="250"/>
        <w:ind w:left="340"/>
        <w:jc w:val="both"/>
      </w:pPr>
      <w:r>
        <w:rPr>
          <w:b/>
          <w:bCs/>
          <w:i/>
          <w:iCs/>
          <w:sz w:val="20"/>
          <w:szCs w:val="20"/>
        </w:rPr>
        <w:t xml:space="preserve">Held </w:t>
      </w:r>
      <w:r>
        <w:rPr>
          <w:sz w:val="20"/>
          <w:szCs w:val="20"/>
        </w:rPr>
        <w:t xml:space="preserve">Guinea could protect Mr Diallo’s own rights and his </w:t>
      </w:r>
      <w:r>
        <w:rPr>
          <w:b/>
          <w:bCs/>
          <w:sz w:val="20"/>
          <w:szCs w:val="20"/>
        </w:rPr>
        <w:t xml:space="preserve">direct</w:t>
      </w:r>
      <w:r>
        <w:rPr>
          <w:sz w:val="20"/>
          <w:szCs w:val="20"/>
        </w:rPr>
        <w:t xml:space="preserve"> rights as shareholder; protection </w:t>
      </w:r>
      <w:r>
        <w:rPr>
          <w:b/>
          <w:bCs/>
          <w:sz w:val="20"/>
          <w:szCs w:val="20"/>
        </w:rPr>
        <w:t xml:space="preserve">by substitution</w:t>
      </w:r>
      <w:r>
        <w:rPr>
          <w:sz w:val="20"/>
          <w:szCs w:val="20"/>
        </w:rPr>
        <w:t xml:space="preserve"> for the companies is not recognised in customary law “at least at the present time” (objections, para 89). On the merits, violations of his individual rights but not of his shareholder rights.</w:t>
      </w:r>
    </w:p>
    <w:p>
      <w:pPr>
        <w:spacing w:after="30" w:line="250"/>
        <w:ind w:left="340"/>
        <w:jc w:val="both"/>
      </w:pPr>
      <w:r>
        <w:rPr>
          <w:b/>
          <w:bCs/>
          <w:i/>
          <w:iCs/>
          <w:sz w:val="20"/>
          <w:szCs w:val="20"/>
        </w:rPr>
        <w:t xml:space="preserve">Use </w:t>
      </w:r>
      <w:r>
        <w:rPr>
          <w:sz w:val="20"/>
          <w:szCs w:val="20"/>
        </w:rPr>
        <w:t xml:space="preserve">Most recent confirmation that Barcelona Traction stands and that only a treaty can close the gap.</w:t>
      </w:r>
    </w:p>
    <w:p>
      <w:pPr>
        <w:spacing w:after="40" w:before="150"/>
      </w:pPr>
      <w:r>
        <w:rPr>
          <w:b/>
          <w:bCs/>
          <w:sz w:val="21"/>
          <w:szCs w:val="21"/>
        </w:rPr>
        <w:t xml:space="preserve">North American Dredging Co of Texas (USA v Mexico), General Claims Commission, 1926 — Calvo Clause</w:t>
      </w:r>
    </w:p>
    <w:p>
      <w:pPr>
        <w:spacing w:after="30" w:line="250"/>
        <w:ind w:left="340"/>
        <w:jc w:val="both"/>
      </w:pPr>
      <w:r>
        <w:rPr>
          <w:b/>
          <w:bCs/>
          <w:i/>
          <w:iCs/>
          <w:sz w:val="20"/>
          <w:szCs w:val="20"/>
        </w:rPr>
        <w:t xml:space="preserve">Held </w:t>
      </w:r>
      <w:r>
        <w:rPr>
          <w:sz w:val="20"/>
          <w:szCs w:val="20"/>
        </w:rPr>
        <w:t xml:space="preserve">The clause bound the company to local remedies for contractual grievances but could not deprive its home State of the right to protect it against breaches of international law.</w:t>
      </w:r>
    </w:p>
    <w:p>
      <w:pPr>
        <w:spacing w:after="30" w:line="250"/>
        <w:ind w:left="340"/>
        <w:jc w:val="both"/>
      </w:pPr>
      <w:r>
        <w:rPr>
          <w:b/>
          <w:bCs/>
          <w:i/>
          <w:iCs/>
          <w:sz w:val="20"/>
          <w:szCs w:val="20"/>
        </w:rPr>
        <w:t xml:space="preserve">Note </w:t>
      </w:r>
      <w:r>
        <w:rPr>
          <w:b/>
          <w:bCs/>
          <w:sz w:val="20"/>
          <w:szCs w:val="20"/>
        </w:rPr>
        <w:t xml:space="preserve">Verification required</w:t>
      </w:r>
      <w:r>
        <w:rPr>
          <w:sz w:val="20"/>
          <w:szCs w:val="20"/>
        </w:rPr>
        <w:t xml:space="preserve"> on the report citation and exact wording.</w:t>
      </w:r>
    </w:p>
    <w:p>
      <w:pPr>
        <w:pStyle w:val="Heading2"/>
      </w:pPr>
      <w:r>
        <w:t xml:space="preserve">1.6 Historical Evolution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tblHeader/>
        </w:trPr>
        <w:tc>
          <w:tcPr>
            <w:tcW w:type="dxa" w:w="900"/>
            <w:shd w:fill="E8EDF5" w:color="auto" w:val="clear"/>
            <w:tcMar>
              <w:top w:type="dxa" w:w="90"/>
              <w:left w:type="dxa" w:w="120"/>
              <w:bottom w:type="dxa" w:w="90"/>
              <w:right w:type="dxa" w:w="120"/>
            </w:tcMar>
          </w:tcPr>
          <w:p>
            <w:pPr>
              <w:spacing w:after="0" w:line="240"/>
              <w:jc w:val="left"/>
            </w:pPr>
            <w:r>
              <w:rPr>
                <w:b/>
                <w:bCs/>
                <w:sz w:val="20"/>
                <w:szCs w:val="20"/>
              </w:rPr>
              <w:t xml:space="preserve">Date</w:t>
            </w:r>
          </w:p>
        </w:tc>
        <w:tc>
          <w:tcPr>
            <w:tcW w:type="dxa" w:w="2700"/>
            <w:shd w:fill="E8EDF5" w:color="auto" w:val="clear"/>
            <w:tcMar>
              <w:top w:type="dxa" w:w="90"/>
              <w:left w:type="dxa" w:w="120"/>
              <w:bottom w:type="dxa" w:w="90"/>
              <w:right w:type="dxa" w:w="120"/>
            </w:tcMar>
          </w:tcPr>
          <w:p>
            <w:pPr>
              <w:spacing w:after="0" w:line="240"/>
              <w:jc w:val="left"/>
            </w:pPr>
            <w:r>
              <w:rPr>
                <w:b/>
                <w:bCs/>
                <w:sz w:val="20"/>
                <w:szCs w:val="20"/>
              </w:rPr>
              <w:t xml:space="preserve">Development</w:t>
            </w:r>
          </w:p>
        </w:tc>
        <w:tc>
          <w:tcPr>
            <w:tcW w:type="dxa" w:w="5426"/>
            <w:shd w:fill="E8EDF5" w:color="auto" w:val="clear"/>
            <w:tcMar>
              <w:top w:type="dxa" w:w="90"/>
              <w:left w:type="dxa" w:w="120"/>
              <w:bottom w:type="dxa" w:w="90"/>
              <w:right w:type="dxa" w:w="120"/>
            </w:tcMar>
          </w:tcPr>
          <w:p>
            <w:pPr>
              <w:spacing w:after="0" w:line="240"/>
              <w:jc w:val="left"/>
            </w:pPr>
            <w:r>
              <w:rPr>
                <w:b/>
                <w:bCs/>
                <w:sz w:val="20"/>
                <w:szCs w:val="20"/>
              </w:rPr>
              <w:t xml:space="preserve">Significance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19th c.</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FCN treaties; gunboat diplomacy</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Treatment of nationals and property by treaty; force used to protect investment, causing lasting resentment. FCN treaties are the ancestors of BITs (ELSI was decided under one).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1868</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Calvo Doctrine</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Foreign investors entitled only to national treatment, whatever its level; remedies confined to host-State courts. Would remove international law from investment disputes.</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1907</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Drago–Porter (Hague Convention II)</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Limits the use of force to recover contract debts; failure to repay public debt is no ground for armed intervention.</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1917–18</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Russian Revolution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Abolition of private property destroyed national treatment as a guarantee — the reason capital exporters demanded an </w:t>
            </w:r>
            <w:r>
              <w:rPr>
                <w:b/>
                <w:bCs/>
                <w:sz w:val="20"/>
                <w:szCs w:val="20"/>
              </w:rPr>
              <w:t xml:space="preserve">international minimum standard</w:t>
            </w:r>
            <w:r>
              <w:rPr>
                <w:b w:val="false"/>
                <w:bCs w:val="false"/>
                <w:sz w:val="20"/>
                <w:szCs w:val="20"/>
              </w:rPr>
              <w:t xml:space="preserv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1930s</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Lena Goldfields arbitration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Unjust enrichment applied to a foreign investment dispute.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1938</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Hull Formula (Mexican oil nationalisation)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Expropriation permissible only with </w:t>
            </w:r>
            <w:r>
              <w:rPr>
                <w:b/>
                <w:bCs/>
                <w:sz w:val="20"/>
                <w:szCs w:val="20"/>
              </w:rPr>
              <w:t xml:space="preserve">prompt, adequate and effective</w:t>
            </w:r>
            <w:r>
              <w:rPr>
                <w:b w:val="false"/>
                <w:bCs w:val="false"/>
                <w:sz w:val="20"/>
                <w:szCs w:val="20"/>
              </w:rPr>
              <w:t xml:space="preserve"> compensation — prompt (punctual), adequate (full value), effective (usable form, including repatriation). Still the standard compensation measure.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1959</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Germany–Pakistan BIT; Abs–Shawcross Draft</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The first BIT. Abs–Shawcross and the OECD Draft Convention (1967) were never adopted.</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1962</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UNGA Res 1803 (XVII)</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Permanent sovereignty over natural resources (PSNR), to be exercised for national development and the well-being of the people. Linked to the </w:t>
            </w:r>
            <w:r>
              <w:rPr>
                <w:b/>
                <w:bCs/>
                <w:sz w:val="20"/>
                <w:szCs w:val="20"/>
              </w:rPr>
              <w:t xml:space="preserve">resource curse</w:t>
            </w:r>
            <w:r>
              <w:rPr>
                <w:b w:val="false"/>
                <w:bCs w:val="false"/>
                <w:sz w:val="20"/>
                <w:szCs w:val="20"/>
              </w:rPr>
              <w:t xml:space="preserv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1965 / 1966</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ICSID Convention (signed 18 March 1965; in force 14 October 1966)</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Supplies the forum and enforcement machinery — </w:t>
            </w:r>
            <w:r>
              <w:rPr>
                <w:b/>
                <w:bCs/>
                <w:sz w:val="20"/>
                <w:szCs w:val="20"/>
              </w:rPr>
              <w:t xml:space="preserve">but almost no substantive rights</w:t>
            </w:r>
            <w:r>
              <w:rPr>
                <w:b w:val="false"/>
                <w:bCs w:val="false"/>
                <w:sz w:val="20"/>
                <w:szCs w:val="20"/>
              </w:rPr>
              <w:t xml:space="preserve">. Drafted under World Bank auspices.</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1974</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UNGA Res 3281 (XXIX) — CERDS</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Every State has a sovereign and inalienable right to choose its economic system; high point of the New International Economic Order.</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1990</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AAPL v Sri Lanka</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First award founded on a BIT — the start of investment treaty arbitration.</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1992</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World Bank Guidelines on FDI; Washington Consensus</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Developing States shift from resisting to competing for FDI; treaties proliferate.</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1994</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NAFTA Chapter 11; Energy Charter Treaty; India–UK BIT</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Investment protection enters regional and sectoral treaties. India’s first BIT.</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1995–98</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Multilateral Agreement on Investment (OECD)</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Attempt at a multilateral instrument; abandoned.</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2011</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White Industries v India</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First adverse award against India; MFN used to import an “effective means” obligation.</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2015</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Indian Model BIT; Law Commission Report No 260</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Rebalancing; India terminates most of its BIT network.</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2020</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USMCA (1 July); intra-EU BIT termination agreement (5 May)</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Investor–State arbitration substantially narrowed.</w:t>
            </w:r>
          </w:p>
        </w:tc>
      </w:tr>
      <w:tr>
        <w:trPr>
          <w:cantSplit/>
        </w:trPr>
        <w:tc>
          <w:tcPr>
            <w:tcW w:type="dxa" w:w="900"/>
            <w:tcMar>
              <w:top w:type="dxa" w:w="90"/>
              <w:left w:type="dxa" w:w="120"/>
              <w:bottom w:type="dxa" w:w="90"/>
              <w:right w:type="dxa" w:w="120"/>
            </w:tcMar>
          </w:tcPr>
          <w:p>
            <w:pPr>
              <w:spacing w:after="0" w:line="240"/>
              <w:jc w:val="left"/>
            </w:pPr>
            <w:r>
              <w:rPr>
                <w:b w:val="false"/>
                <w:bCs w:val="false"/>
                <w:sz w:val="20"/>
                <w:szCs w:val="20"/>
              </w:rPr>
              <w:t xml:space="preserve">2017–</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UNCITRAL Working Group III</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ISDS reform: Code of Conduct (2023), Advisory Centre statute (2024). </w:t>
            </w:r>
            <w:r>
              <w:rPr>
                <w:b/>
                <w:bCs/>
                <w:sz w:val="20"/>
                <w:szCs w:val="20"/>
              </w:rPr>
              <w:t xml:space="preserve">No multilateral investment court yet established.</w:t>
            </w:r>
          </w:p>
        </w:tc>
      </w:tr>
    </w:tbl>
    <w:p>
      <w:pPr>
        <w:pBdr>
          <w:left w:val="single" w:color="C0504D" w:sz="8" w:space="8"/>
        </w:pBdr>
        <w:spacing w:after="110" w:before="70"/>
        <w:ind w:left="340"/>
      </w:pPr>
      <w:r>
        <w:rPr>
          <w:b/>
          <w:bCs/>
          <w:i/>
          <w:iCs/>
          <w:sz w:val="20"/>
          <w:szCs w:val="20"/>
        </w:rPr>
        <w:t xml:space="preserve">Verification required</w:t>
      </w:r>
      <w:r>
        <w:rPr>
          <w:i/>
          <w:iCs/>
          <w:sz w:val="20"/>
          <w:szCs w:val="20"/>
        </w:rPr>
        <w:t xml:space="preserve"> on the historical dates in this table for Abs–Shawcross, the OECD Draft, the Germany–Pakistan BIT and the two UNGA resolutions; they are as commonly given in the literature but were not checked against primary records. Note also that the class notes write “Cordon Hull” (correctly </w:t>
      </w:r>
      <w:r>
        <w:rPr>
          <w:b/>
          <w:bCs/>
          <w:i/>
          <w:iCs/>
          <w:sz w:val="20"/>
          <w:szCs w:val="20"/>
        </w:rPr>
        <w:t xml:space="preserve">Cordell Hull</w:t>
      </w:r>
      <w:r>
        <w:rPr>
          <w:i/>
          <w:iCs/>
          <w:sz w:val="20"/>
          <w:szCs w:val="20"/>
        </w:rPr>
        <w:t xml:space="preserve">), “USMC” (correctly </w:t>
      </w:r>
      <w:r>
        <w:rPr>
          <w:b/>
          <w:bCs/>
          <w:i/>
          <w:iCs/>
          <w:sz w:val="20"/>
          <w:szCs w:val="20"/>
        </w:rPr>
        <w:t xml:space="preserve">USMCA</w:t>
      </w:r>
      <w:r>
        <w:rPr>
          <w:i/>
          <w:iCs/>
          <w:sz w:val="20"/>
          <w:szCs w:val="20"/>
        </w:rPr>
        <w:t xml:space="preserve">), and describe Drago–Porter as a bilateral Argentina–USA treaty (it is a multilateral Hague Convention).</w:t>
      </w:r>
    </w:p>
    <w:p>
      <w:pPr>
        <w:pStyle w:val="Heading2"/>
      </w:pPr>
      <w:r>
        <w:t xml:space="preserve">1.7 ILC Draft Articles on Diplomatic Protection, 2006</w:t>
      </w:r>
    </w:p>
    <w:p>
      <w:r>
        <w:t xml:space="preserve">Adopted on second reading on 9 August 2006 (UN Doc A/61/10). Nineteen articles in four parts: general provisions (1–2), nationality (3–13), local remedies (14–15), miscellaneous (16–19). Key provisions: Art 1 (definition), Art 5 (continuous nationality), Art 9 (corporate nationality), </w:t>
      </w:r>
      <w:r>
        <w:rPr>
          <w:b/>
          <w:bCs/>
        </w:rPr>
        <w:t xml:space="preserve">Art 11 (shareholders — the response to Barcelona Traction)</w:t>
      </w:r>
      <w:r>
        <w:t xml:space="preserve">, Arts 14–15 (local remedies), </w:t>
      </w:r>
      <w:r>
        <w:rPr>
          <w:b/>
          <w:bCs/>
        </w:rPr>
        <w:t xml:space="preserve">Art 17 (lex specialis — the doctrinal bridge to ICSID Art 27)</w:t>
      </w:r>
      <w:r>
        <w:t xml:space="preserve">, Art 19 (recommended practice).</w:t>
      </w:r>
    </w:p>
    <w:p>
      <w:r>
        <w:rPr>
          <w:b/>
          <w:bCs/>
        </w:rPr>
        <w:t xml:space="preserve">Status:</w:t>
      </w:r>
      <w:r>
        <w:t xml:space="preserve"> a non-binding restatement; no convention has been concluded. The General Assembly has repeatedly commended the articles, most recently in </w:t>
      </w:r>
      <w:r>
        <w:rPr>
          <w:b/>
          <w:bCs/>
        </w:rPr>
        <w:t xml:space="preserve">Resolution 77/105 of 7 December 2022</w:t>
      </w:r>
      <w:r>
        <w:t xml:space="preserve">. They are cited as evidence of custom.</w:t>
      </w:r>
    </w:p>
    <w:p>
      <w:pPr>
        <w:pStyle w:val="Heading2"/>
      </w:pPr>
      <w:r>
        <w:t xml:space="preserve">1.8 Diplomatic Protection compared with Investor–State Arbitration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shd w:fill="E8EDF5" w:color="auto" w:val="clear"/>
            <w:tcMar>
              <w:top w:type="dxa" w:w="90"/>
              <w:left w:type="dxa" w:w="120"/>
              <w:bottom w:type="dxa" w:w="90"/>
              <w:right w:type="dxa" w:w="120"/>
            </w:tcMar>
          </w:tcPr>
          <w:p>
            <w:pPr>
              <w:spacing w:after="0" w:line="240"/>
              <w:jc w:val="left"/>
            </w:pPr>
            <w:r>
              <w:rPr>
                <w:b/>
                <w:bCs/>
                <w:sz w:val="20"/>
                <w:szCs w:val="20"/>
              </w:rPr>
              <w:t xml:space="preserve">Feature</w:t>
            </w:r>
          </w:p>
        </w:tc>
        <w:tc>
          <w:tcPr>
            <w:tcW w:type="dxa" w:w="3300"/>
            <w:shd w:fill="E8EDF5" w:color="auto" w:val="clear"/>
            <w:tcMar>
              <w:top w:type="dxa" w:w="90"/>
              <w:left w:type="dxa" w:w="120"/>
              <w:bottom w:type="dxa" w:w="90"/>
              <w:right w:type="dxa" w:w="120"/>
            </w:tcMar>
          </w:tcPr>
          <w:p>
            <w:pPr>
              <w:spacing w:after="0" w:line="240"/>
              <w:jc w:val="left"/>
            </w:pPr>
            <w:r>
              <w:rPr>
                <w:b/>
                <w:bCs/>
                <w:sz w:val="20"/>
                <w:szCs w:val="20"/>
              </w:rPr>
              <w:t xml:space="preserve">Diplomatic protection</w:t>
            </w:r>
          </w:p>
        </w:tc>
        <w:tc>
          <w:tcPr>
            <w:tcW w:type="dxa" w:w="3626"/>
            <w:shd w:fill="E8EDF5" w:color="auto" w:val="clear"/>
            <w:tcMar>
              <w:top w:type="dxa" w:w="90"/>
              <w:left w:type="dxa" w:w="120"/>
              <w:bottom w:type="dxa" w:w="90"/>
              <w:right w:type="dxa" w:w="120"/>
            </w:tcMar>
          </w:tcPr>
          <w:p>
            <w:pPr>
              <w:spacing w:after="0" w:line="240"/>
              <w:jc w:val="left"/>
            </w:pPr>
            <w:r>
              <w:rPr>
                <w:b/>
                <w:bCs/>
                <w:sz w:val="20"/>
                <w:szCs w:val="20"/>
              </w:rPr>
              <w:t xml:space="preserve">Investor–State arbitration</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Owner of the claim</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The home State (Mavrommatis)</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The investor</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Espousal</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Required; wholly discretionary</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Not required; investor claims as of right</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Forum</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ICJ or diplomatic channels — States only</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Arbitral tribunal; investor appears directly</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Local remedies</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Must be exhausted unless clearly waived</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Not required unless the treaty says so</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Standards applied</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Uncodified customary rules</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Defined treaty standards (FET, expropriation, transfers)</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Compensation</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Belongs to the State</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Belongs to the investor</w:t>
            </w:r>
          </w:p>
        </w:tc>
      </w:tr>
      <w:tr>
        <w:trPr>
          <w:cantSplit/>
        </w:trPr>
        <w:tc>
          <w:tcPr>
            <w:tcW w:type="dxa" w:w="2100"/>
            <w:tcMar>
              <w:top w:type="dxa" w:w="90"/>
              <w:left w:type="dxa" w:w="120"/>
              <w:bottom w:type="dxa" w:w="90"/>
              <w:right w:type="dxa" w:w="120"/>
            </w:tcMar>
          </w:tcPr>
          <w:p>
            <w:pPr>
              <w:spacing w:after="0" w:line="240"/>
              <w:jc w:val="left"/>
            </w:pPr>
            <w:r>
              <w:rPr>
                <w:b w:val="false"/>
                <w:bCs w:val="false"/>
                <w:sz w:val="20"/>
                <w:szCs w:val="20"/>
              </w:rPr>
              <w:t xml:space="preserve">Enforcement</w:t>
            </w:r>
          </w:p>
        </w:tc>
        <w:tc>
          <w:tcPr>
            <w:tcW w:type="dxa" w:w="3300"/>
            <w:tcMar>
              <w:top w:type="dxa" w:w="90"/>
              <w:left w:type="dxa" w:w="120"/>
              <w:bottom w:type="dxa" w:w="90"/>
              <w:right w:type="dxa" w:w="120"/>
            </w:tcMar>
          </w:tcPr>
          <w:p>
            <w:pPr>
              <w:spacing w:after="0" w:line="240"/>
              <w:jc w:val="left"/>
            </w:pPr>
            <w:r>
              <w:rPr>
                <w:b w:val="false"/>
                <w:bCs w:val="false"/>
                <w:sz w:val="20"/>
                <w:szCs w:val="20"/>
              </w:rPr>
              <w:t xml:space="preserve">Political</w:t>
            </w:r>
          </w:p>
        </w:tc>
        <w:tc>
          <w:tcPr>
            <w:tcW w:type="dxa" w:w="3626"/>
            <w:tcMar>
              <w:top w:type="dxa" w:w="90"/>
              <w:left w:type="dxa" w:w="120"/>
              <w:bottom w:type="dxa" w:w="90"/>
              <w:right w:type="dxa" w:w="120"/>
            </w:tcMar>
          </w:tcPr>
          <w:p>
            <w:pPr>
              <w:spacing w:after="0" w:line="240"/>
              <w:jc w:val="left"/>
            </w:pPr>
            <w:r>
              <w:rPr>
                <w:b w:val="false"/>
                <w:bCs w:val="false"/>
                <w:sz w:val="20"/>
                <w:szCs w:val="20"/>
              </w:rPr>
              <w:t xml:space="preserve">Treaty-based (ICSID Arts 53–54)</w:t>
            </w:r>
          </w:p>
        </w:tc>
      </w:tr>
    </w:tbl>
    <w:p>
      <w:pPr>
        <w:spacing w:after="60"/>
      </w:pPr>
      <w:r>
        <w:t xml:space="preserve"/>
      </w:r>
    </w:p>
    <w:p>
      <w:r>
        <w:t xml:space="preserve">Investor–State arbitration is therefore called a </w:t>
      </w:r>
      <w:r>
        <w:rPr>
          <w:b/>
          <w:bCs/>
        </w:rPr>
        <w:t xml:space="preserve">hybrid</w:t>
      </w:r>
      <w:r>
        <w:t xml:space="preserve">, or a </w:t>
      </w:r>
      <w:r>
        <w:rPr>
          <w:b/>
          <w:bCs/>
        </w:rPr>
        <w:t xml:space="preserve">chimera</w:t>
      </w:r>
      <w:r>
        <w:t xml:space="preserve">: a private party invokes an inter-State treaty against a sovereign through machinery resembling commercial arbitration. It departs from the classical rule that only States and State-created entities are subjects of international law.</w:t>
      </w:r>
    </w:p>
    <w:p>
      <w:pPr>
        <w:pStyle w:val="Heading2"/>
      </w:pPr>
      <w:r>
        <w:t xml:space="preserve">1.9 India’s Position</w:t>
      </w:r>
    </w:p>
    <w:p>
      <w:r>
        <w:t xml:space="preserve">India supported PSNR through the General Assembly from 1962 and </w:t>
      </w:r>
      <w:r>
        <w:rPr>
          <w:b/>
          <w:bCs/>
        </w:rPr>
        <w:t xml:space="preserve">is not a party to the ICSID Convention</w:t>
      </w:r>
      <w:r>
        <w:t xml:space="preserve">: it participated in the negotiations but did not sign, so ICSID arbitration is unavailable in respect of India. Indian investment claims proceed under other rules, usually the </w:t>
      </w:r>
      <w:r>
        <w:rPr>
          <w:b/>
          <w:bCs/>
        </w:rPr>
        <w:t xml:space="preserve">UNCITRAL Arbitration Rules 1976</w:t>
      </w:r>
      <w:r>
        <w:t xml:space="preserve"> (ad hoc, requiring no institution) — as in White Industries. India’s treaty practice began with the </w:t>
      </w:r>
      <w:r>
        <w:rPr>
          <w:b/>
          <w:bCs/>
        </w:rPr>
        <w:t xml:space="preserve">India–UK BIT 1994</w:t>
      </w:r>
      <w:r>
        <w:t xml:space="preserve">.</w:t>
      </w:r>
    </w:p>
    <w:p>
      <w:pPr>
        <w:pBdr>
          <w:left w:val="single" w:color="C0504D" w:sz="8" w:space="8"/>
        </w:pBdr>
        <w:spacing w:after="110" w:before="70"/>
        <w:ind w:left="340"/>
      </w:pPr>
      <w:r>
        <w:rPr>
          <w:i/>
          <w:iCs/>
          <w:sz w:val="20"/>
          <w:szCs w:val="20"/>
        </w:rPr>
        <w:t xml:space="preserve">The class notes explain India’s non-membership by the </w:t>
      </w:r>
      <w:r>
        <w:rPr>
          <w:b/>
          <w:bCs/>
          <w:i/>
          <w:iCs/>
          <w:sz w:val="20"/>
          <w:szCs w:val="20"/>
        </w:rPr>
        <w:t xml:space="preserve">persistent objector rule</w:t>
      </w:r>
      <w:r>
        <w:rPr>
          <w:i/>
          <w:iCs/>
          <w:sz w:val="20"/>
          <w:szCs w:val="20"/>
        </w:rPr>
        <w:t xml:space="preserve"> (a State consistently objecting from the outset is not bound by an emerging customary rule). That rule concerns the formation of custom, not treaty membership: a State simply is not bound by a treaty it has not ratified. Treat the analogy as illustrating policy, not as the legal basis.</w:t>
      </w:r>
    </w:p>
    <w:p>
      <w:r>
        <w:br w:type="page"/>
      </w:r>
    </w:p>
    <w:p>
      <w:pPr>
        <w:pStyle w:val="Heading1"/>
      </w:pPr>
      <w:r>
        <w:t xml:space="preserve">Part II — Sources of International Investment Law</w:t>
      </w:r>
    </w:p>
    <w:p>
      <w:pPr>
        <w:pStyle w:val="Heading2"/>
      </w:pPr>
      <w:r>
        <w:t xml:space="preserve">2.1 Framework</w:t>
      </w:r>
    </w:p>
    <w:p>
      <w:r>
        <w:t xml:space="preserve">The sources are those of international law generally — </w:t>
      </w:r>
      <w:r>
        <w:rPr>
          <w:b/>
          <w:bCs/>
        </w:rPr>
        <w:t xml:space="preserve">Article 38(1), ICJ Statute</w:t>
      </w:r>
      <w:r>
        <w:t xml:space="preserve">: conventions, custom, general principles, and, as subsidiary means, judicial decisions and the writings of publicists. Two adjustments are needed in this field: </w:t>
      </w:r>
      <w:r>
        <w:rPr>
          <w:b/>
          <w:bCs/>
        </w:rPr>
        <w:t xml:space="preserve">arbitral awards</w:t>
      </w:r>
      <w:r>
        <w:t xml:space="preserve"> carry great persuasive weight though they bind no one else, and </w:t>
      </w:r>
      <w:r>
        <w:rPr>
          <w:b/>
          <w:bCs/>
        </w:rPr>
        <w:t xml:space="preserve">domestic law and investment contracts</w:t>
      </w:r>
      <w:r>
        <w:t xml:space="preserve"> may have to be applied. The class materials divide the sources institutionally into (I) the ICSID Convention and (II) BITs — procedure on one side, substance on the other.</w:t>
      </w:r>
    </w:p>
    <w:p>
      <w:pPr>
        <w:pStyle w:val="Heading2"/>
      </w:pPr>
      <w:r>
        <w:t xml:space="preserve">2.2 Treaties</w:t>
      </w:r>
    </w:p>
    <w:p>
      <w:pPr>
        <w:pStyle w:val="Heading3"/>
      </w:pPr>
      <w:r>
        <w:t xml:space="preserve">(a) ICSID Convention 1965</w:t>
      </w:r>
    </w:p>
    <w:p>
      <w:r>
        <w:t xml:space="preserve">Creates the International Centre for Settlement of Investment Disputes — the only global institution for investment disputes. “ICSID” denotes both the Centre and the Convention. Organs:</w:t>
      </w:r>
    </w:p>
    <w:p>
      <w:pPr>
        <w:pStyle w:val="ListParagraph"/>
        <w:numPr>
          <w:ilvl w:val="0"/>
          <w:numId w:val="2"/>
        </w:numPr>
      </w:pPr>
      <w:r>
        <w:rPr>
          <w:b/>
          <w:bCs/>
        </w:rPr>
        <w:t xml:space="preserve">Administrative Council</w:t>
      </w:r>
      <w:r>
        <w:t xml:space="preserve"> — one representative per Contracting State; chaired ex officio by the President of the World Bank.</w:t>
      </w:r>
    </w:p>
    <w:p>
      <w:pPr>
        <w:pStyle w:val="ListParagraph"/>
        <w:numPr>
          <w:ilvl w:val="0"/>
          <w:numId w:val="2"/>
        </w:numPr>
      </w:pPr>
      <w:r>
        <w:rPr>
          <w:b/>
          <w:bCs/>
        </w:rPr>
        <w:t xml:space="preserve">Secretariat</w:t>
      </w:r>
      <w:r>
        <w:t xml:space="preserve"> — headed by the Secretary-General; registers requests, administers proceedings, certifies awards. Seat at the World Bank, Washington D.C.</w:t>
      </w:r>
    </w:p>
    <w:p>
      <w:pPr>
        <w:pStyle w:val="ListParagraph"/>
        <w:numPr>
          <w:ilvl w:val="0"/>
          <w:numId w:val="2"/>
        </w:numPr>
      </w:pPr>
      <w:r>
        <w:rPr>
          <w:b/>
          <w:bCs/>
        </w:rPr>
        <w:t xml:space="preserve">Panels of Conciliators and Arbitrators</w:t>
      </w:r>
      <w:r>
        <w:t xml:space="preserve"> — persons of high moral character and recognised competence in law, commerce, industry or finance.</w:t>
      </w:r>
    </w:p>
    <w:p>
      <w:r>
        <w:t xml:space="preserve">Key provisions:</w:t>
      </w:r>
    </w:p>
    <w:p>
      <w:pPr>
        <w:spacing w:after="100"/>
        <w:ind w:left="640" w:hanging="400"/>
      </w:pPr>
      <w:r>
        <w:rPr>
          <w:b/>
          <w:bCs/>
        </w:rPr>
        <w:t xml:space="preserve">Art 25 </w:t>
      </w:r>
      <w:r>
        <w:t xml:space="preserve">Jurisdiction — a legal dispute arising directly out of an investment, between a Contracting State and a national of another Contracting State, which the parties have consented in writing to submit. “Investment” is deliberately left undefined.</w:t>
      </w:r>
    </w:p>
    <w:p>
      <w:pPr>
        <w:spacing w:after="100"/>
        <w:ind w:left="640" w:hanging="400"/>
      </w:pPr>
      <w:r>
        <w:rPr>
          <w:b/>
          <w:bCs/>
        </w:rPr>
        <w:t xml:space="preserve">Art 27 </w:t>
      </w:r>
      <w:r>
        <w:t xml:space="preserve">Exclusion of diplomatic protection (Part III).</w:t>
      </w:r>
    </w:p>
    <w:p>
      <w:pPr>
        <w:spacing w:after="100"/>
        <w:ind w:left="640" w:hanging="400"/>
      </w:pPr>
      <w:r>
        <w:rPr>
          <w:b/>
          <w:bCs/>
        </w:rPr>
        <w:t xml:space="preserve">Art 41 </w:t>
      </w:r>
      <w:r>
        <w:rPr>
          <w:b/>
          <w:bCs/>
        </w:rPr>
        <w:t xml:space="preserve">Competence-competence</w:t>
      </w:r>
      <w:r>
        <w:t xml:space="preserve"> — the tribunal judges its own jurisdiction.</w:t>
      </w:r>
    </w:p>
    <w:p>
      <w:pPr>
        <w:spacing w:after="100"/>
        <w:ind w:left="640" w:hanging="400"/>
      </w:pPr>
      <w:r>
        <w:rPr>
          <w:b/>
          <w:bCs/>
        </w:rPr>
        <w:t xml:space="preserve">Art 42(1) </w:t>
      </w:r>
      <w:r>
        <w:t xml:space="preserve">Applicable law — the law agreed by the parties; failing agreement, host-State law (including its conflict rules) and applicable international law.</w:t>
      </w:r>
    </w:p>
    <w:p>
      <w:pPr>
        <w:spacing w:after="100"/>
        <w:ind w:left="640" w:hanging="400"/>
      </w:pPr>
      <w:r>
        <w:rPr>
          <w:b/>
          <w:bCs/>
        </w:rPr>
        <w:t xml:space="preserve">Arts 50–52 </w:t>
      </w:r>
      <w:r>
        <w:t xml:space="preserve">The only post-award remedies: interpretation, revision, annulment. No appeal.</w:t>
      </w:r>
    </w:p>
    <w:p>
      <w:pPr>
        <w:spacing w:after="100"/>
        <w:ind w:left="640" w:hanging="400"/>
      </w:pPr>
      <w:r>
        <w:rPr>
          <w:b/>
          <w:bCs/>
        </w:rPr>
        <w:t xml:space="preserve">Arts 53–55 </w:t>
      </w:r>
      <w:r>
        <w:t xml:space="preserve">Binding force, recognition and enforcement, and preservation of immunity from execution (Part III).</w:t>
      </w:r>
    </w:p>
    <w:p>
      <w:r>
        <w:rPr>
          <w:b/>
          <w:bCs/>
        </w:rPr>
        <w:t xml:space="preserve">Membership:</w:t>
      </w:r>
      <w:r>
        <w:t xml:space="preserve"> 165 signatory and Contracting States as at 30 June 2025, of which </w:t>
      </w:r>
      <w:r>
        <w:rPr>
          <w:b/>
          <w:bCs/>
        </w:rPr>
        <w:t xml:space="preserve">158 are Contracting States</w:t>
      </w:r>
      <w:r>
        <w:t xml:space="preserve"> (ICSID Caseload Statistics 2025-2, p 20). Denunciations under Art 71: Bolivia (2007), Ecuador (2009), Venezuela (2012), Honduras (effective 25 August 2024). India has never been a party.</w:t>
      </w:r>
    </w:p>
    <w:p>
      <w:pPr>
        <w:pStyle w:val="Heading3"/>
      </w:pPr>
      <w:r>
        <w:t xml:space="preserve">(b) New York Convention 1958</w:t>
      </w:r>
    </w:p>
    <w:p>
      <w:r>
        <w:t xml:space="preserve">Governs recognition and enforcement of non-ICSID awards, including investment awards under the UNCITRAL Rules. It matters chiefly as the contrast that shows the strength of ICSID: under </w:t>
      </w:r>
      <w:r>
        <w:rPr>
          <w:b/>
          <w:bCs/>
        </w:rPr>
        <w:t xml:space="preserve">Article V</w:t>
      </w:r>
      <w:r>
        <w:t xml:space="preserve"> a court may refuse enforcement on grounds including </w:t>
      </w:r>
      <w:r>
        <w:rPr>
          <w:b/>
          <w:bCs/>
        </w:rPr>
        <w:t xml:space="preserve">non-arbitrability</w:t>
      </w:r>
      <w:r>
        <w:t xml:space="preserve"> and </w:t>
      </w:r>
      <w:r>
        <w:rPr>
          <w:b/>
          <w:bCs/>
        </w:rPr>
        <w:t xml:space="preserve">public policy</w:t>
      </w:r>
      <w:r>
        <w:t xml:space="preserve"> — precisely the two weaknesses identified in the class notes. The ICSID Convention admits no such grounds.</w:t>
      </w:r>
    </w:p>
    <w:p>
      <w:pPr>
        <w:pStyle w:val="Heading3"/>
      </w:pPr>
      <w:r>
        <w:t xml:space="preserve">(c) BITs and other IIAs</w:t>
      </w:r>
    </w:p>
    <w:p>
      <w:r>
        <w:t xml:space="preserve">BITs are the principal source of </w:t>
      </w:r>
      <w:r>
        <w:rPr>
          <w:b/>
          <w:bCs/>
        </w:rPr>
        <w:t xml:space="preserve">substantive</w:t>
      </w:r>
      <w:r>
        <w:t xml:space="preserve"> investor rights. An </w:t>
      </w:r>
      <w:r>
        <w:rPr>
          <w:b/>
          <w:bCs/>
        </w:rPr>
        <w:t xml:space="preserve">IIA</w:t>
      </w:r>
      <w:r>
        <w:t xml:space="preserve"> is the wider category, including BITs and treaties with investment provisions such as FTA investment chapters. UNCTAD put the treaty universe at </w:t>
      </w:r>
      <w:r>
        <w:rPr>
          <w:b/>
          <w:bCs/>
        </w:rPr>
        <w:t xml:space="preserve">3,265 agreements (2,830 BITs, 435 TIPs)</w:t>
      </w:r>
      <w:r>
        <w:t xml:space="preserve"> at the end of 2022, of which at least </w:t>
      </w:r>
      <w:r>
        <w:rPr>
          <w:b/>
          <w:bCs/>
        </w:rPr>
        <w:t xml:space="preserve">2,584 were in force</w:t>
      </w:r>
      <w:r>
        <w:t xml:space="preserve"> (World Investment Report 2023, ch II — update from the latest Report before use).</w:t>
      </w:r>
    </w:p>
    <w:p>
      <w:pPr>
        <w:pStyle w:val="Heading3"/>
      </w:pPr>
      <w:r>
        <w:t xml:space="preserve">(d) Multilateral and regional instruments</w:t>
      </w:r>
    </w:p>
    <w:p>
      <w:pPr>
        <w:pStyle w:val="ListParagraph"/>
        <w:numPr>
          <w:ilvl w:val="0"/>
          <w:numId w:val="2"/>
        </w:numPr>
      </w:pPr>
      <w:r>
        <w:rPr>
          <w:b/>
          <w:bCs/>
        </w:rPr>
        <w:t xml:space="preserve">NAFTA Chapter 11 (1994)</w:t>
      </w:r>
      <w:r>
        <w:t xml:space="preserve">, superseded by </w:t>
      </w:r>
      <w:r>
        <w:rPr>
          <w:b/>
          <w:bCs/>
        </w:rPr>
        <w:t xml:space="preserve">USMCA</w:t>
      </w:r>
      <w:r>
        <w:t xml:space="preserve"> from 1 July 2020, which narrows investor–State arbitration.</w:t>
      </w:r>
    </w:p>
    <w:p>
      <w:pPr>
        <w:pStyle w:val="ListParagraph"/>
        <w:numPr>
          <w:ilvl w:val="0"/>
          <w:numId w:val="2"/>
        </w:numPr>
      </w:pPr>
      <w:r>
        <w:rPr>
          <w:b/>
          <w:bCs/>
        </w:rPr>
        <w:t xml:space="preserve">Energy Charter Treaty (1994)</w:t>
      </w:r>
      <w:r>
        <w:t xml:space="preserve"> — energy sector. The EU and Euratom withdrew with effect from 28 June 2025; modernising amendments took effect 3 September 2025; a 20-year sunset clause preserves protection for existing investments.</w:t>
      </w:r>
    </w:p>
    <w:p>
      <w:pPr>
        <w:pStyle w:val="ListParagraph"/>
        <w:numPr>
          <w:ilvl w:val="0"/>
          <w:numId w:val="2"/>
        </w:numPr>
      </w:pPr>
      <w:r>
        <w:rPr>
          <w:b/>
          <w:bCs/>
        </w:rPr>
        <w:t xml:space="preserve">CPTPP (2018)</w:t>
      </w:r>
      <w:r>
        <w:t xml:space="preserve"> contains ISDS; </w:t>
      </w:r>
      <w:r>
        <w:rPr>
          <w:b/>
          <w:bCs/>
        </w:rPr>
        <w:t xml:space="preserve">RCEP (2022)</w:t>
      </w:r>
      <w:r>
        <w:t xml:space="preserve"> does </w:t>
      </w:r>
      <w:r>
        <w:rPr>
          <w:b/>
          <w:bCs/>
        </w:rPr>
        <w:t xml:space="preserve">not</w:t>
      </w:r>
      <w:r>
        <w:t xml:space="preserve">.</w:t>
      </w:r>
    </w:p>
    <w:p>
      <w:pPr>
        <w:pStyle w:val="ListParagraph"/>
        <w:numPr>
          <w:ilvl w:val="0"/>
          <w:numId w:val="2"/>
        </w:numPr>
      </w:pPr>
      <w:r>
        <w:rPr>
          <w:b/>
          <w:bCs/>
        </w:rPr>
        <w:t xml:space="preserve">CETA</w:t>
      </w:r>
      <w:r>
        <w:t xml:space="preserve"> — standing Investment Court System, held compatible with EU law in </w:t>
      </w:r>
      <w:r>
        <w:rPr>
          <w:b/>
          <w:bCs/>
        </w:rPr>
        <w:t xml:space="preserve">Opinion 1/17 (2019)</w:t>
      </w:r>
      <w:r>
        <w:t xml:space="preserve">.</w:t>
      </w:r>
    </w:p>
    <w:p>
      <w:pPr>
        <w:pStyle w:val="ListParagraph"/>
        <w:numPr>
          <w:ilvl w:val="0"/>
          <w:numId w:val="2"/>
        </w:numPr>
      </w:pPr>
      <w:r>
        <w:rPr>
          <w:b/>
          <w:bCs/>
        </w:rPr>
        <w:t xml:space="preserve">MIGA Convention 1985</w:t>
      </w:r>
      <w:r>
        <w:t xml:space="preserve"> — political-risk insurance, not adjudication.</w:t>
      </w:r>
    </w:p>
    <w:p>
      <w:pPr>
        <w:pStyle w:val="ListParagraph"/>
        <w:numPr>
          <w:ilvl w:val="0"/>
          <w:numId w:val="2"/>
        </w:numPr>
      </w:pPr>
      <w:r>
        <w:rPr>
          <w:b/>
          <w:bCs/>
        </w:rPr>
        <w:t xml:space="preserve">WTO</w:t>
      </w:r>
      <w:r>
        <w:t xml:space="preserve">: TRIMs Agreement; GATS Mode 3. </w:t>
      </w:r>
      <w:r>
        <w:rPr>
          <w:b/>
          <w:bCs/>
        </w:rPr>
        <w:t xml:space="preserve">GATT Article XX</w:t>
      </w:r>
      <w:r>
        <w:t xml:space="preserve"> is the model for general exceptions clauses in BITs.</w:t>
      </w:r>
    </w:p>
    <w:p>
      <w:pPr>
        <w:pStyle w:val="Heading2"/>
      </w:pPr>
      <w:r>
        <w:t xml:space="preserve">2.3 Customary International Law</w:t>
      </w:r>
    </w:p>
    <w:p>
      <w:r>
        <w:t xml:space="preserve">Custom performs three functions: it supplies the </w:t>
      </w:r>
      <w:r>
        <w:rPr>
          <w:b/>
          <w:bCs/>
        </w:rPr>
        <w:t xml:space="preserve">international minimum standard</w:t>
      </w:r>
      <w:r>
        <w:t xml:space="preserve"> of treatment of aliens; it supplies the law of </w:t>
      </w:r>
      <w:r>
        <w:rPr>
          <w:b/>
          <w:bCs/>
        </w:rPr>
        <w:t xml:space="preserve">State responsibility</w:t>
      </w:r>
      <w:r>
        <w:t xml:space="preserve">; and it fills treaty gaps (the technique used in </w:t>
      </w:r>
      <w:r>
        <w:rPr>
          <w:b/>
          <w:bCs/>
        </w:rPr>
        <w:t xml:space="preserve">AAPL v Sri Lanka</w:t>
      </w:r>
      <w:r>
        <w:t xml:space="preserve">). The authoritative restatement is the </w:t>
      </w:r>
      <w:r>
        <w:rPr>
          <w:b/>
          <w:bCs/>
        </w:rPr>
        <w:t xml:space="preserve">ILC Articles on Responsibility of States for Internationally Wrongful Acts (2001)</w:t>
      </w:r>
      <w:r>
        <w:t xml:space="preserve"> — attribution (Arts 4–8), necessity (Art 25), reparation (Art 31 onwards).</w:t>
      </w:r>
    </w:p>
    <w:p>
      <w:r>
        <w:t xml:space="preserve">One rule recurs across the cases: </w:t>
      </w:r>
      <w:r>
        <w:rPr>
          <w:b/>
          <w:bCs/>
        </w:rPr>
        <w:t xml:space="preserve">a State cannot plead its own domestic law as an excuse for breach of an international obligation</w:t>
      </w:r>
      <w:r>
        <w:t xml:space="preserve"> (Vienna Convention on the Law of Treaties 1969, Art 27; ILC Articles on State Responsibility). It was decisive in </w:t>
      </w:r>
      <w:r>
        <w:rPr>
          <w:b/>
          <w:bCs/>
        </w:rPr>
        <w:t xml:space="preserve">SPP v Egypt</w:t>
      </w:r>
      <w:r>
        <w:t xml:space="preserve">.</w:t>
      </w:r>
    </w:p>
    <w:p>
      <w:pPr>
        <w:pStyle w:val="Heading2"/>
      </w:pPr>
      <w:r>
        <w:t xml:space="preserve">2.4 General Principles</w:t>
      </w:r>
    </w:p>
    <w:p>
      <w:r>
        <w:t xml:space="preserve">Good faith, pacta sunt servanda, </w:t>
      </w:r>
      <w:r>
        <w:rPr>
          <w:b/>
          <w:bCs/>
        </w:rPr>
        <w:t xml:space="preserve">unjust enrichment</w:t>
      </w:r>
      <w:r>
        <w:t xml:space="preserve"> (Lena Goldfields), estoppel, res judicata, and proportionality — increasingly used to test regulatory measures against investor protection.</w:t>
      </w:r>
    </w:p>
    <w:p>
      <w:pPr>
        <w:pStyle w:val="Heading2"/>
      </w:pPr>
      <w:r>
        <w:t xml:space="preserve">2.5 Arbitral Awards and Precedent</w:t>
      </w:r>
    </w:p>
    <w:p>
      <w:r>
        <w:t xml:space="preserve">There is </w:t>
      </w:r>
      <w:r>
        <w:rPr>
          <w:b/>
          <w:bCs/>
        </w:rPr>
        <w:t xml:space="preserve">no stare decisis</w:t>
      </w:r>
      <w:r>
        <w:t xml:space="preserve">: Art 53(1) makes an award binding on the parties alone, and UNCITRAL tribunals are equally unbound. In practice tribunals cite each other and pursue consistency, producing a persuasive </w:t>
      </w:r>
      <w:r>
        <w:rPr>
          <w:b/>
          <w:bCs/>
        </w:rPr>
        <w:t xml:space="preserve">jurisprudence constante</w:t>
      </w:r>
      <w:r>
        <w:t xml:space="preserve">. Its limits appear in known inconsistencies:</w:t>
      </w:r>
    </w:p>
    <w:p>
      <w:pPr>
        <w:pStyle w:val="ListParagraph"/>
        <w:numPr>
          <w:ilvl w:val="0"/>
          <w:numId w:val="2"/>
        </w:numPr>
      </w:pPr>
      <w:r>
        <w:rPr>
          <w:b/>
          <w:bCs/>
        </w:rPr>
        <w:t xml:space="preserve">Lauder v Czech Republic</w:t>
      </w:r>
      <w:r>
        <w:t xml:space="preserve"> and </w:t>
      </w:r>
      <w:r>
        <w:rPr>
          <w:b/>
          <w:bCs/>
        </w:rPr>
        <w:t xml:space="preserve">CME v Czech Republic</w:t>
      </w:r>
      <w:r>
        <w:t xml:space="preserve"> (both 2001, UNCITRAL) — opposite results on substantially the same facts.</w:t>
      </w:r>
    </w:p>
    <w:p>
      <w:pPr>
        <w:pStyle w:val="ListParagraph"/>
        <w:numPr>
          <w:ilvl w:val="0"/>
          <w:numId w:val="2"/>
        </w:numPr>
      </w:pPr>
      <w:r>
        <w:rPr>
          <w:b/>
          <w:bCs/>
        </w:rPr>
        <w:t xml:space="preserve">SGS v Pakistan</w:t>
      </w:r>
      <w:r>
        <w:t xml:space="preserve"> (ARB/01/13, 2003) and </w:t>
      </w:r>
      <w:r>
        <w:rPr>
          <w:b/>
          <w:bCs/>
        </w:rPr>
        <w:t xml:space="preserve">SGS v Philippines</w:t>
      </w:r>
      <w:r>
        <w:t xml:space="preserve"> (ARB/02/6, 2004) — opposite conclusions on umbrella clauses.</w:t>
      </w:r>
    </w:p>
    <w:p>
      <w:pPr>
        <w:pStyle w:val="ListParagraph"/>
        <w:numPr>
          <w:ilvl w:val="0"/>
          <w:numId w:val="2"/>
        </w:numPr>
      </w:pPr>
      <w:r>
        <w:t xml:space="preserve">The Argentine necessity cases — inconsistent treatment of necessity; two awards were later annulled. </w:t>
      </w:r>
      <w:r>
        <w:rPr>
          <w:b/>
          <w:bCs/>
        </w:rPr>
        <w:t xml:space="preserve">Verification required</w:t>
      </w:r>
      <w:r>
        <w:t xml:space="preserve"> on case numbers and annulment holdings.</w:t>
      </w:r>
    </w:p>
    <w:p>
      <w:r>
        <w:rPr>
          <w:b/>
          <w:bCs/>
        </w:rPr>
        <w:t xml:space="preserve">White Industries</w:t>
      </w:r>
      <w:r>
        <w:t xml:space="preserve"> applied the rule directly, refusing to treat the Salini test as governing because it had developed in ICSID jurisprudence. These inconsistencies are the main argument for an appellate or standing mechanism.</w:t>
      </w:r>
    </w:p>
    <w:p>
      <w:pPr>
        <w:pStyle w:val="Heading2"/>
      </w:pPr>
      <w:r>
        <w:t xml:space="preserve">2.6 Publicists and Soft Law</w:t>
      </w:r>
    </w:p>
    <w:p>
      <w:r>
        <w:t xml:space="preserve">Academic writing carries unusual weight because the treaty texts are short. Standard works: Schreuer’s </w:t>
      </w:r>
      <w:r>
        <w:rPr>
          <w:b/>
          <w:bCs/>
        </w:rPr>
        <w:t xml:space="preserve">Commentary on the ICSID Convention</w:t>
      </w:r>
      <w:r>
        <w:t xml:space="preserve">; Dolzer, Kriebaum and Schreuer; Salacuse; Sornarajah; Newcombe and Paradell. </w:t>
      </w:r>
      <w:r>
        <w:rPr>
          <w:b/>
          <w:bCs/>
        </w:rPr>
        <w:t xml:space="preserve">Stephan Schill’s multilateralisation thesis</w:t>
      </w:r>
      <w:r>
        <w:t xml:space="preserve"> argues that thousands of bilateral treaties operate as a single multilateral system, largely through MFN clauses and convergent interpretation.</w:t>
      </w:r>
    </w:p>
    <w:p>
      <w:r>
        <w:t xml:space="preserve">Soft law: UNGA Resolutions 1803 (XVII) and 3281 (XXIX); </w:t>
      </w:r>
      <w:r>
        <w:rPr>
          <w:b/>
          <w:bCs/>
        </w:rPr>
        <w:t xml:space="preserve">World Bank Guidelines on the Treatment of FDI (1992)</w:t>
      </w:r>
      <w:r>
        <w:t xml:space="preserve">; UNCTAD’s Investment Policy Framework; </w:t>
      </w:r>
      <w:r>
        <w:rPr>
          <w:b/>
          <w:bCs/>
        </w:rPr>
        <w:t xml:space="preserve">UNCITRAL Transparency Rules 2014</w:t>
      </w:r>
      <w:r>
        <w:t xml:space="preserve"> and the Mauritius Convention (2015); </w:t>
      </w:r>
      <w:r>
        <w:rPr>
          <w:b/>
          <w:bCs/>
        </w:rPr>
        <w:t xml:space="preserve">Code of Conduct for Arbitrators (2023)</w:t>
      </w:r>
      <w:r>
        <w:t xml:space="preserve">. Principal journals: </w:t>
      </w:r>
      <w:r>
        <w:rPr>
          <w:b/>
          <w:bCs/>
        </w:rPr>
        <w:t xml:space="preserve">ICSID Review — Foreign Investment Law Journal</w:t>
      </w:r>
      <w:r>
        <w:t xml:space="preserve">; the AAPL award was reported in the </w:t>
      </w:r>
      <w:r>
        <w:rPr>
          <w:b/>
          <w:bCs/>
        </w:rPr>
        <w:t xml:space="preserve">Yearbook Commercial Arbitration</w:t>
      </w:r>
      <w:r>
        <w:t xml:space="preserve">.</w:t>
      </w:r>
    </w:p>
    <w:p>
      <w:pPr>
        <w:pStyle w:val="Heading2"/>
      </w:pPr>
      <w:r>
        <w:t xml:space="preserve">2.7 Domestic Law and Contracts</w:t>
      </w:r>
    </w:p>
    <w:p>
      <w:pPr>
        <w:spacing w:after="100"/>
        <w:ind w:left="640" w:hanging="400"/>
      </w:pPr>
      <w:r>
        <w:rPr>
          <w:b/>
          <w:bCs/>
        </w:rPr>
        <w:t xml:space="preserve">(1) </w:t>
      </w:r>
      <w:r>
        <w:rPr>
          <w:b/>
          <w:bCs/>
        </w:rPr>
        <w:t xml:space="preserve">As applicable law</w:t>
      </w:r>
      <w:r>
        <w:t xml:space="preserve"> — ICSID Art 42(1).</w:t>
      </w:r>
    </w:p>
    <w:p>
      <w:pPr>
        <w:spacing w:after="100"/>
        <w:ind w:left="640" w:hanging="400"/>
      </w:pPr>
      <w:r>
        <w:rPr>
          <w:b/>
          <w:bCs/>
        </w:rPr>
        <w:t xml:space="preserve">(2) </w:t>
      </w:r>
      <w:r>
        <w:rPr>
          <w:b/>
          <w:bCs/>
        </w:rPr>
        <w:t xml:space="preserve">As a source of consent to arbitration</w:t>
      </w:r>
      <w:r>
        <w:t xml:space="preserve"> — a host-State investment statute may contain a standing offer of ICSID arbitration. This is the landmark holding in </w:t>
      </w:r>
      <w:r>
        <w:rPr>
          <w:b/>
          <w:bCs/>
        </w:rPr>
        <w:t xml:space="preserve">SPP v Egypt</w:t>
      </w:r>
      <w:r>
        <w:t xml:space="preserve"> (Egyptian Law No 43 of 1974, Art 8).</w:t>
      </w:r>
    </w:p>
    <w:p>
      <w:pPr>
        <w:spacing w:after="100"/>
        <w:ind w:left="640" w:hanging="400"/>
      </w:pPr>
      <w:r>
        <w:rPr>
          <w:b/>
          <w:bCs/>
        </w:rPr>
        <w:t xml:space="preserve">(3) </w:t>
      </w:r>
      <w:r>
        <w:rPr>
          <w:b/>
          <w:bCs/>
        </w:rPr>
        <w:t xml:space="preserve">As a source of substantive rights</w:t>
      </w:r>
      <w:r>
        <w:t xml:space="preserve"> — investment codes, concession agreements and </w:t>
      </w:r>
      <w:r>
        <w:rPr>
          <w:b/>
          <w:bCs/>
        </w:rPr>
        <w:t xml:space="preserve">stabilisation clauses</w:t>
      </w:r>
      <w:r>
        <w:t xml:space="preserve"> (undertakings not to alter the applicable legal regime), including guarantees of tax holidays and customs exemptions of the kind given in SPP.</w:t>
      </w:r>
    </w:p>
    <w:p>
      <w:r>
        <w:t xml:space="preserve">Domestic law also governs </w:t>
      </w:r>
      <w:r>
        <w:rPr>
          <w:b/>
          <w:bCs/>
        </w:rPr>
        <w:t xml:space="preserve">execution</w:t>
      </w:r>
      <w:r>
        <w:t xml:space="preserve"> of awards (Art 54(3)).</w:t>
      </w:r>
    </w:p>
    <w:p>
      <w:r>
        <w:br w:type="page"/>
      </w:r>
    </w:p>
    <w:p>
      <w:pPr>
        <w:pStyle w:val="Heading1"/>
      </w:pPr>
      <w:r>
        <w:t xml:space="preserve">Part III — ICSID Convention: Articles 27, 53 and 54</w:t>
      </w:r>
    </w:p>
    <w:p>
      <w:r>
        <w:t xml:space="preserve">The three articles secure the </w:t>
      </w:r>
      <w:r>
        <w:rPr>
          <w:b/>
          <w:bCs/>
        </w:rPr>
        <w:t xml:space="preserve">exclusivity, finality and enforceability</w:t>
      </w:r>
      <w:r>
        <w:t xml:space="preserve"> of ICSID arbitration. Article 27 removes the competing route of diplomatic protection at the front end; Article 53 removes appeal and all outside remedies at the back end; Article 54 obliges every Contracting State to treat the award as a final domestic judgment. Text below is the official English text (ICSID/15/Rev.3, July 2022).</w:t>
      </w:r>
    </w:p>
    <w:p>
      <w:pPr>
        <w:pStyle w:val="Heading2"/>
      </w:pPr>
      <w:r>
        <w:t xml:space="preserve">3.1 Article 27 — Exclusion of Diplomatic Protection</w:t>
      </w:r>
    </w:p>
    <w:p>
      <w:pPr>
        <w:spacing w:after="120" w:before="120" w:line="259"/>
        <w:ind w:left="720" w:right="360"/>
        <w:jc w:val="both"/>
      </w:pPr>
      <w:r>
        <w:rPr>
          <w:b/>
          <w:bCs/>
          <w:sz w:val="21"/>
          <w:szCs w:val="21"/>
        </w:rPr>
        <w:t xml:space="preserve">(1)</w:t>
      </w:r>
      <w:r>
        <w:rPr>
          <w:sz w:val="21"/>
          <w:szCs w:val="21"/>
        </w:rPr>
        <w:t xml:space="preserve"> No Contracting State shall give diplomatic protection, or bring an international claim, in respect of a dispute which one of its nationals and another Contracting State shall have consented to submit or shall have submitted to arbitration under this Convention, unless such other Contracting State shall have failed to abide by and comply with the award rendered in such dispute.</w:t>
      </w:r>
    </w:p>
    <w:p>
      <w:pPr>
        <w:spacing w:after="120" w:before="120" w:line="259"/>
        <w:ind w:left="720" w:right="360"/>
        <w:jc w:val="both"/>
      </w:pPr>
      <w:r>
        <w:rPr>
          <w:b/>
          <w:bCs/>
          <w:sz w:val="21"/>
          <w:szCs w:val="21"/>
        </w:rPr>
        <w:t xml:space="preserve">(2)</w:t>
      </w:r>
      <w:r>
        <w:rPr>
          <w:sz w:val="21"/>
          <w:szCs w:val="21"/>
        </w:rPr>
        <w:t xml:space="preserve"> Diplomatic protection, for the purposes of paragraph (1), shall not include informal diplomatic exchanges for the sole purpose of facilitating a settlement of the dispute.</w:t>
      </w:r>
    </w:p>
    <w:p>
      <w:pPr>
        <w:pStyle w:val="Heading3"/>
      </w:pPr>
      <w:r>
        <w:t xml:space="preserve">Analysis</w:t>
      </w:r>
    </w:p>
    <w:p>
      <w:pPr>
        <w:spacing w:after="100"/>
        <w:ind w:left="640" w:hanging="400"/>
      </w:pPr>
      <w:r>
        <w:rPr>
          <w:b/>
          <w:bCs/>
        </w:rPr>
        <w:t xml:space="preserve">(1) </w:t>
      </w:r>
      <w:r>
        <w:rPr>
          <w:b/>
          <w:bCs/>
        </w:rPr>
        <w:t xml:space="preserve">Purpose — depoliticisation.</w:t>
      </w:r>
      <w:r>
        <w:t xml:space="preserve"> Once consent to ICSID arbitration exists, the dispute is removed from the inter-State plane and confined to the arbitral forum. Diplomatic protection “takes a lower seat”.</w:t>
      </w:r>
    </w:p>
    <w:p>
      <w:pPr>
        <w:spacing w:after="100"/>
        <w:ind w:left="640" w:hanging="400"/>
      </w:pPr>
      <w:r>
        <w:rPr>
          <w:b/>
          <w:bCs/>
        </w:rPr>
        <w:t xml:space="preserve">(2) </w:t>
      </w:r>
      <w:r>
        <w:rPr>
          <w:b/>
          <w:bCs/>
        </w:rPr>
        <w:t xml:space="preserve">Addressee.</w:t>
      </w:r>
      <w:r>
        <w:t xml:space="preserve"> The prohibition binds the investor’s </w:t>
      </w:r>
      <w:r>
        <w:rPr>
          <w:b/>
          <w:bCs/>
        </w:rPr>
        <w:t xml:space="preserve">home State</w:t>
      </w:r>
      <w:r>
        <w:t xml:space="preserve">, which is not a party to the arbitration.</w:t>
      </w:r>
    </w:p>
    <w:p>
      <w:pPr>
        <w:spacing w:after="100"/>
        <w:ind w:left="640" w:hanging="400"/>
      </w:pPr>
      <w:r>
        <w:rPr>
          <w:b/>
          <w:bCs/>
        </w:rPr>
        <w:t xml:space="preserve">(3) </w:t>
      </w:r>
      <w:r>
        <w:rPr>
          <w:b/>
          <w:bCs/>
        </w:rPr>
        <w:t xml:space="preserve">Two prohibited acts</w:t>
      </w:r>
      <w:r>
        <w:t xml:space="preserve"> — giving diplomatic protection, and bringing an international claim (the second limb closes off inter-State litigation outside the Convention).</w:t>
      </w:r>
    </w:p>
    <w:p>
      <w:pPr>
        <w:spacing w:after="100"/>
        <w:ind w:left="640" w:hanging="400"/>
      </w:pPr>
      <w:r>
        <w:rPr>
          <w:b/>
          <w:bCs/>
        </w:rPr>
        <w:t xml:space="preserve">(4) </w:t>
      </w:r>
      <w:r>
        <w:rPr>
          <w:b/>
          <w:bCs/>
        </w:rPr>
        <w:t xml:space="preserve">Trigger.</w:t>
      </w:r>
      <w:r>
        <w:t xml:space="preserve"> “Shall have consented to submit or shall have submitted” — the bar operates from the moment of consent, not from commencement.</w:t>
      </w:r>
    </w:p>
    <w:p>
      <w:pPr>
        <w:spacing w:after="100"/>
        <w:ind w:left="640" w:hanging="400"/>
      </w:pPr>
      <w:r>
        <w:rPr>
          <w:b/>
          <w:bCs/>
        </w:rPr>
        <w:t xml:space="preserve">(5) </w:t>
      </w:r>
      <w:r>
        <w:rPr>
          <w:b/>
          <w:bCs/>
        </w:rPr>
        <w:t xml:space="preserve">Revival.</w:t>
      </w:r>
      <w:r>
        <w:t xml:space="preserve"> Diplomatic protection revives where the host State </w:t>
      </w:r>
      <w:r>
        <w:rPr>
          <w:b/>
          <w:bCs/>
        </w:rPr>
        <w:t xml:space="preserve">fails to abide by and comply with the award</w:t>
      </w:r>
      <w:r>
        <w:t xml:space="preserve">. The home State may then espouse the claim again and, under </w:t>
      </w:r>
      <w:r>
        <w:rPr>
          <w:b/>
          <w:bCs/>
        </w:rPr>
        <w:t xml:space="preserve">Art 64</w:t>
      </w:r>
      <w:r>
        <w:t xml:space="preserve">, take a dispute on the interpretation or application of the Convention to the ICJ. Non-compliance therefore carries its own sanction.</w:t>
      </w:r>
    </w:p>
    <w:p>
      <w:pPr>
        <w:spacing w:after="100"/>
        <w:ind w:left="640" w:hanging="400"/>
      </w:pPr>
      <w:r>
        <w:rPr>
          <w:b/>
          <w:bCs/>
        </w:rPr>
        <w:t xml:space="preserve">(6) </w:t>
      </w:r>
      <w:r>
        <w:rPr>
          <w:b/>
          <w:bCs/>
        </w:rPr>
        <w:t xml:space="preserve">Informal exchanges (Art 27(2)).</w:t>
      </w:r>
      <w:r>
        <w:t xml:space="preserve"> Diplomacy aimed solely at *facilitating settlement* is not prohibited. The line is between asserting a claim internationally (barred) and assisting a negotiated outcome (permitted) — connected in class to the </w:t>
      </w:r>
      <w:r>
        <w:rPr>
          <w:b/>
          <w:bCs/>
        </w:rPr>
        <w:t xml:space="preserve">pacific settlement of disputes</w:t>
      </w:r>
      <w:r>
        <w:t xml:space="preserve"> under the UN Charter, which includes negotiation, mediation and conciliation.</w:t>
      </w:r>
    </w:p>
    <w:p>
      <w:pPr>
        <w:spacing w:after="100"/>
        <w:ind w:left="640" w:hanging="400"/>
      </w:pPr>
      <w:r>
        <w:rPr>
          <w:b/>
          <w:bCs/>
        </w:rPr>
        <w:t xml:space="preserve">(7) </w:t>
      </w:r>
      <w:r>
        <w:rPr>
          <w:b/>
          <w:bCs/>
        </w:rPr>
        <w:t xml:space="preserve">Doctrinal basis.</w:t>
      </w:r>
      <w:r>
        <w:t xml:space="preserve"> Article 27 is the leading illustration of </w:t>
      </w:r>
      <w:r>
        <w:rPr>
          <w:b/>
          <w:bCs/>
        </w:rPr>
        <w:t xml:space="preserve">Art 17 of the ILC Draft Articles 2006</w:t>
      </w:r>
      <w:r>
        <w:t xml:space="preserve"> (lex specialis): the customary right is displaced, not abolished, while the special regime functions.</w:t>
      </w:r>
    </w:p>
    <w:p>
      <w:pPr>
        <w:pBdr>
          <w:left w:val="single" w:color="C0504D" w:sz="8" w:space="8"/>
        </w:pBdr>
        <w:spacing w:after="110" w:before="70"/>
        <w:ind w:left="340"/>
      </w:pPr>
      <w:r>
        <w:rPr>
          <w:b/>
          <w:bCs/>
          <w:i/>
          <w:iCs/>
          <w:sz w:val="20"/>
          <w:szCs w:val="20"/>
        </w:rPr>
        <w:t xml:space="preserve">Fork in the road — use with care.</w:t>
      </w:r>
      <w:r>
        <w:rPr>
          <w:i/>
          <w:iCs/>
          <w:sz w:val="20"/>
          <w:szCs w:val="20"/>
        </w:rPr>
        <w:t xml:space="preserve"> The class notes call Art 27 a fork-in-the-road provision. That captures the effect but is imprecise. A true fork-in-the-road clause is a </w:t>
      </w:r>
      <w:r>
        <w:rPr>
          <w:b/>
          <w:bCs/>
          <w:i/>
          <w:iCs/>
          <w:sz w:val="20"/>
          <w:szCs w:val="20"/>
        </w:rPr>
        <w:t xml:space="preserve">BIT</w:t>
      </w:r>
      <w:r>
        <w:rPr>
          <w:i/>
          <w:iCs/>
          <w:sz w:val="20"/>
          <w:szCs w:val="20"/>
        </w:rPr>
        <w:t xml:space="preserve"> provision making the investor’s choice between host-State courts and international arbitration final. Art 27 differs in three ways: it binds the </w:t>
      </w:r>
      <w:r>
        <w:rPr>
          <w:b/>
          <w:bCs/>
          <w:i/>
          <w:iCs/>
          <w:sz w:val="20"/>
          <w:szCs w:val="20"/>
        </w:rPr>
        <w:t xml:space="preserve">home State</w:t>
      </w:r>
      <w:r>
        <w:rPr>
          <w:i/>
          <w:iCs/>
          <w:sz w:val="20"/>
          <w:szCs w:val="20"/>
        </w:rPr>
        <w:t xml:space="preserve">, not the investor; it separates </w:t>
      </w:r>
      <w:r>
        <w:rPr>
          <w:b/>
          <w:bCs/>
          <w:i/>
          <w:iCs/>
          <w:sz w:val="20"/>
          <w:szCs w:val="20"/>
        </w:rPr>
        <w:t xml:space="preserve">diplomatic protection from ICSID arbitration</w:t>
      </w:r>
      <w:r>
        <w:rPr>
          <w:i/>
          <w:iCs/>
          <w:sz w:val="20"/>
          <w:szCs w:val="20"/>
        </w:rPr>
        <w:t xml:space="preserve">, not courts from arbitration; and it is </w:t>
      </w:r>
      <w:r>
        <w:rPr>
          <w:b/>
          <w:bCs/>
          <w:i/>
          <w:iCs/>
          <w:sz w:val="20"/>
          <w:szCs w:val="20"/>
        </w:rPr>
        <w:t xml:space="preserve">conditional, not final</w:t>
      </w:r>
      <w:r>
        <w:rPr>
          <w:i/>
          <w:iCs/>
          <w:sz w:val="20"/>
          <w:szCs w:val="20"/>
        </w:rPr>
        <w:t xml:space="preserve">, because non-compliance revives the right. Describe it as a conditional waiver of diplomatic protection producing a fork-in-the-road effect.</w:t>
      </w:r>
    </w:p>
    <w:p>
      <w:pPr>
        <w:pStyle w:val="Heading2"/>
      </w:pPr>
      <w:r>
        <w:t xml:space="preserve">3.2 Article 53 — Binding Force of the Award</w:t>
      </w:r>
    </w:p>
    <w:p>
      <w:pPr>
        <w:spacing w:after="120" w:before="120" w:line="259"/>
        <w:ind w:left="720" w:right="360"/>
        <w:jc w:val="both"/>
      </w:pPr>
      <w:r>
        <w:rPr>
          <w:b/>
          <w:bCs/>
          <w:sz w:val="21"/>
          <w:szCs w:val="21"/>
        </w:rPr>
        <w:t xml:space="preserve">(1)</w:t>
      </w:r>
      <w:r>
        <w:rPr>
          <w:sz w:val="21"/>
          <w:szCs w:val="21"/>
        </w:rPr>
        <w:t xml:space="preserve"> The award shall be binding on the parties and shall not be subject to any appeal or to any other remedy except those provided for in this Convention. Each party shall abide by and comply with the terms of the award except to the extent that enforcement shall have been stayed pursuant to the relevant provisions of this Convention.</w:t>
      </w:r>
    </w:p>
    <w:p>
      <w:pPr>
        <w:spacing w:after="120" w:before="120" w:line="259"/>
        <w:ind w:left="720" w:right="360"/>
        <w:jc w:val="both"/>
      </w:pPr>
      <w:r>
        <w:rPr>
          <w:b/>
          <w:bCs/>
          <w:sz w:val="21"/>
          <w:szCs w:val="21"/>
        </w:rPr>
        <w:t xml:space="preserve">(2)</w:t>
      </w:r>
      <w:r>
        <w:rPr>
          <w:sz w:val="21"/>
          <w:szCs w:val="21"/>
        </w:rPr>
        <w:t xml:space="preserve"> For the purposes of this Section, “award” shall include any decision interpreting, revising or annulling such award pursuant to Articles 50, 51 or 52.</w:t>
      </w:r>
    </w:p>
    <w:p>
      <w:pPr>
        <w:pStyle w:val="Heading3"/>
      </w:pPr>
      <w:r>
        <w:t xml:space="preserve">Analysis</w:t>
      </w:r>
    </w:p>
    <w:p>
      <w:pPr>
        <w:spacing w:after="100"/>
        <w:ind w:left="640" w:hanging="400"/>
      </w:pPr>
      <w:r>
        <w:rPr>
          <w:b/>
          <w:bCs/>
        </w:rPr>
        <w:t xml:space="preserve">(1) </w:t>
      </w:r>
      <w:r>
        <w:rPr>
          <w:b/>
          <w:bCs/>
        </w:rPr>
        <w:t xml:space="preserve">“The parties”</w:t>
      </w:r>
      <w:r>
        <w:t xml:space="preserve"> means the parties to the dispute — investor and host State — not Contracting States generally. This is the textual contrast with Art 54 and the reason ICSID awards create no precedent.</w:t>
      </w:r>
    </w:p>
    <w:p>
      <w:pPr>
        <w:spacing w:after="100"/>
        <w:ind w:left="640" w:hanging="400"/>
      </w:pPr>
      <w:r>
        <w:rPr>
          <w:b/>
          <w:bCs/>
        </w:rPr>
        <w:t xml:space="preserve">(2) </w:t>
      </w:r>
      <w:r>
        <w:rPr>
          <w:b/>
          <w:bCs/>
        </w:rPr>
        <w:t xml:space="preserve">No appeal and no other remedy.</w:t>
      </w:r>
      <w:r>
        <w:t xml:space="preserve"> The exclusion extends beyond appeal to any parallel or collateral remedy, and in particular excludes the setting-aside jurisdiction that national arbitration statutes confer on domestic courts.</w:t>
      </w:r>
    </w:p>
    <w:p>
      <w:pPr>
        <w:spacing w:after="100"/>
        <w:ind w:left="640" w:hanging="400"/>
      </w:pPr>
      <w:r>
        <w:rPr>
          <w:b/>
          <w:bCs/>
        </w:rPr>
        <w:t xml:space="preserve">(3) </w:t>
      </w:r>
      <w:r>
        <w:rPr>
          <w:b/>
          <w:bCs/>
        </w:rPr>
        <w:t xml:space="preserve">Exhaustive internal remedies</w:t>
      </w:r>
      <w:r>
        <w:t xml:space="preserve"> — interpretation (Art 50), revision (Art 51), annulment (Art 52). Annulment lies only on narrow grounds (improper constitution of the tribunal, manifest excess of powers, corruption, serious departure from a fundamental rule of procedure, failure to state reasons) and is </w:t>
      </w:r>
      <w:r>
        <w:rPr>
          <w:b/>
          <w:bCs/>
        </w:rPr>
        <w:t xml:space="preserve">not</w:t>
      </w:r>
      <w:r>
        <w:t xml:space="preserve"> review of correctness.</w:t>
      </w:r>
    </w:p>
    <w:p>
      <w:pPr>
        <w:spacing w:after="100"/>
        <w:ind w:left="640" w:hanging="400"/>
      </w:pPr>
      <w:r>
        <w:rPr>
          <w:b/>
          <w:bCs/>
        </w:rPr>
        <w:t xml:space="preserve">(4) </w:t>
      </w:r>
      <w:r>
        <w:rPr>
          <w:b/>
          <w:bCs/>
        </w:rPr>
        <w:t xml:space="preserve">Stay.</w:t>
      </w:r>
      <w:r>
        <w:t xml:space="preserve"> “Except to the extent that enforcement shall have been stayed” refers to stays granted under the Convention pending interpretation, revision or annulment — not a general licence to withhold payment.</w:t>
      </w:r>
    </w:p>
    <w:p>
      <w:pPr>
        <w:spacing w:after="100"/>
        <w:ind w:left="640" w:hanging="400"/>
      </w:pPr>
      <w:r>
        <w:rPr>
          <w:b/>
          <w:bCs/>
        </w:rPr>
        <w:t xml:space="preserve">(5) </w:t>
      </w:r>
      <w:r>
        <w:rPr>
          <w:b/>
          <w:bCs/>
        </w:rPr>
        <w:t xml:space="preserve">Extended definition of “award” (Art 53(2)).</w:t>
      </w:r>
      <w:r>
        <w:t xml:space="preserve"> Decisions interpreting, revising or annulling an award are themselves awards, attracting the same binding force and enforcement machinery.</w:t>
      </w:r>
    </w:p>
    <w:p>
      <w:r>
        <w:rPr>
          <w:b/>
          <w:bCs/>
        </w:rPr>
        <w:t xml:space="preserve">Contrast with the New York Convention.</w:t>
      </w:r>
      <w:r>
        <w:t xml:space="preserve"> Under its Art V a national court may refuse enforcement on grounds including arbitrability and public policy, whose content each national court determines. The ICSID Convention has no equivalent filter — significant given that investment awards commonly concern whole industries rather than single contracts.</w:t>
      </w:r>
    </w:p>
    <w:p>
      <w:pPr>
        <w:pBdr>
          <w:left w:val="single" w:color="C0504D" w:sz="8" w:space="8"/>
        </w:pBdr>
        <w:spacing w:after="110" w:before="70"/>
        <w:ind w:left="340"/>
      </w:pPr>
      <w:r>
        <w:rPr>
          <w:i/>
          <w:iCs/>
          <w:sz w:val="20"/>
          <w:szCs w:val="20"/>
        </w:rPr>
        <w:t xml:space="preserve">The class comparison with </w:t>
      </w:r>
      <w:r>
        <w:rPr>
          <w:b/>
          <w:bCs/>
          <w:i/>
          <w:iCs/>
          <w:sz w:val="20"/>
          <w:szCs w:val="20"/>
        </w:rPr>
        <w:t xml:space="preserve">sections 34 and 48 of the Arbitration and Conciliation Act 1996</w:t>
      </w:r>
      <w:r>
        <w:rPr>
          <w:i/>
          <w:iCs/>
          <w:sz w:val="20"/>
          <w:szCs w:val="20"/>
        </w:rPr>
        <w:t xml:space="preserve"> (recourse against a domestic award; refusal of enforcement of a foreign award) is apt — those are exactly the remedies Art 53 excludes. </w:t>
      </w:r>
      <w:r>
        <w:rPr>
          <w:b/>
          <w:bCs/>
          <w:i/>
          <w:iCs/>
          <w:sz w:val="20"/>
          <w:szCs w:val="20"/>
        </w:rPr>
        <w:t xml:space="preserve">Verification required</w:t>
      </w:r>
      <w:r>
        <w:rPr>
          <w:i/>
          <w:iCs/>
          <w:sz w:val="20"/>
          <w:szCs w:val="20"/>
        </w:rPr>
        <w:t xml:space="preserve"> on the section numbers.</w:t>
      </w:r>
    </w:p>
    <w:p>
      <w:pPr>
        <w:pStyle w:val="Heading2"/>
      </w:pPr>
      <w:r>
        <w:t xml:space="preserve">3.3 Article 54 — Recognition and Enforcement</w:t>
      </w:r>
    </w:p>
    <w:p>
      <w:pPr>
        <w:spacing w:after="120" w:before="120" w:line="259"/>
        <w:ind w:left="720" w:right="360"/>
        <w:jc w:val="both"/>
      </w:pPr>
      <w:r>
        <w:rPr>
          <w:b/>
          <w:bCs/>
          <w:sz w:val="21"/>
          <w:szCs w:val="21"/>
        </w:rPr>
        <w:t xml:space="preserve">(1)</w:t>
      </w:r>
      <w:r>
        <w:rPr>
          <w:sz w:val="21"/>
          <w:szCs w:val="21"/>
        </w:rPr>
        <w:t xml:space="preserve"> Each Contracting State shall recognize an award rendered pursuant to this Convention as binding and enforce the pecuniary obligations imposed by that award within its territories as if it were a final judgment of a court in that State. A Contracting State with a federal constitution may enforce such an award in or through its federal courts and may provide that such courts shall treat the award as if it were a final judgment of the courts of a constituent state.</w:t>
      </w:r>
    </w:p>
    <w:p>
      <w:pPr>
        <w:spacing w:after="120" w:before="120" w:line="259"/>
        <w:ind w:left="720" w:right="360"/>
        <w:jc w:val="both"/>
      </w:pPr>
      <w:r>
        <w:rPr>
          <w:b/>
          <w:bCs/>
          <w:sz w:val="21"/>
          <w:szCs w:val="21"/>
        </w:rPr>
        <w:t xml:space="preserve">(2)</w:t>
      </w:r>
      <w:r>
        <w:rPr>
          <w:sz w:val="21"/>
          <w:szCs w:val="21"/>
        </w:rPr>
        <w:t xml:space="preserve"> A party seeking recognition or enforcement in the territories of a Contracting State shall furnish to a competent court or other authority which such State shall have designated for this purpose a copy of the award certified by the Secretary-General. Each Contracting State shall notify the Secretary-General of the designation of the competent court or other authority and of any subsequent change in such designation.</w:t>
      </w:r>
    </w:p>
    <w:p>
      <w:pPr>
        <w:spacing w:after="120" w:before="120" w:line="259"/>
        <w:ind w:left="720" w:right="360"/>
        <w:jc w:val="both"/>
      </w:pPr>
      <w:r>
        <w:rPr>
          <w:b/>
          <w:bCs/>
          <w:sz w:val="21"/>
          <w:szCs w:val="21"/>
        </w:rPr>
        <w:t xml:space="preserve">(3)</w:t>
      </w:r>
      <w:r>
        <w:rPr>
          <w:sz w:val="21"/>
          <w:szCs w:val="21"/>
        </w:rPr>
        <w:t xml:space="preserve"> Execution of the award shall be governed by the laws concerning the execution of judgments in force in the State in whose territories such execution is sought.</w:t>
      </w:r>
    </w:p>
    <w:p>
      <w:pPr>
        <w:pStyle w:val="Heading3"/>
      </w:pPr>
      <w:r>
        <w:t xml:space="preserve">Analysis</w:t>
      </w:r>
    </w:p>
    <w:p>
      <w:pPr>
        <w:spacing w:after="100"/>
        <w:ind w:left="640" w:hanging="400"/>
      </w:pPr>
      <w:r>
        <w:rPr>
          <w:b/>
          <w:bCs/>
        </w:rPr>
        <w:t xml:space="preserve">(1) </w:t>
      </w:r>
      <w:r>
        <w:rPr>
          <w:b/>
          <w:bCs/>
        </w:rPr>
        <w:t xml:space="preserve">“Each Contracting State”</w:t>
      </w:r>
      <w:r>
        <w:t xml:space="preserve"> — the striking feature. Art 53 binds the parties; </w:t>
      </w:r>
      <w:r>
        <w:rPr>
          <w:b/>
          <w:bCs/>
        </w:rPr>
        <w:t xml:space="preserve">Art 54 binds every Contracting State</w:t>
      </w:r>
      <w:r>
        <w:t xml:space="preserve">. An award creditor may pursue the host State’s assets in the territory of any Contracting State without re-litigating. Contrast a domestic judgment, which binds only the litigants.</w:t>
      </w:r>
    </w:p>
    <w:p>
      <w:pPr>
        <w:spacing w:after="100"/>
        <w:ind w:left="640" w:hanging="400"/>
      </w:pPr>
      <w:r>
        <w:rPr>
          <w:b/>
          <w:bCs/>
        </w:rPr>
        <w:t xml:space="preserve">(2) </w:t>
      </w:r>
      <w:r>
        <w:rPr>
          <w:b/>
          <w:bCs/>
        </w:rPr>
        <w:t xml:space="preserve">Pecuniary obligations only.</w:t>
      </w:r>
      <w:r>
        <w:t xml:space="preserve"> Non-monetary parts of an award (for example restitution or specific performance) bind under Art 53 but fall outside the Art 54 enforcement duty.</w:t>
      </w:r>
    </w:p>
    <w:p>
      <w:pPr>
        <w:spacing w:after="100"/>
        <w:ind w:left="640" w:hanging="400"/>
      </w:pPr>
      <w:r>
        <w:rPr>
          <w:b/>
          <w:bCs/>
        </w:rPr>
        <w:t xml:space="preserve">(3) </w:t>
      </w:r>
      <w:r>
        <w:rPr>
          <w:b/>
          <w:bCs/>
        </w:rPr>
        <w:t xml:space="preserve">Standard — as if a final domestic judgment.</w:t>
      </w:r>
      <w:r>
        <w:t xml:space="preserve"> No re-examination; no Art V-type refusal grounds.</w:t>
      </w:r>
    </w:p>
    <w:p>
      <w:pPr>
        <w:spacing w:after="100"/>
        <w:ind w:left="640" w:hanging="400"/>
      </w:pPr>
      <w:r>
        <w:rPr>
          <w:b/>
          <w:bCs/>
        </w:rPr>
        <w:t xml:space="preserve">(4) </w:t>
      </w:r>
      <w:r>
        <w:rPr>
          <w:b/>
          <w:bCs/>
        </w:rPr>
        <w:t xml:space="preserve">Federal proviso.</w:t>
      </w:r>
      <w:r>
        <w:t xml:space="preserve"> A federal State may enforce through its federal courts and direct them to treat the award as a final judgment of a constituent state’s courts. This prevents enforcement being frustrated by the federal–state division of competence and confirms that responsibility rests on the federal State.</w:t>
      </w:r>
    </w:p>
    <w:p>
      <w:pPr>
        <w:spacing w:after="100"/>
        <w:ind w:left="640" w:hanging="400"/>
      </w:pPr>
      <w:r>
        <w:rPr>
          <w:b/>
          <w:bCs/>
        </w:rPr>
        <w:t xml:space="preserve">(5) </w:t>
      </w:r>
      <w:r>
        <w:rPr>
          <w:b/>
          <w:bCs/>
        </w:rPr>
        <w:t xml:space="preserve">Procedure.</w:t>
      </w:r>
      <w:r>
        <w:t xml:space="preserve"> The applicant furnishes a copy of the award certified by the Secretary-General to the authority designated by that State; each State must notify its designation. Failure to designate does not excuse the obligation.</w:t>
      </w:r>
    </w:p>
    <w:p>
      <w:pPr>
        <w:spacing w:after="100"/>
        <w:ind w:left="640" w:hanging="400"/>
      </w:pPr>
      <w:r>
        <w:rPr>
          <w:b/>
          <w:bCs/>
        </w:rPr>
        <w:t xml:space="preserve">(6) </w:t>
      </w:r>
      <w:r>
        <w:rPr>
          <w:b/>
          <w:bCs/>
        </w:rPr>
        <w:t xml:space="preserve">Execution</w:t>
      </w:r>
      <w:r>
        <w:t xml:space="preserve"> is left to ordinary domestic law (Art 54(3)).</w:t>
      </w:r>
    </w:p>
    <w:p>
      <w:pPr>
        <w:pStyle w:val="Heading3"/>
      </w:pPr>
      <w:r>
        <w:t xml:space="preserve">Recognition, enforcement and execution — the critical distinction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426"/>
        <w:gridCol w:w="1900"/>
      </w:tblGrid>
      <w:tr>
        <w:trPr>
          <w:tblHeader/>
        </w:trPr>
        <w:tc>
          <w:tcPr>
            <w:tcW w:type="dxa" w:w="1700"/>
            <w:shd w:fill="E8EDF5" w:color="auto" w:val="clear"/>
            <w:tcMar>
              <w:top w:type="dxa" w:w="90"/>
              <w:left w:type="dxa" w:w="120"/>
              <w:bottom w:type="dxa" w:w="90"/>
              <w:right w:type="dxa" w:w="120"/>
            </w:tcMar>
          </w:tcPr>
          <w:p>
            <w:pPr>
              <w:spacing w:after="0" w:line="240"/>
              <w:jc w:val="left"/>
            </w:pPr>
            <w:r>
              <w:rPr>
                <w:b/>
                <w:bCs/>
                <w:sz w:val="20"/>
                <w:szCs w:val="20"/>
              </w:rPr>
              <w:t xml:space="preserve">Stage</w:t>
            </w:r>
          </w:p>
        </w:tc>
        <w:tc>
          <w:tcPr>
            <w:tcW w:type="dxa" w:w="5426"/>
            <w:shd w:fill="E8EDF5" w:color="auto" w:val="clear"/>
            <w:tcMar>
              <w:top w:type="dxa" w:w="90"/>
              <w:left w:type="dxa" w:w="120"/>
              <w:bottom w:type="dxa" w:w="90"/>
              <w:right w:type="dxa" w:w="120"/>
            </w:tcMar>
          </w:tcPr>
          <w:p>
            <w:pPr>
              <w:spacing w:after="0" w:line="240"/>
              <w:jc w:val="left"/>
            </w:pPr>
            <w:r>
              <w:rPr>
                <w:b/>
                <w:bCs/>
                <w:sz w:val="20"/>
                <w:szCs w:val="20"/>
              </w:rPr>
              <w:t xml:space="preserve">Meaning</w:t>
            </w:r>
          </w:p>
        </w:tc>
        <w:tc>
          <w:tcPr>
            <w:tcW w:type="dxa" w:w="1900"/>
            <w:shd w:fill="E8EDF5" w:color="auto" w:val="clear"/>
            <w:tcMar>
              <w:top w:type="dxa" w:w="90"/>
              <w:left w:type="dxa" w:w="120"/>
              <w:bottom w:type="dxa" w:w="90"/>
              <w:right w:type="dxa" w:w="120"/>
            </w:tcMar>
          </w:tcPr>
          <w:p>
            <w:pPr>
              <w:spacing w:after="0" w:line="240"/>
              <w:jc w:val="left"/>
            </w:pPr>
            <w:r>
              <w:rPr>
                <w:b/>
                <w:bCs/>
                <w:sz w:val="20"/>
                <w:szCs w:val="20"/>
              </w:rPr>
              <w:t xml:space="preserve">Provision</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Recognition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The court accepts the award as binding and final, with the status of a domestic judgment.</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54(1)</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Enforcement</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The court gives effect to the pecuniary obligations — in practice, judgment on the award.</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54(1)–(2)</w:t>
            </w:r>
          </w:p>
        </w:tc>
      </w:tr>
      <w:tr>
        <w:trPr>
          <w:cantSplit/>
        </w:trPr>
        <w:tc>
          <w:tcPr>
            <w:tcW w:type="dxa" w:w="1700"/>
            <w:tcMar>
              <w:top w:type="dxa" w:w="90"/>
              <w:left w:type="dxa" w:w="120"/>
              <w:bottom w:type="dxa" w:w="90"/>
              <w:right w:type="dxa" w:w="120"/>
            </w:tcMar>
          </w:tcPr>
          <w:p>
            <w:pPr>
              <w:spacing w:after="0" w:line="240"/>
              <w:jc w:val="left"/>
            </w:pPr>
            <w:r>
              <w:rPr>
                <w:b w:val="false"/>
                <w:bCs w:val="false"/>
                <w:sz w:val="20"/>
                <w:szCs w:val="20"/>
              </w:rPr>
              <w:t xml:space="preserve">Execution</w:t>
            </w:r>
          </w:p>
        </w:tc>
        <w:tc>
          <w:tcPr>
            <w:tcW w:type="dxa" w:w="5426"/>
            <w:tcMar>
              <w:top w:type="dxa" w:w="90"/>
              <w:left w:type="dxa" w:w="120"/>
              <w:bottom w:type="dxa" w:w="90"/>
              <w:right w:type="dxa" w:w="120"/>
            </w:tcMar>
          </w:tcPr>
          <w:p>
            <w:pPr>
              <w:spacing w:after="0" w:line="240"/>
              <w:jc w:val="left"/>
            </w:pPr>
            <w:r>
              <w:rPr>
                <w:b w:val="false"/>
                <w:bCs w:val="false"/>
                <w:sz w:val="20"/>
                <w:szCs w:val="20"/>
              </w:rPr>
              <w:t xml:space="preserve">Actual realisation against assets, by ordinary domestic machinery.</w:t>
            </w:r>
          </w:p>
        </w:tc>
        <w:tc>
          <w:tcPr>
            <w:tcW w:type="dxa" w:w="1900"/>
            <w:tcMar>
              <w:top w:type="dxa" w:w="90"/>
              <w:left w:type="dxa" w:w="120"/>
              <w:bottom w:type="dxa" w:w="90"/>
              <w:right w:type="dxa" w:w="120"/>
            </w:tcMar>
          </w:tcPr>
          <w:p>
            <w:pPr>
              <w:spacing w:after="0" w:line="240"/>
              <w:jc w:val="left"/>
            </w:pPr>
            <w:r>
              <w:rPr>
                <w:b w:val="false"/>
                <w:bCs w:val="false"/>
                <w:sz w:val="20"/>
                <w:szCs w:val="20"/>
              </w:rPr>
              <w:t xml:space="preserve">Art 54(3), subject to Art 55</w:t>
            </w:r>
          </w:p>
        </w:tc>
      </w:tr>
    </w:tbl>
    <w:p>
      <w:pPr>
        <w:spacing w:after="60"/>
      </w:pPr>
      <w:r>
        <w:t xml:space="preserve"/>
      </w:r>
    </w:p>
    <w:p>
      <w:r>
        <w:rPr>
          <w:b/>
          <w:bCs/>
        </w:rPr>
        <w:t xml:space="preserve">Article 55</w:t>
      </w:r>
      <w:r>
        <w:t xml:space="preserve"> marks the boundary:</w:t>
      </w:r>
    </w:p>
    <w:p>
      <w:pPr>
        <w:spacing w:after="120" w:before="120" w:line="259"/>
        <w:ind w:left="720" w:right="360"/>
        <w:jc w:val="both"/>
      </w:pPr>
      <w:r>
        <w:rPr>
          <w:sz w:val="21"/>
          <w:szCs w:val="21"/>
        </w:rPr>
        <w:t xml:space="preserve">Nothing in Article 54 shall be construed as derogating from the law in force in any Contracting State relating to immunity of that State or of any foreign State from execution.</w:t>
      </w:r>
    </w:p>
    <w:p>
      <w:pPr>
        <w:spacing w:after="160"/>
        <w:ind w:left="720" w:right="360"/>
      </w:pPr>
      <w:r>
        <w:rPr>
          <w:i/>
          <w:iCs/>
          <w:color w:val="444444"/>
          <w:sz w:val="19"/>
          <w:szCs w:val="19"/>
        </w:rPr>
        <w:t xml:space="preserve">ICSID Convention, Arts 27, 53, 54 and 55 (icsid.worldbank.org).</w:t>
      </w:r>
    </w:p>
    <w:p>
      <w:r>
        <w:t xml:space="preserve">So a creditor may obtain recognition easily and still fail to execute, because </w:t>
      </w:r>
      <w:r>
        <w:rPr>
          <w:b/>
          <w:bCs/>
        </w:rPr>
        <w:t xml:space="preserve">sovereign immunity from execution</w:t>
      </w:r>
      <w:r>
        <w:t xml:space="preserve"> protects the host State’s non-commercial assets under local law. This is the principal practical limit on the ICSID system and should always be mentioned alongside its strength.</w:t>
      </w:r>
    </w:p>
    <w:p>
      <w:pPr>
        <w:pStyle w:val="Heading3"/>
      </w:pPr>
      <w:r>
        <w:t xml:space="preserve">Enforcement in practice — Micula v Romania</w:t>
      </w:r>
    </w:p>
    <w:p>
      <w:r>
        <w:rPr>
          <w:b/>
          <w:bCs/>
        </w:rPr>
        <w:t xml:space="preserve">Micula v Romania</w:t>
      </w:r>
      <w:r>
        <w:t xml:space="preserve"> (ICSID Case No ARB/05/20): award of 11 December 2013 for withdrawal of tax incentives in breach of the Sweden–Romania BIT. The European Commission then held (March 2015) that payment would be unlawful State aid; the General Court annulled that decision (June 2019); the Court of Justice set the General Court’s judgment aside (January 2022). Meanwhile the </w:t>
      </w:r>
      <w:r>
        <w:rPr>
          <w:b/>
          <w:bCs/>
        </w:rPr>
        <w:t xml:space="preserve">UK Supreme Court</w:t>
      </w:r>
      <w:r>
        <w:t xml:space="preserve"> allowed enforcement in February 2020, holding the Art 54 duty not displaced by the EU duty of sincere cooperation, and US proceedings continued. The case shows both that Art 54 is a firm obligation and that it can collide with another body of law.</w:t>
      </w:r>
    </w:p>
    <w:p>
      <w:pPr>
        <w:pBdr>
          <w:left w:val="single" w:color="C0504D" w:sz="8" w:space="8"/>
        </w:pBdr>
        <w:spacing w:after="110" w:before="70"/>
        <w:ind w:left="340"/>
      </w:pPr>
      <w:r>
        <w:rPr>
          <w:b/>
          <w:bCs/>
          <w:i/>
          <w:iCs/>
          <w:sz w:val="20"/>
          <w:szCs w:val="20"/>
        </w:rPr>
        <w:t xml:space="preserve">Yukos</w:t>
      </w:r>
      <w:r>
        <w:rPr>
          <w:i/>
          <w:iCs/>
          <w:sz w:val="20"/>
          <w:szCs w:val="20"/>
        </w:rPr>
        <w:t xml:space="preserve"> (Energy Charter Treaty, UNCITRAL/PCA) and </w:t>
      </w:r>
      <w:r>
        <w:rPr>
          <w:b/>
          <w:bCs/>
          <w:i/>
          <w:iCs/>
          <w:sz w:val="20"/>
          <w:szCs w:val="20"/>
        </w:rPr>
        <w:t xml:space="preserve">Sedelmayer v Russia</w:t>
      </w:r>
      <w:r>
        <w:rPr>
          <w:i/>
          <w:iCs/>
          <w:sz w:val="20"/>
          <w:szCs w:val="20"/>
        </w:rPr>
        <w:t xml:space="preserve"> (SCC) are </w:t>
      </w:r>
      <w:r>
        <w:rPr>
          <w:b/>
          <w:bCs/>
          <w:i/>
          <w:iCs/>
          <w:sz w:val="20"/>
          <w:szCs w:val="20"/>
        </w:rPr>
        <w:t xml:space="preserve">not</w:t>
      </w:r>
      <w:r>
        <w:rPr>
          <w:i/>
          <w:iCs/>
          <w:sz w:val="20"/>
          <w:szCs w:val="20"/>
        </w:rPr>
        <w:t xml:space="preserve"> ICSID awards and must not be cited on Arts 53–55. Both were enforced through the New York Convention and national immunity law.</w:t>
      </w:r>
    </w:p>
    <w:p>
      <w:pPr>
        <w:pStyle w:val="Heading2"/>
      </w:pPr>
      <w:r>
        <w:t xml:space="preserve">3.4 Articles 53, 54 and 55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526"/>
      </w:tblGrid>
      <w:tr>
        <w:trPr>
          <w:tblHeader/>
        </w:trPr>
        <w:tc>
          <w:tcPr>
            <w:tcW w:type="dxa" w:w="1300"/>
            <w:shd w:fill="E8EDF5" w:color="auto" w:val="clear"/>
            <w:tcMar>
              <w:top w:type="dxa" w:w="90"/>
              <w:left w:type="dxa" w:w="120"/>
              <w:bottom w:type="dxa" w:w="90"/>
              <w:right w:type="dxa" w:w="120"/>
            </w:tcMar>
          </w:tcPr>
          <w:p>
            <w:pPr>
              <w:spacing w:after="0" w:line="240"/>
              <w:jc w:val="left"/>
            </w:pPr>
          </w:p>
        </w:tc>
        <w:tc>
          <w:tcPr>
            <w:tcW w:type="dxa" w:w="2500"/>
            <w:shd w:fill="E8EDF5" w:color="auto" w:val="clear"/>
            <w:tcMar>
              <w:top w:type="dxa" w:w="90"/>
              <w:left w:type="dxa" w:w="120"/>
              <w:bottom w:type="dxa" w:w="90"/>
              <w:right w:type="dxa" w:w="120"/>
            </w:tcMar>
          </w:tcPr>
          <w:p>
            <w:pPr>
              <w:spacing w:after="0" w:line="240"/>
              <w:jc w:val="left"/>
            </w:pPr>
            <w:r>
              <w:rPr>
                <w:b/>
                <w:bCs/>
                <w:sz w:val="20"/>
                <w:szCs w:val="20"/>
              </w:rPr>
              <w:t xml:space="preserve">Art 53</w:t>
            </w:r>
          </w:p>
        </w:tc>
        <w:tc>
          <w:tcPr>
            <w:tcW w:type="dxa" w:w="2700"/>
            <w:shd w:fill="E8EDF5" w:color="auto" w:val="clear"/>
            <w:tcMar>
              <w:top w:type="dxa" w:w="90"/>
              <w:left w:type="dxa" w:w="120"/>
              <w:bottom w:type="dxa" w:w="90"/>
              <w:right w:type="dxa" w:w="120"/>
            </w:tcMar>
          </w:tcPr>
          <w:p>
            <w:pPr>
              <w:spacing w:after="0" w:line="240"/>
              <w:jc w:val="left"/>
            </w:pPr>
            <w:r>
              <w:rPr>
                <w:b/>
                <w:bCs/>
                <w:sz w:val="20"/>
                <w:szCs w:val="20"/>
              </w:rPr>
              <w:t xml:space="preserve">Art 54</w:t>
            </w:r>
          </w:p>
        </w:tc>
        <w:tc>
          <w:tcPr>
            <w:tcW w:type="dxa" w:w="2526"/>
            <w:shd w:fill="E8EDF5" w:color="auto" w:val="clear"/>
            <w:tcMar>
              <w:top w:type="dxa" w:w="90"/>
              <w:left w:type="dxa" w:w="120"/>
              <w:bottom w:type="dxa" w:w="90"/>
              <w:right w:type="dxa" w:w="120"/>
            </w:tcMar>
          </w:tcPr>
          <w:p>
            <w:pPr>
              <w:spacing w:after="0" w:line="240"/>
              <w:jc w:val="left"/>
            </w:pPr>
            <w:r>
              <w:rPr>
                <w:b/>
                <w:bCs/>
                <w:sz w:val="20"/>
                <w:szCs w:val="20"/>
              </w:rPr>
              <w:t xml:space="preserve">Art 55</w:t>
            </w:r>
          </w:p>
        </w:tc>
      </w:tr>
      <w:tr>
        <w:trPr>
          <w:cantSplit/>
        </w:trPr>
        <w:tc>
          <w:tcPr>
            <w:tcW w:type="dxa" w:w="1300"/>
            <w:tcMar>
              <w:top w:type="dxa" w:w="90"/>
              <w:left w:type="dxa" w:w="120"/>
              <w:bottom w:type="dxa" w:w="90"/>
              <w:right w:type="dxa" w:w="120"/>
            </w:tcMar>
          </w:tcPr>
          <w:p>
            <w:pPr>
              <w:spacing w:after="0" w:line="240"/>
              <w:jc w:val="left"/>
            </w:pPr>
            <w:r>
              <w:rPr>
                <w:b w:val="false"/>
                <w:bCs w:val="false"/>
                <w:sz w:val="20"/>
                <w:szCs w:val="20"/>
              </w:rPr>
              <w:t xml:space="preserve">Binds</w:t>
            </w:r>
          </w:p>
        </w:tc>
        <w:tc>
          <w:tcPr>
            <w:tcW w:type="dxa" w:w="2500"/>
            <w:tcMar>
              <w:top w:type="dxa" w:w="90"/>
              <w:left w:type="dxa" w:w="120"/>
              <w:bottom w:type="dxa" w:w="90"/>
              <w:right w:type="dxa" w:w="120"/>
            </w:tcMar>
          </w:tcPr>
          <w:p>
            <w:pPr>
              <w:spacing w:after="0" w:line="240"/>
              <w:jc w:val="left"/>
            </w:pPr>
            <w:r>
              <w:rPr>
                <w:b w:val="false"/>
                <w:bCs w:val="false"/>
                <w:sz w:val="20"/>
                <w:szCs w:val="20"/>
              </w:rPr>
              <w:t xml:space="preserve">Parties to the dispute</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Every Contracting State</w:t>
            </w:r>
          </w:p>
        </w:tc>
        <w:tc>
          <w:tcPr>
            <w:tcW w:type="dxa" w:w="252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300"/>
            <w:tcMar>
              <w:top w:type="dxa" w:w="90"/>
              <w:left w:type="dxa" w:w="120"/>
              <w:bottom w:type="dxa" w:w="90"/>
              <w:right w:type="dxa" w:w="120"/>
            </w:tcMar>
          </w:tcPr>
          <w:p>
            <w:pPr>
              <w:spacing w:after="0" w:line="240"/>
              <w:jc w:val="left"/>
            </w:pPr>
            <w:r>
              <w:rPr>
                <w:b w:val="false"/>
                <w:bCs w:val="false"/>
                <w:sz w:val="20"/>
                <w:szCs w:val="20"/>
              </w:rPr>
              <w:t xml:space="preserve">Subject</w:t>
            </w:r>
          </w:p>
        </w:tc>
        <w:tc>
          <w:tcPr>
            <w:tcW w:type="dxa" w:w="2500"/>
            <w:tcMar>
              <w:top w:type="dxa" w:w="90"/>
              <w:left w:type="dxa" w:w="120"/>
              <w:bottom w:type="dxa" w:w="90"/>
              <w:right w:type="dxa" w:w="120"/>
            </w:tcMar>
          </w:tcPr>
          <w:p>
            <w:pPr>
              <w:spacing w:after="0" w:line="240"/>
              <w:jc w:val="left"/>
            </w:pPr>
            <w:r>
              <w:rPr>
                <w:b w:val="false"/>
                <w:bCs w:val="false"/>
                <w:sz w:val="20"/>
                <w:szCs w:val="20"/>
              </w:rPr>
              <w:t xml:space="preserve">Binding force; no appeal or outside remedy</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Recognition and enforcement of pecuniary obligations</w:t>
            </w:r>
          </w:p>
        </w:tc>
        <w:tc>
          <w:tcPr>
            <w:tcW w:type="dxa" w:w="2526"/>
            <w:tcMar>
              <w:top w:type="dxa" w:w="90"/>
              <w:left w:type="dxa" w:w="120"/>
              <w:bottom w:type="dxa" w:w="90"/>
              <w:right w:type="dxa" w:w="120"/>
            </w:tcMar>
          </w:tcPr>
          <w:p>
            <w:pPr>
              <w:spacing w:after="0" w:line="240"/>
              <w:jc w:val="left"/>
            </w:pPr>
            <w:r>
              <w:rPr>
                <w:b w:val="false"/>
                <w:bCs w:val="false"/>
                <w:sz w:val="20"/>
                <w:szCs w:val="20"/>
              </w:rPr>
              <w:t xml:space="preserve">Preserves immunity from execution</w:t>
            </w:r>
          </w:p>
        </w:tc>
      </w:tr>
      <w:tr>
        <w:trPr>
          <w:cantSplit/>
        </w:trPr>
        <w:tc>
          <w:tcPr>
            <w:tcW w:type="dxa" w:w="1300"/>
            <w:tcMar>
              <w:top w:type="dxa" w:w="90"/>
              <w:left w:type="dxa" w:w="120"/>
              <w:bottom w:type="dxa" w:w="90"/>
              <w:right w:type="dxa" w:w="120"/>
            </w:tcMar>
          </w:tcPr>
          <w:p>
            <w:pPr>
              <w:spacing w:after="0" w:line="240"/>
              <w:jc w:val="left"/>
            </w:pPr>
            <w:r>
              <w:rPr>
                <w:b w:val="false"/>
                <w:bCs w:val="false"/>
                <w:sz w:val="20"/>
                <w:szCs w:val="20"/>
              </w:rPr>
              <w:t xml:space="preserve">Effect</w:t>
            </w:r>
          </w:p>
        </w:tc>
        <w:tc>
          <w:tcPr>
            <w:tcW w:type="dxa" w:w="2500"/>
            <w:tcMar>
              <w:top w:type="dxa" w:w="90"/>
              <w:left w:type="dxa" w:w="120"/>
              <w:bottom w:type="dxa" w:w="90"/>
              <w:right w:type="dxa" w:w="120"/>
            </w:tcMar>
          </w:tcPr>
          <w:p>
            <w:pPr>
              <w:spacing w:after="0" w:line="240"/>
              <w:jc w:val="left"/>
            </w:pPr>
            <w:r>
              <w:rPr>
                <w:b w:val="false"/>
                <w:bCs w:val="false"/>
                <w:sz w:val="20"/>
                <w:szCs w:val="20"/>
              </w:rPr>
              <w:t xml:space="preserve">Final; only Arts 50–52 available</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Treated as a final domestic judgment</w:t>
            </w:r>
          </w:p>
        </w:tc>
        <w:tc>
          <w:tcPr>
            <w:tcW w:type="dxa" w:w="2526"/>
            <w:tcMar>
              <w:top w:type="dxa" w:w="90"/>
              <w:left w:type="dxa" w:w="120"/>
              <w:bottom w:type="dxa" w:w="90"/>
              <w:right w:type="dxa" w:w="120"/>
            </w:tcMar>
          </w:tcPr>
          <w:p>
            <w:pPr>
              <w:spacing w:after="0" w:line="240"/>
              <w:jc w:val="left"/>
            </w:pPr>
            <w:r>
              <w:rPr>
                <w:b w:val="false"/>
                <w:bCs w:val="false"/>
                <w:sz w:val="20"/>
                <w:szCs w:val="20"/>
              </w:rPr>
              <w:t xml:space="preserve">Domestic immunity law unaffected</w:t>
            </w:r>
          </w:p>
        </w:tc>
      </w:tr>
      <w:tr>
        <w:trPr>
          <w:cantSplit/>
        </w:trPr>
        <w:tc>
          <w:tcPr>
            <w:tcW w:type="dxa" w:w="1300"/>
            <w:tcMar>
              <w:top w:type="dxa" w:w="90"/>
              <w:left w:type="dxa" w:w="120"/>
              <w:bottom w:type="dxa" w:w="90"/>
              <w:right w:type="dxa" w:w="120"/>
            </w:tcMar>
          </w:tcPr>
          <w:p>
            <w:pPr>
              <w:spacing w:after="0" w:line="240"/>
              <w:jc w:val="left"/>
            </w:pPr>
            <w:r>
              <w:rPr>
                <w:b w:val="false"/>
                <w:bCs w:val="false"/>
                <w:sz w:val="20"/>
                <w:szCs w:val="20"/>
              </w:rPr>
              <w:t xml:space="preserve">Limit</w:t>
            </w:r>
          </w:p>
        </w:tc>
        <w:tc>
          <w:tcPr>
            <w:tcW w:type="dxa" w:w="2500"/>
            <w:tcMar>
              <w:top w:type="dxa" w:w="90"/>
              <w:left w:type="dxa" w:w="120"/>
              <w:bottom w:type="dxa" w:w="90"/>
              <w:right w:type="dxa" w:w="120"/>
            </w:tcMar>
          </w:tcPr>
          <w:p>
            <w:pPr>
              <w:spacing w:after="0" w:line="240"/>
              <w:jc w:val="left"/>
            </w:pPr>
            <w:r>
              <w:rPr>
                <w:b w:val="false"/>
                <w:bCs w:val="false"/>
                <w:sz w:val="20"/>
                <w:szCs w:val="20"/>
              </w:rPr>
              <w:t xml:space="preserve">Annulment on narrow grounds</w:t>
            </w:r>
          </w:p>
        </w:tc>
        <w:tc>
          <w:tcPr>
            <w:tcW w:type="dxa" w:w="2700"/>
            <w:tcMar>
              <w:top w:type="dxa" w:w="90"/>
              <w:left w:type="dxa" w:w="120"/>
              <w:bottom w:type="dxa" w:w="90"/>
              <w:right w:type="dxa" w:w="120"/>
            </w:tcMar>
          </w:tcPr>
          <w:p>
            <w:pPr>
              <w:spacing w:after="0" w:line="240"/>
              <w:jc w:val="left"/>
            </w:pPr>
            <w:r>
              <w:rPr>
                <w:b w:val="false"/>
                <w:bCs w:val="false"/>
                <w:sz w:val="20"/>
                <w:szCs w:val="20"/>
              </w:rPr>
              <w:t xml:space="preserve">Does not reach non-pecuniary obligations</w:t>
            </w:r>
          </w:p>
        </w:tc>
        <w:tc>
          <w:tcPr>
            <w:tcW w:type="dxa" w:w="2526"/>
            <w:tcMar>
              <w:top w:type="dxa" w:w="90"/>
              <w:left w:type="dxa" w:w="120"/>
              <w:bottom w:type="dxa" w:w="90"/>
              <w:right w:type="dxa" w:w="120"/>
            </w:tcMar>
          </w:tcPr>
          <w:p>
            <w:pPr>
              <w:spacing w:after="0" w:line="240"/>
              <w:jc w:val="left"/>
            </w:pPr>
            <w:r>
              <w:rPr>
                <w:b w:val="false"/>
                <w:bCs w:val="false"/>
                <w:sz w:val="20"/>
                <w:szCs w:val="20"/>
              </w:rPr>
              <w:t xml:space="preserve">May defeat recovery entirely</w:t>
            </w:r>
          </w:p>
        </w:tc>
      </w:tr>
    </w:tbl>
    <w:p>
      <w:pPr>
        <w:spacing w:after="60"/>
      </w:pPr>
      <w:r>
        <w:t xml:space="preserve"/>
      </w:r>
    </w:p>
    <w:p>
      <w:pPr>
        <w:pStyle w:val="Heading2"/>
      </w:pPr>
      <w:r>
        <w:t xml:space="preserve">3.5 Present Position</w:t>
      </w:r>
    </w:p>
    <w:p>
      <w:r>
        <w:t xml:space="preserve">The Convention has never been amended; what has changed is the surrounding procedure (</w:t>
      </w:r>
      <w:r>
        <w:rPr>
          <w:b/>
          <w:bCs/>
        </w:rPr>
        <w:t xml:space="preserve">ICSID Arbitration Rules effective 1 July 2022</w:t>
      </w:r>
      <w:r>
        <w:t xml:space="preserve">) and the membership. Under </w:t>
      </w:r>
      <w:r>
        <w:rPr>
          <w:b/>
          <w:bCs/>
        </w:rPr>
        <w:t xml:space="preserve">Art 72</w:t>
      </w:r>
      <w:r>
        <w:t xml:space="preserve">, denunciation does not affect consent given before it took effect. </w:t>
      </w:r>
      <w:r>
        <w:rPr>
          <w:b/>
          <w:bCs/>
        </w:rPr>
        <w:t xml:space="preserve">Because India is not a Contracting State, Arts 27, 53 and 54 do not bind India</w:t>
      </w:r>
      <w:r>
        <w:t xml:space="preserve"> and Indian courts owe no Art 54 duty; awards against India, such as White Industries, are non-ICSID awards enforced under the New York Convention.</w:t>
      </w:r>
    </w:p>
    <w:p>
      <w:r>
        <w:br w:type="page"/>
      </w:r>
    </w:p>
    <w:p>
      <w:pPr>
        <w:pStyle w:val="Heading1"/>
      </w:pPr>
      <w:r>
        <w:t xml:space="preserve">Part IV — Salient Features of Bilateral Investment Treaties</w:t>
      </w:r>
    </w:p>
    <w:p>
      <w:pPr>
        <w:pStyle w:val="Heading2"/>
      </w:pPr>
      <w:r>
        <w:t xml:space="preserve">4.1 What a BIT Does</w:t>
      </w:r>
    </w:p>
    <w:p>
      <w:r>
        <w:t xml:space="preserve">A BIT is an agreement between two States governing the treatment of investments made in the territory of one by investors of the other. It does two things: it confers </w:t>
      </w:r>
      <w:r>
        <w:rPr>
          <w:b/>
          <w:bCs/>
        </w:rPr>
        <w:t xml:space="preserve">substantive rights and duties</w:t>
      </w:r>
      <w:r>
        <w:t xml:space="preserve">, and it provides the </w:t>
      </w:r>
      <w:r>
        <w:rPr>
          <w:b/>
          <w:bCs/>
        </w:rPr>
        <w:t xml:space="preserve">dispute-resolution forum</w:t>
      </w:r>
      <w:r>
        <w:t xml:space="preserve">. Because the ICSID Convention supplies almost no substantive rights, it is the BIT that determines what the investor is actually owed. Enforcement is by </w:t>
      </w:r>
      <w:r>
        <w:rPr>
          <w:b/>
          <w:bCs/>
        </w:rPr>
        <w:t xml:space="preserve">investor–State arbitration (ISA / ISDS)</w:t>
      </w:r>
      <w:r>
        <w:t xml:space="preserve">, whose defining feature is that the investor proceeds without waiting for the espousal of its home government.</w:t>
      </w:r>
    </w:p>
    <w:p>
      <w:r>
        <w:t xml:space="preserve">A standing criticism explains current reform: older treaties conferred rights on investors and imposed duties only on host States, leaving the host government no corresponding rights. New-generation treaties have begun to impose obligations on investors.</w:t>
      </w:r>
    </w:p>
    <w:p>
      <w:pPr>
        <w:pStyle w:val="Heading2"/>
      </w:pPr>
      <w:r>
        <w:t xml:space="preserve">4.2 Standard Clauses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3700"/>
        <w:gridCol w:w="3576"/>
      </w:tblGrid>
      <w:tr>
        <w:trPr>
          <w:tblHeader/>
        </w:trPr>
        <w:tc>
          <w:tcPr>
            <w:tcW w:type="dxa" w:w="1750"/>
            <w:shd w:fill="E8EDF5" w:color="auto" w:val="clear"/>
            <w:tcMar>
              <w:top w:type="dxa" w:w="90"/>
              <w:left w:type="dxa" w:w="120"/>
              <w:bottom w:type="dxa" w:w="90"/>
              <w:right w:type="dxa" w:w="120"/>
            </w:tcMar>
          </w:tcPr>
          <w:p>
            <w:pPr>
              <w:spacing w:after="0" w:line="240"/>
              <w:jc w:val="left"/>
            </w:pPr>
            <w:r>
              <w:rPr>
                <w:b/>
                <w:bCs/>
                <w:sz w:val="20"/>
                <w:szCs w:val="20"/>
              </w:rPr>
              <w:t xml:space="preserve">Clause</w:t>
            </w:r>
          </w:p>
        </w:tc>
        <w:tc>
          <w:tcPr>
            <w:tcW w:type="dxa" w:w="3700"/>
            <w:shd w:fill="E8EDF5" w:color="auto" w:val="clear"/>
            <w:tcMar>
              <w:top w:type="dxa" w:w="90"/>
              <w:left w:type="dxa" w:w="120"/>
              <w:bottom w:type="dxa" w:w="90"/>
              <w:right w:type="dxa" w:w="120"/>
            </w:tcMar>
          </w:tcPr>
          <w:p>
            <w:pPr>
              <w:spacing w:after="0" w:line="240"/>
              <w:jc w:val="left"/>
            </w:pPr>
            <w:r>
              <w:rPr>
                <w:b/>
                <w:bCs/>
                <w:sz w:val="20"/>
                <w:szCs w:val="20"/>
              </w:rPr>
              <w:t xml:space="preserve">Effect</w:t>
            </w:r>
          </w:p>
        </w:tc>
        <w:tc>
          <w:tcPr>
            <w:tcW w:type="dxa" w:w="3576"/>
            <w:shd w:fill="E8EDF5" w:color="auto" w:val="clear"/>
            <w:tcMar>
              <w:top w:type="dxa" w:w="90"/>
              <w:left w:type="dxa" w:w="120"/>
              <w:bottom w:type="dxa" w:w="90"/>
              <w:right w:type="dxa" w:w="120"/>
            </w:tcMar>
          </w:tcPr>
          <w:p>
            <w:pPr>
              <w:spacing w:after="0" w:line="240"/>
              <w:jc w:val="left"/>
            </w:pPr>
            <w:r>
              <w:rPr>
                <w:b/>
                <w:bCs/>
                <w:sz w:val="20"/>
                <w:szCs w:val="20"/>
              </w:rPr>
              <w:t xml:space="preserve">Key authority / note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Definition of investment</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The jurisdictional gateway. Either </w:t>
            </w:r>
            <w:r>
              <w:rPr>
                <w:b/>
                <w:bCs/>
                <w:sz w:val="20"/>
                <w:szCs w:val="20"/>
              </w:rPr>
              <w:t xml:space="preserve">asset-based</w:t>
            </w:r>
            <w:r>
              <w:rPr>
                <w:b w:val="false"/>
                <w:bCs w:val="false"/>
                <w:sz w:val="20"/>
                <w:szCs w:val="20"/>
              </w:rPr>
              <w:t xml:space="preserve"> (“every kind of asset”, with a broad list) or </w:t>
            </w:r>
            <w:r>
              <w:rPr>
                <w:b/>
                <w:bCs/>
                <w:sz w:val="20"/>
                <w:szCs w:val="20"/>
              </w:rPr>
              <w:t xml:space="preserve">enterprise-based</w:t>
            </w:r>
            <w:r>
              <w:rPr>
                <w:b w:val="false"/>
                <w:bCs w:val="false"/>
                <w:sz w:val="20"/>
                <w:szCs w:val="20"/>
              </w:rPr>
              <w:t xml:space="preserve"> (protecting an enterprise and its assets), which is characteristic of new-generation treaties.</w:t>
            </w:r>
          </w:p>
        </w:tc>
        <w:tc>
          <w:tcPr>
            <w:tcW w:type="dxa" w:w="3576"/>
            <w:tcMar>
              <w:top w:type="dxa" w:w="90"/>
              <w:left w:type="dxa" w:w="120"/>
              <w:bottom w:type="dxa" w:w="90"/>
              <w:right w:type="dxa" w:w="120"/>
            </w:tcMar>
          </w:tcPr>
          <w:p>
            <w:pPr>
              <w:spacing w:after="0" w:line="240"/>
              <w:jc w:val="left"/>
            </w:pPr>
            <w:r>
              <w:rPr>
                <w:b/>
                <w:bCs/>
                <w:sz w:val="20"/>
                <w:szCs w:val="20"/>
              </w:rPr>
              <w:t xml:space="preserve">Salini v Morocco</w:t>
            </w:r>
            <w:r>
              <w:rPr>
                <w:b w:val="false"/>
                <w:bCs w:val="false"/>
                <w:sz w:val="20"/>
                <w:szCs w:val="20"/>
              </w:rPr>
              <w:t xml:space="preserve"> (ARB/00/4, 23 July 2001, para 52): (1) contribution of money or assets; (2) certain duration; (3) element of risk; (4) contribution to the host State’s economic development. The fourth criterion is the distinguishing and most criticised element — it appears nowhere in ICSID Art 25.</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Definition of investor</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Natural persons who are nationals; juridical persons by incorporation, seat or control. </w:t>
            </w:r>
            <w:r>
              <w:rPr>
                <w:b/>
                <w:bCs/>
                <w:sz w:val="20"/>
                <w:szCs w:val="20"/>
              </w:rPr>
              <w:t xml:space="preserve">Denial of benefits</w:t>
            </w:r>
            <w:r>
              <w:rPr>
                <w:b w:val="false"/>
                <w:bCs w:val="false"/>
                <w:sz w:val="20"/>
                <w:szCs w:val="20"/>
              </w:rPr>
              <w:t xml:space="preserve"> clauses counter treaty shopping.</w:t>
            </w:r>
          </w:p>
        </w:tc>
        <w:tc>
          <w:tcPr>
            <w:tcW w:type="dxa" w:w="3576"/>
            <w:tcMar>
              <w:top w:type="dxa" w:w="90"/>
              <w:left w:type="dxa" w:w="120"/>
              <w:bottom w:type="dxa" w:w="90"/>
              <w:right w:type="dxa" w:w="120"/>
            </w:tcMar>
          </w:tcPr>
          <w:p>
            <w:pPr>
              <w:spacing w:after="0" w:line="240"/>
              <w:jc w:val="left"/>
            </w:pPr>
            <w:r>
              <w:rPr>
                <w:b/>
                <w:bCs/>
                <w:sz w:val="20"/>
                <w:szCs w:val="20"/>
              </w:rPr>
              <w:t xml:space="preserve">Tokios Tokelės v Ukraine</w:t>
            </w:r>
            <w:r>
              <w:rPr>
                <w:b w:val="false"/>
                <w:bCs w:val="false"/>
                <w:sz w:val="20"/>
                <w:szCs w:val="20"/>
              </w:rPr>
              <w:t xml:space="preserve"> (ARB/02/18) — incorporation controls even where the owners are host-State nationals. </w:t>
            </w:r>
            <w:r>
              <w:rPr>
                <w:b/>
                <w:bCs/>
                <w:sz w:val="20"/>
                <w:szCs w:val="20"/>
              </w:rPr>
              <w:t xml:space="preserve">Philip Morris Asia v Australia</w:t>
            </w:r>
            <w:r>
              <w:rPr>
                <w:b w:val="false"/>
                <w:bCs w:val="false"/>
                <w:sz w:val="20"/>
                <w:szCs w:val="20"/>
              </w:rPr>
              <w:t xml:space="preserve"> (PCA 2012-12, 17 Dec 2015) — restructuring when a dispute is foreseeable is an </w:t>
            </w:r>
            <w:r>
              <w:rPr>
                <w:b/>
                <w:bCs/>
                <w:sz w:val="20"/>
                <w:szCs w:val="20"/>
              </w:rPr>
              <w:t xml:space="preserve">abuse of rights</w:t>
            </w:r>
            <w:r>
              <w:rPr>
                <w:b w:val="false"/>
                <w:bCs w:val="false"/>
                <w:sz w:val="20"/>
                <w:szCs w:val="20"/>
              </w:rPr>
              <w:t xml:space="preserve">; claim inadmissible.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Admission / “in accordance with host State law”</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Permits objections based on illegality of the investment.</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National treatment</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Treatment no less favourable than that given to the host State’s own nationals in like circumstances.</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Most-favoured-nation (MFN)</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Treatment no less favourable than that given to third-State investors. The contested question is whether it can </w:t>
            </w:r>
            <w:r>
              <w:rPr>
                <w:b/>
                <w:bCs/>
                <w:sz w:val="20"/>
                <w:szCs w:val="20"/>
              </w:rPr>
              <w:t xml:space="preserve">import provisions from other treaties</w:t>
            </w:r>
            <w:r>
              <w:rPr>
                <w:b w:val="false"/>
                <w:bCs w:val="false"/>
                <w:sz w:val="20"/>
                <w:szCs w:val="20"/>
              </w:rPr>
              <w:t xml:space="preserve">.</w:t>
            </w:r>
          </w:p>
        </w:tc>
        <w:tc>
          <w:tcPr>
            <w:tcW w:type="dxa" w:w="3576"/>
            <w:tcMar>
              <w:top w:type="dxa" w:w="90"/>
              <w:left w:type="dxa" w:w="120"/>
              <w:bottom w:type="dxa" w:w="90"/>
              <w:right w:type="dxa" w:w="120"/>
            </w:tcMar>
          </w:tcPr>
          <w:p>
            <w:pPr>
              <w:spacing w:after="0" w:line="240"/>
              <w:jc w:val="left"/>
            </w:pPr>
            <w:r>
              <w:rPr>
                <w:b/>
                <w:bCs/>
                <w:sz w:val="20"/>
                <w:szCs w:val="20"/>
              </w:rPr>
              <w:t xml:space="preserve">Maffezini v Spain</w:t>
            </w:r>
            <w:r>
              <w:rPr>
                <w:b w:val="false"/>
                <w:bCs w:val="false"/>
                <w:sz w:val="20"/>
                <w:szCs w:val="20"/>
              </w:rPr>
              <w:t xml:space="preserve"> (ARB/97/7, 25 Jan 2000) — yes, including procedural provisions. </w:t>
            </w:r>
            <w:r>
              <w:rPr>
                <w:b/>
                <w:bCs/>
                <w:sz w:val="20"/>
                <w:szCs w:val="20"/>
              </w:rPr>
              <w:t xml:space="preserve">Plama v Bulgaria</w:t>
            </w:r>
            <w:r>
              <w:rPr>
                <w:b w:val="false"/>
                <w:bCs w:val="false"/>
                <w:sz w:val="20"/>
                <w:szCs w:val="20"/>
              </w:rPr>
              <w:t xml:space="preserve"> (ARB/03/24) and </w:t>
            </w:r>
            <w:r>
              <w:rPr>
                <w:b/>
                <w:bCs/>
                <w:sz w:val="20"/>
                <w:szCs w:val="20"/>
              </w:rPr>
              <w:t xml:space="preserve">Salini v Jordan</w:t>
            </w:r>
            <w:r>
              <w:rPr>
                <w:b w:val="false"/>
                <w:bCs w:val="false"/>
                <w:sz w:val="20"/>
                <w:szCs w:val="20"/>
              </w:rPr>
              <w:t xml:space="preserve"> (ARB/02/13) — no, absent clear language. Unsettled. </w:t>
            </w:r>
            <w:r>
              <w:rPr>
                <w:b/>
                <w:bCs/>
                <w:sz w:val="20"/>
                <w:szCs w:val="20"/>
              </w:rPr>
              <w:t xml:space="preserve">White Industries</w:t>
            </w:r>
            <w:r>
              <w:rPr>
                <w:b w:val="false"/>
                <w:bCs w:val="false"/>
                <w:sz w:val="20"/>
                <w:szCs w:val="20"/>
              </w:rPr>
              <w:t xml:space="preserve"> shows its force in practice; hence the Indian Model BIT 2015 </w:t>
            </w:r>
            <w:r>
              <w:rPr>
                <w:b/>
                <w:bCs/>
                <w:sz w:val="20"/>
                <w:szCs w:val="20"/>
              </w:rPr>
              <w:t xml:space="preserve">drops MFN altogether</w:t>
            </w: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Fair and equitable treatment (FET)</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A test of reasonableness and fairness: protection of </w:t>
            </w:r>
            <w:r>
              <w:rPr>
                <w:b/>
                <w:bCs/>
                <w:sz w:val="20"/>
                <w:szCs w:val="20"/>
              </w:rPr>
              <w:t xml:space="preserve">legitimate expectations</w:t>
            </w:r>
            <w:r>
              <w:rPr>
                <w:b w:val="false"/>
                <w:bCs w:val="false"/>
                <w:sz w:val="20"/>
                <w:szCs w:val="20"/>
              </w:rPr>
              <w:t xml:space="preserve">, transparency, consistency, due process, no arbitrariness, no </w:t>
            </w:r>
            <w:r>
              <w:rPr>
                <w:b/>
                <w:bCs/>
                <w:sz w:val="20"/>
                <w:szCs w:val="20"/>
              </w:rPr>
              <w:t xml:space="preserve">denial of justice</w:t>
            </w:r>
            <w:r>
              <w:rPr>
                <w:b w:val="false"/>
                <w:bCs w:val="false"/>
                <w:sz w:val="20"/>
                <w:szCs w:val="20"/>
              </w:rPr>
              <w:t xml:space="preserve">.</w:t>
            </w:r>
          </w:p>
        </w:tc>
        <w:tc>
          <w:tcPr>
            <w:tcW w:type="dxa" w:w="3576"/>
            <w:tcMar>
              <w:top w:type="dxa" w:w="90"/>
              <w:left w:type="dxa" w:w="120"/>
              <w:bottom w:type="dxa" w:w="90"/>
              <w:right w:type="dxa" w:w="120"/>
            </w:tcMar>
          </w:tcPr>
          <w:p>
            <w:pPr>
              <w:spacing w:after="0" w:line="240"/>
              <w:jc w:val="left"/>
            </w:pPr>
            <w:r>
              <w:rPr>
                <w:b/>
                <w:bCs/>
                <w:sz w:val="20"/>
                <w:szCs w:val="20"/>
              </w:rPr>
              <w:t xml:space="preserve">Neer v Mexico</w:t>
            </w:r>
            <w:r>
              <w:rPr>
                <w:b w:val="false"/>
                <w:bCs w:val="false"/>
                <w:sz w:val="20"/>
                <w:szCs w:val="20"/>
              </w:rPr>
              <w:t xml:space="preserve"> (1926) for the high customary threshold — conduct amounting to “an outrage, to bad faith, to wilful neglect of duty”. </w:t>
            </w:r>
            <w:r>
              <w:rPr>
                <w:b/>
                <w:bCs/>
                <w:sz w:val="20"/>
                <w:szCs w:val="20"/>
              </w:rPr>
              <w:t xml:space="preserve">Tecmed v Mexico</w:t>
            </w:r>
            <w:r>
              <w:rPr>
                <w:b w:val="false"/>
                <w:bCs w:val="false"/>
                <w:sz w:val="20"/>
                <w:szCs w:val="20"/>
              </w:rPr>
              <w:t xml:space="preserve"> (ARB(AF)/00/2, 29 May 2003, para 154) — not to frustrate basic expectations; act consistently and transparently. </w:t>
            </w:r>
            <w:r>
              <w:rPr>
                <w:b/>
                <w:bCs/>
                <w:sz w:val="20"/>
                <w:szCs w:val="20"/>
              </w:rPr>
              <w:t xml:space="preserve">NAFTA FTC Note, 31 July 2001</w:t>
            </w:r>
            <w:r>
              <w:rPr>
                <w:b w:val="false"/>
                <w:bCs w:val="false"/>
                <w:sz w:val="20"/>
                <w:szCs w:val="20"/>
              </w:rPr>
              <w:t xml:space="preserve"> — Art 1105(1) prescribes the customary minimum standard and nothing more.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Full protection and security</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Duty to protect the investment — principally physical protection. </w:t>
            </w:r>
            <w:r>
              <w:rPr>
                <w:b/>
                <w:bCs/>
                <w:sz w:val="20"/>
                <w:szCs w:val="20"/>
              </w:rPr>
              <w:t xml:space="preserve">Not a guarantee against loss</w:t>
            </w:r>
            <w:r>
              <w:rPr>
                <w:b w:val="false"/>
                <w:bCs w:val="false"/>
                <w:sz w:val="20"/>
                <w:szCs w:val="20"/>
              </w:rPr>
              <w:t xml:space="preserve">: an obligation of </w:t>
            </w:r>
            <w:r>
              <w:rPr>
                <w:b/>
                <w:bCs/>
                <w:sz w:val="20"/>
                <w:szCs w:val="20"/>
              </w:rPr>
              <w:t xml:space="preserve">due diligence</w:t>
            </w:r>
            <w:r>
              <w:rPr>
                <w:b w:val="false"/>
                <w:bCs w:val="false"/>
                <w:sz w:val="20"/>
                <w:szCs w:val="20"/>
              </w:rPr>
              <w:t xml:space="preserve">.</w:t>
            </w:r>
          </w:p>
        </w:tc>
        <w:tc>
          <w:tcPr>
            <w:tcW w:type="dxa" w:w="3576"/>
            <w:tcMar>
              <w:top w:type="dxa" w:w="90"/>
              <w:left w:type="dxa" w:w="120"/>
              <w:bottom w:type="dxa" w:w="90"/>
              <w:right w:type="dxa" w:w="120"/>
            </w:tcMar>
          </w:tcPr>
          <w:p>
            <w:pPr>
              <w:spacing w:after="0" w:line="240"/>
              <w:jc w:val="left"/>
            </w:pPr>
            <w:r>
              <w:rPr>
                <w:b/>
                <w:bCs/>
                <w:sz w:val="20"/>
                <w:szCs w:val="20"/>
              </w:rPr>
              <w:t xml:space="preserve">AAPL v Sri Lanka</w:t>
            </w:r>
            <w:r>
              <w:rPr>
                <w:b w:val="false"/>
                <w:bCs w:val="false"/>
                <w:sz w:val="20"/>
                <w:szCs w:val="20"/>
              </w:rPr>
              <w:t xml:space="preserve"> (4.5 below).</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Expropriation</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Covers </w:t>
            </w:r>
            <w:r>
              <w:rPr>
                <w:b/>
                <w:bCs/>
                <w:sz w:val="20"/>
                <w:szCs w:val="20"/>
              </w:rPr>
              <w:t xml:space="preserve">direct</w:t>
            </w:r>
            <w:r>
              <w:rPr>
                <w:b w:val="false"/>
                <w:bCs w:val="false"/>
                <w:sz w:val="20"/>
                <w:szCs w:val="20"/>
              </w:rPr>
              <w:t xml:space="preserve">, </w:t>
            </w:r>
            <w:r>
              <w:rPr>
                <w:b/>
                <w:bCs/>
                <w:sz w:val="20"/>
                <w:szCs w:val="20"/>
              </w:rPr>
              <w:t xml:space="preserve">indirect</w:t>
            </w:r>
            <w:r>
              <w:rPr>
                <w:b w:val="false"/>
                <w:bCs w:val="false"/>
                <w:sz w:val="20"/>
                <w:szCs w:val="20"/>
              </w:rPr>
              <w:t xml:space="preserve"> (value or control destroyed, title untouched) and </w:t>
            </w:r>
            <w:r>
              <w:rPr>
                <w:b/>
                <w:bCs/>
                <w:sz w:val="20"/>
                <w:szCs w:val="20"/>
              </w:rPr>
              <w:t xml:space="preserve">creeping</w:t>
            </w:r>
            <w:r>
              <w:rPr>
                <w:b w:val="false"/>
                <w:bCs w:val="false"/>
                <w:sz w:val="20"/>
                <w:szCs w:val="20"/>
              </w:rPr>
              <w:t xml:space="preserve"> (a series of measures) takings. Lawful only if (1) public purpose, (2) non-discriminatory, (3) due process, (4) compensation on the Hull Formula. Contractual and incorporeal rights can be expropriated. Bona fide, non-discriminatory regulation may fall within the </w:t>
            </w:r>
            <w:r>
              <w:rPr>
                <w:b/>
                <w:bCs/>
                <w:sz w:val="20"/>
                <w:szCs w:val="20"/>
              </w:rPr>
              <w:t xml:space="preserve">police powers</w:t>
            </w:r>
            <w:r>
              <w:rPr>
                <w:b w:val="false"/>
                <w:bCs w:val="false"/>
                <w:sz w:val="20"/>
                <w:szCs w:val="20"/>
              </w:rPr>
              <w:t xml:space="preserve"> and be non-compensable.</w:t>
            </w:r>
          </w:p>
        </w:tc>
        <w:tc>
          <w:tcPr>
            <w:tcW w:type="dxa" w:w="3576"/>
            <w:tcMar>
              <w:top w:type="dxa" w:w="90"/>
              <w:left w:type="dxa" w:w="120"/>
              <w:bottom w:type="dxa" w:w="90"/>
              <w:right w:type="dxa" w:w="120"/>
            </w:tcMar>
          </w:tcPr>
          <w:p>
            <w:pPr>
              <w:spacing w:after="0" w:line="240"/>
              <w:jc w:val="left"/>
            </w:pPr>
            <w:r>
              <w:rPr>
                <w:b/>
                <w:bCs/>
                <w:sz w:val="20"/>
                <w:szCs w:val="20"/>
              </w:rPr>
              <w:t xml:space="preserve">SPP v Egypt</w:t>
            </w:r>
            <w:r>
              <w:rPr>
                <w:b w:val="false"/>
                <w:bCs w:val="false"/>
                <w:sz w:val="20"/>
                <w:szCs w:val="20"/>
              </w:rPr>
              <w:t xml:space="preserve"> (4.4) on contractual rights. </w:t>
            </w:r>
            <w:r>
              <w:rPr>
                <w:b/>
                <w:bCs/>
                <w:sz w:val="20"/>
                <w:szCs w:val="20"/>
              </w:rPr>
              <w:t xml:space="preserve">Philip Morris v Uruguay</w:t>
            </w:r>
            <w:r>
              <w:rPr>
                <w:b w:val="false"/>
                <w:bCs w:val="false"/>
                <w:sz w:val="20"/>
                <w:szCs w:val="20"/>
              </w:rPr>
              <w:t xml:space="preserve"> (ARB/10/7) on police powers.</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Free transfer of funds</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Repatriation of capital, profits and sale proceeds in convertible currency, subject to balance-of-payments safeguards. The treaty form of the “effective” limb of the Hull Formula.</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War and civil disturbance losses</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National and MFN treatment for such losses, and compensation where destruction was </w:t>
            </w:r>
            <w:r>
              <w:rPr>
                <w:b/>
                <w:bCs/>
                <w:sz w:val="20"/>
                <w:szCs w:val="20"/>
              </w:rPr>
              <w:t xml:space="preserve">not required by combat action or the necessities of the situation</w:t>
            </w:r>
            <w:r>
              <w:rPr>
                <w:b w:val="false"/>
                <w:bCs w:val="false"/>
                <w:sz w:val="20"/>
                <w:szCs w:val="20"/>
              </w:rPr>
              <w:t xml:space="preserve">.</w:t>
            </w:r>
          </w:p>
        </w:tc>
        <w:tc>
          <w:tcPr>
            <w:tcW w:type="dxa" w:w="3576"/>
            <w:tcMar>
              <w:top w:type="dxa" w:w="90"/>
              <w:left w:type="dxa" w:w="120"/>
              <w:bottom w:type="dxa" w:w="90"/>
              <w:right w:type="dxa" w:w="120"/>
            </w:tcMar>
          </w:tcPr>
          <w:p>
            <w:pPr>
              <w:spacing w:after="0" w:line="240"/>
              <w:jc w:val="left"/>
            </w:pPr>
            <w:r>
              <w:rPr>
                <w:b/>
                <w:bCs/>
                <w:sz w:val="20"/>
                <w:szCs w:val="20"/>
              </w:rPr>
              <w:t xml:space="preserve">AAPL v Sri Lanka</w:t>
            </w:r>
            <w:r>
              <w:rPr>
                <w:b w:val="false"/>
                <w:bCs w:val="false"/>
                <w:sz w:val="20"/>
                <w:szCs w:val="20"/>
              </w:rPr>
              <w:t xml:space="preserve">, Art 4(2).</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Umbrella clause</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Undertaking to observe commitments given to investors — a contract breach may become a treaty breach.</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SGS v Pakistan / SGS v Philippines divergence (Part II, 2.5).</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Entry and sojourn of personnel</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Facilitates entry and stay of key personnel, subject to immigration law.</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Subrogation</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Recognises the rights of a home State or insurer that has indemnified the investor against political risk.</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General and security exceptions</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Preserve measures for public morals, human, animal or plant life or health, and national security.</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Modelled on </w:t>
            </w:r>
            <w:r>
              <w:rPr>
                <w:b/>
                <w:bCs/>
                <w:sz w:val="20"/>
                <w:szCs w:val="20"/>
              </w:rPr>
              <w:t xml:space="preserve">GATT Article XX</w:t>
            </w:r>
            <w:r>
              <w:rPr>
                <w:b w:val="false"/>
                <w:bCs w:val="false"/>
                <w:sz w:val="20"/>
                <w:szCs w:val="20"/>
              </w:rPr>
              <w:t xml:space="preserve">.</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Dispute settlement</w:t>
            </w:r>
          </w:p>
        </w:tc>
        <w:tc>
          <w:tcPr>
            <w:tcW w:type="dxa" w:w="3700"/>
            <w:tcMar>
              <w:top w:type="dxa" w:w="90"/>
              <w:left w:type="dxa" w:w="120"/>
              <w:bottom w:type="dxa" w:w="90"/>
              <w:right w:type="dxa" w:w="120"/>
            </w:tcMar>
          </w:tcPr>
          <w:p>
            <w:pPr>
              <w:spacing w:after="0" w:line="240"/>
              <w:jc w:val="left"/>
            </w:pPr>
            <w:r>
              <w:rPr>
                <w:b/>
                <w:bCs/>
                <w:sz w:val="20"/>
                <w:szCs w:val="20"/>
              </w:rPr>
              <w:t xml:space="preserve">State–State</w:t>
            </w:r>
            <w:r>
              <w:rPr>
                <w:b w:val="false"/>
                <w:bCs w:val="false"/>
                <w:sz w:val="20"/>
                <w:szCs w:val="20"/>
              </w:rPr>
              <w:t xml:space="preserve"> (interpretation and application; some treaties allow binding interpretations) and </w:t>
            </w:r>
            <w:r>
              <w:rPr>
                <w:b/>
                <w:bCs/>
                <w:sz w:val="20"/>
                <w:szCs w:val="20"/>
              </w:rPr>
              <w:t xml:space="preserve">investor–State</w:t>
            </w:r>
            <w:r>
              <w:rPr>
                <w:b w:val="false"/>
                <w:bCs w:val="false"/>
                <w:sz w:val="20"/>
                <w:szCs w:val="20"/>
              </w:rPr>
              <w:t xml:space="preserve"> (the treaty contains the State’s standing offer, accepted by filing — satisfying ICSID Art 25 where applicable). Indian BITs use </w:t>
            </w:r>
            <w:r>
              <w:rPr>
                <w:b/>
                <w:bCs/>
                <w:sz w:val="20"/>
                <w:szCs w:val="20"/>
              </w:rPr>
              <w:t xml:space="preserve">multi-tier</w:t>
            </w:r>
            <w:r>
              <w:rPr>
                <w:b w:val="false"/>
                <w:bCs w:val="false"/>
                <w:sz w:val="20"/>
                <w:szCs w:val="20"/>
              </w:rPr>
              <w:t xml:space="preserve"> clauses with UNCITRAL conciliation and arbitration rules. Also fork-in-the-road clauses, waiting periods and local-remedies conditions.</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Distinguish the </w:t>
            </w:r>
            <w:r>
              <w:rPr>
                <w:b/>
                <w:bCs/>
                <w:sz w:val="20"/>
                <w:szCs w:val="20"/>
              </w:rPr>
              <w:t xml:space="preserve">Notice of Dispute</w:t>
            </w:r>
            <w:r>
              <w:rPr>
                <w:b w:val="false"/>
                <w:bCs w:val="false"/>
                <w:sz w:val="20"/>
                <w:szCs w:val="20"/>
              </w:rPr>
              <w:t xml:space="preserve"> (records the difference; starts the cooling-off period) from the </w:t>
            </w:r>
            <w:r>
              <w:rPr>
                <w:b/>
                <w:bCs/>
                <w:sz w:val="20"/>
                <w:szCs w:val="20"/>
              </w:rPr>
              <w:t xml:space="preserve">Notice of Arbitration</w:t>
            </w:r>
            <w:r>
              <w:rPr>
                <w:b w:val="false"/>
                <w:bCs w:val="false"/>
                <w:sz w:val="20"/>
                <w:szCs w:val="20"/>
              </w:rPr>
              <w:t xml:space="preserve"> (invokes the clause and commences arbitration). Waiting periods: six months under Art 13(2) India–Australia BIT; three months under Art 8(3) in AAPL.</w:t>
            </w:r>
          </w:p>
        </w:tc>
      </w:tr>
      <w:tr>
        <w:trPr>
          <w:cantSplit/>
        </w:trPr>
        <w:tc>
          <w:tcPr>
            <w:tcW w:type="dxa" w:w="1750"/>
            <w:tcMar>
              <w:top w:type="dxa" w:w="90"/>
              <w:left w:type="dxa" w:w="120"/>
              <w:bottom w:type="dxa" w:w="90"/>
              <w:right w:type="dxa" w:w="120"/>
            </w:tcMar>
          </w:tcPr>
          <w:p>
            <w:pPr>
              <w:spacing w:after="0" w:line="240"/>
              <w:jc w:val="left"/>
            </w:pPr>
            <w:r>
              <w:rPr>
                <w:b/>
                <w:bCs/>
                <w:sz w:val="20"/>
                <w:szCs w:val="20"/>
              </w:rPr>
              <w:t xml:space="preserve">Survival / sunset clause</w:t>
            </w:r>
          </w:p>
        </w:tc>
        <w:tc>
          <w:tcPr>
            <w:tcW w:type="dxa" w:w="3700"/>
            <w:tcMar>
              <w:top w:type="dxa" w:w="90"/>
              <w:left w:type="dxa" w:w="120"/>
              <w:bottom w:type="dxa" w:w="90"/>
              <w:right w:type="dxa" w:w="120"/>
            </w:tcMar>
          </w:tcPr>
          <w:p>
            <w:pPr>
              <w:spacing w:after="0" w:line="240"/>
              <w:jc w:val="left"/>
            </w:pPr>
            <w:r>
              <w:rPr>
                <w:b w:val="false"/>
                <w:bCs w:val="false"/>
                <w:sz w:val="20"/>
                <w:szCs w:val="20"/>
              </w:rPr>
              <w:t xml:space="preserve">Continues protection of existing investments for 10–20 years after termination.</w:t>
            </w:r>
          </w:p>
        </w:tc>
        <w:tc>
          <w:tcPr>
            <w:tcW w:type="dxa" w:w="3576"/>
            <w:tcMar>
              <w:top w:type="dxa" w:w="90"/>
              <w:left w:type="dxa" w:w="120"/>
              <w:bottom w:type="dxa" w:w="90"/>
              <w:right w:type="dxa" w:w="120"/>
            </w:tcMar>
          </w:tcPr>
          <w:p>
            <w:pPr>
              <w:spacing w:after="0" w:line="240"/>
              <w:jc w:val="left"/>
            </w:pPr>
            <w:r>
              <w:rPr>
                <w:b w:val="false"/>
                <w:bCs w:val="false"/>
                <w:sz w:val="20"/>
                <w:szCs w:val="20"/>
              </w:rPr>
              <w:t xml:space="preserve">—</w:t>
            </w:r>
          </w:p>
        </w:tc>
      </w:tr>
    </w:tbl>
    <w:p>
      <w:pPr>
        <w:pStyle w:val="Heading2"/>
      </w:pPr>
      <w:r>
        <w:t xml:space="preserve">4.3 Indian Model BIT 2015</w:t>
      </w:r>
    </w:p>
    <w:p>
      <w:r>
        <w:t xml:space="preserve">India terminated most of its BITs after White Industries and adopted a new model text whose features reverse specific features of the old treaties:</w:t>
      </w:r>
    </w:p>
    <w:p>
      <w:pPr>
        <w:spacing w:after="100"/>
        <w:ind w:left="640" w:hanging="400"/>
      </w:pPr>
      <w:r>
        <w:rPr>
          <w:b/>
          <w:bCs/>
        </w:rPr>
        <w:t xml:space="preserve">(1) </w:t>
      </w:r>
      <w:r>
        <w:rPr>
          <w:b/>
          <w:bCs/>
        </w:rPr>
        <w:t xml:space="preserve">Enterprise-based definition of investment</w:t>
      </w:r>
      <w:r>
        <w:t xml:space="preserve">, excluding arbitral awards and court decisions.</w:t>
      </w:r>
    </w:p>
    <w:p>
      <w:pPr>
        <w:spacing w:after="100"/>
        <w:ind w:left="640" w:hanging="400"/>
      </w:pPr>
      <w:r>
        <w:rPr>
          <w:b/>
          <w:bCs/>
        </w:rPr>
        <w:t xml:space="preserve">(2) </w:t>
      </w:r>
      <w:r>
        <w:rPr>
          <w:b/>
          <w:bCs/>
        </w:rPr>
        <w:t xml:space="preserve">No MFN clause</w:t>
      </w:r>
      <w:r>
        <w:t xml:space="preserve"> — preventing importation of standards from other treaties.</w:t>
      </w:r>
    </w:p>
    <w:p>
      <w:pPr>
        <w:spacing w:after="100"/>
        <w:ind w:left="640" w:hanging="400"/>
      </w:pPr>
      <w:r>
        <w:rPr>
          <w:b/>
          <w:bCs/>
        </w:rPr>
        <w:t xml:space="preserve">(3) </w:t>
      </w:r>
      <w:r>
        <w:rPr>
          <w:b/>
          <w:bCs/>
        </w:rPr>
        <w:t xml:space="preserve">FET replaced</w:t>
      </w:r>
      <w:r>
        <w:t xml:space="preserve"> by a closed list tied to the customary standard (no free-standing FET).</w:t>
      </w:r>
    </w:p>
    <w:p>
      <w:pPr>
        <w:spacing w:after="100"/>
        <w:ind w:left="640" w:hanging="400"/>
      </w:pPr>
      <w:r>
        <w:rPr>
          <w:b/>
          <w:bCs/>
        </w:rPr>
        <w:t xml:space="preserve">(4) </w:t>
      </w:r>
      <w:r>
        <w:rPr>
          <w:b/>
          <w:bCs/>
        </w:rPr>
        <w:t xml:space="preserve">Exhaustion of local remedies for five years</w:t>
      </w:r>
      <w:r>
        <w:t xml:space="preserve"> before arbitration, then a negotiation period.</w:t>
      </w:r>
    </w:p>
    <w:p>
      <w:pPr>
        <w:spacing w:after="100"/>
        <w:ind w:left="640" w:hanging="400"/>
      </w:pPr>
      <w:r>
        <w:rPr>
          <w:b/>
          <w:bCs/>
        </w:rPr>
        <w:t xml:space="preserve">(5) </w:t>
      </w:r>
      <w:r>
        <w:rPr>
          <w:b/>
          <w:bCs/>
        </w:rPr>
        <w:t xml:space="preserve">General and security exceptions</w:t>
      </w:r>
      <w:r>
        <w:t xml:space="preserve"> preserving regulatory space.</w:t>
      </w:r>
    </w:p>
    <w:p>
      <w:pPr>
        <w:spacing w:after="100"/>
        <w:ind w:left="640" w:hanging="400"/>
      </w:pPr>
      <w:r>
        <w:rPr>
          <w:b/>
          <w:bCs/>
        </w:rPr>
        <w:t xml:space="preserve">(6) </w:t>
      </w:r>
      <w:r>
        <w:rPr>
          <w:b/>
          <w:bCs/>
        </w:rPr>
        <w:t xml:space="preserve">Taxation carve-out.</w:t>
      </w:r>
    </w:p>
    <w:p>
      <w:r>
        <w:t xml:space="preserve">The draft was examined by the </w:t>
      </w:r>
      <w:r>
        <w:rPr>
          <w:b/>
          <w:bCs/>
        </w:rPr>
        <w:t xml:space="preserve">Law Commission of India, Report No 260 (August 2015)</w:t>
      </w:r>
      <w:r>
        <w:t xml:space="preserve">, which recommended softening several of its more restrictive provisions. Comparable rebalancing appears in the Dutch model (2019), Brazil’s Cooperation and Facilitation Investment Agreements, the Morocco–Nigeria BIT (2016) and the SADC model text.</w:t>
      </w:r>
    </w:p>
    <w:p>
      <w:pPr>
        <w:pStyle w:val="Heading2"/>
      </w:pPr>
      <w:r>
        <w:t xml:space="preserve">4.4 White Industries Australia Limited v Republic of India</w:t>
      </w:r>
    </w:p>
    <w:p>
      <w:r>
        <w:rPr>
          <w:b/>
          <w:bCs/>
        </w:rPr>
        <w:t xml:space="preserve">UNCITRAL, Final Award, 30 November 2011; India–Australia BIT 1999; seat Singapore; UNCITRAL Rules 1976.</w:t>
      </w:r>
      <w:r>
        <w:t xml:space="preserve"> There was no ICSID element, India not being a party to the Convention.</w:t>
      </w:r>
    </w:p>
    <w:p>
      <w:pPr>
        <w:pStyle w:val="Heading3"/>
      </w:pPr>
      <w:r>
        <w:t xml:space="preserve">Facts</w:t>
      </w:r>
    </w:p>
    <w:p>
      <w:r>
        <w:t xml:space="preserve">White contracted with </w:t>
      </w:r>
      <w:r>
        <w:rPr>
          <w:b/>
          <w:bCs/>
        </w:rPr>
        <w:t xml:space="preserve">Coal India Limited</w:t>
      </w:r>
      <w:r>
        <w:t xml:space="preserve"> (State-owned) in September 1989 to supply equipment and develop the </w:t>
      </w:r>
      <w:r>
        <w:rPr>
          <w:b/>
          <w:bCs/>
        </w:rPr>
        <w:t xml:space="preserve">Piparwar</w:t>
      </w:r>
      <w:r>
        <w:t xml:space="preserve"> open-cast coal mine under the Australia–India bilateral assistance programme, financed as </w:t>
      </w:r>
      <w:r>
        <w:rPr>
          <w:b/>
          <w:bCs/>
        </w:rPr>
        <w:t xml:space="preserve">tied aid</w:t>
      </w:r>
      <w:r>
        <w:t xml:space="preserve"> (assistance conditional on procurement from the donor country rather than untied money). Disputes arose over production and coal-quality bonuses and penalties, and Coal India encashed a bank guarantee. The contract provided for </w:t>
      </w:r>
      <w:r>
        <w:rPr>
          <w:b/>
          <w:bCs/>
        </w:rPr>
        <w:t xml:space="preserve">ICC arbitration</w:t>
      </w:r>
      <w:r>
        <w:t xml:space="preserve">, and the ICC tribunal awarded White approximately AUD 4.08 million on </w:t>
      </w:r>
      <w:r>
        <w:rPr>
          <w:b/>
          <w:bCs/>
        </w:rPr>
        <w:t xml:space="preserve">27 May 2002</w:t>
      </w:r>
      <w:r>
        <w:t xml:space="preserve">.</w:t>
      </w:r>
    </w:p>
    <w:p>
      <w:r>
        <w:t xml:space="preserve">White sought enforcement in the Delhi High Court; Coal India applied in Calcutta to set the award aside. White failed before a single judge and a Division Bench, appealed to the Supreme Court in July 2004, and the Delhi High Court stayed enforcement in March 2006. The matter remained pending — roughly </w:t>
      </w:r>
      <w:r>
        <w:rPr>
          <w:b/>
          <w:bCs/>
        </w:rPr>
        <w:t xml:space="preserve">nine years</w:t>
      </w:r>
      <w:r>
        <w:t xml:space="preserve"> without resolution of the jurisdictional question, over five without the Supreme Court hearing the appeal. After unanswered letters of 10 December 2009 and 30 March 2010, White filed its Notice of Arbitration on 27 July 2010 claiming over AUD 10 million.</w:t>
      </w:r>
    </w:p>
    <w:p>
      <w:pPr>
        <w:pStyle w:val="Heading3"/>
      </w:pPr>
      <w:r>
        <w:t xml:space="preserve">The four issues</w:t>
      </w:r>
    </w:p>
    <w:p>
      <w:pPr>
        <w:spacing w:after="100"/>
        <w:ind w:left="640" w:hanging="400"/>
      </w:pPr>
      <w:r>
        <w:rPr>
          <w:b/>
          <w:bCs/>
        </w:rPr>
        <w:t xml:space="preserve">(1) </w:t>
      </w:r>
      <w:r>
        <w:rPr>
          <w:b/>
          <w:bCs/>
        </w:rPr>
        <w:t xml:space="preserve">Investor and investment?</w:t>
      </w:r>
      <w:r>
        <w:t xml:space="preserve"> India argued the </w:t>
      </w:r>
      <w:r>
        <w:rPr>
          <w:b/>
          <w:bCs/>
        </w:rPr>
        <w:t xml:space="preserve">Salini</w:t>
      </w:r>
      <w:r>
        <w:t xml:space="preserve"> test applied. Held: Salini is ICSID jurisprudence and not applicable here. The contractual rights qualified though rights </w:t>
      </w:r>
      <w:r>
        <w:rPr>
          <w:b/>
          <w:bCs/>
        </w:rPr>
        <w:t xml:space="preserve">in personam</w:t>
      </w:r>
      <w:r>
        <w:t xml:space="preserve"> rather than in rem; the rights in the ICC award were not created by the award but arose from the contract, which the award </w:t>
      </w:r>
      <w:r>
        <w:rPr>
          <w:b/>
          <w:bCs/>
        </w:rPr>
        <w:t xml:space="preserve">crystallised</w:t>
      </w:r>
      <w:r>
        <w:t xml:space="preserve">. The </w:t>
      </w:r>
      <w:r>
        <w:rPr>
          <w:b/>
          <w:bCs/>
        </w:rPr>
        <w:t xml:space="preserve">unenforced commercial arbitration award was part of the investment</w:t>
      </w:r>
      <w:r>
        <w:t xml:space="preserve">.</w:t>
      </w:r>
    </w:p>
    <w:p>
      <w:pPr>
        <w:spacing w:after="100"/>
        <w:ind w:left="640" w:hanging="400"/>
      </w:pPr>
      <w:r>
        <w:rPr>
          <w:b/>
          <w:bCs/>
        </w:rPr>
        <w:t xml:space="preserve">(2) </w:t>
      </w:r>
      <w:r>
        <w:rPr>
          <w:b/>
          <w:bCs/>
        </w:rPr>
        <w:t xml:space="preserve">Failure to promote favourable conditions (Art 3(1))?</w:t>
      </w:r>
      <w:r>
        <w:t xml:space="preserve"> Rejected — the language was too general to support the specific obligations asserted.</w:t>
      </w:r>
    </w:p>
    <w:p>
      <w:pPr>
        <w:spacing w:after="100"/>
        <w:ind w:left="640" w:hanging="400"/>
      </w:pPr>
      <w:r>
        <w:rPr>
          <w:b/>
          <w:bCs/>
        </w:rPr>
        <w:t xml:space="preserve">(3) </w:t>
      </w:r>
      <w:r>
        <w:rPr>
          <w:b/>
          <w:bCs/>
        </w:rPr>
        <w:t xml:space="preserve">Breach of FET (Art 3(2))?</w:t>
      </w:r>
      <w:r>
        <w:t xml:space="preserve"> Rejected. White could not have legitimately expected India to apply the New York Convention to international standards, since it ought to have known the prevailing approach of the Indian courts to setting aside awards. </w:t>
      </w:r>
      <w:r>
        <w:rPr>
          <w:b/>
          <w:bCs/>
        </w:rPr>
        <w:t xml:space="preserve">No denial of justice</w:t>
      </w:r>
      <w:r>
        <w:t xml:space="preserve"> — that standard requires strict construction and conduct far graver than delay.</w:t>
      </w:r>
    </w:p>
    <w:p>
      <w:pPr>
        <w:spacing w:after="100"/>
        <w:ind w:left="640" w:hanging="400"/>
      </w:pPr>
      <w:r>
        <w:rPr>
          <w:b/>
          <w:bCs/>
        </w:rPr>
        <w:t xml:space="preserve">(4) </w:t>
      </w:r>
      <w:r>
        <w:rPr>
          <w:b/>
          <w:bCs/>
        </w:rPr>
        <w:t xml:space="preserve">Effective means of asserting claims (Art 4(2))?</w:t>
      </w:r>
      <w:r>
        <w:t xml:space="preserve"> </w:t>
      </w:r>
      <w:r>
        <w:rPr>
          <w:b/>
          <w:bCs/>
        </w:rPr>
        <w:t xml:space="preserve">Claim succeeded.</w:t>
      </w:r>
      <w:r>
        <w:t xml:space="preserve"> Art 4(2) is the </w:t>
      </w:r>
      <w:r>
        <w:rPr>
          <w:b/>
          <w:bCs/>
        </w:rPr>
        <w:t xml:space="preserve">MFN clause</w:t>
      </w:r>
      <w:r>
        <w:t xml:space="preserve">; White used it to import </w:t>
      </w:r>
      <w:r>
        <w:rPr>
          <w:b/>
          <w:bCs/>
        </w:rPr>
        <w:t xml:space="preserve">Art 4(5) of the India–Kuwait BIT</w:t>
      </w:r>
      <w:r>
        <w:t xml:space="preserve">, obliging India to provide “effective means of asserting claims and enforcing rights”. India objected that this would subvert the negotiated balance of the treaty. The tribunal accepted the import, treated effective means as an </w:t>
      </w:r>
      <w:r>
        <w:rPr>
          <w:b/>
          <w:bCs/>
        </w:rPr>
        <w:t xml:space="preserve">objective standard distinct from and less demanding than denial of justice</w:t>
      </w:r>
      <w:r>
        <w:t xml:space="preserve">, and held the nine-year delay a breach.</w:t>
      </w:r>
    </w:p>
    <w:p>
      <w:r>
        <w:t xml:space="preserve">On </w:t>
      </w:r>
      <w:r>
        <w:rPr>
          <w:b/>
          <w:bCs/>
        </w:rPr>
        <w:t xml:space="preserve">expropriation</w:t>
      </w:r>
      <w:r>
        <w:t xml:space="preserve">: neither the set-aside nor the enforcement application had been decided, so there was no taking; the claim failed.</w:t>
      </w:r>
    </w:p>
    <w:p>
      <w:pPr>
        <w:pStyle w:val="Heading3"/>
      </w:pPr>
      <w:r>
        <w:t xml:space="preserve">Award and significance</w:t>
      </w:r>
    </w:p>
    <w:p>
      <w:r>
        <w:t xml:space="preserve">India was ordered to pay </w:t>
      </w:r>
      <w:r>
        <w:rPr>
          <w:b/>
          <w:bCs/>
        </w:rPr>
        <w:t xml:space="preserve">AUD 4,085,180</w:t>
      </w:r>
      <w:r>
        <w:t xml:space="preserve"> — the sum due under the ICC award — with interest, plus White’s costs of the ICC arbitration including arbitrators’ and witness expenses.</w:t>
      </w:r>
    </w:p>
    <w:p>
      <w:r>
        <w:t xml:space="preserve">Significance: the </w:t>
      </w:r>
      <w:r>
        <w:rPr>
          <w:b/>
          <w:bCs/>
        </w:rPr>
        <w:t xml:space="preserve">first adverse investment treaty award against India</w:t>
      </w:r>
      <w:r>
        <w:t xml:space="preserve">; </w:t>
      </w:r>
      <w:r>
        <w:rPr>
          <w:b/>
          <w:bCs/>
        </w:rPr>
        <w:t xml:space="preserve">judicial delay can breach a treaty</w:t>
      </w:r>
      <w:r>
        <w:t xml:space="preserve"> even where it falls short of denial of justice; the </w:t>
      </w:r>
      <w:r>
        <w:rPr>
          <w:b/>
          <w:bCs/>
        </w:rPr>
        <w:t xml:space="preserve">MFN clause</w:t>
      </w:r>
      <w:r>
        <w:t xml:space="preserve"> can import substantive standards; and the award caused India to terminate most of its BITs and adopt the </w:t>
      </w:r>
      <w:r>
        <w:rPr>
          <w:b/>
          <w:bCs/>
        </w:rPr>
        <w:t xml:space="preserve">Model BIT 2015</w:t>
      </w:r>
      <w:r>
        <w:t xml:space="preserve">.</w:t>
      </w:r>
    </w:p>
    <w:p>
      <w:pPr>
        <w:pBdr>
          <w:left w:val="single" w:color="C0504D" w:sz="8" w:space="8"/>
        </w:pBdr>
        <w:spacing w:after="110" w:before="70"/>
        <w:ind w:left="340"/>
      </w:pPr>
      <w:r>
        <w:rPr>
          <w:b/>
          <w:bCs/>
          <w:i/>
          <w:iCs/>
          <w:sz w:val="20"/>
          <w:szCs w:val="20"/>
        </w:rPr>
        <w:t xml:space="preserve">AUD 10 million</w:t>
      </w:r>
      <w:r>
        <w:rPr>
          <w:i/>
          <w:iCs/>
          <w:sz w:val="20"/>
          <w:szCs w:val="20"/>
        </w:rPr>
        <w:t xml:space="preserve"> was the amount *claimed*, not awarded. </w:t>
      </w:r>
      <w:r>
        <w:rPr>
          <w:b/>
          <w:bCs/>
          <w:i/>
          <w:iCs/>
          <w:sz w:val="20"/>
          <w:szCs w:val="20"/>
        </w:rPr>
        <w:t xml:space="preserve">Verification required</w:t>
      </w:r>
      <w:r>
        <w:rPr>
          <w:i/>
          <w:iCs/>
          <w:sz w:val="20"/>
          <w:szCs w:val="20"/>
        </w:rPr>
        <w:t xml:space="preserve"> on the dispositif paragraph and on any single interest-inclusive total. The correct case name is </w:t>
      </w:r>
      <w:r>
        <w:rPr>
          <w:b/>
          <w:bCs/>
          <w:i/>
          <w:iCs/>
          <w:sz w:val="20"/>
          <w:szCs w:val="20"/>
        </w:rPr>
        <w:t xml:space="preserve">White Industries Australia Limited v Republic of India</w:t>
      </w:r>
      <w:r>
        <w:rPr>
          <w:i/>
          <w:iCs/>
          <w:sz w:val="20"/>
          <w:szCs w:val="20"/>
        </w:rPr>
        <w:t xml:space="preserve"> — one uploaded source records it as “White Industries v Australia”; Australia is the investor’s State of nationality. </w:t>
      </w:r>
      <w:r>
        <w:rPr>
          <w:b/>
          <w:bCs/>
          <w:i/>
          <w:iCs/>
          <w:sz w:val="20"/>
          <w:szCs w:val="20"/>
        </w:rPr>
        <w:t xml:space="preserve">Bhatia International</w:t>
      </w:r>
      <w:r>
        <w:rPr>
          <w:i/>
          <w:iCs/>
          <w:sz w:val="20"/>
          <w:szCs w:val="20"/>
        </w:rPr>
        <w:t xml:space="preserve"> and </w:t>
      </w:r>
      <w:r>
        <w:rPr>
          <w:b/>
          <w:bCs/>
          <w:i/>
          <w:iCs/>
          <w:sz w:val="20"/>
          <w:szCs w:val="20"/>
        </w:rPr>
        <w:t xml:space="preserve">Venture Global v Satyam</w:t>
      </w:r>
      <w:r>
        <w:rPr>
          <w:i/>
          <w:iCs/>
          <w:sz w:val="20"/>
          <w:szCs w:val="20"/>
        </w:rPr>
        <w:t xml:space="preserve">, noted in class as background on Indian courts’ jurisdiction over foreign awards, were not verified.</w:t>
      </w:r>
    </w:p>
    <w:p>
      <w:pPr>
        <w:pStyle w:val="Heading2"/>
      </w:pPr>
      <w:r>
        <w:t xml:space="preserve">4.5 Southern Pacific Properties (Middle East) Ltd v Arab Republic of Egypt</w:t>
      </w:r>
    </w:p>
    <w:p>
      <w:r>
        <w:rPr>
          <w:b/>
          <w:bCs/>
        </w:rPr>
        <w:t xml:space="preserve">ICSID Case No ARB/84/3, Award, 20 May 1992.</w:t>
      </w:r>
      <w:r>
        <w:t xml:space="preserve"> Tribunal: Jiménez de Aréchaga (President), Pietrowski, and El Mahdi (dissenting).</w:t>
      </w:r>
    </w:p>
    <w:p>
      <w:pPr>
        <w:pStyle w:val="Heading3"/>
      </w:pPr>
      <w:r>
        <w:t xml:space="preserve">Facts</w:t>
      </w:r>
    </w:p>
    <w:p>
      <w:r>
        <w:t xml:space="preserve">By a “Heads of Agreement” of </w:t>
      </w:r>
      <w:r>
        <w:rPr>
          <w:b/>
          <w:bCs/>
        </w:rPr>
        <w:t xml:space="preserve">23 September 1974</w:t>
      </w:r>
      <w:r>
        <w:t xml:space="preserve"> the Minister of Tourism, </w:t>
      </w:r>
      <w:r>
        <w:rPr>
          <w:b/>
          <w:bCs/>
        </w:rPr>
        <w:t xml:space="preserve">EGOTH</w:t>
      </w:r>
      <w:r>
        <w:t xml:space="preserve"> (an Egyptian public sector enterprise) and SPP agreed to form a joint venture to develop tourist complexes at the </w:t>
      </w:r>
      <w:r>
        <w:rPr>
          <w:b/>
          <w:bCs/>
        </w:rPr>
        <w:t xml:space="preserve">Pyramids area near Cairo</w:t>
      </w:r>
      <w:r>
        <w:t xml:space="preserve"> and at Ras El Hekma. The Ministry and EGOTH were to secure title and transfer the </w:t>
      </w:r>
      <w:r>
        <w:rPr>
          <w:b/>
          <w:bCs/>
        </w:rPr>
        <w:t xml:space="preserve">right of usufruct</w:t>
      </w:r>
      <w:r>
        <w:t xml:space="preserve"> to the joint venture as capital and obtain approvals, including long-term tax holidays and customs exemptions; SPP was to provide finance and technical expertise. On </w:t>
      </w:r>
      <w:r>
        <w:rPr>
          <w:b/>
          <w:bCs/>
        </w:rPr>
        <w:t xml:space="preserve">28 May 1978</w:t>
      </w:r>
      <w:r>
        <w:t xml:space="preserve"> the Egyptian investment authority withdrew approval of the Pyramids Oasis project, on grounds connected with protection of the antiquities.</w:t>
      </w:r>
    </w:p>
    <w:p>
      <w:r>
        <w:t xml:space="preserve">An earlier </w:t>
      </w:r>
      <w:r>
        <w:rPr>
          <w:b/>
          <w:bCs/>
        </w:rPr>
        <w:t xml:space="preserve">ICC award (Case No 3493, 1983)</w:t>
      </w:r>
      <w:r>
        <w:t xml:space="preserve"> was annulled by the Paris Court of Appeal on 12 July 1984 (Egypt not being party to the arbitration clause), upheld by the Cour de cassation on 6 January 1987. </w:t>
      </w:r>
      <w:r>
        <w:rPr>
          <w:b/>
          <w:bCs/>
        </w:rPr>
        <w:t xml:space="preserve">The ICC and ICSID awards must not be confused.</w:t>
      </w:r>
    </w:p>
    <w:p>
      <w:pPr>
        <w:pStyle w:val="Heading3"/>
      </w:pPr>
      <w:r>
        <w:t xml:space="preserve">Jurisdiction — the landmark holding</w:t>
      </w:r>
    </w:p>
    <w:p>
      <w:r>
        <w:t xml:space="preserve">Egypt had given neither treaty nor binding contractual consent. The tribunal found consent in </w:t>
      </w:r>
      <w:r>
        <w:rPr>
          <w:b/>
          <w:bCs/>
        </w:rPr>
        <w:t xml:space="preserve">Egyptian domestic law: Article 8 of Law No 43 of 1974</w:t>
      </w:r>
      <w:r>
        <w:t xml:space="preserve"> on the Investment of Arab and Foreign Funds and the Free Zones (decisions of 27 November 1985 and 14 April 1988). </w:t>
      </w:r>
      <w:r>
        <w:rPr>
          <w:b/>
          <w:bCs/>
        </w:rPr>
        <w:t xml:space="preserve">A host State’s investment statute can itself supply the consent in writing required by ICSID Art 25</w:t>
      </w:r>
      <w:r>
        <w:t xml:space="preserve"> — establishing domestic legislation as an independent basis of jurisdiction alongside contracts and treaties.</w:t>
      </w:r>
    </w:p>
    <w:p>
      <w:pPr>
        <w:pStyle w:val="Heading3"/>
      </w:pPr>
      <w:r>
        <w:t xml:space="preserve">Merits — the three defences rejected</w:t>
      </w:r>
    </w:p>
    <w:p>
      <w:pPr>
        <w:spacing w:after="100"/>
        <w:ind w:left="640" w:hanging="400"/>
      </w:pPr>
      <w:r>
        <w:rPr>
          <w:b/>
          <w:bCs/>
        </w:rPr>
        <w:t xml:space="preserve">(1) </w:t>
      </w:r>
      <w:r>
        <w:rPr>
          <w:b/>
          <w:bCs/>
        </w:rPr>
        <w:t xml:space="preserve">Reliance on domestic law.</w:t>
      </w:r>
      <w:r>
        <w:t xml:space="preserve"> Egypt argued that acts of its officials, including a Presidential Decree, might be void or voidable under Egyptian law. Rejected: they were acts of Egyptian authorities, including the highest executive authority, and created </w:t>
      </w:r>
      <w:r>
        <w:rPr>
          <w:b/>
          <w:bCs/>
        </w:rPr>
        <w:t xml:space="preserve">legitimate expectations</w:t>
      </w:r>
      <w:r>
        <w:t xml:space="preserve"> protected by international law; nullity under municipal law would not resolve liability, and if municipal law gave no remedy, the denial of any remedy could not be the final answer. </w:t>
      </w:r>
      <w:r>
        <w:rPr>
          <w:b/>
          <w:bCs/>
        </w:rPr>
        <w:t xml:space="preserve">Domestic law is no excuse for breach of international law.</w:t>
      </w:r>
    </w:p>
    <w:p>
      <w:pPr>
        <w:spacing w:after="100"/>
        <w:ind w:left="640" w:hanging="400"/>
      </w:pPr>
      <w:r>
        <w:rPr>
          <w:b/>
          <w:bCs/>
        </w:rPr>
        <w:t xml:space="preserve">(2) </w:t>
      </w:r>
      <w:r>
        <w:rPr>
          <w:b/>
          <w:bCs/>
        </w:rPr>
        <w:t xml:space="preserve">No nationalisation.</w:t>
      </w:r>
      <w:r>
        <w:t xml:space="preserve"> Egypt argued that cancellation was neither nationalisation nor confiscation, that Egyptian law confined expropriation to real property, and that the contractual rights were only diminished in value. Rejected: what was taken was SPP’s rights derived from EGOTH’s right of usufruct, irrevocably transferred to the joint venture. Those rights were contractual, not in rem, but </w:t>
      </w:r>
      <w:r>
        <w:rPr>
          <w:b/>
          <w:bCs/>
        </w:rPr>
        <w:t xml:space="preserve">contractual rights are protected by international law and their taking requires compensation</w:t>
      </w:r>
      <w:r>
        <w:t xml:space="preserve"> — supported by Iran–United States Claims Tribunal authority that liability arises whether the taking is formal or de facto and whether the property is tangible or intangible.</w:t>
      </w:r>
    </w:p>
    <w:p>
      <w:pPr>
        <w:spacing w:after="100"/>
        <w:ind w:left="640" w:hanging="400"/>
      </w:pPr>
      <w:r>
        <w:rPr>
          <w:b/>
          <w:bCs/>
        </w:rPr>
        <w:t xml:space="preserve">(3) </w:t>
      </w:r>
      <w:r>
        <w:rPr>
          <w:b/>
          <w:bCs/>
        </w:rPr>
        <w:t xml:space="preserve">UNESCO Convention.</w:t>
      </w:r>
      <w:r>
        <w:t xml:space="preserve"> Egypt argued that the entry into force of the World Heritage Convention on 17 December 1975 obliged it to cancel the project. Rejected: the Convention neither justified the measures nor excluded compensation, and the relevant obligations bound Egypt only from </w:t>
      </w:r>
      <w:r>
        <w:rPr>
          <w:b/>
          <w:bCs/>
        </w:rPr>
        <w:t xml:space="preserve">1979</w:t>
      </w:r>
      <w:r>
        <w:t xml:space="preserve">, when the pyramid fields were nominated and the nomination accepted — after the 1974 agreement and after the May 1978 cancellation.</w:t>
      </w:r>
    </w:p>
    <w:p>
      <w:r>
        <w:t xml:space="preserve">Egypt also relied on an offer of an alternative site and of USD 1,500,000 compensation. The tribunal noted that withdrawal of EGOTH’s contribution, blocking of the joint venture’s accounts, receivership and sequestration had made continuation impracticable. </w:t>
      </w:r>
      <w:r>
        <w:rPr>
          <w:b/>
          <w:bCs/>
        </w:rPr>
        <w:t xml:space="preserve">The legal conditions of a lawful expropriation include an attempted payment of compensation</w:t>
      </w:r>
      <w:r>
        <w:t xml:space="preserve">; an unaccepted offer does not discharge the duty.</w:t>
      </w:r>
    </w:p>
    <w:p>
      <w:pPr>
        <w:pStyle w:val="Heading3"/>
      </w:pPr>
      <w:r>
        <w:t xml:space="preserve">Compensation and interest</w:t>
      </w:r>
    </w:p>
    <w:p>
      <w:r>
        <w:t xml:space="preserve">Compensation was assessed on an </w:t>
      </w:r>
      <w:r>
        <w:rPr>
          <w:b/>
          <w:bCs/>
        </w:rPr>
        <w:t xml:space="preserve">out-of-pocket and lost-opportunity</w:t>
      </w:r>
      <w:r>
        <w:t xml:space="preserve"> basis. The </w:t>
      </w:r>
      <w:r>
        <w:rPr>
          <w:b/>
          <w:bCs/>
        </w:rPr>
        <w:t xml:space="preserve">discounted cash flow method was rejected as too speculative</w:t>
      </w:r>
      <w:r>
        <w:t xml:space="preserve"> because the project was at an early stage, on the principle against awarding damage that is possible but contingent and indeterminate. Interest ran at </w:t>
      </w:r>
      <w:r>
        <w:rPr>
          <w:b/>
          <w:bCs/>
        </w:rPr>
        <w:t xml:space="preserve">5 per cent per annum, simple</w:t>
      </w:r>
      <w:r>
        <w:t xml:space="preserve"> (compound interest being unavailable under the applicable law) from the date of dispossession, </w:t>
      </w:r>
      <w:r>
        <w:rPr>
          <w:b/>
          <w:bCs/>
        </w:rPr>
        <w:t xml:space="preserve">28 May 1978</w:t>
      </w:r>
      <w:r>
        <w:t xml:space="preserve">, until payment, except one loan carrying its higher contractual rate.</w:t>
      </w:r>
    </w:p>
    <w:p>
      <w:pPr>
        <w:pBdr>
          <w:left w:val="single" w:color="C0504D" w:sz="8" w:space="8"/>
        </w:pBdr>
        <w:spacing w:after="110" w:before="70"/>
        <w:ind w:left="340"/>
      </w:pPr>
      <w:r>
        <w:rPr>
          <w:b/>
          <w:bCs/>
          <w:i/>
          <w:iCs/>
          <w:sz w:val="20"/>
          <w:szCs w:val="20"/>
        </w:rPr>
        <w:t xml:space="preserve">Quantum — sources conflict.</w:t>
      </w:r>
      <w:r>
        <w:rPr>
          <w:i/>
          <w:iCs/>
          <w:sz w:val="20"/>
          <w:szCs w:val="20"/>
        </w:rPr>
        <w:t xml:space="preserve"> The class notes give about </w:t>
      </w:r>
      <w:r>
        <w:rPr>
          <w:b/>
          <w:bCs/>
          <w:i/>
          <w:iCs/>
          <w:sz w:val="20"/>
          <w:szCs w:val="20"/>
        </w:rPr>
        <w:t xml:space="preserve">USD 27 million</w:t>
      </w:r>
      <w:r>
        <w:rPr>
          <w:i/>
          <w:iCs/>
          <w:sz w:val="20"/>
          <w:szCs w:val="20"/>
        </w:rPr>
        <w:t xml:space="preserve"> plus interest. The case record lists principal damages of </w:t>
      </w:r>
      <w:r>
        <w:rPr>
          <w:b/>
          <w:bCs/>
          <w:i/>
          <w:iCs/>
          <w:sz w:val="20"/>
          <w:szCs w:val="20"/>
        </w:rPr>
        <w:t xml:space="preserve">USD 7,661,000</w:t>
      </w:r>
      <w:r>
        <w:rPr>
          <w:i/>
          <w:iCs/>
          <w:sz w:val="20"/>
          <w:szCs w:val="20"/>
        </w:rPr>
        <w:t xml:space="preserve">, while the figure usually reported inclusive of interest is about </w:t>
      </w:r>
      <w:r>
        <w:rPr>
          <w:b/>
          <w:bCs/>
          <w:i/>
          <w:iCs/>
          <w:sz w:val="20"/>
          <w:szCs w:val="20"/>
        </w:rPr>
        <w:t xml:space="preserve">USD 27.6 million</w:t>
      </w:r>
      <w:r>
        <w:rPr>
          <w:i/>
          <w:iCs/>
          <w:sz w:val="20"/>
          <w:szCs w:val="20"/>
        </w:rPr>
        <w:t xml:space="preserve">; the two are reconcilable as principal and total. </w:t>
      </w:r>
      <w:r>
        <w:rPr>
          <w:b/>
          <w:bCs/>
          <w:i/>
          <w:iCs/>
          <w:sz w:val="20"/>
          <w:szCs w:val="20"/>
        </w:rPr>
        <w:t xml:space="preserve">Verification required</w:t>
      </w:r>
      <w:r>
        <w:rPr>
          <w:i/>
          <w:iCs/>
          <w:sz w:val="20"/>
          <w:szCs w:val="20"/>
        </w:rPr>
        <w:t xml:space="preserve"> against the report of the award in the ICSID Review or 32 ILM 933. Note also that the </w:t>
      </w:r>
      <w:r>
        <w:rPr>
          <w:b/>
          <w:bCs/>
          <w:i/>
          <w:iCs/>
          <w:sz w:val="20"/>
          <w:szCs w:val="20"/>
        </w:rPr>
        <w:t xml:space="preserve">award is dated 1992</w:t>
      </w:r>
      <w:r>
        <w:rPr>
          <w:i/>
          <w:iCs/>
          <w:sz w:val="20"/>
          <w:szCs w:val="20"/>
        </w:rPr>
        <w:t xml:space="preserve">, not 1995 (the year of publication in the ICSID Reports), and the page reference “3 ICSID Rep 112” could not be confirmed.</w:t>
      </w:r>
    </w:p>
    <w:p>
      <w:pPr>
        <w:pStyle w:val="Heading3"/>
      </w:pPr>
      <w:r>
        <w:t xml:space="preserve">Significance</w:t>
      </w:r>
    </w:p>
    <w:p>
      <w:r>
        <w:t xml:space="preserve">Four propositions: </w:t>
      </w:r>
      <w:r>
        <w:rPr>
          <w:b/>
          <w:bCs/>
        </w:rPr>
        <w:t xml:space="preserve">domestic legislation can supply ICSID consent</w:t>
      </w:r>
      <w:r>
        <w:t xml:space="preserve">; </w:t>
      </w:r>
      <w:r>
        <w:rPr>
          <w:b/>
          <w:bCs/>
        </w:rPr>
        <w:t xml:space="preserve">contractual and incorporeal rights can be expropriated</w:t>
      </w:r>
      <w:r>
        <w:t xml:space="preserve">; neither a State’s own law nor a legitimate public purpose escapes the duty to compensate; and </w:t>
      </w:r>
      <w:r>
        <w:rPr>
          <w:b/>
          <w:bCs/>
        </w:rPr>
        <w:t xml:space="preserve">speculative valuation methods are rejected</w:t>
      </w:r>
      <w:r>
        <w:t xml:space="preserve"> for early-stage investments. It is the standard example of investment protection meeting cultural-heritage regulation.</w:t>
      </w:r>
    </w:p>
    <w:p>
      <w:pPr>
        <w:pStyle w:val="Heading2"/>
      </w:pPr>
      <w:r>
        <w:t xml:space="preserve">4.6 Asian Agricultural Products Ltd v Republic of Sri Lanka</w:t>
      </w:r>
    </w:p>
    <w:p>
      <w:r>
        <w:rPr>
          <w:b/>
          <w:bCs/>
        </w:rPr>
        <w:t xml:space="preserve">ICSID Case No ARB/87/3, Final Award, 27 June 1990; reported (1992) 17 Yearbook Commercial Arbitration 106.</w:t>
      </w:r>
      <w:r>
        <w:t xml:space="preserve"> Tribunal: El-Kosheri (President), Goldman, and Asante (dissenting).</w:t>
      </w:r>
    </w:p>
    <w:p>
      <w:pPr>
        <w:pStyle w:val="Heading3"/>
      </w:pPr>
      <w:r>
        <w:t xml:space="preserve">Facts and significance</w:t>
      </w:r>
    </w:p>
    <w:p>
      <w:r>
        <w:t xml:space="preserve">AAPL, incorporated in Hong Kong, held shares in </w:t>
      </w:r>
      <w:r>
        <w:rPr>
          <w:b/>
          <w:bCs/>
        </w:rPr>
        <w:t xml:space="preserve">Serendib Seafoods Ltd</w:t>
      </w:r>
      <w:r>
        <w:t xml:space="preserve">, a Sri Lankan joint venture whose shrimp farm — its main producing centre — was destroyed in </w:t>
      </w:r>
      <w:r>
        <w:rPr>
          <w:b/>
          <w:bCs/>
        </w:rPr>
        <w:t xml:space="preserve">January 1987</w:t>
      </w:r>
      <w:r>
        <w:t xml:space="preserve"> during a military operation by Sri Lankan security forces against installations reported to be used by Tamil insurgents. AAPL claimed total loss of its investment. The dispute went unanswered beyond the three-month amicable-settlement period under Art 8(3), whereupon AAPL commenced ICSID arbitration.</w:t>
      </w:r>
    </w:p>
    <w:p>
      <w:r>
        <w:t xml:space="preserve">This was the </w:t>
      </w:r>
      <w:r>
        <w:rPr>
          <w:b/>
          <w:bCs/>
        </w:rPr>
        <w:t xml:space="preserve">first case in which an international tribunal decided a claim founded on a bilateral investment treaty</w:t>
      </w:r>
      <w:r>
        <w:t xml:space="preserve"> — earlier ICSID cases rested on contracts or domestic legislation. It is the origin of investment treaty arbitration, or “arbitration without privity”.</w:t>
      </w:r>
    </w:p>
    <w:p>
      <w:pPr>
        <w:pBdr>
          <w:left w:val="single" w:color="C0504D" w:sz="8" w:space="8"/>
        </w:pBdr>
        <w:spacing w:after="110" w:before="70"/>
        <w:ind w:left="340"/>
      </w:pPr>
      <w:r>
        <w:rPr>
          <w:b/>
          <w:bCs/>
          <w:i/>
          <w:iCs/>
          <w:sz w:val="20"/>
          <w:szCs w:val="20"/>
        </w:rPr>
        <w:t xml:space="preserve">Treaty basis — correction.</w:t>
      </w:r>
      <w:r>
        <w:rPr>
          <w:i/>
          <w:iCs/>
          <w:sz w:val="20"/>
          <w:szCs w:val="20"/>
        </w:rPr>
        <w:t xml:space="preserve"> The class notes record a “Sri Lanka–Hong Kong BIT”. The verified basis was the </w:t>
      </w:r>
      <w:r>
        <w:rPr>
          <w:b/>
          <w:bCs/>
          <w:i/>
          <w:iCs/>
          <w:sz w:val="20"/>
          <w:szCs w:val="20"/>
        </w:rPr>
        <w:t xml:space="preserve">Sri Lanka–United Kingdom BIT of 1980</w:t>
      </w:r>
      <w:r>
        <w:rPr>
          <w:i/>
          <w:iCs/>
          <w:sz w:val="20"/>
          <w:szCs w:val="20"/>
        </w:rPr>
        <w:t xml:space="preserve">, applying to Hong Kong as a UK dependent territory at the time. Use the UK treaty in answers.</w:t>
      </w:r>
    </w:p>
    <w:p>
      <w:pPr>
        <w:pStyle w:val="Heading3"/>
      </w:pPr>
      <w:r>
        <w:t xml:space="preserve">Bases of claim</w:t>
      </w:r>
    </w:p>
    <w:p>
      <w:pPr>
        <w:spacing w:after="100"/>
        <w:ind w:left="640" w:hanging="400"/>
      </w:pPr>
      <w:r>
        <w:rPr>
          <w:b/>
          <w:bCs/>
        </w:rPr>
        <w:t xml:space="preserve">(1) </w:t>
      </w:r>
      <w:r>
        <w:rPr>
          <w:b/>
          <w:bCs/>
        </w:rPr>
        <w:t xml:space="preserve">Full protection and security</w:t>
      </w:r>
      <w:r>
        <w:t xml:space="preserve"> (Art 2) — said by AAPL to be unconditional.</w:t>
      </w:r>
    </w:p>
    <w:p>
      <w:pPr>
        <w:spacing w:after="100"/>
        <w:ind w:left="640" w:hanging="400"/>
      </w:pPr>
      <w:r>
        <w:rPr>
          <w:b/>
          <w:bCs/>
        </w:rPr>
        <w:t xml:space="preserve">(2) </w:t>
      </w:r>
      <w:r>
        <w:rPr>
          <w:b/>
          <w:bCs/>
        </w:rPr>
        <w:t xml:space="preserve">War and civil disturbance clause</w:t>
      </w:r>
      <w:r>
        <w:t xml:space="preserve"> (Art 4(2)) — adequate compensation for destruction </w:t>
      </w:r>
      <w:r>
        <w:rPr>
          <w:b/>
          <w:bCs/>
        </w:rPr>
        <w:t xml:space="preserve">not justified by combat action or the necessities of the situation</w:t>
      </w:r>
      <w:r>
        <w:t xml:space="preserve">.</w:t>
      </w:r>
    </w:p>
    <w:p>
      <w:pPr>
        <w:spacing w:after="100"/>
        <w:ind w:left="640" w:hanging="400"/>
      </w:pPr>
      <w:r>
        <w:rPr>
          <w:b/>
          <w:bCs/>
        </w:rPr>
        <w:t xml:space="preserve">(3) </w:t>
      </w:r>
      <w:r>
        <w:rPr>
          <w:b/>
          <w:bCs/>
        </w:rPr>
        <w:t xml:space="preserve">Customary State responsibility</w:t>
      </w:r>
      <w:r>
        <w:t xml:space="preserve">, later restated in the </w:t>
      </w:r>
      <w:r>
        <w:rPr>
          <w:b/>
          <w:bCs/>
        </w:rPr>
        <w:t xml:space="preserve">ILC Articles on State Responsibility (2001)</w:t>
      </w:r>
      <w:r>
        <w:t xml:space="preserve">.</w:t>
      </w:r>
    </w:p>
    <w:p>
      <w:pPr>
        <w:pStyle w:val="Heading3"/>
      </w:pPr>
      <w:r>
        <w:t xml:space="preserve">Applicable law and the holding</w:t>
      </w:r>
    </w:p>
    <w:p>
      <w:r>
        <w:t xml:space="preserve">The tribunal treated the BIT as </w:t>
      </w:r>
      <w:r>
        <w:rPr>
          <w:b/>
          <w:bCs/>
        </w:rPr>
        <w:t xml:space="preserve">lex specialis</w:t>
      </w:r>
      <w:r>
        <w:t xml:space="preserve"> — standing apart from general international law but </w:t>
      </w:r>
      <w:r>
        <w:rPr>
          <w:b/>
          <w:bCs/>
        </w:rPr>
        <w:t xml:space="preserve">incorporating its standards</w:t>
      </w:r>
      <w:r>
        <w:t xml:space="preserve">, to which the investor could have resort. The rule applied was that in times of civil conflict the host State owes a duty to confer </w:t>
      </w:r>
      <w:r>
        <w:rPr>
          <w:b/>
          <w:bCs/>
        </w:rPr>
        <w:t xml:space="preserve">adequate protection</w:t>
      </w:r>
      <w:r>
        <w:t xml:space="preserve"> on foreign investments, failure engaging its responsibility — a rule of </w:t>
      </w:r>
      <w:r>
        <w:rPr>
          <w:b/>
          <w:bCs/>
        </w:rPr>
        <w:t xml:space="preserve">customary international law forming part of the treaty</w:t>
      </w:r>
      <w:r>
        <w:t xml:space="preserve">. This corresponds to </w:t>
      </w:r>
      <w:r>
        <w:rPr>
          <w:b/>
          <w:bCs/>
        </w:rPr>
        <w:t xml:space="preserve">ICSID Art 42(1)</w:t>
      </w:r>
      <w:r>
        <w:t xml:space="preserve">: absent an agreed choice, host-State law plus applicable international law. The </w:t>
      </w:r>
      <w:r>
        <w:rPr>
          <w:b/>
          <w:bCs/>
        </w:rPr>
        <w:t xml:space="preserve">due diligence notion therefore came from general custom, not from the text of the BIT.</w:t>
      </w:r>
    </w:p>
    <w:p>
      <w:r>
        <w:rPr>
          <w:b/>
          <w:bCs/>
        </w:rPr>
        <w:t xml:space="preserve">Central holding:</w:t>
      </w:r>
      <w:r>
        <w:t xml:space="preserve"> full protection and security is </w:t>
      </w:r>
      <w:r>
        <w:rPr>
          <w:b/>
          <w:bCs/>
        </w:rPr>
        <w:t xml:space="preserve">not absolute or strict liability</w:t>
      </w:r>
      <w:r>
        <w:t xml:space="preserve">. The State is not an insurer; it owes </w:t>
      </w:r>
      <w:r>
        <w:rPr>
          <w:b/>
          <w:bCs/>
        </w:rPr>
        <w:t xml:space="preserve">due diligence</w:t>
      </w:r>
      <w:r>
        <w:t xml:space="preserve"> — all measures reasonably expected of a well-administered government. Sri Lanka was in breach: on the uncontested evidence it should at least have used the available peaceful, high-level channels of communication to have suspect persons removed from the farm’s staff before launching a large counter-insurgency operation. That step lay within ordinary governmental powers, and the failure was the more serious because the company’s chief executive had confirmed his willingness to comply with any government request only ten days earlier. Through that </w:t>
      </w:r>
      <w:r>
        <w:rPr>
          <w:b/>
          <w:bCs/>
        </w:rPr>
        <w:t xml:space="preserve">inaction and omission</w:t>
      </w:r>
      <w:r>
        <w:t xml:space="preserve"> Sri Lanka violated its due diligence obligation.</w:t>
      </w:r>
    </w:p>
    <w:p>
      <w:pPr>
        <w:pStyle w:val="Heading3"/>
      </w:pPr>
      <w:r>
        <w:t xml:space="preserve">Supporting authority</w:t>
      </w:r>
    </w:p>
    <w:p>
      <w:r>
        <w:t xml:space="preserve">The tribunal relied on the expert evidence of </w:t>
      </w:r>
      <w:r>
        <w:rPr>
          <w:b/>
          <w:bCs/>
        </w:rPr>
        <w:t xml:space="preserve">Professor Ian Brownlie</w:t>
      </w:r>
      <w:r>
        <w:t xml:space="preserve"> — international responsibility arises from the mere failure to exercise due diligence, and there is a </w:t>
      </w:r>
      <w:r>
        <w:rPr>
          <w:b/>
          <w:bCs/>
        </w:rPr>
        <w:t xml:space="preserve">sliding scale of liability</w:t>
      </w:r>
      <w:r>
        <w:t xml:space="preserve"> related to the standard of diligence — and on </w:t>
      </w:r>
      <w:r>
        <w:rPr>
          <w:b/>
          <w:bCs/>
        </w:rPr>
        <w:t xml:space="preserve">Max Huber</w:t>
      </w:r>
      <w:r>
        <w:t xml:space="preserve"> in the Spanish Zone of Morocco claims: non-responsibility for revolutionary events does not exclude a duty of vigilance, and a State may answer for what its authorities do or fail to do to avert the consequences, within the limits of possibility. Substantial negligence in taking precautionary action suffices.</w:t>
      </w:r>
    </w:p>
    <w:p>
      <w:pPr>
        <w:pBdr>
          <w:left w:val="single" w:color="C0504D" w:sz="8" w:space="8"/>
        </w:pBdr>
        <w:spacing w:after="110" w:before="70"/>
        <w:ind w:left="340"/>
      </w:pPr>
      <w:r>
        <w:rPr>
          <w:i/>
          <w:iCs/>
          <w:sz w:val="20"/>
          <w:szCs w:val="20"/>
        </w:rPr>
        <w:t xml:space="preserve">The class gloss that “the more due diligence checks one does, the lesser the obligation” is misleading. The </w:t>
      </w:r>
      <w:r>
        <w:rPr>
          <w:b/>
          <w:bCs/>
          <w:i/>
          <w:iCs/>
          <w:sz w:val="20"/>
          <w:szCs w:val="20"/>
        </w:rPr>
        <w:t xml:space="preserve">sliding scale</w:t>
      </w:r>
      <w:r>
        <w:rPr>
          <w:i/>
          <w:iCs/>
          <w:sz w:val="20"/>
          <w:szCs w:val="20"/>
        </w:rPr>
        <w:t xml:space="preserve"> means the standard of diligence </w:t>
      </w:r>
      <w:r>
        <w:rPr>
          <w:b/>
          <w:bCs/>
          <w:i/>
          <w:iCs/>
          <w:sz w:val="20"/>
          <w:szCs w:val="20"/>
        </w:rPr>
        <w:t xml:space="preserve">varies with the circumstances</w:t>
      </w:r>
      <w:r>
        <w:rPr>
          <w:i/>
          <w:iCs/>
          <w:sz w:val="20"/>
          <w:szCs w:val="20"/>
        </w:rPr>
        <w:t xml:space="preserve"> — the gravity and foreseeability of the risk and the means available to the State.</w:t>
      </w:r>
    </w:p>
    <w:p>
      <w:pPr>
        <w:pStyle w:val="Heading3"/>
      </w:pPr>
      <w:r>
        <w:t xml:space="preserve">Award and criticism</w:t>
      </w:r>
    </w:p>
    <w:p>
      <w:r>
        <w:rPr>
          <w:b/>
          <w:bCs/>
        </w:rPr>
        <w:t xml:space="preserve">USD 460,000</w:t>
      </w:r>
      <w:r>
        <w:t xml:space="preserve"> was awarded, representing the value of tangible assets attributable to AAPL’s shareholding; </w:t>
      </w:r>
      <w:r>
        <w:rPr>
          <w:b/>
          <w:bCs/>
        </w:rPr>
        <w:t xml:space="preserve">lost future profits were refused as speculative</w:t>
      </w:r>
      <w:r>
        <w:t xml:space="preserve">. Sri Lanka bore a share of costs. </w:t>
      </w:r>
      <w:r>
        <w:rPr>
          <w:b/>
          <w:bCs/>
        </w:rPr>
        <w:t xml:space="preserve">Dr Asante dissented</w:t>
      </w:r>
      <w:r>
        <w:t xml:space="preserve">, favouring a smaller sum reflecting AAPL’s equity investment. (The figure is USD 460,000, not a seven-figure sum — the case matters for its principle, not its quantum.)</w:t>
      </w:r>
    </w:p>
    <w:p>
      <w:r>
        <w:rPr>
          <w:b/>
          <w:bCs/>
        </w:rPr>
        <w:t xml:space="preserve">Criticism worth stating:</w:t>
      </w:r>
      <w:r>
        <w:t xml:space="preserve"> the tribunal took jurisdiction from the treaty but decided largely by applying customary rules not stated in it. If that is permissible, the limits of an investment tribunal’s competence become indistinct — it might have had to decide whether the conflict was a war of national liberation, and then address protection of property under the laws of war, questions for which such tribunals are not designed and their members not selected.</w:t>
      </w:r>
    </w:p>
    <w:p>
      <w:pPr>
        <w:pStyle w:val="Heading3"/>
      </w:pPr>
      <w:r>
        <w:t xml:space="preserve">Significance</w:t>
      </w:r>
    </w:p>
    <w:p>
      <w:r>
        <w:t xml:space="preserve">Three propositions: the </w:t>
      </w:r>
      <w:r>
        <w:rPr>
          <w:b/>
          <w:bCs/>
        </w:rPr>
        <w:t xml:space="preserve">first BIT-based award</w:t>
      </w:r>
      <w:r>
        <w:t xml:space="preserve">; </w:t>
      </w:r>
      <w:r>
        <w:rPr>
          <w:b/>
          <w:bCs/>
        </w:rPr>
        <w:t xml:space="preserve">full protection and security is a due diligence obligation</w:t>
      </w:r>
      <w:r>
        <w:t xml:space="preserve">, and omissions can engage liability; and a BIT is </w:t>
      </w:r>
      <w:r>
        <w:rPr>
          <w:b/>
          <w:bCs/>
        </w:rPr>
        <w:t xml:space="preserve">lex specialis that incorporates general international law</w:t>
      </w:r>
      <w:r>
        <w:t xml:space="preserve">, allowing a treaty tribunal to apply customary rules.</w:t>
      </w:r>
    </w:p>
    <w:p>
      <w:pPr>
        <w:pStyle w:val="Heading2"/>
      </w:pPr>
      <w:r>
        <w:t xml:space="preserve">4.7 The Three Cases Contrasted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2400"/>
        <w:gridCol w:w="2600"/>
        <w:gridCol w:w="2476"/>
      </w:tblGrid>
      <w:tr>
        <w:trPr>
          <w:tblHeader/>
        </w:trPr>
        <w:tc>
          <w:tcPr>
            <w:tcW w:type="dxa" w:w="1550"/>
            <w:shd w:fill="E8EDF5" w:color="auto" w:val="clear"/>
            <w:tcMar>
              <w:top w:type="dxa" w:w="90"/>
              <w:left w:type="dxa" w:w="120"/>
              <w:bottom w:type="dxa" w:w="90"/>
              <w:right w:type="dxa" w:w="120"/>
            </w:tcMar>
          </w:tcPr>
          <w:p>
            <w:pPr>
              <w:spacing w:after="0" w:line="240"/>
              <w:jc w:val="left"/>
            </w:pPr>
          </w:p>
        </w:tc>
        <w:tc>
          <w:tcPr>
            <w:tcW w:type="dxa" w:w="2400"/>
            <w:shd w:fill="E8EDF5" w:color="auto" w:val="clear"/>
            <w:tcMar>
              <w:top w:type="dxa" w:w="90"/>
              <w:left w:type="dxa" w:w="120"/>
              <w:bottom w:type="dxa" w:w="90"/>
              <w:right w:type="dxa" w:w="120"/>
            </w:tcMar>
          </w:tcPr>
          <w:p>
            <w:pPr>
              <w:spacing w:after="0" w:line="240"/>
              <w:jc w:val="left"/>
            </w:pPr>
            <w:r>
              <w:rPr>
                <w:b/>
                <w:bCs/>
                <w:sz w:val="20"/>
                <w:szCs w:val="20"/>
              </w:rPr>
              <w:t xml:space="preserve">AAPL v Sri Lanka (1990)</w:t>
            </w:r>
          </w:p>
        </w:tc>
        <w:tc>
          <w:tcPr>
            <w:tcW w:type="dxa" w:w="2600"/>
            <w:shd w:fill="E8EDF5" w:color="auto" w:val="clear"/>
            <w:tcMar>
              <w:top w:type="dxa" w:w="90"/>
              <w:left w:type="dxa" w:w="120"/>
              <w:bottom w:type="dxa" w:w="90"/>
              <w:right w:type="dxa" w:w="120"/>
            </w:tcMar>
          </w:tcPr>
          <w:p>
            <w:pPr>
              <w:spacing w:after="0" w:line="240"/>
              <w:jc w:val="left"/>
            </w:pPr>
            <w:r>
              <w:rPr>
                <w:b/>
                <w:bCs/>
                <w:sz w:val="20"/>
                <w:szCs w:val="20"/>
              </w:rPr>
              <w:t xml:space="preserve">SPP v Egypt (1992)</w:t>
            </w:r>
          </w:p>
        </w:tc>
        <w:tc>
          <w:tcPr>
            <w:tcW w:type="dxa" w:w="2476"/>
            <w:shd w:fill="E8EDF5" w:color="auto" w:val="clear"/>
            <w:tcMar>
              <w:top w:type="dxa" w:w="90"/>
              <w:left w:type="dxa" w:w="120"/>
              <w:bottom w:type="dxa" w:w="90"/>
              <w:right w:type="dxa" w:w="120"/>
            </w:tcMar>
          </w:tcPr>
          <w:p>
            <w:pPr>
              <w:spacing w:after="0" w:line="240"/>
              <w:jc w:val="left"/>
            </w:pPr>
            <w:r>
              <w:rPr>
                <w:b/>
                <w:bCs/>
                <w:sz w:val="20"/>
                <w:szCs w:val="20"/>
              </w:rPr>
              <w:t xml:space="preserve">White Industries v India (2011)</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Basis of consent</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BIT (Sri Lanka–UK 1980) — first of its kind</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Domestic statute (Egyptian Law 43/1974, Art 8)</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BIT (India–Australia 1999); UNCITRAL, non-ICSID</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Standard breached</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Full protection and security — due diligence</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Expropriation of contractual rights</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“Effective means” imported via MFN</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Claim rejected on</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Strict liability argument</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Domestic-law, no-nationalisation and UNESCO defences (all rejected)</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FET, denial of justice, expropriation</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Quantum</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USD 460,000; no lost profits</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Principal USD 7,661,000; c. USD 27.6m with interest at 5% simple from 28 May 1978</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AUD 4,085,180 plus interest and ICC costs</w:t>
            </w:r>
          </w:p>
        </w:tc>
      </w:tr>
      <w:tr>
        <w:trPr>
          <w:cantSplit/>
        </w:trPr>
        <w:tc>
          <w:tcPr>
            <w:tcW w:type="dxa" w:w="1550"/>
            <w:tcMar>
              <w:top w:type="dxa" w:w="90"/>
              <w:left w:type="dxa" w:w="120"/>
              <w:bottom w:type="dxa" w:w="90"/>
              <w:right w:type="dxa" w:w="120"/>
            </w:tcMar>
          </w:tcPr>
          <w:p>
            <w:pPr>
              <w:spacing w:after="0" w:line="240"/>
              <w:jc w:val="left"/>
            </w:pPr>
            <w:r>
              <w:rPr>
                <w:b w:val="false"/>
                <w:bCs w:val="false"/>
                <w:sz w:val="20"/>
                <w:szCs w:val="20"/>
              </w:rPr>
              <w:t xml:space="preserve">Lasting effect</w:t>
            </w:r>
          </w:p>
        </w:tc>
        <w:tc>
          <w:tcPr>
            <w:tcW w:type="dxa" w:w="2400"/>
            <w:tcMar>
              <w:top w:type="dxa" w:w="90"/>
              <w:left w:type="dxa" w:w="120"/>
              <w:bottom w:type="dxa" w:w="90"/>
              <w:right w:type="dxa" w:w="120"/>
            </w:tcMar>
          </w:tcPr>
          <w:p>
            <w:pPr>
              <w:spacing w:after="0" w:line="240"/>
              <w:jc w:val="left"/>
            </w:pPr>
            <w:r>
              <w:rPr>
                <w:b w:val="false"/>
                <w:bCs w:val="false"/>
                <w:sz w:val="20"/>
                <w:szCs w:val="20"/>
              </w:rPr>
              <w:t xml:space="preserve">Founded investment treaty arbitration</w:t>
            </w:r>
          </w:p>
        </w:tc>
        <w:tc>
          <w:tcPr>
            <w:tcW w:type="dxa" w:w="2600"/>
            <w:tcMar>
              <w:top w:type="dxa" w:w="90"/>
              <w:left w:type="dxa" w:w="120"/>
              <w:bottom w:type="dxa" w:w="90"/>
              <w:right w:type="dxa" w:w="120"/>
            </w:tcMar>
          </w:tcPr>
          <w:p>
            <w:pPr>
              <w:spacing w:after="0" w:line="240"/>
              <w:jc w:val="left"/>
            </w:pPr>
            <w:r>
              <w:rPr>
                <w:b w:val="false"/>
                <w:bCs w:val="false"/>
                <w:sz w:val="20"/>
                <w:szCs w:val="20"/>
              </w:rPr>
              <w:t xml:space="preserve">Consent by legislation; contractual rights protected; DCF rejected</w:t>
            </w:r>
          </w:p>
        </w:tc>
        <w:tc>
          <w:tcPr>
            <w:tcW w:type="dxa" w:w="2476"/>
            <w:tcMar>
              <w:top w:type="dxa" w:w="90"/>
              <w:left w:type="dxa" w:w="120"/>
              <w:bottom w:type="dxa" w:w="90"/>
              <w:right w:type="dxa" w:w="120"/>
            </w:tcMar>
          </w:tcPr>
          <w:p>
            <w:pPr>
              <w:spacing w:after="0" w:line="240"/>
              <w:jc w:val="left"/>
            </w:pPr>
            <w:r>
              <w:rPr>
                <w:b w:val="false"/>
                <w:bCs w:val="false"/>
                <w:sz w:val="20"/>
                <w:szCs w:val="20"/>
              </w:rPr>
              <w:t xml:space="preserve">India terminated most BITs; Model BIT 2015</w:t>
            </w:r>
          </w:p>
        </w:tc>
      </w:tr>
    </w:tbl>
    <w:p>
      <w:r>
        <w:br w:type="page"/>
      </w:r>
    </w:p>
    <w:p>
      <w:pPr>
        <w:pStyle w:val="Heading1"/>
      </w:pPr>
      <w:r>
        <w:t xml:space="preserve">Annexure A — Table of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shd w:fill="E8EDF5" w:color="auto" w:val="clear"/>
            <w:tcMar>
              <w:top w:type="dxa" w:w="90"/>
              <w:left w:type="dxa" w:w="120"/>
              <w:bottom w:type="dxa" w:w="90"/>
              <w:right w:type="dxa" w:w="120"/>
            </w:tcMar>
          </w:tcPr>
          <w:p>
            <w:pPr>
              <w:spacing w:after="0" w:line="240"/>
              <w:jc w:val="left"/>
            </w:pPr>
            <w:r>
              <w:rPr>
                <w:b/>
                <w:bCs/>
                <w:sz w:val="20"/>
                <w:szCs w:val="20"/>
              </w:rPr>
              <w:t xml:space="preserve">Case</w:t>
            </w:r>
          </w:p>
        </w:tc>
        <w:tc>
          <w:tcPr>
            <w:tcW w:type="dxa" w:w="3100"/>
            <w:shd w:fill="E8EDF5" w:color="auto" w:val="clear"/>
            <w:tcMar>
              <w:top w:type="dxa" w:w="90"/>
              <w:left w:type="dxa" w:w="120"/>
              <w:bottom w:type="dxa" w:w="90"/>
              <w:right w:type="dxa" w:w="120"/>
            </w:tcMar>
          </w:tcPr>
          <w:p>
            <w:pPr>
              <w:spacing w:after="0" w:line="240"/>
              <w:jc w:val="left"/>
            </w:pPr>
            <w:r>
              <w:rPr>
                <w:b/>
                <w:bCs/>
                <w:sz w:val="20"/>
                <w:szCs w:val="20"/>
              </w:rPr>
              <w:t xml:space="preserve">Citation</w:t>
            </w:r>
          </w:p>
        </w:tc>
        <w:tc>
          <w:tcPr>
            <w:tcW w:type="dxa" w:w="3226"/>
            <w:shd w:fill="E8EDF5" w:color="auto" w:val="clear"/>
            <w:tcMar>
              <w:top w:type="dxa" w:w="90"/>
              <w:left w:type="dxa" w:w="120"/>
              <w:bottom w:type="dxa" w:w="90"/>
              <w:right w:type="dxa" w:w="120"/>
            </w:tcMar>
          </w:tcPr>
          <w:p>
            <w:pPr>
              <w:spacing w:after="0" w:line="240"/>
              <w:jc w:val="left"/>
            </w:pPr>
            <w:r>
              <w:rPr>
                <w:b/>
                <w:bCs/>
                <w:sz w:val="20"/>
                <w:szCs w:val="20"/>
              </w:rPr>
              <w:t xml:space="preserve">Topic</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AAPL v Sri Lanka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ARB/87/3, Award 27 June 1990; (1992) 17 YCA 106</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4.6 — full protection and security; due diligence</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Barcelona Traction (Belgium v Spain)</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ICJ Reports 1970, p 3</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corporate nationality; shareholders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CME / Lauder v Czech Republic</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UNCITRAL, 2001</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2.5 — inconsistent awards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Diallo (Guinea v DR Congo)</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ICJ 2007 (objections); 2010 (merits)</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shareholders; protection by substitution</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ELSI (USA v Italy)</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ICJ Chamber, 20 July 1989</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local remedies and treaty claims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Interhandel (Switzerland v USA)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ICJ, 21 March 1959</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exhaustion of local remedies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Maffezini v Spain</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ARB/97/7, 25 January 2000</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MFN and dispute settlement</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Mavrommatis (Greece v UK)</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PCIJ 1924, Series A No 2</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1.2, 1.5 — basis of diplomatic protection</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Micula v Romania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ARB/05/20, Award 11 December 2013</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3.3 — enforcement under Art 54</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Neer v Mexico</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General Claims Commission, 15 October 1926</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international minimum standard</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North American Dredging (USA v Mexico)</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General Claims Commission, 1926</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Calvo Clause</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Nottebohm (Liechtenstein v Guatemala)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ICJ Reports 1955, p 4</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1.5 — genuine link; nationality of claims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Panevezys–Saldutiskis (Estonia v Lithuania)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PCIJ 1939, Series A/B No 76</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1.6 — nationality; local remedies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Philip Morris Asia v Australia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PCA 2012-12, 17 December 2015</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abuse of rights; restructuring</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Philip Morris v Uruguay</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ARB/10/7</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police powers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Plama Consortium v Bulgaria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ARB/03/24</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MFN, contrary line</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Salini v Morocco</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ARB/00/4, 23 July 2001</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definition of investment</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Salini v Jordan</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ARB/02/13</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MFN, contrary line</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SGS v Pakistan; SGS v Philippines</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ARB/01/13; ARB/02/6</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2.5 — umbrella clauses</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SPP (ME) Ltd v Egypt</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ARB/84/3, Award 20 May 1992</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2.7, 4.5 — consent by legislation; expropriation</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Tecmed v Mexico</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ARB(AF)/00/2, 29 May 2003</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fair and equitable treatment</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Tokios Tokelės v Ukraine</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ICSID ARB/02/18</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4.2 — definition of investor</w:t>
            </w:r>
          </w:p>
        </w:tc>
      </w:tr>
      <w:tr>
        <w:trPr>
          <w:cantSplit/>
        </w:trPr>
        <w:tc>
          <w:tcPr>
            <w:tcW w:type="dxa" w:w="2700"/>
            <w:tcMar>
              <w:top w:type="dxa" w:w="90"/>
              <w:left w:type="dxa" w:w="120"/>
              <w:bottom w:type="dxa" w:w="90"/>
              <w:right w:type="dxa" w:w="120"/>
            </w:tcMar>
          </w:tcPr>
          <w:p>
            <w:pPr>
              <w:spacing w:after="0" w:line="240"/>
              <w:jc w:val="left"/>
            </w:pPr>
            <w:r>
              <w:rPr>
                <w:b w:val="false"/>
                <w:bCs w:val="false"/>
                <w:sz w:val="20"/>
                <w:szCs w:val="20"/>
              </w:rPr>
              <w:t xml:space="preserve">White Industries Australia Ltd v India</w:t>
            </w:r>
          </w:p>
        </w:tc>
        <w:tc>
          <w:tcPr>
            <w:tcW w:type="dxa" w:w="3100"/>
            <w:tcMar>
              <w:top w:type="dxa" w:w="90"/>
              <w:left w:type="dxa" w:w="120"/>
              <w:bottom w:type="dxa" w:w="90"/>
              <w:right w:type="dxa" w:w="120"/>
            </w:tcMar>
          </w:tcPr>
          <w:p>
            <w:pPr>
              <w:spacing w:after="0" w:line="240"/>
              <w:jc w:val="left"/>
            </w:pPr>
            <w:r>
              <w:rPr>
                <w:b w:val="false"/>
                <w:bCs w:val="false"/>
                <w:sz w:val="20"/>
                <w:szCs w:val="20"/>
              </w:rPr>
              <w:t xml:space="preserve">UNCITRAL, Final Award, 30 November 2011</w:t>
            </w:r>
          </w:p>
        </w:tc>
        <w:tc>
          <w:tcPr>
            <w:tcW w:type="dxa" w:w="3226"/>
            <w:tcMar>
              <w:top w:type="dxa" w:w="90"/>
              <w:left w:type="dxa" w:w="120"/>
              <w:bottom w:type="dxa" w:w="90"/>
              <w:right w:type="dxa" w:w="120"/>
            </w:tcMar>
          </w:tcPr>
          <w:p>
            <w:pPr>
              <w:spacing w:after="0" w:line="240"/>
              <w:jc w:val="left"/>
            </w:pPr>
            <w:r>
              <w:rPr>
                <w:b w:val="false"/>
                <w:bCs w:val="false"/>
                <w:sz w:val="20"/>
                <w:szCs w:val="20"/>
              </w:rPr>
              <w:t xml:space="preserve">4.4 — MFN; effective means; judicial delay</w:t>
            </w:r>
          </w:p>
        </w:tc>
      </w:tr>
    </w:tbl>
    <w:p>
      <w:r>
        <w:br w:type="page"/>
      </w:r>
    </w:p>
    <w:p>
      <w:pPr>
        <w:pStyle w:val="Heading1"/>
      </w:pPr>
      <w:r>
        <w:t xml:space="preserve">Annexure B — Table of Treaties, Statutes and Instruments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5" w:color="auto" w:val="clear"/>
            <w:tcMar>
              <w:top w:type="dxa" w:w="90"/>
              <w:left w:type="dxa" w:w="120"/>
              <w:bottom w:type="dxa" w:w="90"/>
              <w:right w:type="dxa" w:w="120"/>
            </w:tcMar>
          </w:tcPr>
          <w:p>
            <w:pPr>
              <w:spacing w:after="0" w:line="240"/>
              <w:jc w:val="left"/>
            </w:pPr>
            <w:r>
              <w:rPr>
                <w:b/>
                <w:bCs/>
                <w:sz w:val="20"/>
                <w:szCs w:val="20"/>
              </w:rPr>
              <w:t xml:space="preserve">Instrument</w:t>
            </w:r>
          </w:p>
        </w:tc>
        <w:tc>
          <w:tcPr>
            <w:tcW w:type="dxa" w:w="4826"/>
            <w:shd w:fill="E8EDF5" w:color="auto" w:val="clear"/>
            <w:tcMar>
              <w:top w:type="dxa" w:w="90"/>
              <w:left w:type="dxa" w:w="120"/>
              <w:bottom w:type="dxa" w:w="90"/>
              <w:right w:type="dxa" w:w="120"/>
            </w:tcMar>
          </w:tcPr>
          <w:p>
            <w:pPr>
              <w:spacing w:after="0" w:line="240"/>
              <w:jc w:val="left"/>
            </w:pPr>
            <w:r>
              <w:rPr>
                <w:b/>
                <w:bCs/>
                <w:sz w:val="20"/>
                <w:szCs w:val="20"/>
              </w:rPr>
              <w:t xml:space="preserve">Provisions referred to</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Statute of the ICJ</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34(1) — only States may be parties; Art 38(1) — sources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UN Charter</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Pacific settlement of disputes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Hague Convention II, 1907 (Drago–Porter)</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Limits on force to recover contract debts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New York Convention, 1958</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V — arbitrability and public policy</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ICSID Convention, 1965 (in force 14 Oct 1966)</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Arts 25, 27, 41, 42(1), 50–52, 53, 54, 55, 64, 71, 72</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Vienna Convention on the Law of Treaties, 1969</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27 — internal law no excuse; Art 31 — interpretation</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UNESCO World Heritage Convention, 1972 (in force 17 Dec 1975)</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Arts 4–5 — duty of protection (pleaded in SPP)</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MIGA Convention, 1985</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Political-risk insurance</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NAFTA, 1994; USMCA, in force 1 July 2020</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Ch 11; FTC Note of Interpretation, 31 July 2001; narrowed ISDS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Energy Charter Treaty, 1994</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Investment protection; sunset clause</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WTO Agreements</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TRIMs; GATS Mode 3; GATT Art XX</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Sri Lanka–UK BIT, 1980</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2 (FPS); Art 4(2); Art 8(3)</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India–Australia BIT, 1999</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Arts 3(1), 3(2), 4(2) (MFN), 13(2)</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India–Kuwait BIT, 2001</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4(5) — effective means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Egyptian Law No 43 of 1974</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 8 — consent to ICSID arbitration</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Indian Model BIT, 2015</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Enterprise-based investment; no MFN; local remedies; exceptions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ILC Articles on State Responsibility, 2001</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Arts 4–8; 25; 31 onwards</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ILC Draft Articles on Diplomatic Protection, 2006</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Arts 1, 3–5, 9–11, 14–15, 17, 19</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UNGA Res 1803 (XVII), 1962; Res 3281 (XXIX), 1974; Res 77/105, 2022</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PSNR; CERDS; diplomatic protection</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UNCITRAL Arbitration Rules, 1976; ICSID Rules, 2022</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Applied in White Industries; current ICSID procedure</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World Bank Guidelines on FDI, 1992</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Soft-law standards of treatment</w:t>
            </w:r>
          </w:p>
        </w:tc>
      </w:tr>
      <w:tr>
        <w:trPr>
          <w:cantSplit/>
        </w:trPr>
        <w:tc>
          <w:tcPr>
            <w:tcW w:type="dxa" w:w="4200"/>
            <w:tcMar>
              <w:top w:type="dxa" w:w="90"/>
              <w:left w:type="dxa" w:w="120"/>
              <w:bottom w:type="dxa" w:w="90"/>
              <w:right w:type="dxa" w:w="120"/>
            </w:tcMar>
          </w:tcPr>
          <w:p>
            <w:pPr>
              <w:spacing w:after="0" w:line="240"/>
              <w:jc w:val="left"/>
            </w:pPr>
            <w:r>
              <w:rPr>
                <w:b w:val="false"/>
                <w:bCs w:val="false"/>
                <w:sz w:val="20"/>
                <w:szCs w:val="20"/>
              </w:rPr>
              <w:t xml:space="preserve">Law Commission of India, Report No 260 (2015)</w:t>
            </w:r>
          </w:p>
        </w:tc>
        <w:tc>
          <w:tcPr>
            <w:tcW w:type="dxa" w:w="4826"/>
            <w:tcMar>
              <w:top w:type="dxa" w:w="90"/>
              <w:left w:type="dxa" w:w="120"/>
              <w:bottom w:type="dxa" w:w="90"/>
              <w:right w:type="dxa" w:w="120"/>
            </w:tcMar>
          </w:tcPr>
          <w:p>
            <w:pPr>
              <w:spacing w:after="0" w:line="240"/>
              <w:jc w:val="left"/>
            </w:pPr>
            <w:r>
              <w:rPr>
                <w:b w:val="false"/>
                <w:bCs w:val="false"/>
                <w:sz w:val="20"/>
                <w:szCs w:val="20"/>
              </w:rPr>
              <w:t xml:space="preserve">Analysis of the 2015 Draft Model Indian BIT</w:t>
            </w:r>
          </w:p>
        </w:tc>
      </w:tr>
    </w:tbl>
    <w:p>
      <w:r>
        <w:br w:type="page"/>
      </w:r>
    </w:p>
    <w:p>
      <w:pPr>
        <w:pStyle w:val="Heading1"/>
      </w:pPr>
      <w:r>
        <w:t xml:space="preserve">Annexure C — Sources and Points Requiring Verification</w:t>
      </w:r>
    </w:p>
    <w:p>
      <w:pPr>
        <w:pStyle w:val="Heading2"/>
      </w:pPr>
      <w:r>
        <w:t xml:space="preserve">Uploaded materials incorporated</w:t>
      </w:r>
    </w:p>
    <w:p>
      <w:pPr>
        <w:pStyle w:val="ListParagraph"/>
        <w:numPr>
          <w:ilvl w:val="0"/>
          <w:numId w:val="2"/>
        </w:numPr>
      </w:pPr>
      <w:r>
        <w:rPr>
          <w:b/>
          <w:bCs/>
        </w:rPr>
        <w:t xml:space="preserve">INTERNATIONAL_INVESTMENT_LAW_PART1.md</w:t>
      </w:r>
      <w:r>
        <w:t xml:space="preserve"> — 31 pages of class notes (17 July–28 August 2026), including the detailed material on all three cases.</w:t>
      </w:r>
    </w:p>
    <w:p>
      <w:pPr>
        <w:pStyle w:val="ListParagraph"/>
        <w:numPr>
          <w:ilvl w:val="0"/>
          <w:numId w:val="2"/>
        </w:numPr>
      </w:pPr>
      <w:r>
        <w:rPr>
          <w:b/>
          <w:bCs/>
        </w:rPr>
        <w:t xml:space="preserve">Investment_law-1.md</w:t>
      </w:r>
      <w:r>
        <w:t xml:space="preserve"> — 10 pages: diplomatic protection, evolution, sources, ICSID structure, Arts 27/53/54, BIT features.</w:t>
      </w:r>
    </w:p>
    <w:p>
      <w:pPr>
        <w:pStyle w:val="ListParagraph"/>
        <w:numPr>
          <w:ilvl w:val="0"/>
          <w:numId w:val="2"/>
        </w:numPr>
      </w:pPr>
      <w:r>
        <w:rPr>
          <w:b/>
          <w:bCs/>
        </w:rPr>
        <w:t xml:space="preserve">Investment_Law-2.md</w:t>
      </w:r>
      <w:r>
        <w:t xml:space="preserve"> — 6 pages: UNCITRAL rules, the three cases, due diligence, expert evidence.</w:t>
      </w:r>
    </w:p>
    <w:p>
      <w:pPr>
        <w:pStyle w:val="ListParagraph"/>
        <w:numPr>
          <w:ilvl w:val="0"/>
          <w:numId w:val="2"/>
        </w:numPr>
      </w:pPr>
      <w:r>
        <w:rPr>
          <w:b/>
          <w:bCs/>
        </w:rPr>
        <w:t xml:space="preserve">International_Investment_Law_-_Class_Transcripts.md</w:t>
      </w:r>
      <w:r>
        <w:t xml:space="preserve"> — four lectures (24 July, 31 July, 7 August, 14 August 2026), used mainly for the treatment of Arts 27, 53 and 54.</w:t>
      </w:r>
    </w:p>
    <w:p>
      <w:pPr>
        <w:pStyle w:val="Heading2"/>
      </w:pPr>
      <w:r>
        <w:t xml:space="preserve">Research sources</w:t>
      </w:r>
    </w:p>
    <w:p>
      <w:r>
        <w:t xml:space="preserve">ICSID Convention, Regulations and Rules (ICSID/15/Rev.3, 2022) and ICSID Caseload Statistics 2025-2; ILC Draft Articles on Diplomatic Protection (2006) and Articles on State Responsibility (2001), legal.un.org; PCIJ and ICJ judgments (icj-cij.org); the AAPL, SPP, Salini, White Industries and Micula awards; UNCTAD World Investment Report 2023; UNCITRAL Working Group III documents; Law Commission of India Report No 260. Secondary: Schreuer, </w:t>
      </w:r>
      <w:r>
        <w:rPr>
          <w:b/>
          <w:bCs/>
        </w:rPr>
        <w:t xml:space="preserve">Commentary on the ICSID Convention</w:t>
      </w:r>
      <w:r>
        <w:t xml:space="preserve">; Dolzer, Kriebaum and Schreuer; Salacuse; Sornarajah; Newcombe and Paradell; Schill; ICSID Review.</w:t>
      </w:r>
    </w:p>
    <w:p>
      <w:pPr>
        <w:pStyle w:val="Heading2"/>
      </w:pPr>
      <w:r>
        <w:t xml:space="preserve">Points requiring verification</w:t>
      </w:r>
    </w:p>
    <w:p>
      <w:pPr>
        <w:spacing w:after="100"/>
        <w:ind w:left="640" w:hanging="400"/>
      </w:pPr>
      <w:r>
        <w:rPr>
          <w:b/>
          <w:bCs/>
        </w:rPr>
        <w:t xml:space="preserve">1. </w:t>
      </w:r>
      <w:r>
        <w:rPr>
          <w:b/>
          <w:bCs/>
        </w:rPr>
        <w:t xml:space="preserve">SPP quantum</w:t>
      </w:r>
      <w:r>
        <w:t xml:space="preserve"> — principal USD 7,661,000 against a commonly reported total of about USD 27.6 million (ICSID Review 8(2) or 32 ILM 933). Also the report citation “3 ICSID Rep 112”.</w:t>
      </w:r>
    </w:p>
    <w:p>
      <w:pPr>
        <w:spacing w:after="100"/>
        <w:ind w:left="640" w:hanging="400"/>
      </w:pPr>
      <w:r>
        <w:rPr>
          <w:b/>
          <w:bCs/>
        </w:rPr>
        <w:t xml:space="preserve">2. </w:t>
      </w:r>
      <w:r>
        <w:rPr>
          <w:b/>
          <w:bCs/>
        </w:rPr>
        <w:t xml:space="preserve">White Industries</w:t>
      </w:r>
      <w:r>
        <w:t xml:space="preserve"> — dispositif paragraph and a consolidated interest-inclusive total.</w:t>
      </w:r>
    </w:p>
    <w:p>
      <w:pPr>
        <w:spacing w:after="100"/>
        <w:ind w:left="640" w:hanging="400"/>
      </w:pPr>
      <w:r>
        <w:rPr>
          <w:b/>
          <w:bCs/>
        </w:rPr>
        <w:t xml:space="preserve">3. </w:t>
      </w:r>
      <w:r>
        <w:rPr>
          <w:b/>
          <w:bCs/>
        </w:rPr>
        <w:t xml:space="preserve">North American Dredging</w:t>
      </w:r>
      <w:r>
        <w:t xml:space="preserve"> and </w:t>
      </w:r>
      <w:r>
        <w:rPr>
          <w:b/>
          <w:bCs/>
        </w:rPr>
        <w:t xml:space="preserve">Panevezys–Saldutiskis</w:t>
      </w:r>
      <w:r>
        <w:t xml:space="preserve"> — citations and exact holdings.</w:t>
      </w:r>
    </w:p>
    <w:p>
      <w:pPr>
        <w:spacing w:after="100"/>
        <w:ind w:left="640" w:hanging="400"/>
      </w:pPr>
      <w:r>
        <w:rPr>
          <w:b/>
          <w:bCs/>
        </w:rPr>
        <w:t xml:space="preserve">4. </w:t>
      </w:r>
      <w:r>
        <w:rPr>
          <w:b/>
          <w:bCs/>
        </w:rPr>
        <w:t xml:space="preserve">Drago–Porter</w:t>
      </w:r>
      <w:r>
        <w:t xml:space="preserve"> — exact title and form of the 1907 instrument.</w:t>
      </w:r>
    </w:p>
    <w:p>
      <w:pPr>
        <w:spacing w:after="100"/>
        <w:ind w:left="640" w:hanging="400"/>
      </w:pPr>
      <w:r>
        <w:rPr>
          <w:b/>
          <w:bCs/>
        </w:rPr>
        <w:t xml:space="preserve">5. </w:t>
      </w:r>
      <w:r>
        <w:rPr>
          <w:b/>
          <w:bCs/>
        </w:rPr>
        <w:t xml:space="preserve">UNGA Resolutions 1803 (XVII) and 3281 (XXIX)</w:t>
      </w:r>
      <w:r>
        <w:t xml:space="preserve"> — numbers and dates; likewise Abs–Shawcross (1959), the OECD Draft (1967) and the Germany–Pakistan BIT (1959).</w:t>
      </w:r>
    </w:p>
    <w:p>
      <w:pPr>
        <w:spacing w:after="100"/>
        <w:ind w:left="640" w:hanging="400"/>
      </w:pPr>
      <w:r>
        <w:rPr>
          <w:b/>
          <w:bCs/>
        </w:rPr>
        <w:t xml:space="preserve">6. </w:t>
      </w:r>
      <w:r>
        <w:rPr>
          <w:b/>
          <w:bCs/>
        </w:rPr>
        <w:t xml:space="preserve">Argentine necessity cases</w:t>
      </w:r>
      <w:r>
        <w:t xml:space="preserve"> — case numbers and annulment holdings.</w:t>
      </w:r>
    </w:p>
    <w:p>
      <w:pPr>
        <w:spacing w:after="100"/>
        <w:ind w:left="640" w:hanging="400"/>
      </w:pPr>
      <w:r>
        <w:rPr>
          <w:b/>
          <w:bCs/>
        </w:rPr>
        <w:t xml:space="preserve">7. </w:t>
      </w:r>
      <w:r>
        <w:rPr>
          <w:b/>
          <w:bCs/>
        </w:rPr>
        <w:t xml:space="preserve">Ecuador’s later denunciation</w:t>
      </w:r>
      <w:r>
        <w:t xml:space="preserve"> of the ICSID Convention after re-ratifying in 2021 — exact date.</w:t>
      </w:r>
    </w:p>
    <w:p>
      <w:pPr>
        <w:spacing w:after="100"/>
        <w:ind w:left="640" w:hanging="400"/>
      </w:pPr>
      <w:r>
        <w:rPr>
          <w:b/>
          <w:bCs/>
        </w:rPr>
        <w:t xml:space="preserve">8. </w:t>
      </w:r>
      <w:r>
        <w:rPr>
          <w:b/>
          <w:bCs/>
        </w:rPr>
        <w:t xml:space="preserve">Sections 34 and 48, Arbitration and Conciliation Act 1996</w:t>
      </w:r>
      <w:r>
        <w:t xml:space="preserve">; </w:t>
      </w:r>
      <w:r>
        <w:rPr>
          <w:b/>
          <w:bCs/>
        </w:rPr>
        <w:t xml:space="preserve">Bhatia International</w:t>
      </w:r>
      <w:r>
        <w:t xml:space="preserve">; </w:t>
      </w:r>
      <w:r>
        <w:rPr>
          <w:b/>
          <w:bCs/>
        </w:rPr>
        <w:t xml:space="preserve">Venture Global v Satyam</w:t>
      </w:r>
      <w:r>
        <w:t xml:space="preserve"> — citations taken from class notes.</w:t>
      </w:r>
    </w:p>
    <w:p>
      <w:pPr>
        <w:spacing w:after="100"/>
        <w:ind w:left="640" w:hanging="400"/>
      </w:pPr>
      <w:r>
        <w:rPr>
          <w:b/>
          <w:bCs/>
        </w:rPr>
        <w:t xml:space="preserve">9. </w:t>
      </w:r>
      <w:r>
        <w:rPr>
          <w:b/>
          <w:bCs/>
        </w:rPr>
        <w:t xml:space="preserve">Treaty numbers</w:t>
      </w:r>
      <w:r>
        <w:t xml:space="preserve"> — the figures given are as at end-2022; update from the latest World Investment Report.</w:t>
      </w:r>
    </w:p>
    <w:p>
      <w:pPr>
        <w:spacing w:after="100"/>
        <w:ind w:left="640" w:hanging="400"/>
      </w:pPr>
      <w:r>
        <w:rPr>
          <w:b/>
          <w:bCs/>
        </w:rPr>
        <w:t xml:space="preserve">10. </w:t>
      </w:r>
      <w:r>
        <w:rPr>
          <w:b/>
          <w:bCs/>
        </w:rPr>
        <w:t xml:space="preserve">Dutch (2019), Brazilian, Morocco–Nigeria (2016) and SADC model treaties</w:t>
      </w:r>
      <w:r>
        <w:t xml:space="preserve"> — features not separately verified.</w:t>
      </w:r>
    </w:p>
    <w:sectPr>
      <w:footerReference w:type="default" r:id="rId7"/>
      <w:pgSz w:w="11906" w:h="16838" w:orient="portrait"/>
      <w:pgMar w:top="1367" w:right="1367" w:bottom="1367" w:left="1512"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10"/>
      <w:jc w:val="center"/>
    </w:pPr>
    <w:r>
      <w:rPr>
        <w:rFonts w:ascii="Cambria" w:cs="Cambria" w:eastAsia="Cambria" w:hAnsi="Cambria"/>
        <w:color w:val="666666"/>
        <w:sz w:val="16"/>
        <w:szCs w:val="16"/>
      </w:rPr>
      <w:t xml:space="preserve">International Investment Law — Consolidated Notes  |  </w:t>
    </w:r>
    <w:r>
      <w:rPr>
        <w:rFonts w:ascii="Cambria" w:cs="Cambria" w:eastAsia="Cambria" w:hAnsi="Cambr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480" w:hanging="250"/>
      </w:pPr>
    </w:lvl>
    <w:lvl w:ilvl="1" w15:tentative="1">
      <w:start w:val="1"/>
      <w:numFmt w:val="bullet"/>
      <w:lvlText w:val="◦"/>
      <w:lvlJc w:val="left"/>
      <w:pPr>
        <w:spacing w:after="80"/>
        <w:ind w:left="86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1"/>
        <w:szCs w:val="21"/>
      </w:rPr>
    </w:rPrDefault>
    <w:pPrDefault>
      <w:pPr>
        <w:spacing w:after="13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40"/>
      <w:jc w:val="left"/>
      <w:outlineLvl w:val="0"/>
    </w:pPr>
    <w:rPr>
      <w:rFonts w:ascii="Cambria" w:cs="Cambria" w:eastAsia="Cambria" w:hAnsi="Cambria"/>
      <w:b/>
      <w:bCs/>
      <w:color w:val="1F3864"/>
      <w:sz w:val="29"/>
      <w:szCs w:val="29"/>
    </w:rPr>
  </w:style>
  <w:style w:type="paragraph" w:styleId="Heading2">
    <w:name w:val="Heading 2"/>
    <w:basedOn w:val="Normal"/>
    <w:next w:val="Normal"/>
    <w:qFormat/>
    <w:pPr>
      <w:spacing w:after="110" w:before="260"/>
      <w:jc w:val="left"/>
      <w:outlineLvl w:val="1"/>
    </w:pPr>
    <w:rPr>
      <w:rFonts w:ascii="Cambria" w:cs="Cambria" w:eastAsia="Cambria" w:hAnsi="Cambria"/>
      <w:b/>
      <w:bCs/>
      <w:color w:val="2F5496"/>
      <w:sz w:val="25"/>
      <w:szCs w:val="25"/>
    </w:rPr>
  </w:style>
  <w:style w:type="paragraph" w:styleId="Heading3">
    <w:name w:val="Heading 3"/>
    <w:basedOn w:val="Normal"/>
    <w:next w:val="Normal"/>
    <w:qFormat/>
    <w:pPr>
      <w:spacing w:after="90" w:before="180"/>
      <w:jc w:val="left"/>
      <w:outlineLvl w:val="2"/>
    </w:pPr>
    <w:rPr>
      <w:rFonts w:ascii="Cambria" w:cs="Cambria" w:eastAsia="Cambria" w:hAnsi="Cambria"/>
      <w:b/>
      <w:bCs/>
      <w:i/>
      <w:i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Investment Law — Consolidated Notes</dc:title>
  <dc:creator>Consolidated Legal Notes</dc:creator>
  <cp:lastModifiedBy>Un-named</cp:lastModifiedBy>
  <cp:revision>1</cp:revision>
  <dcterms:created xsi:type="dcterms:W3CDTF">2026-09-16T19:30:39.254Z</dcterms:created>
  <dcterms:modified xsi:type="dcterms:W3CDTF">2026-09-16T19:30:39.266Z</dcterms:modified>
</cp:coreProperties>
</file>

<file path=docProps/custom.xml><?xml version="1.0" encoding="utf-8"?>
<Properties xmlns="http://schemas.openxmlformats.org/officeDocument/2006/custom-properties" xmlns:vt="http://schemas.openxmlformats.org/officeDocument/2006/docPropsVTypes"/>
</file>