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0"/>
      </w:pPr>
      <w:r>
        <w:t xml:space="preserve"/>
      </w:r>
    </w:p>
    <w:p>
      <w:pPr>
        <w:spacing w:after="650"/>
        <w:jc w:val="center"/>
      </w:pPr>
      <w:r>
        <w:rPr>
          <w:rFonts w:ascii="Arial" w:cs="Arial" w:eastAsia="Arial" w:hAnsi="Arial"/>
          <w:b/>
          <w:bCs/>
          <w:color w:val="1F3864"/>
          <w:sz w:val="38"/>
          <w:szCs w:val="38"/>
        </w:rPr>
        <w:t xml:space="preserve">ALTERNATIVE DISPUTE RESOLUTION</w:t>
      </w:r>
    </w:p>
    <w:p>
      <w:pPr>
        <w:jc w:val="center"/>
      </w:pPr>
      <w:r>
        <w:rPr>
          <w:rFonts w:ascii="Arial" w:cs="Arial" w:eastAsia="Arial" w:hAnsi="Arial"/>
          <w:sz w:val="25"/>
          <w:szCs w:val="25"/>
        </w:rPr>
        <w:t xml:space="preserve">Surendra Mundvadiya</w:t>
      </w:r>
    </w:p>
    <w:p>
      <w:r>
        <w:br w:type="page"/>
      </w:r>
    </w:p>
    <w:p>
      <w:pPr>
        <w:spacing w:after="15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keepNext/>
        <w:pBdr>
          <w:bottom w:val="single" w:color="1F3864" w:sz="6" w:space="4"/>
        </w:pBdr>
        <w:spacing w:after="160" w:before="420"/>
      </w:pPr>
      <w:r>
        <w:t xml:space="preserve">1.  International Commercial Arbitration: Section 2(1)(f)</w:t>
      </w:r>
    </w:p>
    <w:p>
      <w:pPr>
        <w:pStyle w:val="Heading2"/>
        <w:keepNext/>
        <w:spacing w:after="100" w:before="250"/>
      </w:pPr>
      <w:r>
        <w:t xml:space="preserve">Meaning</w:t>
      </w:r>
    </w:p>
    <w:p>
      <w:pPr>
        <w:spacing w:after="120" w:line="264"/>
        <w:jc w:val="both"/>
      </w:pPr>
      <w:r>
        <w:t xml:space="preserve">International commercial arbitration (ICA) is arbitration of a </w:t>
      </w:r>
      <w:r>
        <w:rPr>
          <w:b/>
          <w:bCs/>
        </w:rPr>
        <w:t xml:space="preserve">commercial</w:t>
      </w:r>
      <w:r>
        <w:t xml:space="preserve"> dispute in which one side has a </w:t>
      </w:r>
      <w:r>
        <w:rPr>
          <w:b/>
          <w:bCs/>
        </w:rPr>
        <w:t xml:space="preserve">foreign element</w:t>
      </w:r>
      <w:r>
        <w:t xml:space="preserve">. It is not a separate kind of arbitration with its own procedure. It is a defined category inside Part I of the Act, and the definition matters because several provisions work differently once a dispute falls within it.</w:t>
      </w:r>
    </w:p>
    <w:p>
      <w:pPr>
        <w:pStyle w:val="Heading2"/>
        <w:keepNext/>
        <w:spacing w:after="100" w:before="250"/>
      </w:pPr>
      <w:r>
        <w:t xml:space="preserve">The three requirements</w:t>
      </w:r>
    </w:p>
    <w:p>
      <w:pPr>
        <w:spacing w:after="120" w:line="264"/>
        <w:jc w:val="both"/>
      </w:pPr>
      <w:r>
        <w:t xml:space="preserve">Under </w:t>
      </w:r>
      <w:r>
        <w:rPr>
          <w:b/>
          <w:bCs/>
        </w:rPr>
        <w:t xml:space="preserve">section 2(1)(f)</w:t>
      </w:r>
      <w:r>
        <w:t xml:space="preserve">, all three must be satisfied.</w:t>
      </w:r>
    </w:p>
    <w:p>
      <w:pPr>
        <w:pStyle w:val="ListParagraph"/>
        <w:numPr>
          <w:ilvl w:val="0"/>
          <w:numId w:val="2"/>
        </w:numPr>
        <w:spacing w:after="70" w:line="264"/>
        <w:jc w:val="both"/>
      </w:pPr>
      <w:r>
        <w:rPr>
          <w:b/>
          <w:bCs/>
        </w:rPr>
        <w:t xml:space="preserve">A legal relationship, whether contractual or not.</w:t>
      </w:r>
      <w:r>
        <w:t xml:space="preserve"> A concluded contract is not needed. A memorandum of understanding will do, as will partnership, bailment or agency.</w:t>
      </w:r>
    </w:p>
    <w:p>
      <w:pPr>
        <w:pStyle w:val="ListParagraph"/>
        <w:numPr>
          <w:ilvl w:val="0"/>
          <w:numId w:val="2"/>
        </w:numPr>
        <w:spacing w:after="70" w:line="264"/>
        <w:jc w:val="both"/>
      </w:pPr>
      <w:r>
        <w:rPr>
          <w:b/>
          <w:bCs/>
        </w:rPr>
        <w:t xml:space="preserve">The relationship must be commercial under the law in force in India.</w:t>
      </w:r>
      <w:r>
        <w:t xml:space="preserve"> Indian law decides this, and it is decided generously.</w:t>
      </w:r>
    </w:p>
    <w:p>
      <w:pPr>
        <w:pStyle w:val="ListParagraph"/>
        <w:numPr>
          <w:ilvl w:val="0"/>
          <w:numId w:val="2"/>
        </w:numPr>
        <w:spacing w:after="70" w:line="264"/>
        <w:jc w:val="both"/>
      </w:pPr>
      <w:r>
        <w:rPr>
          <w:b/>
          <w:bCs/>
        </w:rPr>
        <w:t xml:space="preserve">At least one party must be foreign</w:t>
      </w:r>
      <w:r>
        <w:t xml:space="preserve"> — (a) an individual who is a national of, or habitually resident in, a country other than India; (b) a body corporate incorporated outside India; (c) an association or body of individuals whose central management and control is exercised outside India; or (d) the Government of a foreign country.</w:t>
      </w:r>
    </w:p>
    <w:p>
      <w:pPr>
        <w:spacing w:after="120" w:line="264"/>
        <w:jc w:val="both"/>
      </w:pPr>
      <w:r>
        <w:t xml:space="preserve">One party is enough. It is not necessary that both are foreign.</w:t>
      </w:r>
    </w:p>
    <w:p>
      <w:pPr>
        <w:spacing w:after="120" w:line="264"/>
        <w:jc w:val="both"/>
      </w:pPr>
      <w:r>
        <w:rPr>
          <w:b/>
          <w:bCs/>
        </w:rPr>
        <w:t xml:space="preserve">Amendment note.</w:t>
      </w:r>
      <w:r>
        <w:t xml:space="preserve"> Sub-clause (c) originally began “a company or an association or a body of individuals”. The words </w:t>
      </w:r>
      <w:r>
        <w:rPr>
          <w:b/>
          <w:bCs/>
        </w:rPr>
        <w:t xml:space="preserve">“a company or” were omitted</w:t>
      </w:r>
      <w:r>
        <w:t xml:space="preserve"> by the 2015 Amendment (Act 3 of 2016), with effect from 23 October 2015. The central management and control test therefore never applies to a company. </w:t>
      </w:r>
      <w:r>
        <w:rPr>
          <w:b/>
          <w:bCs/>
          <w:shd w:fill="FFF2CC" w:color="auto" w:val="clear"/>
        </w:rPr>
        <w:t xml:space="preserve">A company's position is fixed by its place of incorporation.</w:t>
      </w:r>
    </w:p>
    <w:p>
      <w:pPr>
        <w:pStyle w:val="Heading2"/>
        <w:keepNext/>
        <w:spacing w:after="100" w:before="250"/>
      </w:pPr>
      <w:r>
        <w:t xml:space="preserve">Meaning of “commercial”</w:t>
      </w:r>
    </w:p>
    <w:p>
      <w:pPr>
        <w:keepNext/>
        <w:spacing w:after="60" w:before="150"/>
      </w:pPr>
      <w:r>
        <w:rPr>
          <w:b/>
          <w:bCs/>
          <w:i/>
          <w:iCs/>
          <w:sz w:val="21"/>
          <w:szCs w:val="21"/>
        </w:rPr>
        <w:t xml:space="preserve">R.M. Investments &amp; Trading Co. Pvt. Ltd. v. Boeing Co.</w:t>
      </w:r>
      <w:r>
        <w:rPr>
          <w:sz w:val="19"/>
          <w:szCs w:val="19"/>
        </w:rPr>
        <w:t xml:space="preserve">, (1994) 4 SCC 541; AIR 1994 SC 1136 (SC, 10 February 1994)</w:t>
      </w:r>
    </w:p>
    <w:p>
      <w:pPr>
        <w:spacing w:after="60" w:line="258"/>
        <w:ind w:left="230"/>
        <w:jc w:val="both"/>
      </w:pPr>
      <w:r>
        <w:rPr>
          <w:b/>
          <w:bCs/>
          <w:sz w:val="20"/>
          <w:szCs w:val="20"/>
        </w:rPr>
        <w:t xml:space="preserve">Facts. </w:t>
      </w:r>
      <w:r>
        <w:rPr>
          <w:sz w:val="20"/>
          <w:szCs w:val="20"/>
        </w:rPr>
        <w:t xml:space="preserve">An Indian company gave Boeing consultancy services to promote aircraft sales in India. After Boeing sold two aircraft to Air India, the company claimed commission, Boeing refused, and it sued in the Calcutta High Court. Boeing applied for a stay in favour of arbitration.</w:t>
      </w:r>
    </w:p>
    <w:p>
      <w:pPr>
        <w:spacing w:after="60" w:line="258"/>
        <w:ind w:left="230"/>
        <w:jc w:val="both"/>
      </w:pPr>
      <w:r>
        <w:rPr>
          <w:b/>
          <w:bCs/>
          <w:sz w:val="20"/>
          <w:szCs w:val="20"/>
        </w:rPr>
        <w:t xml:space="preserve">Decision. </w:t>
      </w:r>
      <w:r>
        <w:rPr>
          <w:sz w:val="20"/>
          <w:szCs w:val="20"/>
        </w:rPr>
        <w:t xml:space="preserve">The relationship was commercial, and the dispute was referred to arbitration.</w:t>
      </w:r>
    </w:p>
    <w:p>
      <w:pPr>
        <w:spacing w:after="60" w:line="258"/>
        <w:ind w:left="230"/>
        <w:jc w:val="both"/>
      </w:pPr>
      <w:r>
        <w:rPr>
          <w:b/>
          <w:bCs/>
          <w:sz w:val="20"/>
          <w:szCs w:val="20"/>
        </w:rPr>
        <w:t xml:space="preserve">Principle. </w:t>
      </w:r>
      <w:r>
        <w:rPr>
          <w:b/>
          <w:bCs/>
          <w:sz w:val="20"/>
          <w:szCs w:val="20"/>
          <w:shd w:fill="FFF2CC" w:color="auto" w:val="clear"/>
        </w:rPr>
        <w:t xml:space="preserve">The word “commercial” must be construed broadly,</w:t>
      </w:r>
      <w:r>
        <w:rPr>
          <w:sz w:val="20"/>
          <w:szCs w:val="20"/>
        </w:rPr>
        <w:t xml:space="preserve"> having regard to the many activities integral to international trade. A consultancy agreement made to promote a commercial transaction is itself commercial. It does not cease to be commercial merely because services rather than goods are supplied, or because the consultant is an independent contractor.</w:t>
      </w:r>
    </w:p>
    <w:p>
      <w:pPr>
        <w:pStyle w:val="Heading2"/>
        <w:keepNext/>
        <w:spacing w:after="100" w:before="250"/>
      </w:pPr>
      <w:r>
        <w:t xml:space="preserve">Nationality of a company</w:t>
      </w:r>
    </w:p>
    <w:p>
      <w:pPr>
        <w:spacing w:after="120" w:line="264"/>
        <w:jc w:val="both"/>
      </w:pPr>
      <w:r>
        <w:t xml:space="preserve">Because sub-clause (b) uses the place of incorporation, </w:t>
      </w:r>
      <w:r>
        <w:rPr>
          <w:b/>
          <w:bCs/>
        </w:rPr>
        <w:t xml:space="preserve">two companies incorporated in India are both Indian parties</w:t>
      </w:r>
      <w:r>
        <w:t xml:space="preserve">, and an arbitration between them is purely domestic, however the shareholding or control is held.</w:t>
      </w:r>
    </w:p>
    <w:p>
      <w:pPr>
        <w:keepNext/>
        <w:spacing w:after="60" w:before="150"/>
      </w:pPr>
      <w:r>
        <w:rPr>
          <w:b/>
          <w:bCs/>
          <w:i/>
          <w:iCs/>
          <w:sz w:val="21"/>
          <w:szCs w:val="21"/>
        </w:rPr>
        <w:t xml:space="preserve">TDM Infrastructure P. Ltd. v. UE Development India P. Ltd.</w:t>
      </w:r>
      <w:r>
        <w:rPr>
          <w:sz w:val="19"/>
          <w:szCs w:val="19"/>
        </w:rPr>
        <w:t xml:space="preserve">, (2008) 14 SCC 271 (SC, 14 May 2008)</w:t>
      </w:r>
    </w:p>
    <w:p>
      <w:pPr>
        <w:spacing w:after="60" w:line="258"/>
        <w:ind w:left="230"/>
        <w:jc w:val="both"/>
      </w:pPr>
      <w:r>
        <w:rPr>
          <w:b/>
          <w:bCs/>
          <w:sz w:val="20"/>
          <w:szCs w:val="20"/>
        </w:rPr>
        <w:t xml:space="preserve">Facts. </w:t>
      </w:r>
      <w:r>
        <w:rPr>
          <w:sz w:val="20"/>
          <w:szCs w:val="20"/>
        </w:rPr>
        <w:t xml:space="preserve">Both companies were incorporated in India, but one was foreign-controlled. The question was whether the arbitration was an ICA.</w:t>
      </w:r>
    </w:p>
    <w:p>
      <w:pPr>
        <w:spacing w:after="60" w:line="258"/>
        <w:ind w:left="230"/>
        <w:jc w:val="both"/>
      </w:pPr>
      <w:r>
        <w:rPr>
          <w:b/>
          <w:bCs/>
          <w:sz w:val="20"/>
          <w:szCs w:val="20"/>
        </w:rPr>
        <w:t xml:space="preserve">Decision. </w:t>
      </w:r>
      <w:r>
        <w:rPr>
          <w:sz w:val="20"/>
          <w:szCs w:val="20"/>
        </w:rPr>
        <w:t xml:space="preserve">It was not. The Court applied the place-of-incorporation rule.</w:t>
      </w:r>
    </w:p>
    <w:p>
      <w:pPr>
        <w:spacing w:after="60" w:line="258"/>
        <w:ind w:left="230"/>
        <w:jc w:val="both"/>
      </w:pPr>
      <w:r>
        <w:rPr>
          <w:b/>
          <w:bCs/>
          <w:sz w:val="20"/>
          <w:szCs w:val="20"/>
        </w:rPr>
        <w:t xml:space="preserve">Principle. </w:t>
      </w:r>
      <w:r>
        <w:rPr>
          <w:sz w:val="20"/>
          <w:szCs w:val="20"/>
        </w:rPr>
        <w:t xml:space="preserve">Once both companies are incorporated in India they are domiciled in India, so their arbitration agreement is not an international commercial arbitration agreement. The Law Commission relied on this reasoning in its 246th Report (2014) when recommending the deletion of “a company or”.</w:t>
      </w:r>
    </w:p>
    <w:p>
      <w:pPr>
        <w:pStyle w:val="Heading2"/>
        <w:keepNext/>
        <w:spacing w:after="100" w:before="250"/>
      </w:pPr>
      <w:r>
        <w:t xml:space="preserve">Salient features of international arbitration</w:t>
      </w:r>
    </w:p>
    <w:p>
      <w:pPr>
        <w:spacing w:after="120" w:line="264"/>
        <w:jc w:val="both"/>
      </w:pPr>
      <w:r>
        <w:t xml:space="preserve">These features are the standard answer to a question on the salient features. Each comes either from the UNCITRAL Model Law or from a provision of the Indian Act.</w:t>
      </w:r>
    </w:p>
    <w:p>
      <w:pPr>
        <w:pStyle w:val="ListParagraph"/>
        <w:numPr>
          <w:ilvl w:val="0"/>
          <w:numId w:val="3"/>
        </w:numPr>
        <w:spacing w:after="70" w:line="264"/>
        <w:jc w:val="both"/>
      </w:pPr>
      <w:r>
        <w:rPr>
          <w:b/>
          <w:bCs/>
        </w:rPr>
        <w:t xml:space="preserve">A private process</w:t>
      </w:r>
      <w:r>
        <w:t xml:space="preserve"> designed for the special needs of international commerce.</w:t>
      </w:r>
    </w:p>
    <w:p>
      <w:pPr>
        <w:pStyle w:val="ListParagraph"/>
        <w:numPr>
          <w:ilvl w:val="0"/>
          <w:numId w:val="3"/>
        </w:numPr>
        <w:spacing w:after="70" w:line="264"/>
        <w:jc w:val="both"/>
      </w:pPr>
      <w:r>
        <w:rPr>
          <w:b/>
          <w:bCs/>
        </w:rPr>
        <w:t xml:space="preserve">Consent, with party autonomy as the foundation.</w:t>
      </w:r>
      <w:r>
        <w:t xml:space="preserve"> The parties choose the tribunal, the procedure, the seat, the language and the applicable law. The arbitration agreement is the evidence of their consent. Autonomy stops at the non-derogable provisions, of which section 34 is the leading example.</w:t>
      </w:r>
    </w:p>
    <w:p>
      <w:pPr>
        <w:pStyle w:val="ListParagraph"/>
        <w:numPr>
          <w:ilvl w:val="0"/>
          <w:numId w:val="3"/>
        </w:numPr>
        <w:spacing w:after="70" w:line="264"/>
        <w:jc w:val="both"/>
      </w:pPr>
      <w:r>
        <w:rPr>
          <w:b/>
          <w:bCs/>
        </w:rPr>
        <w:t xml:space="preserve">State support through an enabling statute</w:t>
      </w:r>
      <w:r>
        <w:t xml:space="preserve">, ouster of civil court jurisdiction over matters covered by the agreement, and court-annexed arbitration under section 89 of the Code of Civil Procedure, 1908.</w:t>
      </w:r>
    </w:p>
    <w:p>
      <w:pPr>
        <w:pStyle w:val="ListParagraph"/>
        <w:numPr>
          <w:ilvl w:val="0"/>
          <w:numId w:val="3"/>
        </w:numPr>
        <w:spacing w:after="70" w:line="264"/>
        <w:jc w:val="both"/>
      </w:pPr>
      <w:r>
        <w:rPr>
          <w:b/>
          <w:bCs/>
        </w:rPr>
        <w:t xml:space="preserve">Uniform legislation.</w:t>
      </w:r>
      <w:r>
        <w:t xml:space="preserve"> National laws follow the Model Law, because uniformity encourages cross-border trade and investment.</w:t>
      </w:r>
    </w:p>
    <w:p>
      <w:pPr>
        <w:pStyle w:val="ListParagraph"/>
        <w:numPr>
          <w:ilvl w:val="0"/>
          <w:numId w:val="3"/>
        </w:numPr>
        <w:spacing w:after="70" w:line="264"/>
        <w:jc w:val="both"/>
      </w:pPr>
      <w:r>
        <w:rPr>
          <w:b/>
          <w:bCs/>
        </w:rPr>
        <w:t xml:space="preserve">Exclusion of judicial intervention.</w:t>
      </w:r>
      <w:r>
        <w:t xml:space="preserve"> Article 5 of the Model Law is enacted in India as </w:t>
      </w:r>
      <w:r>
        <w:rPr>
          <w:b/>
          <w:bCs/>
        </w:rPr>
        <w:t xml:space="preserve">section 5</w:t>
      </w:r>
      <w:r>
        <w:t xml:space="preserve">.</w:t>
      </w:r>
    </w:p>
    <w:p>
      <w:pPr>
        <w:pStyle w:val="ListParagraph"/>
        <w:numPr>
          <w:ilvl w:val="0"/>
          <w:numId w:val="3"/>
        </w:numPr>
        <w:spacing w:after="70" w:line="264"/>
        <w:jc w:val="both"/>
      </w:pPr>
      <w:r>
        <w:rPr>
          <w:b/>
          <w:bCs/>
        </w:rPr>
        <w:t xml:space="preserve">Courts support rather than supervise</w:t>
      </w:r>
      <w:r>
        <w:t xml:space="preserve"> — interim measures (section 9), assistance in taking evidence (section 27), and enforcement.</w:t>
      </w:r>
    </w:p>
    <w:p>
      <w:pPr>
        <w:pStyle w:val="ListParagraph"/>
        <w:numPr>
          <w:ilvl w:val="0"/>
          <w:numId w:val="3"/>
        </w:numPr>
        <w:spacing w:after="70" w:line="264"/>
        <w:jc w:val="both"/>
      </w:pPr>
      <w:r>
        <w:rPr>
          <w:b/>
          <w:bCs/>
        </w:rPr>
        <w:t xml:space="preserve">Competence-competence and separability</w:t>
      </w:r>
      <w:r>
        <w:t xml:space="preserve"> (section 16).</w:t>
      </w:r>
    </w:p>
    <w:p>
      <w:pPr>
        <w:pStyle w:val="ListParagraph"/>
        <w:numPr>
          <w:ilvl w:val="0"/>
          <w:numId w:val="3"/>
        </w:numPr>
        <w:spacing w:after="70" w:line="264"/>
        <w:jc w:val="both"/>
      </w:pPr>
      <w:r>
        <w:rPr>
          <w:b/>
          <w:bCs/>
        </w:rPr>
        <w:t xml:space="preserve">A reasoned award and narrow recourse.</w:t>
      </w:r>
      <w:r>
        <w:t xml:space="preserve"> The award must be in writing and signed, and must give reasons unless the parties agree otherwise or it is an award on agreed terms. </w:t>
      </w:r>
      <w:r>
        <w:rPr>
          <w:b/>
          <w:bCs/>
          <w:shd w:fill="FFF2CC" w:color="auto" w:val="clear"/>
        </w:rPr>
        <w:t xml:space="preserve">There is no review on the merits, so even an erroneous award is enforceable.</w:t>
      </w:r>
    </w:p>
    <w:p>
      <w:pPr>
        <w:pStyle w:val="ListParagraph"/>
        <w:numPr>
          <w:ilvl w:val="0"/>
          <w:numId w:val="3"/>
        </w:numPr>
        <w:spacing w:after="70" w:line="264"/>
        <w:jc w:val="both"/>
      </w:pPr>
      <w:r>
        <w:rPr>
          <w:b/>
          <w:bCs/>
        </w:rPr>
        <w:t xml:space="preserve">Two presumptive obligations</w:t>
      </w:r>
      <w:r>
        <w:t xml:space="preserve"> — to recognise the arbitration agreement, and to recognise and enforce the award. A departure from either is a breach of the international regime.</w:t>
      </w:r>
    </w:p>
    <w:p>
      <w:pPr>
        <w:spacing w:after="120" w:line="264"/>
        <w:jc w:val="both"/>
      </w:pPr>
      <w:r>
        <w:t xml:space="preserve">Two commonly listed advantages need qualification. </w:t>
      </w:r>
      <w:r>
        <w:rPr>
          <w:b/>
          <w:bCs/>
        </w:rPr>
        <w:t xml:space="preserve">Confidentiality</w:t>
      </w:r>
      <w:r>
        <w:t xml:space="preserve"> is what corporate users value most, but it is not universal: investment treaty awards are usually published, and environmental matters may attract transparency duties. </w:t>
      </w:r>
      <w:r>
        <w:rPr>
          <w:b/>
          <w:bCs/>
        </w:rPr>
        <w:t xml:space="preserve">Limited appeals</w:t>
      </w:r>
      <w:r>
        <w:t xml:space="preserve"> is true within the Act, but Articles 226, 227 and 32 remain available in a proper case, so an award is less final in practice than the Act suggests.</w:t>
      </w:r>
    </w:p>
    <w:p>
      <w:pPr>
        <w:pStyle w:val="Heading2"/>
        <w:keepNext/>
        <w:spacing w:after="100" w:before="250"/>
      </w:pPr>
      <w:r>
        <w:t xml:space="preserve">Choice of law, seat and venue</w:t>
      </w:r>
    </w:p>
    <w:p>
      <w:pPr>
        <w:spacing w:after="120" w:line="264"/>
        <w:jc w:val="both"/>
      </w:pPr>
      <w:r>
        <w:t xml:space="preserve">One arbitration may be governed by three different laws at the same time, and they must be kept apart.</w:t>
      </w:r>
    </w:p>
    <w:p>
      <w:pPr>
        <w:pStyle w:val="ListParagraph"/>
        <w:numPr>
          <w:ilvl w:val="0"/>
          <w:numId w:val="4"/>
        </w:numPr>
        <w:spacing w:after="70" w:line="264"/>
        <w:jc w:val="both"/>
      </w:pPr>
      <w:r>
        <w:rPr>
          <w:b/>
          <w:bCs/>
        </w:rPr>
        <w:t xml:space="preserve">Substantive law</w:t>
      </w:r>
      <w:r>
        <w:t xml:space="preserve"> — governs the merits. The tribunal applies the rules of law the parties chose for the substance of the dispute.</w:t>
      </w:r>
    </w:p>
    <w:p>
      <w:pPr>
        <w:pStyle w:val="ListParagraph"/>
        <w:numPr>
          <w:ilvl w:val="0"/>
          <w:numId w:val="4"/>
        </w:numPr>
        <w:spacing w:after="70" w:line="264"/>
        <w:jc w:val="both"/>
      </w:pPr>
      <w:r>
        <w:rPr>
          <w:b/>
          <w:bCs/>
        </w:rPr>
        <w:t xml:space="preserve">Law of the arbitration agreement</w:t>
      </w:r>
      <w:r>
        <w:t xml:space="preserve"> — may differ from the law of the main contract, because the clause is separable.</w:t>
      </w:r>
    </w:p>
    <w:p>
      <w:pPr>
        <w:pStyle w:val="ListParagraph"/>
        <w:numPr>
          <w:ilvl w:val="0"/>
          <w:numId w:val="4"/>
        </w:numPr>
        <w:spacing w:after="70" w:line="264"/>
        <w:jc w:val="both"/>
      </w:pPr>
      <w:r>
        <w:rPr>
          <w:b/>
          <w:bCs/>
        </w:rPr>
        <w:t xml:space="preserve">Procedural law</w:t>
      </w:r>
      <w:r>
        <w:t xml:space="preserve"> (</w:t>
      </w:r>
      <w:r>
        <w:rPr>
          <w:i/>
          <w:iCs/>
        </w:rPr>
        <w:t xml:space="preserve">lex arbitri</w:t>
      </w:r>
      <w:r>
        <w:t xml:space="preserve">) — governs the conduct of the proceedings and the arbitration's relationship with the courts of the seat. It follows the seat.</w:t>
      </w:r>
    </w:p>
    <w:p>
      <w:pPr>
        <w:spacing w:after="120" w:line="264"/>
        <w:jc w:val="both"/>
      </w:pPr>
      <w:r>
        <w:t xml:space="preserve">A tribunal may also be authorised to decide </w:t>
      </w:r>
      <w:r>
        <w:rPr>
          <w:i/>
          <w:iCs/>
        </w:rPr>
        <w:t xml:space="preserve">ex aequo et bono</w:t>
      </w:r>
      <w:r>
        <w:t xml:space="preserve"> (what is right and good) or as </w:t>
      </w:r>
      <w:r>
        <w:rPr>
          <w:i/>
          <w:iCs/>
        </w:rPr>
        <w:t xml:space="preserve">amiable compositeur</w:t>
      </w:r>
      <w:r>
        <w:t xml:space="preserve"> (what it believes fair), but only if the parties give it that mandate. It is never assumed.</w:t>
      </w:r>
    </w:p>
    <w:p>
      <w:pPr>
        <w:spacing w:after="120" w:line="264"/>
        <w:jc w:val="both"/>
      </w:pPr>
      <w:r>
        <w:rPr>
          <w:b/>
          <w:bCs/>
        </w:rPr>
        <w:t xml:space="preserve">Seat and venue.</w:t>
      </w:r>
      <w:r>
        <w:t xml:space="preserve"> Section 20 says “place”, and Indian practice reads this as the </w:t>
      </w:r>
      <w:r>
        <w:rPr>
          <w:b/>
          <w:bCs/>
        </w:rPr>
        <w:t xml:space="preserve">juridical seat</w:t>
      </w:r>
      <w:r>
        <w:t xml:space="preserve">. </w:t>
      </w:r>
      <w:r>
        <w:rPr>
          <w:b/>
          <w:bCs/>
          <w:shd w:fill="FFF2CC" w:color="auto" w:val="clear"/>
        </w:rPr>
        <w:t xml:space="preserve">The seat fixes the procedural law and the court that supervises the arbitration, including the court that may set the award aside.</w:t>
      </w:r>
      <w:r>
        <w:t xml:space="preserve"> The </w:t>
      </w:r>
      <w:r>
        <w:rPr>
          <w:b/>
          <w:bCs/>
        </w:rPr>
        <w:t xml:space="preserve">venue</w:t>
      </w:r>
      <w:r>
        <w:t xml:space="preserve"> is only where the tribunal sits, and section 20(3) lets it sit elsewhere without changing the seat.</w:t>
      </w:r>
    </w:p>
    <w:p>
      <w:pPr>
        <w:pStyle w:val="Heading2"/>
        <w:keepNext/>
        <w:spacing w:after="100" w:before="250"/>
      </w:pPr>
      <w:r>
        <w:t xml:space="preserve">Scope of Part I: the territorial question</w:t>
      </w:r>
    </w:p>
    <w:p>
      <w:pPr>
        <w:spacing w:after="120" w:line="264"/>
        <w:jc w:val="both"/>
      </w:pPr>
      <w:r>
        <w:t xml:space="preserve">Part I contains the definitions, section 9 and section 34. Part II governs foreign awards and has, instead of a set-aside provision, </w:t>
      </w:r>
      <w:r>
        <w:rPr>
          <w:b/>
          <w:bCs/>
        </w:rPr>
        <w:t xml:space="preserve">section 48</w:t>
      </w:r>
      <w:r>
        <w:t xml:space="preserve"> on refusal of recognition. Part II must still borrow from Part I even to know what an arbitration agreement is, and the two Parts do not mesh.</w:t>
      </w:r>
    </w:p>
    <w:p>
      <w:pPr>
        <w:spacing w:after="120" w:line="264"/>
        <w:jc w:val="both"/>
      </w:pPr>
      <w:r>
        <w:rPr>
          <w:b/>
          <w:bCs/>
        </w:rPr>
        <w:t xml:space="preserve">Section 2(2)</w:t>
      </w:r>
      <w:r>
        <w:t xml:space="preserve"> says Part I “shall apply where the place of arbitration is India”, and </w:t>
      </w:r>
      <w:r>
        <w:rPr>
          <w:b/>
          <w:bCs/>
        </w:rPr>
        <w:t xml:space="preserve">section 2(7)</w:t>
      </w:r>
      <w:r>
        <w:t xml:space="preserve"> makes an award under Part I a domestic award. The controversy was textual: section 2(2) does not say Part I shall </w:t>
      </w:r>
      <w:r>
        <w:rPr>
          <w:i/>
          <w:iCs/>
        </w:rPr>
        <w:t xml:space="preserve">only</w:t>
      </w:r>
      <w:r>
        <w:t xml:space="preserve"> apply where the seat is India.</w:t>
      </w:r>
    </w:p>
    <w:p>
      <w:pPr>
        <w:keepNext/>
        <w:spacing w:after="60" w:before="150"/>
      </w:pPr>
      <w:r>
        <w:rPr>
          <w:b/>
          <w:bCs/>
          <w:i/>
          <w:iCs/>
          <w:sz w:val="21"/>
          <w:szCs w:val="21"/>
        </w:rPr>
        <w:t xml:space="preserve">Bhatia International v. Bulk Trading S.A.</w:t>
      </w:r>
      <w:r>
        <w:rPr>
          <w:sz w:val="19"/>
          <w:szCs w:val="19"/>
        </w:rPr>
        <w:t xml:space="preserve">, (2002) 4 SCC 105 (SC, 3 Judges)</w:t>
      </w:r>
    </w:p>
    <w:p>
      <w:pPr>
        <w:spacing w:after="60" w:line="258"/>
        <w:ind w:left="230"/>
        <w:jc w:val="both"/>
      </w:pPr>
      <w:r>
        <w:rPr>
          <w:b/>
          <w:bCs/>
          <w:sz w:val="20"/>
          <w:szCs w:val="20"/>
        </w:rPr>
        <w:t xml:space="preserve">Facts. </w:t>
      </w:r>
      <w:r>
        <w:rPr>
          <w:sz w:val="20"/>
          <w:szCs w:val="20"/>
        </w:rPr>
        <w:t xml:space="preserve">The parties agreed to ICC arbitration in Paris. The respondent applied under section 9 to the District Court at Indore for an injunction against alienation of property.</w:t>
      </w:r>
    </w:p>
    <w:p>
      <w:pPr>
        <w:spacing w:after="60" w:line="258"/>
        <w:ind w:left="230"/>
        <w:jc w:val="both"/>
      </w:pPr>
      <w:r>
        <w:rPr>
          <w:b/>
          <w:bCs/>
          <w:sz w:val="20"/>
          <w:szCs w:val="20"/>
        </w:rPr>
        <w:t xml:space="preserve">Decision. </w:t>
      </w:r>
      <w:r>
        <w:rPr>
          <w:sz w:val="20"/>
          <w:szCs w:val="20"/>
        </w:rPr>
        <w:t xml:space="preserve">Section 9 was available. Part I applies to all arbitrations — compulsorily where the seat is India, and to a foreign-seated ICA unless the parties exclude it expressly or impliedly.</w:t>
      </w:r>
    </w:p>
    <w:p>
      <w:pPr>
        <w:spacing w:after="60" w:line="258"/>
        <w:ind w:left="230"/>
        <w:jc w:val="both"/>
      </w:pPr>
      <w:r>
        <w:rPr>
          <w:b/>
          <w:bCs/>
          <w:sz w:val="20"/>
          <w:szCs w:val="20"/>
        </w:rPr>
        <w:t xml:space="preserve">Principle. </w:t>
      </w:r>
      <w:r>
        <w:rPr>
          <w:sz w:val="20"/>
          <w:szCs w:val="20"/>
        </w:rPr>
        <w:t xml:space="preserve">Part I was read as applying to foreign-seated arbitrations by default.</w:t>
      </w:r>
    </w:p>
    <w:p>
      <w:pPr>
        <w:spacing w:after="60" w:line="258"/>
        <w:ind w:left="230"/>
        <w:jc w:val="both"/>
      </w:pPr>
      <w:r>
        <w:rPr>
          <w:b/>
          <w:bCs/>
          <w:sz w:val="20"/>
          <w:szCs w:val="20"/>
        </w:rPr>
        <w:t xml:space="preserve">Status. </w:t>
      </w:r>
      <w:r>
        <w:rPr>
          <w:b/>
          <w:bCs/>
          <w:sz w:val="20"/>
          <w:szCs w:val="20"/>
        </w:rPr>
        <w:t xml:space="preserve">Overruled prospectively by BALCO.</w:t>
      </w:r>
    </w:p>
    <w:p>
      <w:pPr>
        <w:keepNext/>
        <w:spacing w:after="60" w:before="150"/>
      </w:pPr>
      <w:r>
        <w:rPr>
          <w:b/>
          <w:bCs/>
          <w:i/>
          <w:iCs/>
          <w:sz w:val="21"/>
          <w:szCs w:val="21"/>
        </w:rPr>
        <w:t xml:space="preserve">Venture Global Engineering v. Satyam Computer Services Ltd.</w:t>
      </w:r>
      <w:r>
        <w:rPr>
          <w:sz w:val="19"/>
          <w:szCs w:val="19"/>
        </w:rPr>
        <w:t xml:space="preserve">, (2008) 4 SCC 190 (SC)</w:t>
      </w:r>
    </w:p>
    <w:p>
      <w:pPr>
        <w:spacing w:after="60" w:line="258"/>
        <w:ind w:left="230"/>
        <w:jc w:val="both"/>
      </w:pPr>
      <w:r>
        <w:rPr>
          <w:b/>
          <w:bCs/>
          <w:sz w:val="20"/>
          <w:szCs w:val="20"/>
        </w:rPr>
        <w:t xml:space="preserve">Facts. </w:t>
      </w:r>
      <w:r>
        <w:rPr>
          <w:sz w:val="20"/>
          <w:szCs w:val="20"/>
        </w:rPr>
        <w:t xml:space="preserve">The losing party in a foreign-seated arbitration sought to set the award aside in India under section 34, relying on </w:t>
      </w:r>
      <w:r>
        <w:rPr>
          <w:b/>
          <w:bCs/>
          <w:i/>
          <w:iCs/>
          <w:sz w:val="20"/>
          <w:szCs w:val="20"/>
        </w:rPr>
        <w:t xml:space="preserve">Bhatia International</w:t>
      </w:r>
      <w:r>
        <w:rPr>
          <w:sz w:val="20"/>
          <w:szCs w:val="20"/>
        </w:rPr>
        <w:t xml:space="preserve">.</w:t>
      </w:r>
    </w:p>
    <w:p>
      <w:pPr>
        <w:spacing w:after="60" w:line="258"/>
        <w:ind w:left="230"/>
        <w:jc w:val="both"/>
      </w:pPr>
      <w:r>
        <w:rPr>
          <w:b/>
          <w:bCs/>
          <w:sz w:val="20"/>
          <w:szCs w:val="20"/>
        </w:rPr>
        <w:t xml:space="preserve">Decision. </w:t>
      </w:r>
      <w:r>
        <w:rPr>
          <w:sz w:val="20"/>
          <w:szCs w:val="20"/>
        </w:rPr>
        <w:t xml:space="preserve">Section 34 was held available against a foreign award.</w:t>
      </w:r>
    </w:p>
    <w:p>
      <w:pPr>
        <w:spacing w:after="60" w:line="258"/>
        <w:ind w:left="230"/>
        <w:jc w:val="both"/>
      </w:pPr>
      <w:r>
        <w:rPr>
          <w:b/>
          <w:bCs/>
          <w:sz w:val="20"/>
          <w:szCs w:val="20"/>
        </w:rPr>
        <w:t xml:space="preserve">Principle. </w:t>
      </w:r>
      <w:r>
        <w:rPr>
          <w:sz w:val="20"/>
          <w:szCs w:val="20"/>
        </w:rPr>
        <w:t xml:space="preserve">This cut across the New York Convention, under which a foreign award may be </w:t>
      </w:r>
      <w:r>
        <w:rPr>
          <w:b/>
          <w:bCs/>
          <w:sz w:val="20"/>
          <w:szCs w:val="20"/>
        </w:rPr>
        <w:t xml:space="preserve">refused recognition</w:t>
      </w:r>
      <w:r>
        <w:rPr>
          <w:sz w:val="20"/>
          <w:szCs w:val="20"/>
        </w:rPr>
        <w:t xml:space="preserve"> on Article V grounds but cannot be </w:t>
      </w:r>
      <w:r>
        <w:rPr>
          <w:b/>
          <w:bCs/>
          <w:sz w:val="20"/>
          <w:szCs w:val="20"/>
        </w:rPr>
        <w:t xml:space="preserve">set aside</w:t>
      </w:r>
      <w:r>
        <w:rPr>
          <w:sz w:val="20"/>
          <w:szCs w:val="20"/>
        </w:rPr>
        <w:t xml:space="preserve"> outside the seat. The difference matters: refusal affects only that forum, while a set-aside award is normally unenforceable everywhere.</w:t>
      </w:r>
    </w:p>
    <w:p>
      <w:pPr>
        <w:spacing w:after="60" w:line="258"/>
        <w:ind w:left="230"/>
        <w:jc w:val="both"/>
      </w:pPr>
      <w:r>
        <w:rPr>
          <w:b/>
          <w:bCs/>
          <w:sz w:val="20"/>
          <w:szCs w:val="20"/>
        </w:rPr>
        <w:t xml:space="preserve">Status. </w:t>
      </w:r>
      <w:r>
        <w:rPr>
          <w:b/>
          <w:bCs/>
          <w:sz w:val="20"/>
          <w:szCs w:val="20"/>
        </w:rPr>
        <w:t xml:space="preserve">Overruled prospectively by BALCO.</w:t>
      </w:r>
    </w:p>
    <w:p>
      <w:pPr>
        <w:keepNext/>
        <w:spacing w:after="60" w:before="150"/>
      </w:pPr>
      <w:r>
        <w:rPr>
          <w:b/>
          <w:bCs/>
          <w:i/>
          <w:iCs/>
          <w:sz w:val="21"/>
          <w:szCs w:val="21"/>
        </w:rPr>
        <w:t xml:space="preserve">Bharat Aluminium Co. v. Kaiser Aluminium Technical Services Inc. (BALCO)</w:t>
      </w:r>
      <w:r>
        <w:rPr>
          <w:sz w:val="19"/>
          <w:szCs w:val="19"/>
        </w:rPr>
        <w:t xml:space="preserve">, (2012) 9 SCC 552 (SC, Constitution Bench of 5, judgment dated 6 September 2012)</w:t>
      </w:r>
    </w:p>
    <w:p>
      <w:pPr>
        <w:spacing w:after="60" w:line="258"/>
        <w:ind w:left="230"/>
        <w:jc w:val="both"/>
      </w:pPr>
      <w:r>
        <w:rPr>
          <w:b/>
          <w:bCs/>
          <w:sz w:val="20"/>
          <w:szCs w:val="20"/>
        </w:rPr>
        <w:t xml:space="preserve">Facts. </w:t>
      </w:r>
      <w:r>
        <w:rPr>
          <w:sz w:val="20"/>
          <w:szCs w:val="20"/>
        </w:rPr>
        <w:t xml:space="preserve">A Constitution Bench was constituted to resolve the confusion created by the two earlier decisions.</w:t>
      </w:r>
    </w:p>
    <w:p>
      <w:pPr>
        <w:spacing w:after="60" w:line="258"/>
        <w:ind w:left="230"/>
        <w:jc w:val="both"/>
      </w:pPr>
      <w:r>
        <w:rPr>
          <w:b/>
          <w:bCs/>
          <w:sz w:val="20"/>
          <w:szCs w:val="20"/>
        </w:rPr>
        <w:t xml:space="preserve">Decision. </w:t>
      </w:r>
      <w:r>
        <w:rPr>
          <w:b/>
          <w:bCs/>
          <w:sz w:val="20"/>
          <w:szCs w:val="20"/>
          <w:shd w:fill="FFF2CC" w:color="auto" w:val="clear"/>
        </w:rPr>
        <w:t xml:space="preserve">Part I applies only to arbitrations seated in India.</w:t>
      </w:r>
      <w:r>
        <w:rPr>
          <w:sz w:val="20"/>
          <w:szCs w:val="20"/>
        </w:rPr>
        <w:t xml:space="preserve"> Both earlier decisions were overruled.</w:t>
      </w:r>
    </w:p>
    <w:p>
      <w:pPr>
        <w:spacing w:after="60" w:line="258"/>
        <w:ind w:left="230"/>
        <w:jc w:val="both"/>
      </w:pPr>
      <w:r>
        <w:rPr>
          <w:b/>
          <w:bCs/>
          <w:sz w:val="20"/>
          <w:szCs w:val="20"/>
        </w:rPr>
        <w:t xml:space="preserve">Principle. </w:t>
      </w:r>
      <w:r>
        <w:rPr>
          <w:sz w:val="20"/>
          <w:szCs w:val="20"/>
        </w:rPr>
        <w:t xml:space="preserve">The Court adopted a </w:t>
      </w:r>
      <w:r>
        <w:rPr>
          <w:b/>
          <w:bCs/>
          <w:sz w:val="20"/>
          <w:szCs w:val="20"/>
        </w:rPr>
        <w:t xml:space="preserve">seat-centric</w:t>
      </w:r>
      <w:r>
        <w:rPr>
          <w:sz w:val="20"/>
          <w:szCs w:val="20"/>
        </w:rPr>
        <w:t xml:space="preserve"> approach rather than a subject-matter-centric one. The seat decides which law governs the arbitration and which courts supervise it. Two results followed for foreign-seated arbitration: no set-aside under section 34, and (as then held) no court-ordered interim relief.</w:t>
      </w:r>
    </w:p>
    <w:p>
      <w:pPr>
        <w:spacing w:after="60" w:line="258"/>
        <w:ind w:left="230"/>
        <w:jc w:val="both"/>
      </w:pPr>
      <w:r>
        <w:rPr>
          <w:b/>
          <w:bCs/>
          <w:sz w:val="20"/>
          <w:szCs w:val="20"/>
        </w:rPr>
        <w:t xml:space="preserve">Status. </w:t>
      </w:r>
      <w:r>
        <w:rPr>
          <w:sz w:val="20"/>
          <w:szCs w:val="20"/>
        </w:rPr>
        <w:t xml:space="preserve">Good law, with two qualifications. </w:t>
      </w:r>
      <w:r>
        <w:rPr>
          <w:b/>
          <w:bCs/>
          <w:sz w:val="20"/>
          <w:szCs w:val="20"/>
          <w:shd w:fill="FFF2CC" w:color="auto" w:val="clear"/>
        </w:rPr>
        <w:t xml:space="preserve">The ruling is prospective under Article 142 and applies only to arbitration agreements executed on or after 6 September 2012;</w:t>
      </w:r>
      <w:r>
        <w:rPr>
          <w:sz w:val="20"/>
          <w:szCs w:val="20"/>
        </w:rPr>
        <w:t xml:space="preserve"> earlier agreements remain governed by </w:t>
      </w:r>
      <w:r>
        <w:rPr>
          <w:b/>
          <w:bCs/>
          <w:i/>
          <w:iCs/>
          <w:sz w:val="20"/>
          <w:szCs w:val="20"/>
        </w:rPr>
        <w:t xml:space="preserve">Bhatia International</w:t>
      </w:r>
      <w:r>
        <w:rPr>
          <w:sz w:val="20"/>
          <w:szCs w:val="20"/>
        </w:rPr>
        <w:t xml:space="preserve">. The second result has since been reversed by statute.</w:t>
      </w:r>
    </w:p>
    <w:p>
      <w:pPr>
        <w:pStyle w:val="Heading2"/>
        <w:keepNext/>
        <w:spacing w:after="100" w:before="250"/>
      </w:pPr>
      <w:r>
        <w:t xml:space="preserve">Present position</w:t>
      </w:r>
    </w:p>
    <w:p>
      <w:pPr>
        <w:spacing w:after="120" w:line="264"/>
        <w:jc w:val="both"/>
      </w:pPr>
      <w:r>
        <w:t xml:space="preserve">Part I applies to India-seated arbitrations. For a foreign-seated ICA, Part I does not apply as a whole, but the </w:t>
      </w:r>
      <w:r>
        <w:rPr>
          <w:b/>
          <w:bCs/>
        </w:rPr>
        <w:t xml:space="preserve">proviso to section 2(2)</w:t>
      </w:r>
      <w:r>
        <w:t xml:space="preserve"> (inserted in 2015) applies </w:t>
      </w:r>
      <w:r>
        <w:rPr>
          <w:b/>
          <w:bCs/>
          <w:shd w:fill="FFF2CC" w:color="auto" w:val="clear"/>
        </w:rPr>
        <w:t xml:space="preserve">sections 9, 27 and 37(1)(a) and (3)</w:t>
      </w:r>
      <w:r>
        <w:t xml:space="preserve"> unless the parties agree otherwise. Court-assisted interim relief and evidence-gathering are therefore restored, while the power to set an award aside stays with the courts of the seat.</w:t>
      </w:r>
    </w:p>
    <w:p>
      <w:pPr>
        <w:spacing w:after="120" w:line="264"/>
        <w:jc w:val="both"/>
      </w:pPr>
      <w:r>
        <w:rPr>
          <w:b/>
          <w:bCs/>
        </w:rPr>
        <w:t xml:space="preserve">Examination point.</w:t>
      </w:r>
      <w:r>
        <w:t xml:space="preserve"> ICA therefore divides into arbitrations seated in India and arbitrations seated abroad.</w:t>
      </w:r>
    </w:p>
    <w:p>
      <w:pPr>
        <w:pStyle w:val="Heading2"/>
        <w:keepNext/>
        <w:spacing w:after="100" w:before="250"/>
      </w:pPr>
      <w:r>
        <w:t xml:space="preserve">Judicial interference and judicial delay</w:t>
      </w:r>
    </w:p>
    <w:p>
      <w:pPr>
        <w:spacing w:after="120" w:line="264"/>
        <w:jc w:val="both"/>
      </w:pPr>
      <w:r>
        <w:t xml:space="preserve">A State may incur international responsibility where its courts obstruct an arbitration, or simply fail to decide for years.</w:t>
      </w:r>
    </w:p>
    <w:p>
      <w:pPr>
        <w:keepNext/>
        <w:spacing w:after="60" w:before="150"/>
      </w:pPr>
      <w:r>
        <w:rPr>
          <w:b/>
          <w:bCs/>
          <w:i/>
          <w:iCs/>
          <w:sz w:val="21"/>
          <w:szCs w:val="21"/>
        </w:rPr>
        <w:t xml:space="preserve">Saipem S.p.A. v. People's Republic of Bangladesh</w:t>
      </w:r>
      <w:r>
        <w:rPr>
          <w:sz w:val="19"/>
          <w:szCs w:val="19"/>
        </w:rPr>
        <w:t xml:space="preserve">, ICSID Case No. ARB/05/7; Award 30 June 2009</w:t>
      </w:r>
    </w:p>
    <w:p>
      <w:pPr>
        <w:spacing w:after="60" w:line="258"/>
        <w:ind w:left="230"/>
        <w:jc w:val="both"/>
      </w:pPr>
      <w:r>
        <w:rPr>
          <w:b/>
          <w:bCs/>
          <w:sz w:val="20"/>
          <w:szCs w:val="20"/>
        </w:rPr>
        <w:t xml:space="preserve">Facts. </w:t>
      </w:r>
      <w:r>
        <w:rPr>
          <w:sz w:val="20"/>
          <w:szCs w:val="20"/>
        </w:rPr>
        <w:t xml:space="preserve">An Italian contractor had an ICC arbitration clause with a Bangladeshi State entity. The Bangladeshi courts revoked the tribunal's authority and restrained the arbitration. The tribunal ignored that reasoning and made an award, which the courts then treated as a nullity so that it could not be enforced.</w:t>
      </w:r>
    </w:p>
    <w:p>
      <w:pPr>
        <w:spacing w:after="60" w:line="258"/>
        <w:ind w:left="230"/>
        <w:jc w:val="both"/>
      </w:pPr>
      <w:r>
        <w:rPr>
          <w:b/>
          <w:bCs/>
          <w:sz w:val="20"/>
          <w:szCs w:val="20"/>
        </w:rPr>
        <w:t xml:space="preserve">Decision. </w:t>
      </w:r>
      <w:r>
        <w:rPr>
          <w:sz w:val="20"/>
          <w:szCs w:val="20"/>
        </w:rPr>
        <w:t xml:space="preserve">Bangladesh had </w:t>
      </w:r>
      <w:r>
        <w:rPr>
          <w:b/>
          <w:bCs/>
          <w:sz w:val="20"/>
          <w:szCs w:val="20"/>
        </w:rPr>
        <w:t xml:space="preserve">expropriated</w:t>
      </w:r>
      <w:r>
        <w:rPr>
          <w:sz w:val="20"/>
          <w:szCs w:val="20"/>
        </w:rPr>
        <w:t xml:space="preserve"> Saipem's rights, and was liable for the sum due under the ICC award with interest.</w:t>
      </w:r>
    </w:p>
    <w:p>
      <w:pPr>
        <w:spacing w:after="60" w:line="258"/>
        <w:ind w:left="230"/>
        <w:jc w:val="both"/>
      </w:pPr>
      <w:r>
        <w:rPr>
          <w:b/>
          <w:bCs/>
          <w:sz w:val="20"/>
          <w:szCs w:val="20"/>
        </w:rPr>
        <w:t xml:space="preserve">Principle. </w:t>
      </w:r>
      <w:r>
        <w:rPr>
          <w:sz w:val="20"/>
          <w:szCs w:val="20"/>
        </w:rPr>
        <w:t xml:space="preserve">The residual contractual rights contained in an arbitral award are an intangible asset capable of expropriation. Court action that substantially deprives the award-holder of the benefit of the award, without justification, engages the State's treaty obligations. </w:t>
      </w:r>
      <w:r>
        <w:rPr>
          <w:b/>
          <w:bCs/>
          <w:sz w:val="20"/>
          <w:szCs w:val="20"/>
        </w:rPr>
        <w:t xml:space="preserve">Excessive judicial intervention is not merely irregular; it may be internationally wrongful.</w:t>
      </w:r>
    </w:p>
    <w:p>
      <w:pPr>
        <w:spacing w:after="60" w:line="258"/>
        <w:ind w:left="230"/>
        <w:jc w:val="both"/>
      </w:pPr>
      <w:r>
        <w:rPr>
          <w:b/>
          <w:bCs/>
          <w:sz w:val="20"/>
          <w:szCs w:val="20"/>
        </w:rPr>
        <w:t xml:space="preserve">Status. </w:t>
      </w:r>
      <w:r>
        <w:rPr>
          <w:sz w:val="20"/>
          <w:szCs w:val="20"/>
        </w:rPr>
        <w:t xml:space="preserve">An arbitral award, so persuasive rather than binding.</w:t>
      </w:r>
    </w:p>
    <w:p>
      <w:pPr>
        <w:keepNext/>
        <w:spacing w:after="60" w:before="150"/>
      </w:pPr>
      <w:r>
        <w:rPr>
          <w:b/>
          <w:bCs/>
          <w:i/>
          <w:iCs/>
          <w:sz w:val="21"/>
          <w:szCs w:val="21"/>
        </w:rPr>
        <w:t xml:space="preserve">White Industries Australia Ltd. v. Republic of India</w:t>
      </w:r>
      <w:r>
        <w:rPr>
          <w:sz w:val="19"/>
          <w:szCs w:val="19"/>
        </w:rPr>
        <w:t xml:space="preserve">, UNCITRAL arbitration under the Australia–India BIT; Final Award 30 November 2011</w:t>
      </w:r>
    </w:p>
    <w:p>
      <w:pPr>
        <w:spacing w:after="60" w:line="258"/>
        <w:ind w:left="230"/>
        <w:jc w:val="both"/>
      </w:pPr>
      <w:r>
        <w:rPr>
          <w:b/>
          <w:bCs/>
          <w:sz w:val="20"/>
          <w:szCs w:val="20"/>
        </w:rPr>
        <w:t xml:space="preserve">Facts. </w:t>
      </w:r>
      <w:r>
        <w:rPr>
          <w:sz w:val="20"/>
          <w:szCs w:val="20"/>
        </w:rPr>
        <w:t xml:space="preserve">White Industries obtained a Paris-seated ICC award against Coal India in 2002. Set-aside and enforcement proceedings then ran in the Indian courts for about nine years without resolution. It began treaty arbitration under the UNCITRAL Rules, India not being an ICSID member.</w:t>
      </w:r>
    </w:p>
    <w:p>
      <w:pPr>
        <w:spacing w:after="60" w:line="258"/>
        <w:ind w:left="230"/>
        <w:jc w:val="both"/>
      </w:pPr>
      <w:r>
        <w:rPr>
          <w:b/>
          <w:bCs/>
          <w:sz w:val="20"/>
          <w:szCs w:val="20"/>
        </w:rPr>
        <w:t xml:space="preserve">Decision. </w:t>
      </w:r>
      <w:r>
        <w:rPr>
          <w:sz w:val="20"/>
          <w:szCs w:val="20"/>
        </w:rPr>
        <w:t xml:space="preserve">India breached its obligation to provide </w:t>
      </w:r>
      <w:r>
        <w:rPr>
          <w:b/>
          <w:bCs/>
          <w:sz w:val="20"/>
          <w:szCs w:val="20"/>
        </w:rPr>
        <w:t xml:space="preserve">effective means of asserting claims and enforcing rights</w:t>
      </w:r>
      <w:r>
        <w:rPr>
          <w:sz w:val="20"/>
          <w:szCs w:val="20"/>
        </w:rPr>
        <w:t xml:space="preserve">. Claims of expropriation and denial of fair and equitable treatment failed.</w:t>
      </w:r>
    </w:p>
    <w:p>
      <w:pPr>
        <w:spacing w:after="60" w:line="258"/>
        <w:ind w:left="230"/>
        <w:jc w:val="both"/>
      </w:pPr>
      <w:r>
        <w:rPr>
          <w:b/>
          <w:bCs/>
          <w:sz w:val="20"/>
          <w:szCs w:val="20"/>
        </w:rPr>
        <w:t xml:space="preserve">Principle. </w:t>
      </w:r>
      <w:r>
        <w:rPr>
          <w:sz w:val="20"/>
          <w:szCs w:val="20"/>
        </w:rPr>
        <w:t xml:space="preserve">The “effective means” standard was not in the Australia–India treaty. It was imported through the </w:t>
      </w:r>
      <w:r>
        <w:rPr>
          <w:b/>
          <w:bCs/>
          <w:sz w:val="20"/>
          <w:szCs w:val="20"/>
        </w:rPr>
        <w:t xml:space="preserve">most-favoured-nation clause</w:t>
      </w:r>
      <w:r>
        <w:rPr>
          <w:sz w:val="20"/>
          <w:szCs w:val="20"/>
        </w:rPr>
        <w:t xml:space="preserve"> from the India–Kuwait treaty. Prolonged judicial delay in enforcement denies an investor effective means, and the State answers for it.</w:t>
      </w:r>
    </w:p>
    <w:p>
      <w:pPr>
        <w:spacing w:after="60" w:line="258"/>
        <w:ind w:left="230"/>
        <w:jc w:val="both"/>
      </w:pPr>
      <w:r>
        <w:rPr>
          <w:b/>
          <w:bCs/>
          <w:sz w:val="20"/>
          <w:szCs w:val="20"/>
        </w:rPr>
        <w:t xml:space="preserve">Status. </w:t>
      </w:r>
      <w:r>
        <w:rPr>
          <w:sz w:val="20"/>
          <w:szCs w:val="20"/>
        </w:rPr>
        <w:t xml:space="preserve">The first known treaty award against India. It is also why the Act has been repeatedly amended to compress timelines.</w:t>
      </w:r>
    </w:p>
    <w:p>
      <w:pPr>
        <w:pStyle w:val="Heading1"/>
        <w:keepNext/>
        <w:pBdr>
          <w:bottom w:val="single" w:color="1F3864" w:sz="6" w:space="4"/>
        </w:pBdr>
        <w:spacing w:after="160" w:before="420"/>
      </w:pPr>
      <w:r>
        <w:t xml:space="preserve">2.  Waiver of the Right to Object: Section 4</w:t>
      </w:r>
    </w:p>
    <w:p>
      <w:pPr>
        <w:pStyle w:val="Heading2"/>
        <w:keepNext/>
        <w:spacing w:after="100" w:before="250"/>
      </w:pPr>
      <w:r>
        <w:t xml:space="preserve">The rule</w:t>
      </w:r>
    </w:p>
    <w:p>
      <w:pPr>
        <w:spacing w:after="120" w:line="264"/>
        <w:jc w:val="both"/>
      </w:pPr>
      <w:r>
        <w:rPr>
          <w:b/>
          <w:bCs/>
        </w:rPr>
        <w:t xml:space="preserve">Section 4</w:t>
      </w:r>
      <w:r>
        <w:t xml:space="preserve"> is a rule of procedural discipline. A party who knows that something required by the Act or by the arbitration agreement has not been done, and yet continues with the arbitration without objecting, </w:t>
      </w:r>
      <w:r>
        <w:rPr>
          <w:b/>
          <w:bCs/>
        </w:rPr>
        <w:t xml:space="preserve">loses the right to complain later</w:t>
      </w:r>
      <w:r>
        <w:t xml:space="preserve">.</w:t>
      </w:r>
    </w:p>
    <w:p>
      <w:pPr>
        <w:spacing w:after="120" w:line="264"/>
        <w:jc w:val="both"/>
      </w:pPr>
      <w:r>
        <w:t xml:space="preserve">The purpose is to stop a party from storing up a defect and producing it at the end, after an unfavourable award, in order to have the award set aside. </w:t>
      </w:r>
      <w:r>
        <w:rPr>
          <w:b/>
          <w:bCs/>
          <w:shd w:fill="FFF2CC" w:color="auto" w:val="clear"/>
        </w:rPr>
        <w:t xml:space="preserve">In arbitration an objection must be taken when it arises, or not at all.</w:t>
      </w:r>
    </w:p>
    <w:p>
      <w:pPr>
        <w:spacing w:after="110" w:before="70" w:line="250"/>
        <w:ind w:left="460" w:right="259"/>
        <w:jc w:val="both"/>
      </w:pPr>
      <w:r>
        <w:rPr>
          <w:b/>
          <w:bCs/>
          <w:sz w:val="19"/>
          <w:szCs w:val="19"/>
        </w:rPr>
        <w:t xml:space="preserve">4.</w:t>
      </w:r>
      <w:r>
        <w:rPr>
          <w:sz w:val="19"/>
          <w:szCs w:val="19"/>
        </w:rPr>
        <w:t xml:space="preserve"> A party who knows that — (a) any provision of this Part </w:t>
      </w:r>
      <w:r>
        <w:rPr>
          <w:b/>
          <w:bCs/>
          <w:sz w:val="19"/>
          <w:szCs w:val="19"/>
        </w:rPr>
        <w:t xml:space="preserve">from which the parties may derogate</w:t>
      </w:r>
      <w:r>
        <w:rPr>
          <w:sz w:val="19"/>
          <w:szCs w:val="19"/>
        </w:rPr>
        <w:t xml:space="preserve">, or (b) any requirement under the arbitration agreement, has not been complied with and yet proceeds with the arbitration without stating his objection to such non-compliance without undue delay or, if a time limit is provided for stating that objection, within that period of time, </w:t>
      </w:r>
      <w:r>
        <w:rPr>
          <w:b/>
          <w:bCs/>
          <w:sz w:val="19"/>
          <w:szCs w:val="19"/>
        </w:rPr>
        <w:t xml:space="preserve">shall be deemed to have waived his right to so object</w:t>
      </w:r>
      <w:r>
        <w:rPr>
          <w:sz w:val="19"/>
          <w:szCs w:val="19"/>
        </w:rPr>
        <w:t xml:space="preserve">.</w:t>
      </w:r>
    </w:p>
    <w:p>
      <w:pPr>
        <w:pStyle w:val="Heading2"/>
        <w:keepNext/>
        <w:spacing w:after="100" w:before="250"/>
      </w:pPr>
      <w:r>
        <w:t xml:space="preserve">Conditions for waiver</w:t>
      </w:r>
    </w:p>
    <w:p>
      <w:pPr>
        <w:pStyle w:val="ListParagraph"/>
        <w:numPr>
          <w:ilvl w:val="0"/>
          <w:numId w:val="5"/>
        </w:numPr>
        <w:spacing w:after="70" w:line="264"/>
        <w:jc w:val="both"/>
      </w:pPr>
      <w:r>
        <w:rPr>
          <w:b/>
          <w:bCs/>
        </w:rPr>
        <w:t xml:space="preserve">Knowledge</w:t>
      </w:r>
      <w:r>
        <w:t xml:space="preserve"> of the non-compliance. Waiver is not imputed to a party who does not know of the defect.</w:t>
      </w:r>
    </w:p>
    <w:p>
      <w:pPr>
        <w:pStyle w:val="ListParagraph"/>
        <w:numPr>
          <w:ilvl w:val="0"/>
          <w:numId w:val="5"/>
        </w:numPr>
        <w:spacing w:after="70" w:line="264"/>
        <w:jc w:val="both"/>
      </w:pPr>
      <w:r>
        <w:t xml:space="preserve">The non-compliance must be of a </w:t>
      </w:r>
      <w:r>
        <w:rPr>
          <w:b/>
          <w:bCs/>
        </w:rPr>
        <w:t xml:space="preserve">derogable</w:t>
      </w:r>
      <w:r>
        <w:t xml:space="preserve"> provision of Part I, or of a </w:t>
      </w:r>
      <w:r>
        <w:rPr>
          <w:b/>
          <w:bCs/>
        </w:rPr>
        <w:t xml:space="preserve">requirement of the arbitration agreement</w:t>
      </w:r>
      <w:r>
        <w:t xml:space="preserve">. This is the critical limitation.</w:t>
      </w:r>
    </w:p>
    <w:p>
      <w:pPr>
        <w:pStyle w:val="ListParagraph"/>
        <w:numPr>
          <w:ilvl w:val="0"/>
          <w:numId w:val="5"/>
        </w:numPr>
        <w:spacing w:after="70" w:line="264"/>
        <w:jc w:val="both"/>
      </w:pPr>
      <w:r>
        <w:t xml:space="preserve">The party must </w:t>
      </w:r>
      <w:r>
        <w:rPr>
          <w:b/>
          <w:bCs/>
        </w:rPr>
        <w:t xml:space="preserve">proceed</w:t>
      </w:r>
      <w:r>
        <w:t xml:space="preserve"> with the arbitration instead of objecting.</w:t>
      </w:r>
    </w:p>
    <w:p>
      <w:pPr>
        <w:pStyle w:val="ListParagraph"/>
        <w:numPr>
          <w:ilvl w:val="0"/>
          <w:numId w:val="5"/>
        </w:numPr>
        <w:spacing w:after="70" w:line="264"/>
        <w:jc w:val="both"/>
      </w:pPr>
      <w:r>
        <w:rPr>
          <w:b/>
          <w:bCs/>
        </w:rPr>
        <w:t xml:space="preserve">No timely objection</w:t>
      </w:r>
      <w:r>
        <w:t xml:space="preserve"> — none made without undue delay, meaning without unreasonable delay in the circumstances, or within any period the Act or the agreement fixes.</w:t>
      </w:r>
    </w:p>
    <w:p>
      <w:pPr>
        <w:spacing w:after="120" w:line="264"/>
        <w:jc w:val="both"/>
      </w:pPr>
      <w:r>
        <w:t xml:space="preserve">The right is then </w:t>
      </w:r>
      <w:r>
        <w:rPr>
          <w:b/>
          <w:bCs/>
        </w:rPr>
        <w:t xml:space="preserve">deemed</w:t>
      </w:r>
      <w:r>
        <w:t xml:space="preserve"> waived. The deeming is automatic, and no separate finding of an intention to give up the right is needed.</w:t>
      </w:r>
    </w:p>
    <w:p>
      <w:pPr>
        <w:pStyle w:val="Heading2"/>
        <w:keepNext/>
        <w:spacing w:after="100" w:before="250"/>
      </w:pPr>
      <w:r>
        <w:t xml:space="preserve">Scott v. Avery clauses</w:t>
      </w:r>
    </w:p>
    <w:p>
      <w:pPr>
        <w:spacing w:after="120" w:line="264"/>
        <w:jc w:val="both"/>
      </w:pPr>
      <w:r>
        <w:t xml:space="preserve">Limb (b) covers requirements the parties impose on themselves.</w:t>
      </w:r>
    </w:p>
    <w:p>
      <w:pPr>
        <w:keepNext/>
        <w:spacing w:after="60" w:before="150"/>
      </w:pPr>
      <w:r>
        <w:rPr>
          <w:b/>
          <w:bCs/>
          <w:i/>
          <w:iCs/>
          <w:sz w:val="21"/>
          <w:szCs w:val="21"/>
        </w:rPr>
        <w:t xml:space="preserve">Scott v. Avery</w:t>
      </w:r>
      <w:r>
        <w:rPr>
          <w:sz w:val="19"/>
          <w:szCs w:val="19"/>
        </w:rPr>
        <w:t xml:space="preserve">, (1856) 5 HL Cas 811; 10 ER 1121 (House of Lords)</w:t>
      </w:r>
    </w:p>
    <w:p>
      <w:pPr>
        <w:spacing w:after="60" w:line="258"/>
        <w:ind w:left="230"/>
        <w:jc w:val="both"/>
      </w:pPr>
      <w:r>
        <w:rPr>
          <w:b/>
          <w:bCs/>
          <w:sz w:val="20"/>
          <w:szCs w:val="20"/>
        </w:rPr>
        <w:t xml:space="preserve">Facts. </w:t>
      </w:r>
      <w:r>
        <w:rPr>
          <w:sz w:val="20"/>
          <w:szCs w:val="20"/>
        </w:rPr>
        <w:t xml:space="preserve">The contract made the obtaining of an award a condition of the right to sue.</w:t>
      </w:r>
    </w:p>
    <w:p>
      <w:pPr>
        <w:spacing w:after="60" w:line="258"/>
        <w:ind w:left="230"/>
        <w:jc w:val="both"/>
      </w:pPr>
      <w:r>
        <w:rPr>
          <w:b/>
          <w:bCs/>
          <w:sz w:val="20"/>
          <w:szCs w:val="20"/>
        </w:rPr>
        <w:t xml:space="preserve">Decision. </w:t>
      </w:r>
      <w:r>
        <w:rPr>
          <w:sz w:val="20"/>
          <w:szCs w:val="20"/>
        </w:rPr>
        <w:t xml:space="preserve">The clause was valid.</w:t>
      </w:r>
    </w:p>
    <w:p>
      <w:pPr>
        <w:spacing w:after="60" w:line="258"/>
        <w:ind w:left="230"/>
        <w:jc w:val="both"/>
      </w:pPr>
      <w:r>
        <w:rPr>
          <w:b/>
          <w:bCs/>
          <w:sz w:val="20"/>
          <w:szCs w:val="20"/>
        </w:rPr>
        <w:t xml:space="preserve">Principle. </w:t>
      </w:r>
      <w:r>
        <w:rPr>
          <w:sz w:val="20"/>
          <w:szCs w:val="20"/>
        </w:rPr>
        <w:t xml:space="preserve">A clause making an award, or another stipulated step, a </w:t>
      </w:r>
      <w:r>
        <w:rPr>
          <w:b/>
          <w:bCs/>
          <w:sz w:val="20"/>
          <w:szCs w:val="20"/>
        </w:rPr>
        <w:t xml:space="preserve">condition precedent to suit</w:t>
      </w:r>
      <w:r>
        <w:rPr>
          <w:sz w:val="20"/>
          <w:szCs w:val="20"/>
        </w:rPr>
        <w:t xml:space="preserve"> does not oust the jurisdiction of the court. It only postpones recourse until the contractual condition is fulfilled.</w:t>
      </w:r>
    </w:p>
    <w:p>
      <w:pPr>
        <w:spacing w:after="120" w:line="264"/>
        <w:jc w:val="both"/>
      </w:pPr>
      <w:r>
        <w:rPr>
          <w:b/>
          <w:bCs/>
        </w:rPr>
        <w:t xml:space="preserve">Illustration.</w:t>
      </w:r>
      <w:r>
        <w:t xml:space="preserve"> In construction contracts, payment falls due in stages, and each stage payment depends on certification by the architect or engineer. The certificate is the condition precedent. A party who knows the certification requirement was ignored, but proceeds without objecting, loses the point under section 4.</w:t>
      </w:r>
    </w:p>
    <w:p>
      <w:pPr>
        <w:spacing w:after="120" w:line="264"/>
        <w:jc w:val="both"/>
      </w:pPr>
      <w:r>
        <w:rPr>
          <w:b/>
          <w:bCs/>
        </w:rPr>
        <w:t xml:space="preserve">Caution.</w:t>
      </w:r>
      <w:r>
        <w:t xml:space="preserve"> </w:t>
      </w:r>
      <w:r>
        <w:rPr>
          <w:i/>
          <w:iCs/>
        </w:rPr>
        <w:t xml:space="preserve">Scott v. Avery</w:t>
      </w:r>
      <w:r>
        <w:t xml:space="preserve"> is an English decision, and the phrase describes a </w:t>
      </w:r>
      <w:r>
        <w:rPr>
          <w:b/>
          <w:bCs/>
        </w:rPr>
        <w:t xml:space="preserve">type of clause</w:t>
      </w:r>
      <w:r>
        <w:t xml:space="preserve">, not a rule of Indian statute law. On Indian facts, cite the relevant Indian decision.</w:t>
      </w:r>
    </w:p>
    <w:p>
      <w:pPr>
        <w:pStyle w:val="Heading2"/>
        <w:keepNext/>
        <w:spacing w:after="100" w:before="250"/>
      </w:pPr>
      <w:r>
        <w:t xml:space="preserve">What cannot be waived</w:t>
      </w:r>
    </w:p>
    <w:p>
      <w:pPr>
        <w:spacing w:after="120" w:line="264"/>
        <w:jc w:val="both"/>
      </w:pPr>
      <w:r>
        <w:t xml:space="preserve">Section 4 reaches </w:t>
      </w:r>
      <w:r>
        <w:rPr>
          <w:b/>
          <w:bCs/>
        </w:rPr>
        <w:t xml:space="preserve">only derogable provisions</w:t>
      </w:r>
      <w:r>
        <w:t xml:space="preserve">. Non-compliance with a provision from which the parties cannot contract out is not cured by silence or participation. </w:t>
      </w:r>
      <w:r>
        <w:rPr>
          <w:b/>
          <w:bCs/>
          <w:shd w:fill="FFF2CC" w:color="auto" w:val="clear"/>
        </w:rPr>
        <w:t xml:space="preserve">Section 34 (recourse against an award) and section 18 (equal treatment) are the standard examples.</w:t>
      </w:r>
    </w:p>
    <w:p>
      <w:pPr>
        <w:spacing w:after="120" w:line="264"/>
        <w:jc w:val="both"/>
      </w:pPr>
      <w:r>
        <w:t xml:space="preserve">Three companion provisions do the same work in their own fields. </w:t>
      </w:r>
      <w:r>
        <w:rPr>
          <w:b/>
          <w:bCs/>
        </w:rPr>
        <w:t xml:space="preserve">Section 16(2)</w:t>
      </w:r>
      <w:r>
        <w:t xml:space="preserve"> requires a jurisdictional plea not later than the statement of defence. </w:t>
      </w:r>
      <w:r>
        <w:rPr>
          <w:b/>
          <w:bCs/>
        </w:rPr>
        <w:t xml:space="preserve">Section 13(2)</w:t>
      </w:r>
      <w:r>
        <w:t xml:space="preserve"> requires a challenge to an arbitrator within fifteen days. The </w:t>
      </w:r>
      <w:r>
        <w:rPr>
          <w:b/>
          <w:bCs/>
        </w:rPr>
        <w:t xml:space="preserve">proviso to section 12(5)</w:t>
      </w:r>
      <w:r>
        <w:t xml:space="preserve"> allows waiver of Seventh Schedule ineligibility only by an express written agreement made after the dispute has arisen, so conduct and silence are not enough.</w:t>
      </w:r>
    </w:p>
    <w:p>
      <w:pPr>
        <w:spacing w:after="120" w:line="264"/>
        <w:jc w:val="both"/>
      </w:pPr>
      <w:r>
        <w:t xml:space="preserve">For the section in operation, see </w:t>
      </w:r>
      <w:r>
        <w:rPr>
          <w:b/>
          <w:bCs/>
          <w:i/>
          <w:iCs/>
        </w:rPr>
        <w:t xml:space="preserve">Narayan Prasad Lohia v. Nikunj Kumar Lohia</w:t>
      </w:r>
      <w:r>
        <w:t xml:space="preserve">, (2002) 3 SCC 572, in Chapter 6: an award by two arbitrators was upheld because section 10 is derogable and the objection was not taken under section 16(2).</w:t>
      </w:r>
    </w:p>
    <w:p>
      <w:pPr>
        <w:pStyle w:val="Heading1"/>
        <w:keepNext/>
        <w:pBdr>
          <w:bottom w:val="single" w:color="1F3864" w:sz="6" w:space="4"/>
        </w:pBdr>
        <w:spacing w:after="160" w:before="420"/>
      </w:pPr>
      <w:r>
        <w:t xml:space="preserve">3.  Reference to Arbitration and Judicial Intervention: Sections 8 and 5</w:t>
      </w:r>
    </w:p>
    <w:p>
      <w:pPr>
        <w:spacing w:after="120" w:line="264"/>
        <w:jc w:val="both"/>
      </w:pPr>
      <w:r>
        <w:t xml:space="preserve">The two sections express one policy from opposite sides. </w:t>
      </w:r>
      <w:r>
        <w:rPr>
          <w:b/>
          <w:bCs/>
        </w:rPr>
        <w:t xml:space="preserve">Section 5</w:t>
      </w:r>
      <w:r>
        <w:t xml:space="preserve"> says when a court may not act. </w:t>
      </w:r>
      <w:r>
        <w:rPr>
          <w:b/>
          <w:bCs/>
        </w:rPr>
        <w:t xml:space="preserve">Section 8</w:t>
      </w:r>
      <w:r>
        <w:t xml:space="preserve"> says what a judicial authority must do when a party brings it a dispute the parties agreed to arbitrate. Section 8 is the provision to use when the other side has gone to court in breach of the arbitration agreement.</w:t>
      </w:r>
    </w:p>
    <w:p>
      <w:pPr>
        <w:pStyle w:val="Heading2"/>
        <w:keepNext/>
        <w:spacing w:after="100" w:before="250"/>
      </w:pPr>
      <w:r>
        <w:t xml:space="preserve">Section 5: extent of judicial intervention</w:t>
      </w:r>
    </w:p>
    <w:p>
      <w:pPr>
        <w:spacing w:after="110" w:before="70" w:line="250"/>
        <w:ind w:left="460" w:right="259"/>
        <w:jc w:val="both"/>
      </w:pPr>
      <w:r>
        <w:rPr>
          <w:b/>
          <w:bCs/>
          <w:sz w:val="19"/>
          <w:szCs w:val="19"/>
        </w:rPr>
        <w:t xml:space="preserve">5.</w:t>
      </w:r>
      <w:r>
        <w:rPr>
          <w:sz w:val="19"/>
          <w:szCs w:val="19"/>
        </w:rPr>
        <w:t xml:space="preserve"> Notwithstanding anything contained in any other law for the time being in force, in matters governed by this Part, no judicial authority shall intervene except where so provided in this Part.</w:t>
      </w:r>
    </w:p>
    <w:p>
      <w:pPr>
        <w:spacing w:after="120" w:line="264"/>
        <w:jc w:val="both"/>
      </w:pPr>
      <w:r>
        <w:t xml:space="preserve">It begins with a </w:t>
      </w:r>
      <w:r>
        <w:rPr>
          <w:b/>
          <w:bCs/>
        </w:rPr>
        <w:t xml:space="preserve">non obstante clause</w:t>
      </w:r>
      <w:r>
        <w:t xml:space="preserve">, so it prevails over inconsistent provisions in other statutes, and it enacts Article 5 of the Model Law. Its function is negative: </w:t>
      </w:r>
      <w:r>
        <w:rPr>
          <w:b/>
          <w:bCs/>
          <w:shd w:fill="FFF2CC" w:color="auto" w:val="clear"/>
        </w:rPr>
        <w:t xml:space="preserve">intervention is forbidden unless Part I permits it.</w:t>
      </w:r>
      <w:r>
        <w:t xml:space="preserve"> The permitted instances are a closed list — sections 8, 9, 11, 14(2), 27, 34, 36 and 37.</w:t>
      </w:r>
    </w:p>
    <w:p>
      <w:pPr>
        <w:pStyle w:val="Heading3"/>
        <w:keepNext/>
        <w:spacing w:after="80" w:before="180"/>
      </w:pPr>
      <w:r>
        <w:t xml:space="preserve">What section 5 does not exclude</w:t>
      </w:r>
    </w:p>
    <w:p>
      <w:pPr>
        <w:spacing w:after="120" w:line="264"/>
        <w:jc w:val="both"/>
      </w:pPr>
      <w:r>
        <w:t xml:space="preserve">First, section 5 speaks of “matters governed by this Part”, that is, Part I. Its application to Part II is unclear, and the drafting has been criticised.</w:t>
      </w:r>
    </w:p>
    <w:p>
      <w:pPr>
        <w:spacing w:after="120" w:line="264"/>
        <w:jc w:val="both"/>
      </w:pPr>
      <w:r>
        <w:t xml:space="preserve">Second, and more importantly, </w:t>
      </w:r>
      <w:r>
        <w:rPr>
          <w:b/>
          <w:bCs/>
        </w:rPr>
        <w:t xml:space="preserve">an ordinary statute cannot cut down the constitutional jurisdiction</w:t>
      </w:r>
      <w:r>
        <w:t xml:space="preserve"> of the High Courts and the Supreme Court under Articles 226, 227 and 32.</w:t>
      </w:r>
    </w:p>
    <w:p>
      <w:pPr>
        <w:keepNext/>
        <w:spacing w:after="60" w:before="150"/>
      </w:pPr>
      <w:r>
        <w:rPr>
          <w:b/>
          <w:bCs/>
          <w:i/>
          <w:iCs/>
          <w:sz w:val="21"/>
          <w:szCs w:val="21"/>
        </w:rPr>
        <w:t xml:space="preserve">Union of India v. Tantia Construction Pvt. Ltd.</w:t>
      </w:r>
      <w:r>
        <w:rPr>
          <w:sz w:val="19"/>
          <w:szCs w:val="19"/>
        </w:rPr>
        <w:t xml:space="preserve">, (2011) 5 SCC 697 (SC, 2011)</w:t>
      </w:r>
    </w:p>
    <w:p>
      <w:pPr>
        <w:spacing w:after="60" w:line="258"/>
        <w:ind w:left="230"/>
        <w:jc w:val="both"/>
      </w:pPr>
      <w:r>
        <w:rPr>
          <w:b/>
          <w:bCs/>
          <w:sz w:val="20"/>
          <w:szCs w:val="20"/>
        </w:rPr>
        <w:t xml:space="preserve">Facts. </w:t>
      </w:r>
      <w:r>
        <w:rPr>
          <w:sz w:val="20"/>
          <w:szCs w:val="20"/>
        </w:rPr>
        <w:t xml:space="preserve">A railway contract contained a wide arbitration clause. The contractor filed a writ petition to quash an order requiring it to execute enlarged work, saying the whole design of the rail over-bridge had been altered into a new project. The Union objected that the arbitration clause with section 5 barred the writ petition.</w:t>
      </w:r>
    </w:p>
    <w:p>
      <w:pPr>
        <w:spacing w:after="60" w:line="258"/>
        <w:ind w:left="230"/>
        <w:jc w:val="both"/>
      </w:pPr>
      <w:r>
        <w:rPr>
          <w:b/>
          <w:bCs/>
          <w:sz w:val="20"/>
          <w:szCs w:val="20"/>
        </w:rPr>
        <w:t xml:space="preserve">Decision. </w:t>
      </w:r>
      <w:r>
        <w:rPr>
          <w:sz w:val="20"/>
          <w:szCs w:val="20"/>
        </w:rPr>
        <w:t xml:space="preserve">The writ petition was maintainable, and on the merits the alteration went beyond a change in quantity of work.</w:t>
      </w:r>
    </w:p>
    <w:p>
      <w:pPr>
        <w:spacing w:after="60" w:line="258"/>
        <w:ind w:left="230"/>
        <w:jc w:val="both"/>
      </w:pPr>
      <w:r>
        <w:rPr>
          <w:b/>
          <w:bCs/>
          <w:sz w:val="20"/>
          <w:szCs w:val="20"/>
        </w:rPr>
        <w:t xml:space="preserve">Principle. </w:t>
      </w:r>
      <w:r>
        <w:rPr>
          <w:b/>
          <w:bCs/>
          <w:sz w:val="20"/>
          <w:szCs w:val="20"/>
          <w:shd w:fill="FFF2CC" w:color="auto" w:val="clear"/>
        </w:rPr>
        <w:t xml:space="preserve">An alternative remedy, including an arbitration clause, is not an absolute bar to writ jurisdiction under Article 226,</w:t>
      </w:r>
      <w:r>
        <w:rPr>
          <w:sz w:val="20"/>
          <w:szCs w:val="20"/>
        </w:rPr>
        <w:t xml:space="preserve"> and need not be exhausted first. The constitutional powers cannot be fettered by an alternative remedy. The case marks the </w:t>
      </w:r>
      <w:r>
        <w:rPr>
          <w:b/>
          <w:bCs/>
          <w:sz w:val="20"/>
          <w:szCs w:val="20"/>
        </w:rPr>
        <w:t xml:space="preserve">constitutional limit of section 5</w:t>
      </w:r>
      <w:r>
        <w:rPr>
          <w:sz w:val="20"/>
          <w:szCs w:val="20"/>
        </w:rPr>
        <w:t xml:space="preserve">, which binds only authorities exercising ordinary jurisdiction.</w:t>
      </w:r>
    </w:p>
    <w:p>
      <w:pPr>
        <w:spacing w:after="60" w:line="258"/>
        <w:ind w:left="230"/>
        <w:jc w:val="both"/>
      </w:pPr>
      <w:r>
        <w:rPr>
          <w:b/>
          <w:bCs/>
          <w:sz w:val="20"/>
          <w:szCs w:val="20"/>
        </w:rPr>
        <w:t xml:space="preserve">Status. </w:t>
      </w:r>
      <w:r>
        <w:rPr>
          <w:b/>
          <w:bCs/>
          <w:sz w:val="20"/>
          <w:szCs w:val="20"/>
        </w:rPr>
        <w:t xml:space="preserve">Do not confuse</w:t>
      </w:r>
      <w:r>
        <w:rPr>
          <w:sz w:val="20"/>
          <w:szCs w:val="20"/>
        </w:rPr>
        <w:t xml:space="preserve"> with </w:t>
      </w:r>
      <w:r>
        <w:rPr>
          <w:b/>
          <w:bCs/>
          <w:i/>
          <w:iCs/>
          <w:sz w:val="20"/>
          <w:szCs w:val="20"/>
        </w:rPr>
        <w:t xml:space="preserve">Union of India v. Tantia Constructions Ltd.</w:t>
      </w:r>
      <w:r>
        <w:rPr>
          <w:sz w:val="20"/>
          <w:szCs w:val="20"/>
        </w:rPr>
        <w:t xml:space="preserve">, 2021 SCC OnLine SC 271, a later three-Judge decision on unilateral arbitrator appointments, which referred that question to a larger Bench.</w:t>
      </w:r>
    </w:p>
    <w:p>
      <w:pPr>
        <w:pStyle w:val="Heading2"/>
        <w:keepNext/>
        <w:spacing w:after="100" w:before="250"/>
      </w:pPr>
      <w:r>
        <w:t xml:space="preserve">Section 8: power to refer parties to arbitration</w:t>
      </w:r>
    </w:p>
    <w:p>
      <w:pPr>
        <w:spacing w:after="120" w:line="264"/>
        <w:jc w:val="both"/>
      </w:pPr>
      <w:r>
        <w:t xml:space="preserve">Section 8(1), substituted in 2015, obliges a judicial authority to refer the parties to arbitration. Three features of the present text matter.</w:t>
      </w:r>
    </w:p>
    <w:p>
      <w:pPr>
        <w:pStyle w:val="ListParagraph"/>
        <w:numPr>
          <w:ilvl w:val="0"/>
          <w:numId w:val="6"/>
        </w:numPr>
        <w:spacing w:after="70" w:line="264"/>
        <w:jc w:val="both"/>
      </w:pPr>
      <w:r>
        <w:t xml:space="preserve">It operates </w:t>
      </w:r>
      <w:r>
        <w:rPr>
          <w:b/>
          <w:bCs/>
        </w:rPr>
        <w:t xml:space="preserve">“notwithstanding any judgment, decree or order of the Supreme Court or any Court”</w:t>
      </w:r>
      <w:r>
        <w:t xml:space="preserve">, wording inserted to displace earlier decisions that had widened the enquiry.</w:t>
      </w:r>
    </w:p>
    <w:p>
      <w:pPr>
        <w:pStyle w:val="ListParagraph"/>
        <w:numPr>
          <w:ilvl w:val="0"/>
          <w:numId w:val="6"/>
        </w:numPr>
        <w:spacing w:after="70" w:line="264"/>
        <w:jc w:val="both"/>
      </w:pPr>
      <w:r>
        <w:t xml:space="preserve">Reference is mandatory </w:t>
      </w:r>
      <w:r>
        <w:rPr>
          <w:b/>
          <w:bCs/>
          <w:shd w:fill="FFF2CC" w:color="auto" w:val="clear"/>
        </w:rPr>
        <w:t xml:space="preserve">unless the authority finds that *prima facie* no valid arbitration agreement exists.</w:t>
      </w:r>
      <w:r>
        <w:t xml:space="preserve"> The standard is expressly </w:t>
      </w:r>
      <w:r>
        <w:rPr>
          <w:i/>
          <w:iCs/>
        </w:rPr>
        <w:t xml:space="preserve">prima facie</w:t>
      </w:r>
      <w:r>
        <w:t xml:space="preserve">; the authority does not decide the question finally.</w:t>
      </w:r>
    </w:p>
    <w:p>
      <w:pPr>
        <w:pStyle w:val="ListParagraph"/>
        <w:numPr>
          <w:ilvl w:val="0"/>
          <w:numId w:val="6"/>
        </w:numPr>
        <w:spacing w:after="70" w:line="264"/>
        <w:jc w:val="both"/>
      </w:pPr>
      <w:r>
        <w:t xml:space="preserve">The application must be made </w:t>
      </w:r>
      <w:r>
        <w:rPr>
          <w:b/>
          <w:bCs/>
        </w:rPr>
        <w:t xml:space="preserve">not later than the date of submitting the first statement on the substance of the dispute</w:t>
      </w:r>
      <w:r>
        <w:t xml:space="preserve">. A party who pleads to the merits first is too late.</w:t>
      </w:r>
    </w:p>
    <w:p>
      <w:pPr>
        <w:spacing w:after="120" w:line="264"/>
        <w:jc w:val="both"/>
      </w:pPr>
      <w:r>
        <w:rPr>
          <w:b/>
          <w:bCs/>
        </w:rPr>
        <w:t xml:space="preserve">Section 8(2)</w:t>
      </w:r>
      <w:r>
        <w:t xml:space="preserve"> requires the original arbitration agreement or a duly certified copy with the application. Where the other party holds it, the applicant may file a copy with a petition asking the court to call for the original. </w:t>
      </w:r>
      <w:r>
        <w:rPr>
          <w:b/>
          <w:bCs/>
        </w:rPr>
        <w:t xml:space="preserve">Section 8(3)</w:t>
      </w:r>
      <w:r>
        <w:t xml:space="preserve"> provides that arbitration may be commenced or continued and an award made even while the application is pending, because </w:t>
      </w:r>
      <w:r>
        <w:rPr>
          <w:b/>
          <w:bCs/>
          <w:shd w:fill="FFF2CC" w:color="auto" w:val="clear"/>
        </w:rPr>
        <w:t xml:space="preserve">arbitration does not stop merely because a court is seised of a related question.</w:t>
      </w:r>
    </w:p>
    <w:p>
      <w:pPr>
        <w:spacing w:after="120" w:line="264"/>
        <w:jc w:val="both"/>
      </w:pPr>
      <w:r>
        <w:rPr>
          <w:b/>
          <w:bCs/>
        </w:rPr>
        <w:t xml:space="preserve">Who may apply.</w:t>
      </w:r>
      <w:r>
        <w:t xml:space="preserve"> A party to the arbitration agreement, or </w:t>
      </w:r>
      <w:r>
        <w:rPr>
          <w:b/>
          <w:bCs/>
        </w:rPr>
        <w:t xml:space="preserve">any person claiming through or under him</w:t>
      </w:r>
      <w:r>
        <w:t xml:space="preserve"> — so an agent for a principal, or a person standing in a party's shoes.</w:t>
      </w:r>
    </w:p>
    <w:p>
      <w:pPr>
        <w:spacing w:after="120" w:line="264"/>
        <w:jc w:val="both"/>
      </w:pPr>
      <w:r>
        <w:rPr>
          <w:b/>
          <w:bCs/>
        </w:rPr>
        <w:t xml:space="preserve">“Judicial authority”</w:t>
      </w:r>
      <w:r>
        <w:t xml:space="preserve"> is wider than “court”. It covers specialised adjudicatory and regulatory bodies such as a telecom or insurance regulator, or a consumer commission. The width is deliberate: the duty to honour an arbitration agreement should not depend on the name of the forum.</w:t>
      </w:r>
    </w:p>
    <w:p>
      <w:pPr>
        <w:pStyle w:val="Heading3"/>
        <w:keepNext/>
        <w:spacing w:after="80" w:before="180"/>
      </w:pPr>
      <w:r>
        <w:t xml:space="preserve">Rule of first priority</w:t>
      </w:r>
    </w:p>
    <w:p>
      <w:pPr>
        <w:spacing w:after="120" w:line="264"/>
        <w:jc w:val="both"/>
      </w:pPr>
      <w:r>
        <w:t xml:space="preserve">Read section 8 with section 16. Where a party says the arbitration agreement is invalid or does not exist, two forums could decide that question. </w:t>
      </w:r>
      <w:r>
        <w:rPr>
          <w:b/>
          <w:bCs/>
          <w:shd w:fill="FFF2CC" w:color="auto" w:val="clear"/>
        </w:rPr>
        <w:t xml:space="preserve">The Act gives the tribunal the right of first decision.</w:t>
      </w:r>
      <w:r>
        <w:t xml:space="preserve"> This is the </w:t>
      </w:r>
      <w:r>
        <w:rPr>
          <w:b/>
          <w:bCs/>
        </w:rPr>
        <w:t xml:space="preserve">rule of first priority</w:t>
      </w:r>
      <w:r>
        <w:t xml:space="preserve">, and it follows from competence-competence. The judicial authority forms only a </w:t>
      </w:r>
      <w:r>
        <w:rPr>
          <w:i/>
          <w:iCs/>
        </w:rPr>
        <w:t xml:space="preserve">prima facie</w:t>
      </w:r>
      <w:r>
        <w:t xml:space="preserve"> view; a final decision is for the tribunal, subject to review under section 34. </w:t>
      </w:r>
      <w:r>
        <w:rPr>
          <w:b/>
          <w:bCs/>
        </w:rPr>
        <w:t xml:space="preserve">A mini-trial at the reference stage is therefore impermissible.</w:t>
      </w:r>
    </w:p>
    <w:p>
      <w:pPr>
        <w:spacing w:after="120" w:line="264"/>
        <w:jc w:val="both"/>
      </w:pPr>
      <w:r>
        <w:t xml:space="preserve">The same reasoning governs fraud. An allegation that the </w:t>
      </w:r>
      <w:r>
        <w:rPr>
          <w:b/>
          <w:bCs/>
        </w:rPr>
        <w:t xml:space="preserve">contract</w:t>
      </w:r>
      <w:r>
        <w:t xml:space="preserve"> was obtained by fraud does not prevent reference, because the clause is separable and the tribunal can decide it. It is different where the attack is on the </w:t>
      </w:r>
      <w:r>
        <w:rPr>
          <w:b/>
          <w:bCs/>
        </w:rPr>
        <w:t xml:space="preserve">arbitration agreement itself</w:t>
      </w:r>
      <w:r>
        <w:t xml:space="preserve"> and the authority finds it prima facie void; reference may then be refused, and the remedy is appeal.</w:t>
      </w:r>
    </w:p>
    <w:p>
      <w:pPr>
        <w:pStyle w:val="Heading2"/>
        <w:keepNext/>
        <w:spacing w:after="100" w:before="250"/>
      </w:pPr>
      <w:r>
        <w:t xml:space="preserve">Non-arbitrability: the limit on section 8</w:t>
      </w:r>
    </w:p>
    <w:p>
      <w:pPr>
        <w:spacing w:after="120" w:line="264"/>
        <w:jc w:val="both"/>
      </w:pPr>
      <w:r>
        <w:t xml:space="preserve">Section 8 cannot compel arbitration of a dispute the law does not allow to be arbitrated. </w:t>
      </w:r>
      <w:r>
        <w:rPr>
          <w:b/>
          <w:bCs/>
        </w:rPr>
        <w:t xml:space="preserve">The limitation is qualitative, depending on the nature of the subject matter, not the size of the claim.</w:t>
      </w:r>
    </w:p>
    <w:p>
      <w:pPr>
        <w:keepNext/>
        <w:spacing w:after="60" w:before="150"/>
      </w:pPr>
      <w:r>
        <w:rPr>
          <w:b/>
          <w:bCs/>
          <w:i/>
          <w:iCs/>
          <w:sz w:val="21"/>
          <w:szCs w:val="21"/>
        </w:rPr>
        <w:t xml:space="preserve">Emaar MGF Land Ltd. v. Aftab Singh</w:t>
      </w:r>
      <w:r>
        <w:rPr>
          <w:sz w:val="19"/>
          <w:szCs w:val="19"/>
        </w:rPr>
        <w:t xml:space="preserve">, (2019) 12 SCC 751 (SC, 10 December 2018), dismissing review of the order dated 13 February 2018</w:t>
      </w:r>
    </w:p>
    <w:p>
      <w:pPr>
        <w:spacing w:after="60" w:line="258"/>
        <w:ind w:left="230"/>
        <w:jc w:val="both"/>
      </w:pPr>
      <w:r>
        <w:rPr>
          <w:b/>
          <w:bCs/>
          <w:sz w:val="20"/>
          <w:szCs w:val="20"/>
        </w:rPr>
        <w:t xml:space="preserve">Facts. </w:t>
      </w:r>
      <w:r>
        <w:rPr>
          <w:sz w:val="20"/>
          <w:szCs w:val="20"/>
        </w:rPr>
        <w:t xml:space="preserve">Apartment buyer agreements contained arbitration clauses. Homebuyers complained of delayed possession to the National Consumer Disputes Redressal Commission, and Emaar applied under section 8 for reference to arbitration.</w:t>
      </w:r>
    </w:p>
    <w:p>
      <w:pPr>
        <w:spacing w:after="60" w:line="258"/>
        <w:ind w:left="230"/>
        <w:jc w:val="both"/>
      </w:pPr>
      <w:r>
        <w:rPr>
          <w:b/>
          <w:bCs/>
          <w:sz w:val="20"/>
          <w:szCs w:val="20"/>
        </w:rPr>
        <w:t xml:space="preserve">Decision. </w:t>
      </w:r>
      <w:r>
        <w:rPr>
          <w:b/>
          <w:bCs/>
          <w:sz w:val="20"/>
          <w:szCs w:val="20"/>
          <w:shd w:fill="FFF2CC" w:color="auto" w:val="clear"/>
        </w:rPr>
        <w:t xml:space="preserve">The consumer forum was not obliged to refer. Consumer disputes are non-arbitrable.</w:t>
      </w:r>
    </w:p>
    <w:p>
      <w:pPr>
        <w:spacing w:after="60" w:line="258"/>
        <w:ind w:left="230"/>
        <w:jc w:val="both"/>
      </w:pPr>
      <w:r>
        <w:rPr>
          <w:b/>
          <w:bCs/>
          <w:sz w:val="20"/>
          <w:szCs w:val="20"/>
        </w:rPr>
        <w:t xml:space="preserve">Principle. </w:t>
      </w:r>
      <w:r>
        <w:rPr>
          <w:sz w:val="20"/>
          <w:szCs w:val="20"/>
        </w:rPr>
        <w:t xml:space="preserve">The Consumer Protection Act gives a </w:t>
      </w:r>
      <w:r>
        <w:rPr>
          <w:b/>
          <w:bCs/>
          <w:sz w:val="20"/>
          <w:szCs w:val="20"/>
        </w:rPr>
        <w:t xml:space="preserve">special, additional remedy</w:t>
      </w:r>
      <w:r>
        <w:rPr>
          <w:sz w:val="20"/>
          <w:szCs w:val="20"/>
        </w:rPr>
        <w:t xml:space="preserve"> to a protected class. Section 3 of the 1986 Act provided that its provisions are “in addition to and not in derogation of” any other law, and such a remedy cannot be displaced by a private arbitration clause. The amended section 8 was not meant to override special statutory fora.</w:t>
      </w:r>
    </w:p>
    <w:p>
      <w:pPr>
        <w:spacing w:after="60" w:line="258"/>
        <w:ind w:left="230"/>
        <w:jc w:val="both"/>
      </w:pPr>
      <w:r>
        <w:rPr>
          <w:b/>
          <w:bCs/>
          <w:sz w:val="20"/>
          <w:szCs w:val="20"/>
        </w:rPr>
        <w:t xml:space="preserve">Status. </w:t>
      </w:r>
      <w:r>
        <w:rPr>
          <w:sz w:val="20"/>
          <w:szCs w:val="20"/>
        </w:rPr>
        <w:t xml:space="preserve">Good law. It illustrates the wider principle that </w:t>
      </w:r>
      <w:r>
        <w:rPr>
          <w:b/>
          <w:bCs/>
          <w:sz w:val="20"/>
          <w:szCs w:val="20"/>
        </w:rPr>
        <w:t xml:space="preserve">beneficent legislation</w:t>
      </w:r>
      <w:r>
        <w:rPr>
          <w:sz w:val="20"/>
          <w:szCs w:val="20"/>
        </w:rPr>
        <w:t xml:space="preserve"> — consumer and rent control statutes, for example — cannot be circumvented by an arbitration clause.</w:t>
      </w:r>
    </w:p>
    <w:p>
      <w:pPr>
        <w:spacing w:after="120" w:line="264"/>
        <w:jc w:val="both"/>
      </w:pPr>
      <w:r>
        <w:t xml:space="preserve">Read this with the general law. </w:t>
      </w:r>
      <w:r>
        <w:rPr>
          <w:b/>
          <w:bCs/>
          <w:i/>
          <w:iCs/>
        </w:rPr>
        <w:t xml:space="preserve">Booz Allen &amp; Hamilton Inc. v. SBI Home Finance Ltd.</w:t>
      </w:r>
      <w:r>
        <w:t xml:space="preserve">, (2011) 5 SCC 532, identified non-arbitrable categories on a rights </w:t>
      </w:r>
      <w:r>
        <w:rPr>
          <w:i/>
          <w:iCs/>
        </w:rPr>
        <w:t xml:space="preserve">in rem</w:t>
      </w:r>
      <w:r>
        <w:t xml:space="preserve"> analysis. </w:t>
      </w:r>
      <w:r>
        <w:rPr>
          <w:b/>
          <w:bCs/>
          <w:i/>
          <w:iCs/>
        </w:rPr>
        <w:t xml:space="preserve">Vidya Drolia v. Durga Trading Corporation</w:t>
      </w:r>
      <w:r>
        <w:t xml:space="preserve">, (2021) 2 SCC 1, restated them as a </w:t>
      </w:r>
      <w:r>
        <w:rPr>
          <w:b/>
          <w:bCs/>
        </w:rPr>
        <w:t xml:space="preserve">fourfold test</w:t>
      </w:r>
      <w:r>
        <w:t xml:space="preserve">. A dispute is non-arbitrable where its subject matter —</w:t>
      </w:r>
    </w:p>
    <w:p>
      <w:pPr>
        <w:pStyle w:val="ListParagraph"/>
        <w:numPr>
          <w:ilvl w:val="0"/>
          <w:numId w:val="7"/>
        </w:numPr>
        <w:spacing w:after="70" w:line="264"/>
        <w:jc w:val="both"/>
      </w:pPr>
      <w:r>
        <w:t xml:space="preserve">is an action </w:t>
      </w:r>
      <w:r>
        <w:rPr>
          <w:i/>
          <w:iCs/>
        </w:rPr>
        <w:t xml:space="preserve">in rem</w:t>
      </w:r>
      <w:r>
        <w:t xml:space="preserve">, rather than a subordinate right </w:t>
      </w:r>
      <w:r>
        <w:rPr>
          <w:i/>
          <w:iCs/>
        </w:rPr>
        <w:t xml:space="preserve">in personam</w:t>
      </w:r>
      <w:r>
        <w:t xml:space="preserve"> arising from a right </w:t>
      </w:r>
      <w:r>
        <w:rPr>
          <w:i/>
          <w:iCs/>
        </w:rPr>
        <w:t xml:space="preserve">in rem</w:t>
      </w:r>
      <w:r>
        <w:t xml:space="preserve">;</w:t>
      </w:r>
    </w:p>
    <w:p>
      <w:pPr>
        <w:pStyle w:val="ListParagraph"/>
        <w:numPr>
          <w:ilvl w:val="0"/>
          <w:numId w:val="7"/>
        </w:numPr>
        <w:spacing w:after="70" w:line="264"/>
        <w:jc w:val="both"/>
      </w:pPr>
      <w:r>
        <w:t xml:space="preserve">affects third-party rights, has an </w:t>
      </w:r>
      <w:r>
        <w:rPr>
          <w:i/>
          <w:iCs/>
        </w:rPr>
        <w:t xml:space="preserve">erga omnes</w:t>
      </w:r>
      <w:r>
        <w:t xml:space="preserve"> effect, or needs centralised adjudication;</w:t>
      </w:r>
    </w:p>
    <w:p>
      <w:pPr>
        <w:pStyle w:val="ListParagraph"/>
        <w:numPr>
          <w:ilvl w:val="0"/>
          <w:numId w:val="7"/>
        </w:numPr>
        <w:spacing w:after="70" w:line="264"/>
        <w:jc w:val="both"/>
      </w:pPr>
      <w:r>
        <w:t xml:space="preserve">concerns an inalienable sovereign or public-interest function of the State; or</w:t>
      </w:r>
    </w:p>
    <w:p>
      <w:pPr>
        <w:pStyle w:val="ListParagraph"/>
        <w:numPr>
          <w:ilvl w:val="0"/>
          <w:numId w:val="7"/>
        </w:numPr>
        <w:spacing w:after="70" w:line="264"/>
        <w:jc w:val="both"/>
      </w:pPr>
      <w:r>
        <w:t xml:space="preserve">is expressly or by necessary implication made non-arbitrable by statute.</w:t>
      </w:r>
    </w:p>
    <w:p>
      <w:pPr>
        <w:spacing w:after="120" w:line="264"/>
        <w:jc w:val="both"/>
      </w:pPr>
      <w:r>
        <w:rPr>
          <w:b/>
          <w:bCs/>
        </w:rPr>
        <w:t xml:space="preserve">Consumer disputes fall in the fourth limb.</w:t>
      </w:r>
    </w:p>
    <w:p>
      <w:pPr>
        <w:pStyle w:val="Heading1"/>
        <w:keepNext/>
        <w:pBdr>
          <w:bottom w:val="single" w:color="1F3864" w:sz="6" w:space="4"/>
        </w:pBdr>
        <w:spacing w:after="160" w:before="420"/>
      </w:pPr>
      <w:r>
        <w:t xml:space="preserve">4.  The Arbitration Agreement: Section 7</w:t>
      </w:r>
    </w:p>
    <w:p>
      <w:pPr>
        <w:spacing w:after="120" w:line="264"/>
        <w:jc w:val="both"/>
      </w:pPr>
      <w:r>
        <w:t xml:space="preserve">The arbitration agreement is the foundation of everything. It records the parties' consent, and </w:t>
      </w:r>
      <w:r>
        <w:rPr>
          <w:b/>
          <w:bCs/>
        </w:rPr>
        <w:t xml:space="preserve">consent is what gives the tribunal its authority</w:t>
      </w:r>
      <w:r>
        <w:t xml:space="preserve">. Without an arbitration agreement there is nothing for section 8 or section 11 to work on, and an award is made without jurisdiction.</w:t>
      </w:r>
    </w:p>
    <w:p>
      <w:pPr>
        <w:pStyle w:val="Heading2"/>
        <w:keepNext/>
        <w:spacing w:after="100" w:before="250"/>
      </w:pPr>
      <w:r>
        <w:t xml:space="preserve">The provision</w:t>
      </w:r>
    </w:p>
    <w:p>
      <w:pPr>
        <w:spacing w:after="120" w:line="264"/>
        <w:jc w:val="both"/>
      </w:pPr>
      <w:r>
        <w:rPr>
          <w:b/>
          <w:bCs/>
        </w:rPr>
        <w:t xml:space="preserve">Section 7(1)</w:t>
      </w:r>
      <w:r>
        <w:t xml:space="preserve"> defines an arbitration agreement as an agreement to submit to arbitration all or certain disputes, present or future, arising in respect of a </w:t>
      </w:r>
      <w:r>
        <w:rPr>
          <w:b/>
          <w:bCs/>
        </w:rPr>
        <w:t xml:space="preserve">defined legal relationship, whether contractual or not</w:t>
      </w:r>
      <w:r>
        <w:t xml:space="preserve">.</w:t>
      </w:r>
    </w:p>
    <w:p>
      <w:pPr>
        <w:spacing w:after="120" w:line="264"/>
        <w:jc w:val="both"/>
      </w:pPr>
      <w:r>
        <w:rPr>
          <w:b/>
          <w:bCs/>
        </w:rPr>
        <w:t xml:space="preserve">Section 7(2)</w:t>
      </w:r>
      <w:r>
        <w:t xml:space="preserve"> allows it to be either an arbitration clause in a contract or a separate agreement. </w:t>
      </w:r>
      <w:r>
        <w:rPr>
          <w:b/>
          <w:bCs/>
        </w:rPr>
        <w:t xml:space="preserve">Section 7(3)</w:t>
      </w:r>
      <w:r>
        <w:t xml:space="preserve"> requires writing. </w:t>
      </w:r>
      <w:r>
        <w:rPr>
          <w:b/>
          <w:bCs/>
        </w:rPr>
        <w:t xml:space="preserve">Section 7(5)</w:t>
      </w:r>
      <w:r>
        <w:t xml:space="preserve"> provides for </w:t>
      </w:r>
      <w:r>
        <w:rPr>
          <w:b/>
          <w:bCs/>
        </w:rPr>
        <w:t xml:space="preserve">incorporation by reference</w:t>
      </w:r>
      <w:r>
        <w:t xml:space="preserve">: a reference in a written contract to a document containing an arbitration clause is an arbitration agreement if the reference makes that clause part of the contract.</w:t>
      </w:r>
    </w:p>
    <w:p>
      <w:pPr>
        <w:spacing w:after="120" w:line="264"/>
        <w:jc w:val="both"/>
      </w:pPr>
      <w:r>
        <w:rPr>
          <w:b/>
          <w:bCs/>
        </w:rPr>
        <w:t xml:space="preserve">Section 7(4)</w:t>
      </w:r>
      <w:r>
        <w:t xml:space="preserve"> explains when the agreement is in writing. It is in writing if contained in —</w:t>
      </w:r>
    </w:p>
    <w:p>
      <w:pPr>
        <w:pStyle w:val="ListParagraph"/>
        <w:numPr>
          <w:ilvl w:val="0"/>
          <w:numId w:val="8"/>
        </w:numPr>
        <w:spacing w:after="70" w:line="264"/>
        <w:jc w:val="both"/>
      </w:pPr>
      <w:r>
        <w:t xml:space="preserve">a document signed by the parties;</w:t>
      </w:r>
    </w:p>
    <w:p>
      <w:pPr>
        <w:pStyle w:val="ListParagraph"/>
        <w:numPr>
          <w:ilvl w:val="0"/>
          <w:numId w:val="8"/>
        </w:numPr>
        <w:spacing w:after="70" w:line="264"/>
        <w:jc w:val="both"/>
      </w:pPr>
      <w:r>
        <w:t xml:space="preserve">an exchange of letters, telex, telegrams or other means of telecommunication, </w:t>
      </w:r>
      <w:r>
        <w:rPr>
          <w:b/>
          <w:bCs/>
        </w:rPr>
        <w:t xml:space="preserve">including electronic means</w:t>
      </w:r>
      <w:r>
        <w:t xml:space="preserve">, providing a record of the agreement; or</w:t>
      </w:r>
    </w:p>
    <w:p>
      <w:pPr>
        <w:pStyle w:val="ListParagraph"/>
        <w:numPr>
          <w:ilvl w:val="0"/>
          <w:numId w:val="8"/>
        </w:numPr>
        <w:spacing w:after="70" w:line="264"/>
        <w:jc w:val="both"/>
      </w:pPr>
      <w:r>
        <w:t xml:space="preserve">an exchange of statements of claim and defence in which one party alleges the agreement and the other does not deny it.</w:t>
      </w:r>
    </w:p>
    <w:p>
      <w:pPr>
        <w:spacing w:after="120" w:line="264"/>
        <w:jc w:val="both"/>
      </w:pPr>
      <w:r>
        <w:rPr>
          <w:b/>
          <w:bCs/>
        </w:rPr>
        <w:t xml:space="preserve">On writing.</w:t>
      </w:r>
      <w:r>
        <w:t xml:space="preserve"> The requirement is one of </w:t>
      </w:r>
      <w:r>
        <w:rPr>
          <w:b/>
          <w:bCs/>
        </w:rPr>
        <w:t xml:space="preserve">record, not formality</w:t>
      </w:r>
      <w:r>
        <w:t xml:space="preserve">. The 2006 revision of the Model Law absorbed the Model Law on Electronic Commerce, so an electronic communication satisfies it if the information is accessible for later reference. Electronic contracts, including those used in online dispute resolution, therefore qualify. The New York Convention's writing requirement, framed earlier, is narrower on its face.</w:t>
      </w:r>
    </w:p>
    <w:p>
      <w:pPr>
        <w:spacing w:after="120" w:line="264"/>
        <w:jc w:val="both"/>
      </w:pPr>
      <w:r>
        <w:rPr>
          <w:b/>
          <w:bCs/>
        </w:rPr>
        <w:t xml:space="preserve">Clause (c) deserves separate notice.</w:t>
      </w:r>
      <w:r>
        <w:t xml:space="preserve"> </w:t>
      </w:r>
      <w:r>
        <w:rPr>
          <w:b/>
          <w:bCs/>
          <w:shd w:fill="FFF2CC" w:color="auto" w:val="clear"/>
        </w:rPr>
        <w:t xml:space="preserve">The pleadings themselves may create the agreement.</w:t>
      </w:r>
      <w:r>
        <w:t xml:space="preserve"> If the claimant asserts an arbitration agreement in its statement of claim and the respondent does not deny it in the defence, that exchange is the agreement in writing. Claim and defence are the arbitral equivalents of plaint and written statement.</w:t>
      </w:r>
    </w:p>
    <w:p>
      <w:pPr>
        <w:spacing w:after="120" w:line="264"/>
        <w:jc w:val="both"/>
      </w:pPr>
      <w:r>
        <w:rPr>
          <w:b/>
          <w:bCs/>
        </w:rPr>
        <w:t xml:space="preserve">Two forms.</w:t>
      </w:r>
      <w:r>
        <w:t xml:space="preserve"> An </w:t>
      </w:r>
      <w:r>
        <w:rPr>
          <w:b/>
          <w:bCs/>
        </w:rPr>
        <w:t xml:space="preserve">arbitral clause</w:t>
      </w:r>
      <w:r>
        <w:t xml:space="preserve"> sits inside a larger contract. A </w:t>
      </w:r>
      <w:r>
        <w:rPr>
          <w:b/>
          <w:bCs/>
        </w:rPr>
        <w:t xml:space="preserve">separate arbitration agreement</w:t>
      </w:r>
      <w:r>
        <w:t xml:space="preserve"> is a standalone document, used for an existing dispute or where the relationship is not in one contract. Validity is the same either way, but the distinction matters for separability under section 16.</w:t>
      </w:r>
    </w:p>
    <w:p>
      <w:pPr>
        <w:pStyle w:val="Heading2"/>
        <w:keepNext/>
        <w:spacing w:after="100" w:before="250"/>
      </w:pPr>
      <w:r>
        <w:t xml:space="preserve">Binding obligation or mere possibility?</w:t>
      </w:r>
    </w:p>
    <w:p>
      <w:pPr>
        <w:spacing w:after="120" w:line="264"/>
        <w:jc w:val="both"/>
      </w:pPr>
      <w:r>
        <w:t xml:space="preserve">The practical question is whether a loosely drafted clause is an agreement to arbitrate at all. The test is whether the parties have </w:t>
      </w:r>
      <w:r>
        <w:rPr>
          <w:b/>
          <w:bCs/>
        </w:rPr>
        <w:t xml:space="preserve">bound themselves</w:t>
      </w:r>
      <w:r>
        <w:t xml:space="preserve"> to arbitrate, or merely left open the possibility of agreeing to arbitrate later.</w:t>
      </w:r>
    </w:p>
    <w:p>
      <w:pPr>
        <w:keepNext/>
        <w:spacing w:after="60" w:before="150"/>
      </w:pPr>
      <w:r>
        <w:rPr>
          <w:b/>
          <w:bCs/>
          <w:i/>
          <w:iCs/>
          <w:sz w:val="21"/>
          <w:szCs w:val="21"/>
        </w:rPr>
        <w:t xml:space="preserve">Jagdish Chander v. Ramesh Chander</w:t>
      </w:r>
      <w:r>
        <w:rPr>
          <w:sz w:val="19"/>
          <w:szCs w:val="19"/>
        </w:rPr>
        <w:t xml:space="preserve">, (2007) 5 SCC 719 (SC)</w:t>
      </w:r>
    </w:p>
    <w:p>
      <w:pPr>
        <w:spacing w:after="60" w:line="258"/>
        <w:ind w:left="230"/>
        <w:jc w:val="both"/>
      </w:pPr>
      <w:r>
        <w:rPr>
          <w:b/>
          <w:bCs/>
          <w:sz w:val="20"/>
          <w:szCs w:val="20"/>
        </w:rPr>
        <w:t xml:space="preserve">Facts. </w:t>
      </w:r>
      <w:r>
        <w:rPr>
          <w:sz w:val="20"/>
          <w:szCs w:val="20"/>
        </w:rPr>
        <w:t xml:space="preserve">Clause 16 of a partnership deed said disputes “shall be mutually decided by the partners </w:t>
      </w:r>
      <w:r>
        <w:rPr>
          <w:b/>
          <w:bCs/>
          <w:sz w:val="20"/>
          <w:szCs w:val="20"/>
        </w:rPr>
        <w:t xml:space="preserve">or shall be referred for arbitration if the parties so determine</w:t>
      </w:r>
      <w:r>
        <w:rPr>
          <w:sz w:val="20"/>
          <w:szCs w:val="20"/>
        </w:rPr>
        <w:t xml:space="preserve">.” The designate of the Chief Justice appointed a sole arbitrator under section 11, reasoning that the clause would be pointless if arbitration were not intended and should be liberally construed to encourage arbitration.</w:t>
      </w:r>
    </w:p>
    <w:p>
      <w:pPr>
        <w:spacing w:after="60" w:line="258"/>
        <w:ind w:left="230"/>
        <w:jc w:val="both"/>
      </w:pPr>
      <w:r>
        <w:rPr>
          <w:b/>
          <w:bCs/>
          <w:sz w:val="20"/>
          <w:szCs w:val="20"/>
        </w:rPr>
        <w:t xml:space="preserve">Decision. </w:t>
      </w:r>
      <w:r>
        <w:rPr>
          <w:sz w:val="20"/>
          <w:szCs w:val="20"/>
        </w:rPr>
        <w:t xml:space="preserve">Clause 16 was </w:t>
      </w:r>
      <w:r>
        <w:rPr>
          <w:b/>
          <w:bCs/>
          <w:sz w:val="20"/>
          <w:szCs w:val="20"/>
        </w:rPr>
        <w:t xml:space="preserve">not</w:t>
      </w:r>
      <w:r>
        <w:rPr>
          <w:sz w:val="20"/>
          <w:szCs w:val="20"/>
        </w:rPr>
        <w:t xml:space="preserve"> a valid arbitration agreement, and the appointment was set aside.</w:t>
      </w:r>
    </w:p>
    <w:p>
      <w:pPr>
        <w:spacing w:after="60" w:line="258"/>
        <w:ind w:left="230"/>
        <w:jc w:val="both"/>
      </w:pPr>
      <w:r>
        <w:rPr>
          <w:b/>
          <w:bCs/>
          <w:sz w:val="20"/>
          <w:szCs w:val="20"/>
        </w:rPr>
        <w:t xml:space="preserve">Principle. </w:t>
      </w:r>
      <w:r>
        <w:rPr>
          <w:b/>
          <w:bCs/>
          <w:sz w:val="20"/>
          <w:szCs w:val="20"/>
          <w:shd w:fill="FFF2CC" w:color="auto" w:val="clear"/>
        </w:rPr>
        <w:t xml:space="preserve">The words must show a determination and an obligation to arbitrate, not merely the possibility of arbitration.</w:t>
      </w:r>
      <w:r>
        <w:rPr>
          <w:sz w:val="20"/>
          <w:szCs w:val="20"/>
        </w:rPr>
        <w:t xml:space="preserve"> “If the parties so determine” creates no present obligation and contemplates a further, future agreement. Had the clause simply said disputes “shall be referred to arbitration”, it would have been an arbitration agreement. The Court followed </w:t>
      </w:r>
      <w:r>
        <w:rPr>
          <w:b/>
          <w:bCs/>
          <w:i/>
          <w:iCs/>
          <w:sz w:val="20"/>
          <w:szCs w:val="20"/>
        </w:rPr>
        <w:t xml:space="preserve">Wellington Associates Ltd. v. Kirit Mehta</w:t>
      </w:r>
      <w:r>
        <w:rPr>
          <w:sz w:val="20"/>
          <w:szCs w:val="20"/>
        </w:rPr>
        <w:t xml:space="preserve">, (2000) 4 SCC 272, where “may be referred to arbitration” was held merely enabling.</w:t>
      </w:r>
    </w:p>
    <w:p>
      <w:pPr>
        <w:pStyle w:val="Heading3"/>
        <w:keepNext/>
        <w:spacing w:after="80" w:before="180"/>
      </w:pPr>
      <w:r>
        <w:t xml:space="preserve">The four essential attributes</w:t>
      </w:r>
    </w:p>
    <w:p>
      <w:pPr>
        <w:pStyle w:val="ListParagraph"/>
        <w:numPr>
          <w:ilvl w:val="0"/>
          <w:numId w:val="9"/>
        </w:numPr>
        <w:spacing w:after="70" w:line="264"/>
        <w:jc w:val="both"/>
      </w:pPr>
      <w:r>
        <w:t xml:space="preserve">The agreement must be </w:t>
      </w:r>
      <w:r>
        <w:rPr>
          <w:b/>
          <w:bCs/>
        </w:rPr>
        <w:t xml:space="preserve">in writing</w:t>
      </w:r>
      <w:r>
        <w:t xml:space="preserve">.</w:t>
      </w:r>
    </w:p>
    <w:p>
      <w:pPr>
        <w:pStyle w:val="ListParagraph"/>
        <w:numPr>
          <w:ilvl w:val="0"/>
          <w:numId w:val="9"/>
        </w:numPr>
        <w:spacing w:after="70" w:line="264"/>
        <w:jc w:val="both"/>
      </w:pPr>
      <w:r>
        <w:t xml:space="preserve">The parties must have agreed to refer disputes, present or future, to a </w:t>
      </w:r>
      <w:r>
        <w:rPr>
          <w:b/>
          <w:bCs/>
        </w:rPr>
        <w:t xml:space="preserve">private tribunal</w:t>
      </w:r>
      <w:r>
        <w:t xml:space="preserve">.</w:t>
      </w:r>
    </w:p>
    <w:p>
      <w:pPr>
        <w:pStyle w:val="ListParagraph"/>
        <w:numPr>
          <w:ilvl w:val="0"/>
          <w:numId w:val="9"/>
        </w:numPr>
        <w:spacing w:after="70" w:line="264"/>
        <w:jc w:val="both"/>
      </w:pPr>
      <w:r>
        <w:t xml:space="preserve">That tribunal must be empowered to decide </w:t>
      </w:r>
      <w:r>
        <w:rPr>
          <w:b/>
          <w:bCs/>
        </w:rPr>
        <w:t xml:space="preserve">impartially</w:t>
      </w:r>
      <w:r>
        <w:t xml:space="preserve">, giving both sides due opportunity to present their case.</w:t>
      </w:r>
    </w:p>
    <w:p>
      <w:pPr>
        <w:pStyle w:val="ListParagraph"/>
        <w:numPr>
          <w:ilvl w:val="0"/>
          <w:numId w:val="9"/>
        </w:numPr>
        <w:spacing w:after="70" w:line="264"/>
        <w:jc w:val="both"/>
      </w:pPr>
      <w:r>
        <w:t xml:space="preserve">The parties must have agreed that the decision will be </w:t>
      </w:r>
      <w:r>
        <w:rPr>
          <w:b/>
          <w:bCs/>
        </w:rPr>
        <w:t xml:space="preserve">binding</w:t>
      </w:r>
      <w:r>
        <w:t xml:space="preserve">.</w:t>
      </w:r>
    </w:p>
    <w:p>
      <w:pPr>
        <w:spacing w:after="120" w:line="264"/>
        <w:jc w:val="both"/>
      </w:pPr>
      <w:r>
        <w:t xml:space="preserve">Four further propositions follow. There is </w:t>
      </w:r>
      <w:r>
        <w:rPr>
          <w:b/>
          <w:bCs/>
        </w:rPr>
        <w:t xml:space="preserve">no prescribed form</w:t>
      </w:r>
      <w:r>
        <w:t xml:space="preserve">, so the absence of the words “arbitration” or “arbitrator” is not fatal if the attributes are present. Where the intention to arbitrate is direct and specific, the attributes need not be spelt out. Where the clause excludes any attribute, it is not an arbitration agreement.</w:t>
      </w:r>
    </w:p>
    <w:p>
      <w:pPr>
        <w:spacing w:after="120" w:line="264"/>
        <w:jc w:val="both"/>
      </w:pPr>
      <w:r>
        <w:rPr>
          <w:b/>
          <w:bCs/>
        </w:rPr>
        <w:t xml:space="preserve">Examples of clauses that are not arbitration agreements:</w:t>
      </w:r>
      <w:r>
        <w:t xml:space="preserve"> one that permits decision </w:t>
      </w:r>
      <w:r>
        <w:rPr>
          <w:b/>
          <w:bCs/>
        </w:rPr>
        <w:t xml:space="preserve">without a hearing</w:t>
      </w:r>
      <w:r>
        <w:t xml:space="preserve">; one requiring the authority to act in the interests of </w:t>
      </w:r>
      <w:r>
        <w:rPr>
          <w:b/>
          <w:bCs/>
        </w:rPr>
        <w:t xml:space="preserve">one party only</w:t>
      </w:r>
      <w:r>
        <w:t xml:space="preserve">; one providing that the decision will </w:t>
      </w:r>
      <w:r>
        <w:rPr>
          <w:b/>
          <w:bCs/>
        </w:rPr>
        <w:t xml:space="preserve">not be final and binding</w:t>
      </w:r>
      <w:r>
        <w:t xml:space="preserve">; and one allowing a dissatisfied party to </w:t>
      </w:r>
      <w:r>
        <w:rPr>
          <w:b/>
          <w:bCs/>
        </w:rPr>
        <w:t xml:space="preserve">file a civil suit</w:t>
      </w:r>
      <w:r>
        <w:t xml:space="preserve">.</w:t>
      </w:r>
    </w:p>
    <w:p>
      <w:pPr>
        <w:spacing w:after="120" w:line="264"/>
        <w:jc w:val="both"/>
      </w:pPr>
      <w:r>
        <w:rPr>
          <w:b/>
          <w:bCs/>
        </w:rPr>
        <w:t xml:space="preserve">Examination point.</w:t>
      </w:r>
      <w:r>
        <w:t xml:space="preserve"> </w:t>
      </w:r>
      <w:r>
        <w:rPr>
          <w:b/>
          <w:bCs/>
          <w:shd w:fill="FFF2CC" w:color="auto" w:val="clear"/>
        </w:rPr>
        <w:t xml:space="preserve">Substance matters more than form.</w:t>
      </w:r>
    </w:p>
    <w:p>
      <w:pPr>
        <w:pStyle w:val="Heading2"/>
        <w:keepNext/>
        <w:spacing w:after="100" w:before="250"/>
      </w:pPr>
      <w:r>
        <w:t xml:space="preserve">Stamping and non-signatories</w:t>
      </w:r>
    </w:p>
    <w:p>
      <w:pPr>
        <w:keepNext/>
        <w:spacing w:after="60" w:before="150"/>
      </w:pPr>
      <w:r>
        <w:rPr>
          <w:b/>
          <w:bCs/>
          <w:i/>
          <w:iCs/>
          <w:sz w:val="21"/>
          <w:szCs w:val="21"/>
        </w:rPr>
        <w:t xml:space="preserve">In Re: Interplay between Arbitration Agreements under the Arbitration and Conciliation Act 1996 and the Indian Stamp Act 1899</w:t>
      </w:r>
      <w:r>
        <w:rPr>
          <w:sz w:val="19"/>
          <w:szCs w:val="19"/>
        </w:rPr>
        <w:t xml:space="preserve">, 2023 INSC 1066 (SC, 7 Judges, 13 December 2023)</w:t>
      </w:r>
    </w:p>
    <w:p>
      <w:pPr>
        <w:spacing w:after="60" w:line="258"/>
        <w:ind w:left="230"/>
        <w:jc w:val="both"/>
      </w:pPr>
      <w:r>
        <w:rPr>
          <w:b/>
          <w:bCs/>
          <w:sz w:val="20"/>
          <w:szCs w:val="20"/>
        </w:rPr>
        <w:t xml:space="preserve">Facts. </w:t>
      </w:r>
      <w:r>
        <w:rPr>
          <w:sz w:val="20"/>
          <w:szCs w:val="20"/>
        </w:rPr>
        <w:t xml:space="preserve">The question was whether an arbitration clause in an unstamped or insufficiently stamped contract could be acted upon.</w:t>
      </w:r>
    </w:p>
    <w:p>
      <w:pPr>
        <w:spacing w:after="60" w:line="258"/>
        <w:ind w:left="230"/>
        <w:jc w:val="both"/>
      </w:pPr>
      <w:r>
        <w:rPr>
          <w:b/>
          <w:bCs/>
          <w:sz w:val="20"/>
          <w:szCs w:val="20"/>
        </w:rPr>
        <w:t xml:space="preserve">Decision. </w:t>
      </w:r>
      <w:r>
        <w:rPr>
          <w:b/>
          <w:bCs/>
          <w:sz w:val="20"/>
          <w:szCs w:val="20"/>
          <w:shd w:fill="FFF2CC" w:color="auto" w:val="clear"/>
        </w:rPr>
        <w:t xml:space="preserve">Non-payment or insufficiency of stamp duty makes the instrument inadmissible in evidence, but not void or unenforceable. The defect is curable.</w:t>
      </w:r>
    </w:p>
    <w:p>
      <w:pPr>
        <w:spacing w:after="60" w:line="258"/>
        <w:ind w:left="230"/>
        <w:jc w:val="both"/>
      </w:pPr>
      <w:r>
        <w:rPr>
          <w:b/>
          <w:bCs/>
          <w:sz w:val="20"/>
          <w:szCs w:val="20"/>
        </w:rPr>
        <w:t xml:space="preserve">Principle. </w:t>
      </w:r>
      <w:r>
        <w:rPr>
          <w:sz w:val="20"/>
          <w:szCs w:val="20"/>
        </w:rPr>
        <w:t xml:space="preserve">Stamping is a matter for the </w:t>
      </w:r>
      <w:r>
        <w:rPr>
          <w:b/>
          <w:bCs/>
          <w:sz w:val="20"/>
          <w:szCs w:val="20"/>
        </w:rPr>
        <w:t xml:space="preserve">arbitral tribunal</w:t>
      </w:r>
      <w:r>
        <w:rPr>
          <w:sz w:val="20"/>
          <w:szCs w:val="20"/>
        </w:rPr>
        <w:t xml:space="preserve">, not for the court at the section 8 or section 11 stage.</w:t>
      </w:r>
    </w:p>
    <w:p>
      <w:pPr>
        <w:spacing w:after="60" w:line="258"/>
        <w:ind w:left="230"/>
        <w:jc w:val="both"/>
      </w:pPr>
      <w:r>
        <w:rPr>
          <w:b/>
          <w:bCs/>
          <w:sz w:val="20"/>
          <w:szCs w:val="20"/>
        </w:rPr>
        <w:t xml:space="preserve">Status. </w:t>
      </w:r>
      <w:r>
        <w:rPr>
          <w:b/>
          <w:bCs/>
          <w:sz w:val="20"/>
          <w:szCs w:val="20"/>
        </w:rPr>
        <w:t xml:space="preserve">Overruled</w:t>
      </w:r>
      <w:r>
        <w:rPr>
          <w:sz w:val="20"/>
          <w:szCs w:val="20"/>
        </w:rPr>
        <w:t xml:space="preserve"> </w:t>
      </w:r>
      <w:r>
        <w:rPr>
          <w:b/>
          <w:bCs/>
          <w:i/>
          <w:iCs/>
          <w:sz w:val="20"/>
          <w:szCs w:val="20"/>
        </w:rPr>
        <w:t xml:space="preserve">N.N. Global Mercantile Pvt. Ltd. v. Indo Unique Flame Ltd.</w:t>
      </w:r>
      <w:r>
        <w:rPr>
          <w:sz w:val="20"/>
          <w:szCs w:val="20"/>
        </w:rPr>
        <w:t xml:space="preserve">, (2023) 7 SCC 1, and </w:t>
      </w:r>
      <w:r>
        <w:rPr>
          <w:b/>
          <w:bCs/>
          <w:i/>
          <w:iCs/>
          <w:sz w:val="20"/>
          <w:szCs w:val="20"/>
        </w:rPr>
        <w:t xml:space="preserve">SMS Tea Estates Pvt. Ltd. v. Chandmari Tea Co. Pvt. Ltd.</w:t>
      </w:r>
      <w:r>
        <w:rPr>
          <w:sz w:val="20"/>
          <w:szCs w:val="20"/>
        </w:rPr>
        <w:t xml:space="preserve">, (2011) 14 SCC 66, and overruled paragraphs 22 and 29 of </w:t>
      </w:r>
      <w:r>
        <w:rPr>
          <w:b/>
          <w:bCs/>
          <w:i/>
          <w:iCs/>
          <w:sz w:val="20"/>
          <w:szCs w:val="20"/>
        </w:rPr>
        <w:t xml:space="preserve">Garware Wall Ropes Ltd. v. Coastal Marine Constructions &amp; Engineering Ltd.</w:t>
      </w:r>
      <w:r>
        <w:rPr>
          <w:sz w:val="20"/>
          <w:szCs w:val="20"/>
        </w:rPr>
        <w:t xml:space="preserve">, (2019) 9 SCC 209.</w:t>
      </w:r>
    </w:p>
    <w:p>
      <w:pPr>
        <w:keepNext/>
        <w:spacing w:after="60" w:before="150"/>
      </w:pPr>
      <w:r>
        <w:rPr>
          <w:b/>
          <w:bCs/>
          <w:i/>
          <w:iCs/>
          <w:sz w:val="21"/>
          <w:szCs w:val="21"/>
        </w:rPr>
        <w:t xml:space="preserve">Cox and Kings Ltd. v. SAP India Pvt. Ltd.</w:t>
      </w:r>
      <w:r>
        <w:rPr>
          <w:sz w:val="19"/>
          <w:szCs w:val="19"/>
        </w:rPr>
        <w:t xml:space="preserve">, 2023 INSC 1051; 2023 SCC OnLine SC 1634 (SC, Constitution Bench of 5, 6 December 2023)</w:t>
      </w:r>
    </w:p>
    <w:p>
      <w:pPr>
        <w:spacing w:after="60" w:line="258"/>
        <w:ind w:left="230"/>
        <w:jc w:val="both"/>
      </w:pPr>
      <w:r>
        <w:rPr>
          <w:b/>
          <w:bCs/>
          <w:sz w:val="20"/>
          <w:szCs w:val="20"/>
        </w:rPr>
        <w:t xml:space="preserve">Facts. </w:t>
      </w:r>
      <w:r>
        <w:rPr>
          <w:sz w:val="20"/>
          <w:szCs w:val="20"/>
        </w:rPr>
        <w:t xml:space="preserve">The question was whether a non-signatory company in a corporate group can be bound by an arbitration agreement signed by an affiliate.</w:t>
      </w:r>
    </w:p>
    <w:p>
      <w:pPr>
        <w:spacing w:after="60" w:line="258"/>
        <w:ind w:left="230"/>
        <w:jc w:val="both"/>
      </w:pPr>
      <w:r>
        <w:rPr>
          <w:b/>
          <w:bCs/>
          <w:sz w:val="20"/>
          <w:szCs w:val="20"/>
        </w:rPr>
        <w:t xml:space="preserve">Decision. </w:t>
      </w:r>
      <w:r>
        <w:rPr>
          <w:sz w:val="20"/>
          <w:szCs w:val="20"/>
        </w:rPr>
        <w:t xml:space="preserve">The </w:t>
      </w:r>
      <w:r>
        <w:rPr>
          <w:b/>
          <w:bCs/>
          <w:sz w:val="20"/>
          <w:szCs w:val="20"/>
        </w:rPr>
        <w:t xml:space="preserve">group of companies doctrine</w:t>
      </w:r>
      <w:r>
        <w:rPr>
          <w:sz w:val="20"/>
          <w:szCs w:val="20"/>
        </w:rPr>
        <w:t xml:space="preserve"> is part of Indian arbitration law.</w:t>
      </w:r>
    </w:p>
    <w:p>
      <w:pPr>
        <w:spacing w:after="60" w:line="258"/>
        <w:ind w:left="230"/>
        <w:jc w:val="both"/>
      </w:pPr>
      <w:r>
        <w:rPr>
          <w:b/>
          <w:bCs/>
          <w:sz w:val="20"/>
          <w:szCs w:val="20"/>
        </w:rPr>
        <w:t xml:space="preserve">Principle. </w:t>
      </w:r>
      <w:r>
        <w:rPr>
          <w:sz w:val="20"/>
          <w:szCs w:val="20"/>
        </w:rPr>
        <w:t xml:space="preserve">Its basis is the definition of “parties” in </w:t>
      </w:r>
      <w:r>
        <w:rPr>
          <w:b/>
          <w:bCs/>
          <w:sz w:val="20"/>
          <w:szCs w:val="20"/>
        </w:rPr>
        <w:t xml:space="preserve">section 2(1)(h) read with section 7</w:t>
      </w:r>
      <w:r>
        <w:rPr>
          <w:sz w:val="20"/>
          <w:szCs w:val="20"/>
        </w:rPr>
        <w:t xml:space="preserve">, and the mutual intention to bind a non-signatory under section 7(4)(b) — not the “claiming through or under” wording used in earlier decisions. Whether a particular non-signatory is bound is left to the tribunal.</w:t>
      </w:r>
    </w:p>
    <w:p>
      <w:pPr>
        <w:pStyle w:val="Heading1"/>
        <w:keepNext/>
        <w:pBdr>
          <w:bottom w:val="single" w:color="1F3864" w:sz="6" w:space="4"/>
        </w:pBdr>
        <w:spacing w:after="160" w:before="420"/>
      </w:pPr>
      <w:r>
        <w:t xml:space="preserve">5.  Interim Measures: Sections 9 and 17</w:t>
      </w:r>
    </w:p>
    <w:p>
      <w:pPr>
        <w:spacing w:after="120" w:line="264"/>
        <w:jc w:val="both"/>
      </w:pPr>
      <w:r>
        <w:t xml:space="preserve">Arbitration takes time, and meanwhile the subject matter may be sold, damaged or removed. </w:t>
      </w:r>
      <w:r>
        <w:rPr>
          <w:b/>
          <w:bCs/>
        </w:rPr>
        <w:t xml:space="preserve">Interim measures preserve the position until the award is made</w:t>
      </w:r>
      <w:r>
        <w:t xml:space="preserve">, so that the award is not worthless when it comes.</w:t>
      </w:r>
    </w:p>
    <w:p>
      <w:pPr>
        <w:spacing w:after="120" w:line="264"/>
        <w:jc w:val="both"/>
      </w:pPr>
      <w:r>
        <w:t xml:space="preserve">There are two routes: the </w:t>
      </w:r>
      <w:r>
        <w:rPr>
          <w:b/>
          <w:bCs/>
        </w:rPr>
        <w:t xml:space="preserve">court</w:t>
      </w:r>
      <w:r>
        <w:t xml:space="preserve"> under section 9, and the </w:t>
      </w:r>
      <w:r>
        <w:rPr>
          <w:b/>
          <w:bCs/>
        </w:rPr>
        <w:t xml:space="preserve">arbitral tribunal</w:t>
      </w:r>
      <w:r>
        <w:t xml:space="preserve"> under section 17. The 2015 Amendment reversed the balance between them, so that </w:t>
      </w:r>
      <w:r>
        <w:rPr>
          <w:b/>
          <w:bCs/>
          <w:shd w:fill="FFF2CC" w:color="auto" w:val="clear"/>
        </w:rPr>
        <w:t xml:space="preserve">the tribunal is now the ordinary forum once it exists.</w:t>
      </w:r>
    </w:p>
    <w:p>
      <w:pPr>
        <w:pStyle w:val="Heading2"/>
        <w:keepNext/>
        <w:spacing w:after="100" w:before="250"/>
      </w:pPr>
      <w:r>
        <w:t xml:space="preserve">Section 9: interim measures by the court</w:t>
      </w:r>
    </w:p>
    <w:p>
      <w:pPr>
        <w:spacing w:after="120" w:line="264"/>
        <w:jc w:val="both"/>
      </w:pPr>
      <w:r>
        <w:t xml:space="preserve">A party may apply </w:t>
      </w:r>
      <w:r>
        <w:rPr>
          <w:b/>
          <w:bCs/>
        </w:rPr>
        <w:t xml:space="preserve">before or during arbitral proceedings, or after the award but before enforcement under section 36</w:t>
      </w:r>
      <w:r>
        <w:t xml:space="preserve">, for either the appointment of a guardian for a minor or person of unsound mind, or an interim measure of protection in respect of the following matters.</w:t>
      </w:r>
    </w:p>
    <w:p>
      <w:pPr>
        <w:pStyle w:val="ListParagraph"/>
        <w:numPr>
          <w:ilvl w:val="0"/>
          <w:numId w:val="10"/>
        </w:numPr>
        <w:spacing w:after="70" w:line="264"/>
        <w:jc w:val="both"/>
      </w:pPr>
      <w:r>
        <w:t xml:space="preserve">preservation, interim custody or sale of goods that are the subject matter of the arbitration agreement;</w:t>
      </w:r>
    </w:p>
    <w:p>
      <w:pPr>
        <w:pStyle w:val="ListParagraph"/>
        <w:numPr>
          <w:ilvl w:val="0"/>
          <w:numId w:val="10"/>
        </w:numPr>
        <w:spacing w:after="70" w:line="264"/>
        <w:jc w:val="both"/>
      </w:pPr>
      <w:r>
        <w:t xml:space="preserve">securing the amount in dispute;</w:t>
      </w:r>
    </w:p>
    <w:p>
      <w:pPr>
        <w:pStyle w:val="ListParagraph"/>
        <w:numPr>
          <w:ilvl w:val="0"/>
          <w:numId w:val="10"/>
        </w:numPr>
        <w:spacing w:after="70" w:line="264"/>
        <w:jc w:val="both"/>
      </w:pPr>
      <w:r>
        <w:t xml:space="preserve">detention, preservation or inspection of any property or thing that is the subject matter of the dispute, with power to authorise entry on land or buildings, and the taking of samples, observations or experiments;</w:t>
      </w:r>
    </w:p>
    <w:p>
      <w:pPr>
        <w:pStyle w:val="ListParagraph"/>
        <w:numPr>
          <w:ilvl w:val="0"/>
          <w:numId w:val="10"/>
        </w:numPr>
        <w:spacing w:after="70" w:line="264"/>
        <w:jc w:val="both"/>
      </w:pPr>
      <w:r>
        <w:t xml:space="preserve">interim injunction or appointment of a receiver;</w:t>
      </w:r>
    </w:p>
    <w:p>
      <w:pPr>
        <w:pStyle w:val="ListParagraph"/>
        <w:numPr>
          <w:ilvl w:val="0"/>
          <w:numId w:val="10"/>
        </w:numPr>
        <w:spacing w:after="70" w:line="264"/>
        <w:jc w:val="both"/>
      </w:pPr>
      <w:r>
        <w:t xml:space="preserve">any other interim measure that appears to the court </w:t>
      </w:r>
      <w:r>
        <w:rPr>
          <w:b/>
          <w:bCs/>
        </w:rPr>
        <w:t xml:space="preserve">just and convenient</w:t>
      </w:r>
      <w:r>
        <w:t xml:space="preserve"> — the widest, residuary head.</w:t>
      </w:r>
    </w:p>
    <w:p>
      <w:pPr>
        <w:spacing w:after="120" w:line="264"/>
        <w:jc w:val="both"/>
      </w:pPr>
      <w:r>
        <w:t xml:space="preserve">For these purposes the court has the same power as it has in proceedings before it.</w:t>
      </w:r>
    </w:p>
    <w:p>
      <w:pPr>
        <w:pStyle w:val="Heading3"/>
        <w:keepNext/>
        <w:spacing w:after="80" w:before="180"/>
      </w:pPr>
      <w:r>
        <w:t xml:space="preserve">Two restrictions added in 2015</w:t>
      </w:r>
    </w:p>
    <w:p>
      <w:pPr>
        <w:pStyle w:val="ListParagraph"/>
        <w:numPr>
          <w:ilvl w:val="0"/>
          <w:numId w:val="11"/>
        </w:numPr>
        <w:spacing w:after="70" w:line="264"/>
        <w:jc w:val="both"/>
      </w:pPr>
      <w:r>
        <w:rPr>
          <w:b/>
          <w:bCs/>
        </w:rPr>
        <w:t xml:space="preserve">Section 9(2) — the ninety-day rule.</w:t>
      </w:r>
      <w:r>
        <w:t xml:space="preserve"> Where the court makes an order </w:t>
      </w:r>
      <w:r>
        <w:rPr>
          <w:b/>
          <w:bCs/>
        </w:rPr>
        <w:t xml:space="preserve">before</w:t>
      </w:r>
      <w:r>
        <w:t xml:space="preserve"> the arbitration commences, the arbitration must begin within </w:t>
      </w:r>
      <w:r>
        <w:rPr>
          <w:b/>
          <w:bCs/>
        </w:rPr>
        <w:t xml:space="preserve">ninety days</w:t>
      </w:r>
      <w:r>
        <w:t xml:space="preserve"> of that order, or such further time as the court allows. This stops a party taking interim protection and then leaving the arbitration unstarted.</w:t>
      </w:r>
    </w:p>
    <w:p>
      <w:pPr>
        <w:pStyle w:val="ListParagraph"/>
        <w:numPr>
          <w:ilvl w:val="0"/>
          <w:numId w:val="11"/>
        </w:numPr>
        <w:spacing w:after="70" w:line="264"/>
        <w:jc w:val="both"/>
      </w:pPr>
      <w:r>
        <w:rPr>
          <w:b/>
          <w:bCs/>
        </w:rPr>
        <w:t xml:space="preserve">Section 9(3) — the efficacious remedy rule.</w:t>
      </w:r>
      <w:r>
        <w:t xml:space="preserve"> </w:t>
      </w:r>
      <w:r>
        <w:rPr>
          <w:b/>
          <w:bCs/>
          <w:shd w:fill="FFF2CC" w:color="auto" w:val="clear"/>
        </w:rPr>
        <w:t xml:space="preserve">Once the tribunal is constituted, the court shall not entertain a section 9 application unless it finds circumstances that may render the section 17 remedy not efficacious.</w:t>
      </w:r>
      <w:r>
        <w:t xml:space="preserve">  The applicant must show why the tribunal's remedy will not serve.</w:t>
      </w:r>
    </w:p>
    <w:p>
      <w:pPr>
        <w:keepNext/>
        <w:spacing w:after="60" w:before="150"/>
      </w:pPr>
      <w:r>
        <w:rPr>
          <w:b/>
          <w:bCs/>
          <w:i/>
          <w:iCs/>
          <w:sz w:val="21"/>
          <w:szCs w:val="21"/>
        </w:rPr>
        <w:t xml:space="preserve">Sundaram Finance Ltd. v. NEPC India Ltd.</w:t>
      </w:r>
      <w:r>
        <w:rPr>
          <w:sz w:val="19"/>
          <w:szCs w:val="19"/>
        </w:rPr>
        <w:t xml:space="preserve">, (1999) 2 SCC 479; AIR 1999 SC 565 (SC, 13 January 1999)</w:t>
      </w:r>
    </w:p>
    <w:p>
      <w:pPr>
        <w:spacing w:after="60" w:line="258"/>
        <w:ind w:left="230"/>
        <w:jc w:val="both"/>
      </w:pPr>
      <w:r>
        <w:rPr>
          <w:b/>
          <w:bCs/>
          <w:sz w:val="20"/>
          <w:szCs w:val="20"/>
        </w:rPr>
        <w:t xml:space="preserve">Facts. </w:t>
      </w:r>
      <w:r>
        <w:rPr>
          <w:sz w:val="20"/>
          <w:szCs w:val="20"/>
        </w:rPr>
        <w:t xml:space="preserve">NEPC took two wind turbine generators on hire-purchase, payable in thirty-six instalments, paid fifteen and defaulted. Sundaram Finance applied under section 9 for an Advocate-Commissioner to take custody of the machinery, and the trial court appointed one. NEPC objected under Article 227 that, no arbitration being pending and no arbitrator appointed, a standalone section 9 application was not maintainable.</w:t>
      </w:r>
    </w:p>
    <w:p>
      <w:pPr>
        <w:spacing w:after="60" w:line="258"/>
        <w:ind w:left="230"/>
        <w:jc w:val="both"/>
      </w:pPr>
      <w:r>
        <w:rPr>
          <w:b/>
          <w:bCs/>
          <w:sz w:val="20"/>
          <w:szCs w:val="20"/>
        </w:rPr>
        <w:t xml:space="preserve">Decision. </w:t>
      </w:r>
      <w:r>
        <w:rPr>
          <w:b/>
          <w:bCs/>
          <w:sz w:val="20"/>
          <w:szCs w:val="20"/>
          <w:shd w:fill="FFF2CC" w:color="auto" w:val="clear"/>
        </w:rPr>
        <w:t xml:space="preserve">The application was maintainable. Section 9 relief is available before the arbitration commences.</w:t>
      </w:r>
    </w:p>
    <w:p>
      <w:pPr>
        <w:spacing w:after="60" w:line="258"/>
        <w:ind w:left="230"/>
        <w:jc w:val="both"/>
      </w:pPr>
      <w:r>
        <w:rPr>
          <w:b/>
          <w:bCs/>
          <w:sz w:val="20"/>
          <w:szCs w:val="20"/>
        </w:rPr>
        <w:t xml:space="preserve">Principle. </w:t>
      </w:r>
      <w:r>
        <w:rPr>
          <w:sz w:val="20"/>
          <w:szCs w:val="20"/>
        </w:rPr>
        <w:t xml:space="preserve">Effect must be given to the words “before or during arbitral proceedings”, and a section 21 notice need not be issued first. What is required is a </w:t>
      </w:r>
      <w:r>
        <w:rPr>
          <w:b/>
          <w:bCs/>
          <w:sz w:val="20"/>
          <w:szCs w:val="20"/>
        </w:rPr>
        <w:t xml:space="preserve">manifest intention</w:t>
      </w:r>
      <w:r>
        <w:rPr>
          <w:sz w:val="20"/>
          <w:szCs w:val="20"/>
        </w:rPr>
        <w:t xml:space="preserve"> to take recourse to arbitration. A section 21 notice may show that intention, but so may other material, including an affidavit. Before granting relief the court must be satisfied that a valid arbitration agreement exists and that the applicant intends to arbitrate, and it may make its order </w:t>
      </w:r>
      <w:r>
        <w:rPr>
          <w:b/>
          <w:bCs/>
          <w:sz w:val="20"/>
          <w:szCs w:val="20"/>
        </w:rPr>
        <w:t xml:space="preserve">conditional</w:t>
      </w:r>
      <w:r>
        <w:rPr>
          <w:sz w:val="20"/>
          <w:szCs w:val="20"/>
        </w:rPr>
        <w:t xml:space="preserve"> to ensure effective steps are taken.</w:t>
      </w:r>
    </w:p>
    <w:p>
      <w:pPr>
        <w:spacing w:after="60" w:line="258"/>
        <w:ind w:left="230"/>
        <w:jc w:val="both"/>
      </w:pPr>
      <w:r>
        <w:rPr>
          <w:b/>
          <w:bCs/>
          <w:sz w:val="20"/>
          <w:szCs w:val="20"/>
        </w:rPr>
        <w:t xml:space="preserve">Status. </w:t>
      </w:r>
      <w:r>
        <w:rPr>
          <w:sz w:val="20"/>
          <w:szCs w:val="20"/>
        </w:rPr>
        <w:t xml:space="preserve">Good law. The 2015 Amendment left pre-commencement relief intact and added the ninety-day rule, which now does statutorily what the conditional order did judicially. </w:t>
      </w:r>
      <w:r>
        <w:rPr>
          <w:b/>
          <w:bCs/>
          <w:i/>
          <w:iCs/>
          <w:sz w:val="20"/>
          <w:szCs w:val="20"/>
        </w:rPr>
        <w:t xml:space="preserve">Firm Ashok Traders v. Gurumukh Das Saluja</w:t>
      </w:r>
      <w:r>
        <w:rPr>
          <w:sz w:val="20"/>
          <w:szCs w:val="20"/>
        </w:rPr>
        <w:t xml:space="preserve">, (2004) 3 SCC 155, adds that the section 9 right is </w:t>
      </w:r>
      <w:r>
        <w:rPr>
          <w:b/>
          <w:bCs/>
          <w:sz w:val="20"/>
          <w:szCs w:val="20"/>
        </w:rPr>
        <w:t xml:space="preserve">statutory, not contractual</w:t>
      </w:r>
      <w:r>
        <w:rPr>
          <w:sz w:val="20"/>
          <w:szCs w:val="20"/>
        </w:rPr>
        <w:t xml:space="preserve">, and is available only to a party.</w:t>
      </w:r>
    </w:p>
    <w:p>
      <w:pPr>
        <w:pStyle w:val="Heading2"/>
        <w:keepNext/>
        <w:spacing w:after="100" w:before="250"/>
      </w:pPr>
      <w:r>
        <w:t xml:space="preserve">Section 17: interim measures by the tribunal</w:t>
      </w:r>
    </w:p>
    <w:p>
      <w:pPr>
        <w:spacing w:after="120" w:line="264"/>
        <w:jc w:val="both"/>
      </w:pPr>
      <w:r>
        <w:rPr>
          <w:b/>
          <w:bCs/>
        </w:rPr>
        <w:t xml:space="preserve">Before 2015</w:t>
      </w:r>
      <w:r>
        <w:t xml:space="preserve">, the tribunal could order a party to take any interim measure of protection it thought necessary, and require security. Its powers overlapped with section 9, but section 9 was much wider because it covered the periods before and after the arbitration. The fatal defect was that </w:t>
      </w:r>
      <w:r>
        <w:rPr>
          <w:b/>
          <w:bCs/>
          <w:shd w:fill="FFF2CC" w:color="auto" w:val="clear"/>
        </w:rPr>
        <w:t xml:space="preserve">the tribunal had no machinery to enforce its own orders,</w:t>
      </w:r>
      <w:r>
        <w:t xml:space="preserve"> so they were always liable to be superseded by orders of the court.</w:t>
      </w:r>
    </w:p>
    <w:p>
      <w:pPr>
        <w:spacing w:after="120" w:line="264"/>
        <w:jc w:val="both"/>
      </w:pPr>
      <w:r>
        <w:rPr>
          <w:b/>
          <w:bCs/>
        </w:rPr>
        <w:t xml:space="preserve">After 2015</w:t>
      </w:r>
      <w:r>
        <w:t xml:space="preserve"> the balance reversed. The tribunal's powers were aligned with the court's: the same guardian and five heads of protection, with the same power of making orders as the court has in proceedings before it.</w:t>
      </w:r>
    </w:p>
    <w:p>
      <w:pPr>
        <w:spacing w:after="120" w:line="264"/>
        <w:jc w:val="both"/>
      </w:pPr>
      <w:r>
        <w:rPr>
          <w:b/>
          <w:bCs/>
        </w:rPr>
        <w:t xml:space="preserve">Section 17(2)</w:t>
      </w:r>
      <w:r>
        <w:t xml:space="preserve"> is the key change. Subject to any order in appeal under section 37, </w:t>
      </w:r>
      <w:r>
        <w:rPr>
          <w:b/>
          <w:bCs/>
          <w:shd w:fill="FFF2CC" w:color="auto" w:val="clear"/>
        </w:rPr>
        <w:t xml:space="preserve">an order of the tribunal is deemed an order of the court for all purposes and is enforceable in the same manner</w:t>
      </w:r>
      <w:r>
        <w:t xml:space="preserve"> under the Code of Civil Procedure, 1908. This cured the central defect of the old provision.</w:t>
      </w:r>
    </w:p>
    <w:p>
      <w:pPr>
        <w:spacing w:after="120" w:line="264"/>
        <w:jc w:val="both"/>
      </w:pPr>
      <w:r>
        <w:rPr>
          <w:b/>
          <w:bCs/>
        </w:rPr>
        <w:t xml:space="preserve">Temporal limit.</w:t>
      </w:r>
      <w:r>
        <w:t xml:space="preserve"> Section 17 operates </w:t>
      </w:r>
      <w:r>
        <w:rPr>
          <w:b/>
          <w:bCs/>
        </w:rPr>
        <w:t xml:space="preserve">during the arbitral proceedings</w:t>
      </w:r>
      <w:r>
        <w:t xml:space="preserve">. Once the award is made the tribunal is </w:t>
      </w:r>
      <w:r>
        <w:rPr>
          <w:i/>
          <w:iCs/>
        </w:rPr>
        <w:t xml:space="preserve">functus officio</w:t>
      </w:r>
      <w:r>
        <w:t xml:space="preserve">, so protection between the award and enforcement must be sought from the court under section 9. </w:t>
      </w:r>
      <w:r>
        <w:rPr>
          <w:b/>
          <w:bCs/>
        </w:rPr>
        <w:t xml:space="preserve">This is the residual function section 9 retains.</w:t>
      </w:r>
    </w:p>
    <w:p>
      <w:pPr>
        <w:pStyle w:val="Heading2"/>
        <w:keepNext/>
        <w:spacing w:after="100" w:before="250"/>
      </w:pPr>
      <w:r>
        <w:t xml:space="preserve">Sections 9 and 17 compared</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750"/>
        <w:gridCol w:w="3550"/>
        <w:gridCol w:w="3550"/>
      </w:tblGrid>
      <w:tr>
        <w:trPr>
          <w:tblHeader/>
        </w:trPr>
        <w:tc>
          <w:tcPr>
            <w:tcW w:type="dxa" w:w="1750"/>
            <w:tcMar>
              <w:top w:type="dxa" w:w="70"/>
              <w:left w:type="dxa" w:w="100"/>
              <w:bottom w:type="dxa" w:w="70"/>
              <w:right w:type="dxa" w:w="100"/>
            </w:tcMar>
          </w:tcPr>
          <w:p>
            <w:pPr>
              <w:spacing w:after="0" w:line="240"/>
            </w:pPr>
            <w:r>
              <w:rPr>
                <w:b/>
                <w:bCs/>
                <w:color w:val="1F3864"/>
                <w:sz w:val="18"/>
                <w:szCs w:val="18"/>
              </w:rPr>
              <w:t xml:space="preserve">Point</w:t>
            </w:r>
          </w:p>
        </w:tc>
        <w:tc>
          <w:tcPr>
            <w:tcW w:type="dxa" w:w="3550"/>
            <w:tcMar>
              <w:top w:type="dxa" w:w="70"/>
              <w:left w:type="dxa" w:w="100"/>
              <w:bottom w:type="dxa" w:w="70"/>
              <w:right w:type="dxa" w:w="100"/>
            </w:tcMar>
          </w:tcPr>
          <w:p>
            <w:pPr>
              <w:spacing w:after="0" w:line="240"/>
            </w:pPr>
            <w:r>
              <w:rPr>
                <w:b/>
                <w:bCs/>
                <w:color w:val="1F3864"/>
                <w:sz w:val="18"/>
                <w:szCs w:val="18"/>
              </w:rPr>
              <w:t xml:space="preserve">Section 9 — court</w:t>
            </w:r>
          </w:p>
        </w:tc>
        <w:tc>
          <w:tcPr>
            <w:tcW w:type="dxa" w:w="3550"/>
            <w:tcMar>
              <w:top w:type="dxa" w:w="70"/>
              <w:left w:type="dxa" w:w="100"/>
              <w:bottom w:type="dxa" w:w="70"/>
              <w:right w:type="dxa" w:w="100"/>
            </w:tcMar>
          </w:tcPr>
          <w:p>
            <w:pPr>
              <w:spacing w:after="0" w:line="240"/>
            </w:pPr>
            <w:r>
              <w:rPr>
                <w:b/>
                <w:bCs/>
                <w:color w:val="1F3864"/>
                <w:sz w:val="18"/>
                <w:szCs w:val="18"/>
              </w:rPr>
              <w:t xml:space="preserve">Section 17 — tribunal</w:t>
            </w:r>
          </w:p>
        </w:tc>
      </w:tr>
      <w:tr>
        <w:tc>
          <w:tcPr>
            <w:tcW w:type="dxa" w:w="1750"/>
            <w:tcMar>
              <w:top w:type="dxa" w:w="70"/>
              <w:left w:type="dxa" w:w="100"/>
              <w:bottom w:type="dxa" w:w="70"/>
              <w:right w:type="dxa" w:w="100"/>
            </w:tcMar>
          </w:tcPr>
          <w:p>
            <w:pPr>
              <w:spacing w:after="0" w:line="240"/>
            </w:pPr>
            <w:r>
              <w:rPr>
                <w:sz w:val="18"/>
                <w:szCs w:val="18"/>
              </w:rPr>
              <w:t xml:space="preserve">When available</w:t>
            </w:r>
          </w:p>
        </w:tc>
        <w:tc>
          <w:tcPr>
            <w:tcW w:type="dxa" w:w="3550"/>
            <w:tcMar>
              <w:top w:type="dxa" w:w="70"/>
              <w:left w:type="dxa" w:w="100"/>
              <w:bottom w:type="dxa" w:w="70"/>
              <w:right w:type="dxa" w:w="100"/>
            </w:tcMar>
          </w:tcPr>
          <w:p>
            <w:pPr>
              <w:spacing w:after="0" w:line="240"/>
            </w:pPr>
            <w:r>
              <w:rPr>
                <w:sz w:val="18"/>
                <w:szCs w:val="18"/>
              </w:rPr>
              <w:t xml:space="preserve">Before, during, and after the award but before enforcement (section 36).</w:t>
            </w:r>
          </w:p>
        </w:tc>
        <w:tc>
          <w:tcPr>
            <w:tcW w:type="dxa" w:w="3550"/>
            <w:tcMar>
              <w:top w:type="dxa" w:w="70"/>
              <w:left w:type="dxa" w:w="100"/>
              <w:bottom w:type="dxa" w:w="70"/>
              <w:right w:type="dxa" w:w="100"/>
            </w:tcMar>
          </w:tcPr>
          <w:p>
            <w:pPr>
              <w:spacing w:after="0" w:line="240"/>
            </w:pPr>
            <w:r>
              <w:rPr>
                <w:sz w:val="18"/>
                <w:szCs w:val="18"/>
              </w:rPr>
              <w:t xml:space="preserve">During the arbitral proceedings only.</w:t>
            </w:r>
          </w:p>
        </w:tc>
      </w:tr>
      <w:tr>
        <w:tc>
          <w:tcPr>
            <w:tcW w:type="dxa" w:w="1750"/>
            <w:tcMar>
              <w:top w:type="dxa" w:w="70"/>
              <w:left w:type="dxa" w:w="100"/>
              <w:bottom w:type="dxa" w:w="70"/>
              <w:right w:type="dxa" w:w="100"/>
            </w:tcMar>
          </w:tcPr>
          <w:p>
            <w:pPr>
              <w:spacing w:after="0" w:line="240"/>
            </w:pPr>
            <w:r>
              <w:rPr>
                <w:sz w:val="18"/>
                <w:szCs w:val="18"/>
              </w:rPr>
              <w:t xml:space="preserve">Scope of relief</w:t>
            </w:r>
          </w:p>
        </w:tc>
        <w:tc>
          <w:tcPr>
            <w:tcW w:type="dxa" w:w="3550"/>
            <w:tcMar>
              <w:top w:type="dxa" w:w="70"/>
              <w:left w:type="dxa" w:w="100"/>
              <w:bottom w:type="dxa" w:w="70"/>
              <w:right w:type="dxa" w:w="100"/>
            </w:tcMar>
          </w:tcPr>
          <w:p>
            <w:pPr>
              <w:spacing w:after="0" w:line="240"/>
            </w:pPr>
            <w:r>
              <w:rPr>
                <w:sz w:val="18"/>
                <w:szCs w:val="18"/>
              </w:rPr>
              <w:t xml:space="preserve">Guardian, and the five heads including the residuary “just and convenient” head.</w:t>
            </w:r>
          </w:p>
        </w:tc>
        <w:tc>
          <w:tcPr>
            <w:tcW w:type="dxa" w:w="3550"/>
            <w:tcMar>
              <w:top w:type="dxa" w:w="70"/>
              <w:left w:type="dxa" w:w="100"/>
              <w:bottom w:type="dxa" w:w="70"/>
              <w:right w:type="dxa" w:w="100"/>
            </w:tcMar>
          </w:tcPr>
          <w:p>
            <w:pPr>
              <w:spacing w:after="0" w:line="240"/>
            </w:pPr>
            <w:r>
              <w:rPr>
                <w:sz w:val="18"/>
                <w:szCs w:val="18"/>
              </w:rPr>
              <w:t xml:space="preserve">The same heads, with the same power as the court in proceedings before it.</w:t>
            </w:r>
          </w:p>
        </w:tc>
      </w:tr>
      <w:tr>
        <w:tc>
          <w:tcPr>
            <w:tcW w:type="dxa" w:w="1750"/>
            <w:tcMar>
              <w:top w:type="dxa" w:w="70"/>
              <w:left w:type="dxa" w:w="100"/>
              <w:bottom w:type="dxa" w:w="70"/>
              <w:right w:type="dxa" w:w="100"/>
            </w:tcMar>
          </w:tcPr>
          <w:p>
            <w:pPr>
              <w:spacing w:after="0" w:line="240"/>
            </w:pPr>
            <w:r>
              <w:rPr>
                <w:sz w:val="18"/>
                <w:szCs w:val="18"/>
              </w:rPr>
              <w:t xml:space="preserve">Enforcement</w:t>
            </w:r>
          </w:p>
        </w:tc>
        <w:tc>
          <w:tcPr>
            <w:tcW w:type="dxa" w:w="3550"/>
            <w:tcMar>
              <w:top w:type="dxa" w:w="70"/>
              <w:left w:type="dxa" w:w="100"/>
              <w:bottom w:type="dxa" w:w="70"/>
              <w:right w:type="dxa" w:w="100"/>
            </w:tcMar>
          </w:tcPr>
          <w:p>
            <w:pPr>
              <w:spacing w:after="0" w:line="240"/>
            </w:pPr>
            <w:r>
              <w:rPr>
                <w:sz w:val="18"/>
                <w:szCs w:val="18"/>
              </w:rPr>
              <w:t xml:space="preserve">An order of the court.</w:t>
            </w:r>
          </w:p>
        </w:tc>
        <w:tc>
          <w:tcPr>
            <w:tcW w:type="dxa" w:w="3550"/>
            <w:tcMar>
              <w:top w:type="dxa" w:w="70"/>
              <w:left w:type="dxa" w:w="100"/>
              <w:bottom w:type="dxa" w:w="70"/>
              <w:right w:type="dxa" w:w="100"/>
            </w:tcMar>
          </w:tcPr>
          <w:p>
            <w:pPr>
              <w:spacing w:after="0" w:line="240"/>
            </w:pPr>
            <w:r>
              <w:rPr>
                <w:sz w:val="18"/>
                <w:szCs w:val="18"/>
              </w:rPr>
              <w:t xml:space="preserve">Deemed an order of the court; enforceable as such (section 17(2)).</w:t>
            </w:r>
          </w:p>
        </w:tc>
      </w:tr>
      <w:tr>
        <w:tc>
          <w:tcPr>
            <w:tcW w:type="dxa" w:w="1750"/>
            <w:tcMar>
              <w:top w:type="dxa" w:w="70"/>
              <w:left w:type="dxa" w:w="100"/>
              <w:bottom w:type="dxa" w:w="70"/>
              <w:right w:type="dxa" w:w="100"/>
            </w:tcMar>
          </w:tcPr>
          <w:p>
            <w:pPr>
              <w:spacing w:after="0" w:line="240"/>
            </w:pPr>
            <w:r>
              <w:rPr>
                <w:sz w:val="18"/>
                <w:szCs w:val="18"/>
              </w:rPr>
              <w:t xml:space="preserve">Once a tribunal exists</w:t>
            </w:r>
          </w:p>
        </w:tc>
        <w:tc>
          <w:tcPr>
            <w:tcW w:type="dxa" w:w="3550"/>
            <w:tcMar>
              <w:top w:type="dxa" w:w="70"/>
              <w:left w:type="dxa" w:w="100"/>
              <w:bottom w:type="dxa" w:w="70"/>
              <w:right w:type="dxa" w:w="100"/>
            </w:tcMar>
          </w:tcPr>
          <w:p>
            <w:pPr>
              <w:spacing w:after="0" w:line="240"/>
            </w:pPr>
            <w:r>
              <w:rPr>
                <w:sz w:val="18"/>
                <w:szCs w:val="18"/>
              </w:rPr>
              <w:t xml:space="preserve">Not entertained unless the section 17 remedy would be inefficacious (section 9(3)).</w:t>
            </w:r>
          </w:p>
        </w:tc>
        <w:tc>
          <w:tcPr>
            <w:tcW w:type="dxa" w:w="3550"/>
            <w:tcMar>
              <w:top w:type="dxa" w:w="70"/>
              <w:left w:type="dxa" w:w="100"/>
              <w:bottom w:type="dxa" w:w="70"/>
              <w:right w:type="dxa" w:w="100"/>
            </w:tcMar>
          </w:tcPr>
          <w:p>
            <w:pPr>
              <w:spacing w:after="0" w:line="240"/>
            </w:pPr>
            <w:r>
              <w:rPr>
                <w:sz w:val="18"/>
                <w:szCs w:val="18"/>
              </w:rPr>
              <w:t xml:space="preserve">The ordinary forum.</w:t>
            </w:r>
          </w:p>
        </w:tc>
      </w:tr>
      <w:tr>
        <w:tc>
          <w:tcPr>
            <w:tcW w:type="dxa" w:w="1750"/>
            <w:tcMar>
              <w:top w:type="dxa" w:w="70"/>
              <w:left w:type="dxa" w:w="100"/>
              <w:bottom w:type="dxa" w:w="70"/>
              <w:right w:type="dxa" w:w="100"/>
            </w:tcMar>
          </w:tcPr>
          <w:p>
            <w:pPr>
              <w:spacing w:after="0" w:line="240"/>
            </w:pPr>
            <w:r>
              <w:rPr>
                <w:sz w:val="18"/>
                <w:szCs w:val="18"/>
              </w:rPr>
              <w:t xml:space="preserve">Discipline on applicant</w:t>
            </w:r>
          </w:p>
        </w:tc>
        <w:tc>
          <w:tcPr>
            <w:tcW w:type="dxa" w:w="3550"/>
            <w:tcMar>
              <w:top w:type="dxa" w:w="70"/>
              <w:left w:type="dxa" w:w="100"/>
              <w:bottom w:type="dxa" w:w="70"/>
              <w:right w:type="dxa" w:w="100"/>
            </w:tcMar>
          </w:tcPr>
          <w:p>
            <w:pPr>
              <w:spacing w:after="0" w:line="240"/>
            </w:pPr>
            <w:r>
              <w:rPr>
                <w:sz w:val="18"/>
                <w:szCs w:val="18"/>
              </w:rPr>
              <w:t xml:space="preserve">Ninety days to commence after a pre-commencement order (section 9(2)).</w:t>
            </w:r>
          </w:p>
        </w:tc>
        <w:tc>
          <w:tcPr>
            <w:tcW w:type="dxa" w:w="3550"/>
            <w:tcMar>
              <w:top w:type="dxa" w:w="70"/>
              <w:left w:type="dxa" w:w="100"/>
              <w:bottom w:type="dxa" w:w="70"/>
              <w:right w:type="dxa" w:w="100"/>
            </w:tcMar>
          </w:tcPr>
          <w:p>
            <w:pPr>
              <w:spacing w:after="0" w:line="240"/>
            </w:pPr>
            <w:r>
              <w:rPr>
                <w:sz w:val="18"/>
                <w:szCs w:val="18"/>
              </w:rPr>
              <w:t xml:space="preserve">Not applicable.</w:t>
            </w:r>
          </w:p>
        </w:tc>
      </w:tr>
      <w:tr>
        <w:tc>
          <w:tcPr>
            <w:tcW w:type="dxa" w:w="1750"/>
            <w:tcMar>
              <w:top w:type="dxa" w:w="70"/>
              <w:left w:type="dxa" w:w="100"/>
              <w:bottom w:type="dxa" w:w="70"/>
              <w:right w:type="dxa" w:w="100"/>
            </w:tcMar>
          </w:tcPr>
          <w:p>
            <w:pPr>
              <w:spacing w:after="0" w:line="240"/>
            </w:pPr>
            <w:r>
              <w:rPr>
                <w:sz w:val="18"/>
                <w:szCs w:val="18"/>
              </w:rPr>
              <w:t xml:space="preserve">Appeal</w:t>
            </w:r>
          </w:p>
        </w:tc>
        <w:tc>
          <w:tcPr>
            <w:tcW w:type="dxa" w:w="3550"/>
            <w:tcMar>
              <w:top w:type="dxa" w:w="70"/>
              <w:left w:type="dxa" w:w="100"/>
              <w:bottom w:type="dxa" w:w="70"/>
              <w:right w:type="dxa" w:w="100"/>
            </w:tcMar>
          </w:tcPr>
          <w:p>
            <w:pPr>
              <w:spacing w:after="0" w:line="240"/>
            </w:pPr>
            <w:r>
              <w:rPr>
                <w:sz w:val="18"/>
                <w:szCs w:val="18"/>
              </w:rPr>
              <w:t xml:space="preserve">Section 37(1)(b).</w:t>
            </w:r>
          </w:p>
        </w:tc>
        <w:tc>
          <w:tcPr>
            <w:tcW w:type="dxa" w:w="3550"/>
            <w:tcMar>
              <w:top w:type="dxa" w:w="70"/>
              <w:left w:type="dxa" w:w="100"/>
              <w:bottom w:type="dxa" w:w="70"/>
              <w:right w:type="dxa" w:w="100"/>
            </w:tcMar>
          </w:tcPr>
          <w:p>
            <w:pPr>
              <w:spacing w:after="0" w:line="240"/>
            </w:pPr>
            <w:r>
              <w:rPr>
                <w:sz w:val="18"/>
                <w:szCs w:val="18"/>
              </w:rPr>
              <w:t xml:space="preserve">Section 37(2)(b).</w:t>
            </w:r>
          </w:p>
        </w:tc>
      </w:tr>
      <w:tr>
        <w:tc>
          <w:tcPr>
            <w:tcW w:type="dxa" w:w="1750"/>
            <w:tcMar>
              <w:top w:type="dxa" w:w="70"/>
              <w:left w:type="dxa" w:w="100"/>
              <w:bottom w:type="dxa" w:w="70"/>
              <w:right w:type="dxa" w:w="100"/>
            </w:tcMar>
          </w:tcPr>
          <w:p>
            <w:pPr>
              <w:spacing w:after="0" w:line="240"/>
            </w:pPr>
            <w:r>
              <w:rPr>
                <w:sz w:val="18"/>
                <w:szCs w:val="18"/>
              </w:rPr>
              <w:t xml:space="preserve">Foreign-seated ICA</w:t>
            </w:r>
          </w:p>
        </w:tc>
        <w:tc>
          <w:tcPr>
            <w:tcW w:type="dxa" w:w="3550"/>
            <w:tcMar>
              <w:top w:type="dxa" w:w="70"/>
              <w:left w:type="dxa" w:w="100"/>
              <w:bottom w:type="dxa" w:w="70"/>
              <w:right w:type="dxa" w:w="100"/>
            </w:tcMar>
          </w:tcPr>
          <w:p>
            <w:pPr>
              <w:spacing w:after="0" w:line="240"/>
            </w:pPr>
            <w:r>
              <w:rPr>
                <w:sz w:val="18"/>
                <w:szCs w:val="18"/>
              </w:rPr>
              <w:t xml:space="preserve">Available under the proviso to section 2(2), unless excluded.</w:t>
            </w:r>
          </w:p>
        </w:tc>
        <w:tc>
          <w:tcPr>
            <w:tcW w:type="dxa" w:w="3550"/>
            <w:tcMar>
              <w:top w:type="dxa" w:w="70"/>
              <w:left w:type="dxa" w:w="100"/>
              <w:bottom w:type="dxa" w:w="70"/>
              <w:right w:type="dxa" w:w="100"/>
            </w:tcMar>
          </w:tcPr>
          <w:p>
            <w:pPr>
              <w:spacing w:after="0" w:line="240"/>
            </w:pPr>
            <w:r>
              <w:rPr>
                <w:sz w:val="18"/>
                <w:szCs w:val="18"/>
              </w:rPr>
              <w:t xml:space="preserve">Not applicable; powers come from the law of the seat.</w:t>
            </w:r>
          </w:p>
        </w:tc>
      </w:tr>
    </w:tbl>
    <w:p>
      <w:pPr>
        <w:spacing w:after="120"/>
      </w:pPr>
      <w:r>
        <w:rPr>
          <w:sz w:val="10"/>
          <w:szCs w:val="10"/>
        </w:rPr>
        <w:t xml:space="preserve"/>
      </w:r>
    </w:p>
    <w:p>
      <w:pPr>
        <w:pStyle w:val="Heading1"/>
        <w:keepNext/>
        <w:pBdr>
          <w:bottom w:val="single" w:color="1F3864" w:sz="6" w:space="4"/>
        </w:pBdr>
        <w:spacing w:after="160" w:before="420"/>
      </w:pPr>
      <w:r>
        <w:t xml:space="preserve">6.  Number of Arbitrators: Section 10</w:t>
      </w:r>
    </w:p>
    <w:p>
      <w:pPr>
        <w:spacing w:after="120" w:line="264"/>
        <w:jc w:val="both"/>
      </w:pPr>
      <w:r>
        <w:rPr>
          <w:b/>
          <w:bCs/>
        </w:rPr>
        <w:t xml:space="preserve">Section 10(1):</w:t>
      </w:r>
      <w:r>
        <w:t xml:space="preserve"> the parties are free to determine the number of arbitrators, </w:t>
      </w:r>
      <w:r>
        <w:rPr>
          <w:b/>
          <w:bCs/>
          <w:shd w:fill="FFF2CC" w:color="auto" w:val="clear"/>
        </w:rPr>
        <w:t xml:space="preserve">provided that the number shall not be an even number.</w:t>
      </w:r>
      <w:r>
        <w:t xml:space="preserve"> </w:t>
      </w:r>
      <w:r>
        <w:rPr>
          <w:b/>
          <w:bCs/>
        </w:rPr>
        <w:t xml:space="preserve">Section 10(2):</w:t>
      </w:r>
      <w:r>
        <w:t xml:space="preserve"> failing such determination, the tribunal shall consist of a </w:t>
      </w:r>
      <w:r>
        <w:rPr>
          <w:b/>
          <w:bCs/>
        </w:rPr>
        <w:t xml:space="preserve">sole arbitrator</w:t>
      </w:r>
      <w:r>
        <w:t xml:space="preserve">.</w:t>
      </w:r>
    </w:p>
    <w:p>
      <w:pPr>
        <w:spacing w:after="120" w:line="264"/>
        <w:jc w:val="both"/>
      </w:pPr>
      <w:r>
        <w:t xml:space="preserve">The odd-number rule is practical. An even-numbered tribunal may deadlock, and a deadlocked tribunal cannot make an award.</w:t>
      </w:r>
    </w:p>
    <w:p>
      <w:pPr>
        <w:spacing w:after="120" w:line="264"/>
        <w:jc w:val="both"/>
      </w:pPr>
      <w:r>
        <w:t xml:space="preserve">Three points follow. Party autonomy is the primary rule, so the number is whatever the parties choose. </w:t>
      </w:r>
      <w:r>
        <w:rPr>
          <w:b/>
          <w:bCs/>
          <w:shd w:fill="FFF2CC" w:color="auto" w:val="clear"/>
        </w:rPr>
        <w:t xml:space="preserve">The Indian default is one arbitrator, unlike the Model Law, where it is three.</w:t>
      </w:r>
      <w:r>
        <w:t xml:space="preserve"> And where three are appointed, the third, chosen by the two party nominees, is the </w:t>
      </w:r>
      <w:r>
        <w:rPr>
          <w:b/>
          <w:bCs/>
        </w:rPr>
        <w:t xml:space="preserve">presiding arbitrator</w:t>
      </w:r>
      <w:r>
        <w:t xml:space="preserve">.</w:t>
      </w:r>
    </w:p>
    <w:p>
      <w:pPr>
        <w:spacing w:after="120" w:line="264"/>
        <w:jc w:val="both"/>
      </w:pPr>
      <w:r>
        <w:rPr>
          <w:b/>
          <w:bCs/>
        </w:rPr>
        <w:t xml:space="preserve">Presiding arbitrator is not an umpire.</w:t>
      </w:r>
      <w:r>
        <w:t xml:space="preserve"> The umpire, who decided when the arbitrators disagreed, does not exist under this Act. The presiding arbitrator sits and decides with the others, and his view prevails where there is no majority.</w:t>
      </w:r>
    </w:p>
    <w:p>
      <w:pPr>
        <w:pStyle w:val="Heading2"/>
        <w:keepNext/>
        <w:spacing w:after="100" w:before="250"/>
      </w:pPr>
      <w:r>
        <w:t xml:space="preserve">Is section 10 mandatory or directory?</w:t>
      </w:r>
    </w:p>
    <w:p>
      <w:pPr>
        <w:spacing w:after="120" w:line="264"/>
        <w:jc w:val="both"/>
      </w:pPr>
      <w:r>
        <w:t xml:space="preserve">Section 10(1) is prohibitory in language. If it is mandatory, an award by two arbitrators comes from a tribunal constituted in breach of the Act. If it is derogable, the parties may agree on an even number and a party who went along with it cannot complain afterwards.</w:t>
      </w:r>
    </w:p>
    <w:p>
      <w:pPr>
        <w:keepNext/>
        <w:spacing w:after="60" w:before="150"/>
      </w:pPr>
      <w:r>
        <w:rPr>
          <w:b/>
          <w:bCs/>
          <w:i/>
          <w:iCs/>
          <w:sz w:val="21"/>
          <w:szCs w:val="21"/>
        </w:rPr>
        <w:t xml:space="preserve">Narayan Prasad Lohia v. Nikunj Kumar Lohia</w:t>
      </w:r>
      <w:r>
        <w:rPr>
          <w:sz w:val="19"/>
          <w:szCs w:val="19"/>
        </w:rPr>
        <w:t xml:space="preserve">, (2002) 3 SCC 572; AIR 2002 SC 1139 (SC, 3 Judges — S.N. Variava, S.N. Phukan and G.B. Pattanaik JJ. — 20 February 2002)</w:t>
      </w:r>
    </w:p>
    <w:p>
      <w:pPr>
        <w:spacing w:after="60" w:line="258"/>
        <w:ind w:left="230"/>
        <w:jc w:val="both"/>
      </w:pPr>
      <w:r>
        <w:rPr>
          <w:b/>
          <w:bCs/>
          <w:sz w:val="20"/>
          <w:szCs w:val="20"/>
        </w:rPr>
        <w:t xml:space="preserve">Facts. </w:t>
      </w:r>
      <w:r>
        <w:rPr>
          <w:sz w:val="20"/>
          <w:szCs w:val="20"/>
        </w:rPr>
        <w:t xml:space="preserve">Family disputes over businesses and properties were referred, by agreement of 29 September 1996, to two named arbitrators, who made the award. The respondents then argued that arbitration by two arbitrators contravened section 10, making the tribunal void and the award unenforceable.</w:t>
      </w:r>
    </w:p>
    <w:p>
      <w:pPr>
        <w:spacing w:after="60" w:line="258"/>
        <w:ind w:left="230"/>
        <w:jc w:val="both"/>
      </w:pPr>
      <w:r>
        <w:rPr>
          <w:b/>
          <w:bCs/>
          <w:sz w:val="20"/>
          <w:szCs w:val="20"/>
        </w:rPr>
        <w:t xml:space="preserve">Decision. </w:t>
      </w:r>
      <w:r>
        <w:rPr>
          <w:b/>
          <w:bCs/>
          <w:sz w:val="20"/>
          <w:szCs w:val="20"/>
          <w:shd w:fill="FFF2CC" w:color="auto" w:val="clear"/>
        </w:rPr>
        <w:t xml:space="preserve">The award was upheld. Section 10 is a derogable provision.</w:t>
      </w:r>
    </w:p>
    <w:p>
      <w:pPr>
        <w:spacing w:after="60" w:line="258"/>
        <w:ind w:left="230"/>
        <w:jc w:val="both"/>
      </w:pPr>
      <w:r>
        <w:rPr>
          <w:b/>
          <w:bCs/>
          <w:sz w:val="20"/>
          <w:szCs w:val="20"/>
        </w:rPr>
        <w:t xml:space="preserve">Principle. </w:t>
      </w:r>
      <w:r>
        <w:rPr>
          <w:sz w:val="20"/>
          <w:szCs w:val="20"/>
        </w:rPr>
        <w:t xml:space="preserve">The argument rested on </w:t>
      </w:r>
      <w:r>
        <w:rPr>
          <w:b/>
          <w:bCs/>
          <w:sz w:val="20"/>
          <w:szCs w:val="20"/>
        </w:rPr>
        <w:t xml:space="preserve">section 34(2)(a)(v)</w:t>
      </w:r>
      <w:r>
        <w:rPr>
          <w:sz w:val="20"/>
          <w:szCs w:val="20"/>
        </w:rPr>
        <w:t xml:space="preserve">, which allows an award to be set aside where the composition or procedure did not accord with the parties' agreement, unless that agreement conflicted with a non-derogable provision, or, </w:t>
      </w:r>
      <w:r>
        <w:rPr>
          <w:b/>
          <w:bCs/>
          <w:sz w:val="20"/>
          <w:szCs w:val="20"/>
        </w:rPr>
        <w:t xml:space="preserve">“failing such agreement”</w:t>
      </w:r>
      <w:r>
        <w:rPr>
          <w:sz w:val="20"/>
          <w:szCs w:val="20"/>
        </w:rPr>
        <w:t xml:space="preserve">, did not accord with Part I. Those words apply only where there is no agreement on composition or procedure. Here the agreement itself provided for two arbitrators and was followed. </w:t>
      </w:r>
      <w:r>
        <w:rPr>
          <w:b/>
          <w:bCs/>
          <w:sz w:val="20"/>
          <w:szCs w:val="20"/>
        </w:rPr>
        <w:t xml:space="preserve">So long as the composition and procedure follow the parties' agreement, section 34 does not permit a challenge merely because the composition conflicted with Part I.</w:t>
      </w:r>
      <w:r>
        <w:rPr>
          <w:sz w:val="20"/>
          <w:szCs w:val="20"/>
        </w:rPr>
        <w:t xml:space="preserve"> Separately, an objection to competence must be raised under </w:t>
      </w:r>
      <w:r>
        <w:rPr>
          <w:b/>
          <w:bCs/>
          <w:sz w:val="20"/>
          <w:szCs w:val="20"/>
        </w:rPr>
        <w:t xml:space="preserve">section 16(2)</w:t>
      </w:r>
      <w:r>
        <w:rPr>
          <w:sz w:val="20"/>
          <w:szCs w:val="20"/>
        </w:rPr>
        <w:t xml:space="preserve"> not later than the statement of defence, failing which it is deemed waived under section 4.</w:t>
      </w:r>
    </w:p>
    <w:p>
      <w:pPr>
        <w:spacing w:after="60" w:line="258"/>
        <w:ind w:left="230"/>
        <w:jc w:val="both"/>
      </w:pPr>
      <w:r>
        <w:rPr>
          <w:b/>
          <w:bCs/>
          <w:sz w:val="20"/>
          <w:szCs w:val="20"/>
        </w:rPr>
        <w:t xml:space="preserve">Status. </w:t>
      </w:r>
      <w:r>
        <w:rPr>
          <w:sz w:val="20"/>
          <w:szCs w:val="20"/>
        </w:rPr>
        <w:t xml:space="preserve">Good law, affirmed in </w:t>
      </w:r>
      <w:r>
        <w:rPr>
          <w:b/>
          <w:bCs/>
          <w:i/>
          <w:iCs/>
          <w:sz w:val="20"/>
          <w:szCs w:val="20"/>
        </w:rPr>
        <w:t xml:space="preserve">Quippo Construction Equipment Ltd. v. Janardan Nirman Pvt. Ltd.</w:t>
      </w:r>
      <w:r>
        <w:rPr>
          <w:sz w:val="20"/>
          <w:szCs w:val="20"/>
        </w:rPr>
        <w:t xml:space="preserve">, (2020) 18 SCC 277, which reads sections 10 and 16 conjointly with section 4.</w:t>
      </w:r>
    </w:p>
    <w:p>
      <w:pPr>
        <w:spacing w:after="120" w:line="264"/>
        <w:jc w:val="both"/>
      </w:pPr>
      <w:r>
        <w:rPr>
          <w:b/>
          <w:bCs/>
        </w:rPr>
        <w:t xml:space="preserve">Examination point.</w:t>
      </w:r>
      <w:r>
        <w:t xml:space="preserve"> </w:t>
      </w:r>
      <w:r>
        <w:rPr>
          <w:b/>
          <w:bCs/>
          <w:shd w:fill="FFF2CC" w:color="auto" w:val="clear"/>
        </w:rPr>
        <w:t xml:space="preserve">The test for a non-derogable provision is not whether the language is prohibitory, but whether the Act permits the parties to agree otherwise.</w:t>
      </w:r>
    </w:p>
    <w:p>
      <w:pPr>
        <w:pStyle w:val="Heading1"/>
        <w:keepNext/>
        <w:pBdr>
          <w:bottom w:val="single" w:color="1F3864" w:sz="6" w:space="4"/>
        </w:pBdr>
        <w:spacing w:after="160" w:before="420"/>
      </w:pPr>
      <w:r>
        <w:t xml:space="preserve">7.  Appointment of Arbitrators: Section 11</w:t>
      </w:r>
    </w:p>
    <w:p>
      <w:pPr>
        <w:spacing w:after="120" w:line="264"/>
        <w:jc w:val="both"/>
      </w:pPr>
      <w:r>
        <w:t xml:space="preserve">Section 11 is the </w:t>
      </w:r>
      <w:r>
        <w:rPr>
          <w:b/>
          <w:bCs/>
        </w:rPr>
        <w:t xml:space="preserve">default machinery</w:t>
      </w:r>
      <w:r>
        <w:t xml:space="preserve"> for constituting the tribunal. It applies where the parties made no provision for appointment, where their machinery has broken down, and where an arbitrator must be replaced — section 15(2) requiring the substitute to be appointed by the same route as the original.</w:t>
      </w:r>
    </w:p>
    <w:p>
      <w:pPr>
        <w:pStyle w:val="Heading2"/>
        <w:keepNext/>
        <w:spacing w:after="100" w:before="250"/>
      </w:pPr>
      <w:r>
        <w:t xml:space="preserve">The scheme</w:t>
      </w:r>
    </w:p>
    <w:p>
      <w:pPr>
        <w:pStyle w:val="ListParagraph"/>
        <w:numPr>
          <w:ilvl w:val="0"/>
          <w:numId w:val="12"/>
        </w:numPr>
        <w:spacing w:after="70" w:line="264"/>
        <w:jc w:val="both"/>
      </w:pPr>
      <w:r>
        <w:rPr>
          <w:b/>
          <w:bCs/>
        </w:rPr>
        <w:t xml:space="preserve">(1)</w:t>
      </w:r>
      <w:r>
        <w:t xml:space="preserve"> A person of </w:t>
      </w:r>
      <w:r>
        <w:rPr>
          <w:b/>
          <w:bCs/>
        </w:rPr>
        <w:t xml:space="preserve">any nationality</w:t>
      </w:r>
      <w:r>
        <w:t xml:space="preserve"> may be an arbitrator, unless the parties agree otherwise.</w:t>
      </w:r>
    </w:p>
    <w:p>
      <w:pPr>
        <w:pStyle w:val="ListParagraph"/>
        <w:numPr>
          <w:ilvl w:val="0"/>
          <w:numId w:val="12"/>
        </w:numPr>
        <w:spacing w:after="70" w:line="264"/>
        <w:jc w:val="both"/>
      </w:pPr>
      <w:r>
        <w:rPr>
          <w:b/>
          <w:bCs/>
        </w:rPr>
        <w:t xml:space="preserve">(2)</w:t>
      </w:r>
      <w:r>
        <w:t xml:space="preserve"> Subject to (6), the parties are free to agree a procedure for appointment.</w:t>
      </w:r>
    </w:p>
    <w:p>
      <w:pPr>
        <w:pStyle w:val="ListParagraph"/>
        <w:numPr>
          <w:ilvl w:val="0"/>
          <w:numId w:val="12"/>
        </w:numPr>
        <w:spacing w:after="70" w:line="264"/>
        <w:jc w:val="both"/>
      </w:pPr>
      <w:r>
        <w:rPr>
          <w:b/>
          <w:bCs/>
        </w:rPr>
        <w:t xml:space="preserve">(3)</w:t>
      </w:r>
      <w:r>
        <w:t xml:space="preserve"> Failing agreement, in a three-member arbitration each party appoints one, and the two appoint the third as </w:t>
      </w:r>
      <w:r>
        <w:rPr>
          <w:b/>
          <w:bCs/>
        </w:rPr>
        <w:t xml:space="preserve">presiding arbitrator</w:t>
      </w:r>
      <w:r>
        <w:t xml:space="preserve">.</w:t>
      </w:r>
    </w:p>
    <w:p>
      <w:pPr>
        <w:pStyle w:val="ListParagraph"/>
        <w:numPr>
          <w:ilvl w:val="0"/>
          <w:numId w:val="12"/>
        </w:numPr>
        <w:spacing w:after="70" w:line="264"/>
        <w:jc w:val="both"/>
      </w:pPr>
      <w:r>
        <w:rPr>
          <w:b/>
          <w:bCs/>
        </w:rPr>
        <w:t xml:space="preserve">(3A)</w:t>
      </w:r>
      <w:r>
        <w:t xml:space="preserve"> The Supreme Court and High Courts may designate arbitral institutions graded by the Arbitration Council of India (inserted 2019).</w:t>
      </w:r>
    </w:p>
    <w:p>
      <w:pPr>
        <w:pStyle w:val="ListParagraph"/>
        <w:numPr>
          <w:ilvl w:val="0"/>
          <w:numId w:val="12"/>
        </w:numPr>
        <w:spacing w:after="70" w:line="264"/>
        <w:jc w:val="both"/>
      </w:pPr>
      <w:r>
        <w:rPr>
          <w:b/>
          <w:bCs/>
        </w:rPr>
        <w:t xml:space="preserve">(4)</w:t>
      </w:r>
      <w:r>
        <w:t xml:space="preserve"> Where (3) applies and a party fails to appoint within </w:t>
      </w:r>
      <w:r>
        <w:rPr>
          <w:b/>
          <w:bCs/>
        </w:rPr>
        <w:t xml:space="preserve">thirty days</w:t>
      </w:r>
      <w:r>
        <w:t xml:space="preserve"> of request, or the two appointees fail to agree on the third within thirty days, the appointment is made on application — for ICA by the authority designated by the </w:t>
      </w:r>
      <w:r>
        <w:rPr>
          <w:b/>
          <w:bCs/>
        </w:rPr>
        <w:t xml:space="preserve">Supreme Court</w:t>
      </w:r>
      <w:r>
        <w:t xml:space="preserve">, otherwise by the </w:t>
      </w:r>
      <w:r>
        <w:rPr>
          <w:b/>
          <w:bCs/>
        </w:rPr>
        <w:t xml:space="preserve">High Court</w:t>
      </w:r>
      <w:r>
        <w:t xml:space="preserve">.</w:t>
      </w:r>
    </w:p>
    <w:p>
      <w:pPr>
        <w:pStyle w:val="ListParagraph"/>
        <w:numPr>
          <w:ilvl w:val="0"/>
          <w:numId w:val="12"/>
        </w:numPr>
        <w:spacing w:after="70" w:line="264"/>
        <w:jc w:val="both"/>
      </w:pPr>
      <w:r>
        <w:rPr>
          <w:b/>
          <w:bCs/>
        </w:rPr>
        <w:t xml:space="preserve">(5)</w:t>
      </w:r>
      <w:r>
        <w:t xml:space="preserve"> In a sole-arbitrator case, if the parties do not agree within thirty days of a request, appointment follows (4).</w:t>
      </w:r>
    </w:p>
    <w:p>
      <w:pPr>
        <w:pStyle w:val="ListParagraph"/>
        <w:numPr>
          <w:ilvl w:val="0"/>
          <w:numId w:val="12"/>
        </w:numPr>
        <w:spacing w:after="70" w:line="264"/>
        <w:jc w:val="both"/>
      </w:pPr>
      <w:r>
        <w:rPr>
          <w:b/>
          <w:bCs/>
        </w:rPr>
        <w:t xml:space="preserve">(6)</w:t>
      </w:r>
      <w:r>
        <w:t xml:space="preserve"> Where an agreed procedure exists, an application lies if (a) a party fails to act under it, (b) the parties or the two appointees fail to reach an agreement expected of them, or (c) a person or institution fails to perform an entrusted function. Clause (c) is the residuary ground.</w:t>
      </w:r>
    </w:p>
    <w:p>
      <w:pPr>
        <w:pStyle w:val="ListParagraph"/>
        <w:numPr>
          <w:ilvl w:val="0"/>
          <w:numId w:val="12"/>
        </w:numPr>
        <w:spacing w:after="70" w:line="264"/>
        <w:jc w:val="both"/>
      </w:pPr>
      <w:r>
        <w:rPr>
          <w:b/>
          <w:bCs/>
        </w:rPr>
        <w:t xml:space="preserve">(6A)</w:t>
      </w:r>
      <w:r>
        <w:t xml:space="preserve"> </w:t>
      </w:r>
      <w:r>
        <w:rPr>
          <w:b/>
          <w:bCs/>
          <w:shd w:fill="FFF2CC" w:color="auto" w:val="clear"/>
        </w:rPr>
        <w:t xml:space="preserve">The court shall confine itself to the examination of the existence of an arbitration agreement,</w:t>
      </w:r>
      <w:r>
        <w:t xml:space="preserve"> notwithstanding any judgment, decree or order of any court (inserted 2015).</w:t>
      </w:r>
    </w:p>
    <w:p>
      <w:pPr>
        <w:pStyle w:val="ListParagraph"/>
        <w:numPr>
          <w:ilvl w:val="0"/>
          <w:numId w:val="12"/>
        </w:numPr>
        <w:spacing w:after="70" w:line="264"/>
        <w:jc w:val="both"/>
      </w:pPr>
      <w:r>
        <w:rPr>
          <w:b/>
          <w:bCs/>
        </w:rPr>
        <w:t xml:space="preserve">(6B)</w:t>
      </w:r>
      <w:r>
        <w:t xml:space="preserve"> Designation of a person or institution is </w:t>
      </w:r>
      <w:r>
        <w:rPr>
          <w:b/>
          <w:bCs/>
        </w:rPr>
        <w:t xml:space="preserve">not a delegation of judicial power</w:t>
      </w:r>
      <w:r>
        <w:t xml:space="preserve">; its scope is limited to the act of designation.</w:t>
      </w:r>
    </w:p>
    <w:p>
      <w:pPr>
        <w:pStyle w:val="ListParagraph"/>
        <w:numPr>
          <w:ilvl w:val="0"/>
          <w:numId w:val="12"/>
        </w:numPr>
        <w:spacing w:after="70" w:line="264"/>
        <w:jc w:val="both"/>
      </w:pPr>
      <w:r>
        <w:rPr>
          <w:b/>
          <w:bCs/>
        </w:rPr>
        <w:t xml:space="preserve">(7)</w:t>
      </w:r>
      <w:r>
        <w:t xml:space="preserve"> The decision is </w:t>
      </w:r>
      <w:r>
        <w:rPr>
          <w:b/>
          <w:bCs/>
        </w:rPr>
        <w:t xml:space="preserve">final</w:t>
      </w:r>
      <w:r>
        <w:t xml:space="preserve"> and no appeal, including a Letters Patent Appeal, lies. “Final” operates on the statutory remedies only.</w:t>
      </w:r>
    </w:p>
    <w:p>
      <w:pPr>
        <w:pStyle w:val="ListParagraph"/>
        <w:numPr>
          <w:ilvl w:val="0"/>
          <w:numId w:val="12"/>
        </w:numPr>
        <w:spacing w:after="70" w:line="264"/>
        <w:jc w:val="both"/>
      </w:pPr>
      <w:r>
        <w:rPr>
          <w:b/>
          <w:bCs/>
        </w:rPr>
        <w:t xml:space="preserve">(8)</w:t>
      </w:r>
      <w:r>
        <w:t xml:space="preserve"> Before appointing, the authority must seek a </w:t>
      </w:r>
      <w:r>
        <w:rPr>
          <w:b/>
          <w:bCs/>
        </w:rPr>
        <w:t xml:space="preserve">written disclosure</w:t>
      </w:r>
      <w:r>
        <w:t xml:space="preserve"> under section 12(1), and have regard to the qualifications required by the agreement and to the disclosure.</w:t>
      </w:r>
    </w:p>
    <w:p>
      <w:pPr>
        <w:pStyle w:val="ListParagraph"/>
        <w:numPr>
          <w:ilvl w:val="0"/>
          <w:numId w:val="12"/>
        </w:numPr>
        <w:spacing w:after="70" w:line="264"/>
        <w:jc w:val="both"/>
      </w:pPr>
      <w:r>
        <w:rPr>
          <w:b/>
          <w:bCs/>
        </w:rPr>
        <w:t xml:space="preserve">(9)</w:t>
      </w:r>
      <w:r>
        <w:t xml:space="preserve"> In ICA, where the parties are of different nationalities, a sole or third arbitrator may be of a </w:t>
      </w:r>
      <w:r>
        <w:rPr>
          <w:b/>
          <w:bCs/>
        </w:rPr>
        <w:t xml:space="preserve">third nationality</w:t>
      </w:r>
      <w:r>
        <w:t xml:space="preserve">.</w:t>
      </w:r>
    </w:p>
    <w:p>
      <w:pPr>
        <w:pStyle w:val="ListParagraph"/>
        <w:numPr>
          <w:ilvl w:val="0"/>
          <w:numId w:val="12"/>
        </w:numPr>
        <w:spacing w:after="70" w:line="264"/>
        <w:jc w:val="both"/>
      </w:pPr>
      <w:r>
        <w:rPr>
          <w:b/>
          <w:bCs/>
        </w:rPr>
        <w:t xml:space="preserve">(11)</w:t>
      </w:r>
      <w:r>
        <w:t xml:space="preserve"> Where requests are made to different authorities, the one approached </w:t>
      </w:r>
      <w:r>
        <w:rPr>
          <w:b/>
          <w:bCs/>
        </w:rPr>
        <w:t xml:space="preserve">first</w:t>
      </w:r>
      <w:r>
        <w:t xml:space="preserve"> alone is competent. This prevents forum shopping.</w:t>
      </w:r>
    </w:p>
    <w:p>
      <w:pPr>
        <w:pStyle w:val="ListParagraph"/>
        <w:numPr>
          <w:ilvl w:val="0"/>
          <w:numId w:val="12"/>
        </w:numPr>
        <w:spacing w:after="70" w:line="264"/>
        <w:jc w:val="both"/>
      </w:pPr>
      <w:r>
        <w:rPr>
          <w:b/>
          <w:bCs/>
        </w:rPr>
        <w:t xml:space="preserve">(12)</w:t>
      </w:r>
      <w:r>
        <w:t xml:space="preserve"> ICA goes to the authority designated by the Supreme Court; all other arbitrations to the High Court.</w:t>
      </w:r>
    </w:p>
    <w:p>
      <w:pPr>
        <w:pStyle w:val="ListParagraph"/>
        <w:numPr>
          <w:ilvl w:val="0"/>
          <w:numId w:val="12"/>
        </w:numPr>
        <w:spacing w:after="70" w:line="264"/>
        <w:jc w:val="both"/>
      </w:pPr>
      <w:r>
        <w:rPr>
          <w:b/>
          <w:bCs/>
        </w:rPr>
        <w:t xml:space="preserve">(13)</w:t>
      </w:r>
      <w:r>
        <w:t xml:space="preserve"> An application is to be disposed of within </w:t>
      </w:r>
      <w:r>
        <w:rPr>
          <w:b/>
          <w:bCs/>
        </w:rPr>
        <w:t xml:space="preserve">thirty days</w:t>
      </w:r>
      <w:r>
        <w:t xml:space="preserve"> of service of notice.</w:t>
      </w:r>
    </w:p>
    <w:p>
      <w:pPr>
        <w:pStyle w:val="ListParagraph"/>
        <w:numPr>
          <w:ilvl w:val="0"/>
          <w:numId w:val="12"/>
        </w:numPr>
        <w:spacing w:after="70" w:line="264"/>
        <w:jc w:val="both"/>
      </w:pPr>
      <w:r>
        <w:rPr>
          <w:b/>
          <w:bCs/>
        </w:rPr>
        <w:t xml:space="preserve">(14)</w:t>
      </w:r>
      <w:r>
        <w:t xml:space="preserve"> Fees are determined subject to the </w:t>
      </w:r>
      <w:r>
        <w:rPr>
          <w:b/>
          <w:bCs/>
        </w:rPr>
        <w:t xml:space="preserve">Fourth Schedule</w:t>
      </w:r>
      <w:r>
        <w:t xml:space="preserve">, except in ICA and where the parties adopt institutional fee rules.</w:t>
      </w:r>
    </w:p>
    <w:p>
      <w:pPr>
        <w:spacing w:after="120" w:line="264"/>
        <w:jc w:val="both"/>
      </w:pPr>
      <w:r>
        <w:t xml:space="preserve">Read with </w:t>
      </w:r>
      <w:r>
        <w:rPr>
          <w:b/>
          <w:bCs/>
        </w:rPr>
        <w:t xml:space="preserve">section 2(1)(e)</w:t>
      </w:r>
      <w:r>
        <w:t xml:space="preserve">, which defines “Court” and in effect creates a special forum in arbitration matters — the principal civil court of original jurisdiction in a district, or the High Court exercising ordinary original civil jurisdiction, and for ICA the High Court.</w:t>
      </w:r>
    </w:p>
    <w:p>
      <w:pPr>
        <w:pStyle w:val="Heading2"/>
        <w:keepNext/>
        <w:spacing w:after="100" w:before="250"/>
      </w:pPr>
      <w:r>
        <w:t xml:space="preserve">The controversy: judicial or administrative power?</w:t>
      </w:r>
    </w:p>
    <w:p>
      <w:pPr>
        <w:spacing w:after="120" w:line="264"/>
        <w:jc w:val="both"/>
      </w:pPr>
      <w:r>
        <w:t xml:space="preserve">As enacted, appointment was by “the Chief Justice or any person or institution designated by him”. Two features caused a decade of litigation. India had departed from the Model Law, which vests the power in a </w:t>
      </w:r>
      <w:r>
        <w:rPr>
          <w:b/>
          <w:bCs/>
        </w:rPr>
        <w:t xml:space="preserve">court</w:t>
      </w:r>
      <w:r>
        <w:t xml:space="preserve">, by naming the Chief Justice instead. And the power was delegable to “any person or institution”, whereas </w:t>
      </w:r>
      <w:r>
        <w:rPr>
          <w:b/>
          <w:bCs/>
        </w:rPr>
        <w:t xml:space="preserve">judicial power cannot ordinarily be delegated</w:t>
      </w:r>
      <w:r>
        <w:t xml:space="preserve">.</w:t>
      </w:r>
    </w:p>
    <w:p>
      <w:pPr>
        <w:spacing w:after="120" w:line="264"/>
        <w:jc w:val="both"/>
      </w:pPr>
      <w:r>
        <w:t xml:space="preserve">The characterisation mattered for three things: whether contested preliminary issues could be decided (whether the Chief Justice was to conduct a </w:t>
      </w:r>
      <w:r>
        <w:rPr>
          <w:b/>
          <w:bCs/>
        </w:rPr>
        <w:t xml:space="preserve">mini-trial</w:t>
      </w:r>
      <w:r>
        <w:t xml:space="preserve">); whether the order was open to Article 136 or only to mandamus; and how far the power could be delegated.</w:t>
      </w:r>
    </w:p>
    <w:p>
      <w:pPr>
        <w:spacing w:after="120" w:line="264"/>
        <w:jc w:val="both"/>
      </w:pPr>
      <w:r>
        <w:t xml:space="preserve">The </w:t>
      </w:r>
      <w:r>
        <w:rPr>
          <w:b/>
          <w:bCs/>
        </w:rPr>
        <w:t xml:space="preserve">Appointment of Arbitrators by the Chief Justice of India Scheme, 1996</w:t>
      </w:r>
      <w:r>
        <w:t xml:space="preserve">, a piece of delegated legislation, used the words “notice” and “decision”, which looked adjudicatory. Against that it was said that </w:t>
      </w:r>
      <w:r>
        <w:rPr>
          <w:b/>
          <w:bCs/>
        </w:rPr>
        <w:t xml:space="preserve">an interpretation of delegated legislation cannot be used to construe the parent Act</w:t>
      </w:r>
      <w:r>
        <w:t xml:space="preserve">.</w:t>
      </w:r>
    </w:p>
    <w:p>
      <w:pPr>
        <w:spacing w:after="120" w:line="264"/>
        <w:jc w:val="both"/>
      </w:pPr>
      <w:r>
        <w:t xml:space="preserve">The administrative-law premise for objecting to a split power is simple: if one person hears and another decides, </w:t>
      </w:r>
      <w:r>
        <w:rPr>
          <w:i/>
          <w:iCs/>
        </w:rPr>
        <w:t xml:space="preserve">audi alteram partem</w:t>
      </w:r>
      <w:r>
        <w:t xml:space="preserve"> fails.</w:t>
      </w:r>
    </w:p>
    <w:p>
      <w:pPr>
        <w:keepNext/>
        <w:spacing w:after="60" w:before="150"/>
      </w:pPr>
      <w:r>
        <w:rPr>
          <w:b/>
          <w:bCs/>
          <w:i/>
          <w:iCs/>
          <w:sz w:val="21"/>
          <w:szCs w:val="21"/>
        </w:rPr>
        <w:t xml:space="preserve">Gullapalli Nageswara Rao v. Andhra Pradesh State Road Transport Corporation (Gullapalli-I)</w:t>
      </w:r>
      <w:r>
        <w:rPr>
          <w:sz w:val="19"/>
          <w:szCs w:val="19"/>
        </w:rPr>
        <w:t xml:space="preserve">, AIR 1959 SC 308 (SC, Constitution Bench of 5, 5 November 1958, Subba Rao J.)</w:t>
      </w:r>
    </w:p>
    <w:p>
      <w:pPr>
        <w:spacing w:after="60" w:line="258"/>
        <w:ind w:left="230"/>
        <w:jc w:val="both"/>
      </w:pPr>
      <w:r>
        <w:rPr>
          <w:b/>
          <w:bCs/>
          <w:sz w:val="20"/>
          <w:szCs w:val="20"/>
        </w:rPr>
        <w:t xml:space="preserve">Facts. </w:t>
      </w:r>
      <w:r>
        <w:rPr>
          <w:sz w:val="20"/>
          <w:szCs w:val="20"/>
        </w:rPr>
        <w:t xml:space="preserve">Objections to a road transport nationalisation scheme were heard by the Secretary of the Transport Department, but the scheme was approved by the Minister. The Department was in substance an interested party.</w:t>
      </w:r>
    </w:p>
    <w:p>
      <w:pPr>
        <w:spacing w:after="60" w:line="258"/>
        <w:ind w:left="230"/>
        <w:jc w:val="both"/>
      </w:pPr>
      <w:r>
        <w:rPr>
          <w:b/>
          <w:bCs/>
          <w:sz w:val="20"/>
          <w:szCs w:val="20"/>
        </w:rPr>
        <w:t xml:space="preserve">Decision. </w:t>
      </w:r>
      <w:r>
        <w:rPr>
          <w:sz w:val="20"/>
          <w:szCs w:val="20"/>
        </w:rPr>
        <w:t xml:space="preserve">The scheme was quashed for breach of natural justice.</w:t>
      </w:r>
    </w:p>
    <w:p>
      <w:pPr>
        <w:spacing w:after="60" w:line="258"/>
        <w:ind w:left="230"/>
        <w:jc w:val="both"/>
      </w:pPr>
      <w:r>
        <w:rPr>
          <w:b/>
          <w:bCs/>
          <w:sz w:val="20"/>
          <w:szCs w:val="20"/>
        </w:rPr>
        <w:t xml:space="preserve">Principle. </w:t>
      </w:r>
      <w:r>
        <w:rPr>
          <w:sz w:val="20"/>
          <w:szCs w:val="20"/>
        </w:rPr>
        <w:t xml:space="preserve">Natural justice has two rules — </w:t>
      </w:r>
      <w:r>
        <w:rPr>
          <w:i/>
          <w:iCs/>
          <w:sz w:val="20"/>
          <w:szCs w:val="20"/>
        </w:rPr>
        <w:t xml:space="preserve">nemo judex in causa sua</w:t>
      </w:r>
      <w:r>
        <w:rPr>
          <w:sz w:val="20"/>
          <w:szCs w:val="20"/>
        </w:rPr>
        <w:t xml:space="preserve"> (no one may judge his own cause) and </w:t>
      </w:r>
      <w:r>
        <w:rPr>
          <w:i/>
          <w:iCs/>
          <w:sz w:val="20"/>
          <w:szCs w:val="20"/>
        </w:rPr>
        <w:t xml:space="preserve">audi alteram partem</w:t>
      </w:r>
      <w:r>
        <w:rPr>
          <w:sz w:val="20"/>
          <w:szCs w:val="20"/>
        </w:rPr>
        <w:t xml:space="preserve"> (a party must be heard). The second carries with it that </w:t>
      </w:r>
      <w:r>
        <w:rPr>
          <w:b/>
          <w:bCs/>
          <w:sz w:val="20"/>
          <w:szCs w:val="20"/>
          <w:shd w:fill="FFF2CC" w:color="auto" w:val="clear"/>
        </w:rPr>
        <w:t xml:space="preserve">the authority which decides must be the authority which hears.</w:t>
      </w:r>
      <w:r>
        <w:rPr>
          <w:sz w:val="20"/>
          <w:szCs w:val="20"/>
        </w:rPr>
        <w:t xml:space="preserve"> A split process denies the right to be heard, and the position was worse because the Department was a party.</w:t>
      </w:r>
    </w:p>
    <w:p>
      <w:pPr>
        <w:spacing w:after="60" w:line="258"/>
        <w:ind w:left="230"/>
        <w:jc w:val="both"/>
      </w:pPr>
      <w:r>
        <w:rPr>
          <w:b/>
          <w:bCs/>
          <w:sz w:val="20"/>
          <w:szCs w:val="20"/>
        </w:rPr>
        <w:t xml:space="preserve">Status. </w:t>
      </w:r>
      <w:r>
        <w:rPr>
          <w:sz w:val="20"/>
          <w:szCs w:val="20"/>
        </w:rPr>
        <w:t xml:space="preserve">Good law. </w:t>
      </w:r>
      <w:r>
        <w:rPr>
          <w:b/>
          <w:bCs/>
          <w:sz w:val="20"/>
          <w:szCs w:val="20"/>
        </w:rPr>
        <w:t xml:space="preserve">Distinguish Gullapalli-II</w:t>
      </w:r>
      <w:r>
        <w:rPr>
          <w:sz w:val="20"/>
          <w:szCs w:val="20"/>
        </w:rPr>
        <w:t xml:space="preserve">, AIR 1959 SC 1376 (21 August 1959), where a corrected procedure — the Minister both hearing and deciding — was upheld.</w:t>
      </w:r>
    </w:p>
    <w:p>
      <w:pPr>
        <w:pStyle w:val="Heading2"/>
        <w:keepNext/>
        <w:spacing w:after="100" w:before="250"/>
      </w:pPr>
      <w:r>
        <w:t xml:space="preserve">The line of authority</w:t>
      </w:r>
    </w:p>
    <w:p>
      <w:pPr>
        <w:keepNext/>
        <w:spacing w:after="60" w:before="150"/>
      </w:pPr>
      <w:r>
        <w:rPr>
          <w:b/>
          <w:bCs/>
          <w:i/>
          <w:iCs/>
          <w:sz w:val="21"/>
          <w:szCs w:val="21"/>
        </w:rPr>
        <w:t xml:space="preserve">Konkan Railway Corporation Ltd. v. Mehul Construction Co.</w:t>
      </w:r>
      <w:r>
        <w:rPr>
          <w:sz w:val="19"/>
          <w:szCs w:val="19"/>
        </w:rPr>
        <w:t xml:space="preserve">, (2000) 7 SCC 201 (SC, 3 Judges)</w:t>
      </w:r>
    </w:p>
    <w:p>
      <w:pPr>
        <w:spacing w:after="60" w:line="258"/>
        <w:ind w:left="230"/>
        <w:jc w:val="both"/>
      </w:pPr>
      <w:r>
        <w:rPr>
          <w:b/>
          <w:bCs/>
          <w:sz w:val="20"/>
          <w:szCs w:val="20"/>
        </w:rPr>
        <w:t xml:space="preserve">Facts. </w:t>
      </w:r>
      <w:r>
        <w:rPr>
          <w:sz w:val="20"/>
          <w:szCs w:val="20"/>
        </w:rPr>
        <w:t xml:space="preserve">The question was the nature of the power under section 11 and whether a refusal to appoint could be challenged under Article 136.</w:t>
      </w:r>
    </w:p>
    <w:p>
      <w:pPr>
        <w:spacing w:after="60" w:line="258"/>
        <w:ind w:left="230"/>
        <w:jc w:val="both"/>
      </w:pPr>
      <w:r>
        <w:rPr>
          <w:b/>
          <w:bCs/>
          <w:sz w:val="20"/>
          <w:szCs w:val="20"/>
        </w:rPr>
        <w:t xml:space="preserve">Decision. </w:t>
      </w:r>
      <w:r>
        <w:rPr>
          <w:sz w:val="20"/>
          <w:szCs w:val="20"/>
        </w:rPr>
        <w:t xml:space="preserve">The power is </w:t>
      </w:r>
      <w:r>
        <w:rPr>
          <w:b/>
          <w:bCs/>
          <w:sz w:val="20"/>
          <w:szCs w:val="20"/>
        </w:rPr>
        <w:t xml:space="preserve">administrative</w:t>
      </w:r>
      <w:r>
        <w:rPr>
          <w:sz w:val="20"/>
          <w:szCs w:val="20"/>
        </w:rPr>
        <w:t xml:space="preserve">, not judicial. No Article 136 lies; the remedy is mandamus.</w:t>
      </w:r>
    </w:p>
    <w:p>
      <w:pPr>
        <w:spacing w:after="60" w:line="258"/>
        <w:ind w:left="230"/>
        <w:jc w:val="both"/>
      </w:pPr>
      <w:r>
        <w:rPr>
          <w:b/>
          <w:bCs/>
          <w:sz w:val="20"/>
          <w:szCs w:val="20"/>
        </w:rPr>
        <w:t xml:space="preserve">Principle. </w:t>
      </w:r>
      <w:r>
        <w:rPr>
          <w:sz w:val="20"/>
          <w:szCs w:val="20"/>
        </w:rPr>
        <w:t xml:space="preserve">The Model Law vests the power in a court, whereas the Act names the Chief Justice. Had a judicial function been intended, the legislature would have said “court” or “judicial authority”. The function is only to </w:t>
      </w:r>
      <w:r>
        <w:rPr>
          <w:b/>
          <w:bCs/>
          <w:sz w:val="20"/>
          <w:szCs w:val="20"/>
        </w:rPr>
        <w:t xml:space="preserve">aid the constitution of the tribunal</w:t>
      </w:r>
      <w:r>
        <w:rPr>
          <w:sz w:val="20"/>
          <w:szCs w:val="20"/>
        </w:rPr>
        <w:t xml:space="preserve">. </w:t>
      </w:r>
      <w:r>
        <w:rPr>
          <w:b/>
          <w:bCs/>
          <w:sz w:val="20"/>
          <w:szCs w:val="20"/>
          <w:shd w:fill="FFF2CC" w:color="auto" w:val="clear"/>
        </w:rPr>
        <w:t xml:space="preserve">The legislative intent is that the arbitral process begin without delay, with contentious issues left to the tribunal;</w:t>
      </w:r>
      <w:r>
        <w:rPr>
          <w:sz w:val="20"/>
          <w:szCs w:val="20"/>
        </w:rPr>
        <w:t xml:space="preserve"> sections 13 and 16 show that qualifications, independence, impartiality and jurisdiction can be raised before the arbitrator.</w:t>
      </w:r>
    </w:p>
    <w:p>
      <w:pPr>
        <w:spacing w:after="60" w:line="258"/>
        <w:ind w:left="230"/>
        <w:jc w:val="both"/>
      </w:pPr>
      <w:r>
        <w:rPr>
          <w:b/>
          <w:bCs/>
          <w:sz w:val="20"/>
          <w:szCs w:val="20"/>
        </w:rPr>
        <w:t xml:space="preserve">Status. </w:t>
      </w:r>
      <w:r>
        <w:rPr>
          <w:sz w:val="20"/>
          <w:szCs w:val="20"/>
        </w:rPr>
        <w:t xml:space="preserve">Affirmed in </w:t>
      </w:r>
      <w:r>
        <w:rPr>
          <w:b/>
          <w:bCs/>
          <w:i/>
          <w:iCs/>
          <w:sz w:val="20"/>
          <w:szCs w:val="20"/>
        </w:rPr>
        <w:t xml:space="preserve">Konkan Railway Corporation Ltd. v. Rani Construction Pvt. Ltd.</w:t>
      </w:r>
      <w:r>
        <w:rPr>
          <w:sz w:val="20"/>
          <w:szCs w:val="20"/>
        </w:rPr>
        <w:t xml:space="preserve">, (2002) 2 SCC 388 (Constitution Bench), which added two propositions: a </w:t>
      </w:r>
      <w:r>
        <w:rPr>
          <w:b/>
          <w:bCs/>
          <w:sz w:val="20"/>
          <w:szCs w:val="20"/>
        </w:rPr>
        <w:t xml:space="preserve">scheme made under section 11 cannot govern the interpretation of section 11</w:t>
      </w:r>
      <w:r>
        <w:rPr>
          <w:sz w:val="20"/>
          <w:szCs w:val="20"/>
        </w:rPr>
        <w:t xml:space="preserve">, and an order nominating an arbitrator is not adjudicatory, so no SLP lies — “tribunal” in Article 136 meaning a </w:t>
      </w:r>
      <w:r>
        <w:rPr>
          <w:b/>
          <w:bCs/>
          <w:sz w:val="20"/>
          <w:szCs w:val="20"/>
        </w:rPr>
        <w:t xml:space="preserve">public</w:t>
      </w:r>
      <w:r>
        <w:rPr>
          <w:sz w:val="20"/>
          <w:szCs w:val="20"/>
        </w:rPr>
        <w:t xml:space="preserve"> tribunal. Both decisions were </w:t>
      </w:r>
      <w:r>
        <w:rPr>
          <w:b/>
          <w:bCs/>
          <w:sz w:val="20"/>
          <w:szCs w:val="20"/>
        </w:rPr>
        <w:t xml:space="preserve">overruled on the nature of the power</w:t>
      </w:r>
      <w:r>
        <w:rPr>
          <w:sz w:val="20"/>
          <w:szCs w:val="20"/>
        </w:rPr>
        <w:t xml:space="preserve"> by </w:t>
      </w:r>
      <w:r>
        <w:rPr>
          <w:b/>
          <w:bCs/>
          <w:i/>
          <w:iCs/>
          <w:sz w:val="20"/>
          <w:szCs w:val="20"/>
        </w:rPr>
        <w:t xml:space="preserve">Patel Engineering</w:t>
      </w:r>
      <w:r>
        <w:rPr>
          <w:sz w:val="20"/>
          <w:szCs w:val="20"/>
        </w:rPr>
        <w:t xml:space="preserve">.</w:t>
      </w:r>
    </w:p>
    <w:p>
      <w:pPr>
        <w:keepNext/>
        <w:spacing w:after="60" w:before="150"/>
      </w:pPr>
      <w:r>
        <w:rPr>
          <w:b/>
          <w:bCs/>
          <w:i/>
          <w:iCs/>
          <w:sz w:val="21"/>
          <w:szCs w:val="21"/>
        </w:rPr>
        <w:t xml:space="preserve">SBP &amp; Co. v. Patel Engineering Ltd.</w:t>
      </w:r>
      <w:r>
        <w:rPr>
          <w:sz w:val="19"/>
          <w:szCs w:val="19"/>
        </w:rPr>
        <w:t xml:space="preserve">, (2005) 8 SCC 618; AIR 2006 SC 450 (SC, 7 Judges, 26 October 2005)</w:t>
      </w:r>
    </w:p>
    <w:p>
      <w:pPr>
        <w:spacing w:after="60" w:line="258"/>
        <w:ind w:left="230"/>
        <w:jc w:val="both"/>
      </w:pPr>
      <w:r>
        <w:rPr>
          <w:b/>
          <w:bCs/>
          <w:sz w:val="20"/>
          <w:szCs w:val="20"/>
        </w:rPr>
        <w:t xml:space="preserve">Facts. </w:t>
      </w:r>
      <w:r>
        <w:rPr>
          <w:sz w:val="20"/>
          <w:szCs w:val="20"/>
        </w:rPr>
        <w:t xml:space="preserve">A seven-Judge Bench reconsidered the nature of the section 11(6) power.</w:t>
      </w:r>
    </w:p>
    <w:p>
      <w:pPr>
        <w:spacing w:after="60" w:line="258"/>
        <w:ind w:left="230"/>
        <w:jc w:val="both"/>
      </w:pPr>
      <w:r>
        <w:rPr>
          <w:b/>
          <w:bCs/>
          <w:sz w:val="20"/>
          <w:szCs w:val="20"/>
        </w:rPr>
        <w:t xml:space="preserve">Decision. </w:t>
      </w:r>
      <w:r>
        <w:rPr>
          <w:sz w:val="20"/>
          <w:szCs w:val="20"/>
        </w:rPr>
        <w:t xml:space="preserve">By majority, </w:t>
      </w:r>
      <w:r>
        <w:rPr>
          <w:b/>
          <w:bCs/>
          <w:sz w:val="20"/>
          <w:szCs w:val="20"/>
          <w:shd w:fill="FFF2CC" w:color="auto" w:val="clear"/>
        </w:rPr>
        <w:t xml:space="preserve">the power under section 11(6) is judicial, not administrative.</w:t>
      </w:r>
      <w:r>
        <w:rPr>
          <w:sz w:val="20"/>
          <w:szCs w:val="20"/>
        </w:rPr>
        <w:t xml:space="preserve"> </w:t>
      </w:r>
      <w:r>
        <w:rPr>
          <w:b/>
          <w:bCs/>
          <w:i/>
          <w:iCs/>
          <w:sz w:val="20"/>
          <w:szCs w:val="20"/>
        </w:rPr>
        <w:t xml:space="preserve">Rani Construction</w:t>
      </w:r>
      <w:r>
        <w:rPr>
          <w:sz w:val="20"/>
          <w:szCs w:val="20"/>
        </w:rPr>
        <w:t xml:space="preserve"> was overruled.</w:t>
      </w:r>
    </w:p>
    <w:p>
      <w:pPr>
        <w:spacing w:after="60" w:line="258"/>
        <w:ind w:left="230"/>
        <w:jc w:val="both"/>
      </w:pPr>
      <w:r>
        <w:rPr>
          <w:b/>
          <w:bCs/>
          <w:sz w:val="20"/>
          <w:szCs w:val="20"/>
        </w:rPr>
        <w:t xml:space="preserve">Principle. </w:t>
      </w:r>
      <w:r>
        <w:rPr>
          <w:sz w:val="20"/>
          <w:szCs w:val="20"/>
        </w:rPr>
        <w:t xml:space="preserve">The Court held that the power may be delegated by the Chief Justice of a High Court only to another Judge of that Court, and by the Chief Justice of India only to another Judge of the Supreme Court; that a designated Judge exercises the Chief Justice's statutory power in full; and that the Chief Justice or designate may decide the </w:t>
      </w:r>
      <w:r>
        <w:rPr>
          <w:b/>
          <w:bCs/>
          <w:sz w:val="20"/>
          <w:szCs w:val="20"/>
        </w:rPr>
        <w:t xml:space="preserve">preliminary aspects</w:t>
      </w:r>
      <w:r>
        <w:rPr>
          <w:sz w:val="20"/>
          <w:szCs w:val="20"/>
        </w:rPr>
        <w:t xml:space="preserve"> — his own jurisdiction, the existence of a valid arbitration agreement, the existence of a live claim, the existence of the condition for exercising the power, and the arbitrator's qualifications. Designating a District Judge is not warranted. Recourse lies under Article 136, not Article 226.</w:t>
      </w:r>
    </w:p>
    <w:p>
      <w:pPr>
        <w:spacing w:after="60" w:line="258"/>
        <w:ind w:left="230"/>
        <w:jc w:val="both"/>
      </w:pPr>
      <w:r>
        <w:rPr>
          <w:b/>
          <w:bCs/>
          <w:sz w:val="20"/>
          <w:szCs w:val="20"/>
        </w:rPr>
        <w:t xml:space="preserve">Status. </w:t>
      </w:r>
      <w:r>
        <w:rPr>
          <w:b/>
          <w:bCs/>
          <w:sz w:val="20"/>
          <w:szCs w:val="20"/>
        </w:rPr>
        <w:t xml:space="preserve">Partly displaced.</w:t>
      </w:r>
      <w:r>
        <w:rPr>
          <w:sz w:val="20"/>
          <w:szCs w:val="20"/>
        </w:rPr>
        <w:t xml:space="preserve"> The judicial-power holding survives. The </w:t>
      </w:r>
      <w:r>
        <w:rPr>
          <w:b/>
          <w:bCs/>
          <w:sz w:val="20"/>
          <w:szCs w:val="20"/>
        </w:rPr>
        <w:t xml:space="preserve">wide preliminary enquiry does not</w:t>
      </w:r>
      <w:r>
        <w:rPr>
          <w:sz w:val="20"/>
          <w:szCs w:val="20"/>
        </w:rPr>
        <w:t xml:space="preserve"> — </w:t>
      </w:r>
      <w:r>
        <w:rPr>
          <w:b/>
          <w:bCs/>
          <w:i/>
          <w:iCs/>
          <w:sz w:val="20"/>
          <w:szCs w:val="20"/>
        </w:rPr>
        <w:t xml:space="preserve">Mayavati Trading Pvt. Ltd. v. Pradyuat Deb Burman</w:t>
      </w:r>
      <w:r>
        <w:rPr>
          <w:sz w:val="20"/>
          <w:szCs w:val="20"/>
        </w:rPr>
        <w:t xml:space="preserve">, (2019) 8 SCC 714, held that after section 11(6A) this part of </w:t>
      </w:r>
      <w:r>
        <w:rPr>
          <w:b/>
          <w:bCs/>
          <w:i/>
          <w:iCs/>
          <w:sz w:val="20"/>
          <w:szCs w:val="20"/>
        </w:rPr>
        <w:t xml:space="preserve">Patel Engineering</w:t>
      </w:r>
      <w:r>
        <w:rPr>
          <w:sz w:val="20"/>
          <w:szCs w:val="20"/>
        </w:rPr>
        <w:t xml:space="preserve"> is no longer good law.</w:t>
      </w:r>
    </w:p>
    <w:p>
      <w:pPr>
        <w:pStyle w:val="Heading2"/>
        <w:keepNext/>
        <w:spacing w:after="100" w:before="250"/>
      </w:pPr>
      <w:r>
        <w:t xml:space="preserve">Present position on the scope of enquiry</w:t>
      </w:r>
    </w:p>
    <w:p>
      <w:pPr>
        <w:spacing w:after="120" w:line="264"/>
        <w:jc w:val="both"/>
      </w:pPr>
      <w:r>
        <w:t xml:space="preserve">The law moved in these steps.</w:t>
      </w:r>
    </w:p>
    <w:p>
      <w:pPr>
        <w:pStyle w:val="ListParagraph"/>
        <w:numPr>
          <w:ilvl w:val="0"/>
          <w:numId w:val="13"/>
        </w:numPr>
        <w:spacing w:after="70" w:line="264"/>
        <w:jc w:val="both"/>
      </w:pPr>
      <w:r>
        <w:rPr>
          <w:b/>
          <w:bCs/>
          <w:i/>
          <w:iCs/>
        </w:rPr>
        <w:t xml:space="preserve">Mehul Construction</w:t>
      </w:r>
      <w:r>
        <w:t xml:space="preserve"> (2000) and </w:t>
      </w:r>
      <w:r>
        <w:rPr>
          <w:b/>
          <w:bCs/>
          <w:i/>
          <w:iCs/>
        </w:rPr>
        <w:t xml:space="preserve">Rani Construction</w:t>
      </w:r>
      <w:r>
        <w:t xml:space="preserve"> (2002) — administrative power; minimal enquiry.</w:t>
      </w:r>
    </w:p>
    <w:p>
      <w:pPr>
        <w:pStyle w:val="ListParagraph"/>
        <w:numPr>
          <w:ilvl w:val="0"/>
          <w:numId w:val="13"/>
        </w:numPr>
        <w:spacing w:after="70" w:line="264"/>
        <w:jc w:val="both"/>
      </w:pPr>
      <w:r>
        <w:rPr>
          <w:b/>
          <w:bCs/>
          <w:i/>
          <w:iCs/>
        </w:rPr>
        <w:t xml:space="preserve">Patel Engineering</w:t>
      </w:r>
      <w:r>
        <w:t xml:space="preserve"> (2005, 7 Judges) — judicial power; wide enquiry permitted.</w:t>
      </w:r>
    </w:p>
    <w:p>
      <w:pPr>
        <w:pStyle w:val="ListParagraph"/>
        <w:numPr>
          <w:ilvl w:val="0"/>
          <w:numId w:val="13"/>
        </w:numPr>
        <w:spacing w:after="70" w:line="264"/>
        <w:jc w:val="both"/>
      </w:pPr>
      <w:r>
        <w:rPr>
          <w:b/>
          <w:bCs/>
          <w:i/>
          <w:iCs/>
        </w:rPr>
        <w:t xml:space="preserve">National Insurance Co. Ltd. v. Boghara Polyfab Pvt. Ltd.</w:t>
      </w:r>
      <w:r>
        <w:t xml:space="preserve">, (2009) 1 SCC 267 — catalogued the issues decidable on that approach.</w:t>
      </w:r>
    </w:p>
    <w:p>
      <w:pPr>
        <w:pStyle w:val="ListParagraph"/>
        <w:numPr>
          <w:ilvl w:val="0"/>
          <w:numId w:val="13"/>
        </w:numPr>
        <w:spacing w:after="70" w:line="264"/>
        <w:jc w:val="both"/>
      </w:pPr>
      <w:r>
        <w:rPr>
          <w:b/>
          <w:bCs/>
        </w:rPr>
        <w:t xml:space="preserve">2015 Amendment</w:t>
      </w:r>
      <w:r>
        <w:t xml:space="preserve"> — section 11(6A) confines the court to the existence of the arbitration agreement.</w:t>
      </w:r>
    </w:p>
    <w:p>
      <w:pPr>
        <w:pStyle w:val="ListParagraph"/>
        <w:numPr>
          <w:ilvl w:val="0"/>
          <w:numId w:val="13"/>
        </w:numPr>
        <w:spacing w:after="70" w:line="264"/>
        <w:jc w:val="both"/>
      </w:pPr>
      <w:r>
        <w:rPr>
          <w:b/>
          <w:bCs/>
          <w:i/>
          <w:iCs/>
        </w:rPr>
        <w:t xml:space="preserve">Duro Felguera S.A. v. Gangavaram Port Ltd.</w:t>
      </w:r>
      <w:r>
        <w:t xml:space="preserve">, (2017) 9 SCC 729 — applied that confinement.</w:t>
      </w:r>
    </w:p>
    <w:p>
      <w:pPr>
        <w:pStyle w:val="ListParagraph"/>
        <w:numPr>
          <w:ilvl w:val="0"/>
          <w:numId w:val="13"/>
        </w:numPr>
        <w:spacing w:after="70" w:line="264"/>
        <w:jc w:val="both"/>
      </w:pPr>
      <w:r>
        <w:rPr>
          <w:b/>
          <w:bCs/>
          <w:i/>
          <w:iCs/>
        </w:rPr>
        <w:t xml:space="preserve">Mayavati Trading</w:t>
      </w:r>
      <w:r>
        <w:t xml:space="preserve"> (2019) — the wide enquiry is no longer good law.</w:t>
      </w:r>
    </w:p>
    <w:p>
      <w:pPr>
        <w:pStyle w:val="ListParagraph"/>
        <w:numPr>
          <w:ilvl w:val="0"/>
          <w:numId w:val="13"/>
        </w:numPr>
        <w:spacing w:after="70" w:line="264"/>
        <w:jc w:val="both"/>
      </w:pPr>
      <w:r>
        <w:rPr>
          <w:b/>
          <w:bCs/>
          <w:i/>
          <w:iCs/>
        </w:rPr>
        <w:t xml:space="preserve">In Re: Interplay</w:t>
      </w:r>
      <w:r>
        <w:t xml:space="preserve">, 2023 INSC 1066 (7 Judges) — reaffirmed the narrow enquiry, and held that stamping is for the tribunal.</w:t>
      </w:r>
    </w:p>
    <w:p>
      <w:pPr>
        <w:spacing w:after="120" w:line="264"/>
        <w:jc w:val="both"/>
      </w:pPr>
      <w:r>
        <w:rPr>
          <w:b/>
          <w:bCs/>
        </w:rPr>
        <w:t xml:space="preserve">State the position thus.</w:t>
      </w:r>
      <w:r>
        <w:t xml:space="preserve"> </w:t>
      </w:r>
      <w:r>
        <w:rPr>
          <w:b/>
          <w:bCs/>
          <w:shd w:fill="FFF2CC" w:color="auto" w:val="clear"/>
        </w:rPr>
        <w:t xml:space="preserve">At the appointment stage the court makes a limited *prima facie* examination confined to the existence, and prima facie validity, of the arbitration agreement.</w:t>
      </w:r>
      <w:r>
        <w:t xml:space="preserve"> Arbitrability and validity are for the tribunal under section 16, consistently with the rule of first priority. Reference may be declined only where the claim is manifestly non-arbitrable or the agreement manifestly non-existent.</w:t>
      </w:r>
    </w:p>
    <w:p>
      <w:pPr>
        <w:spacing w:after="120" w:line="264"/>
        <w:jc w:val="both"/>
      </w:pPr>
      <w:r>
        <w:rPr>
          <w:b/>
          <w:bCs/>
        </w:rPr>
        <w:t xml:space="preserve">Important. ==Section 11(6A) has not been deleted.==</w:t>
      </w:r>
      <w:r>
        <w:t xml:space="preserve"> Section 3 of the 2019 Amendment purported to omit it, but that omission was </w:t>
      </w:r>
      <w:r>
        <w:rPr>
          <w:b/>
          <w:bCs/>
        </w:rPr>
        <w:t xml:space="preserve">never notified</w:t>
      </w:r>
      <w:r>
        <w:t xml:space="preserve">, so section 11(6A) is operative. The seven-Judge Bench in </w:t>
      </w:r>
      <w:r>
        <w:rPr>
          <w:b/>
          <w:bCs/>
          <w:i/>
          <w:iCs/>
        </w:rPr>
        <w:t xml:space="preserve">In Re: Interplay</w:t>
      </w:r>
      <w:r>
        <w:t xml:space="preserve"> confirmed this, and noted that </w:t>
      </w:r>
      <w:r>
        <w:rPr>
          <w:b/>
          <w:bCs/>
          <w:i/>
          <w:iCs/>
        </w:rPr>
        <w:t xml:space="preserve">Vidya Drolia</w:t>
      </w:r>
      <w:r>
        <w:t xml:space="preserve">, (2021) 2 SCC 1, had wrongly assumed the omission was in force.</w:t>
      </w:r>
    </w:p>
    <w:p>
      <w:pPr>
        <w:pStyle w:val="Heading2"/>
        <w:keepNext/>
        <w:spacing w:after="100" w:before="250"/>
      </w:pPr>
      <w:r>
        <w:t xml:space="preserve">The 2019 institutional scheme</w:t>
      </w:r>
    </w:p>
    <w:p>
      <w:pPr>
        <w:spacing w:after="120" w:line="264"/>
        <w:jc w:val="both"/>
      </w:pPr>
      <w:r>
        <w:t xml:space="preserve">The 2019 Amendment routed appointments through graded arbitral institutions designated by the Supreme Court or High Court, and created </w:t>
      </w:r>
      <w:r>
        <w:rPr>
          <w:b/>
          <w:bCs/>
        </w:rPr>
        <w:t xml:space="preserve">Part IA</w:t>
      </w:r>
      <w:r>
        <w:t xml:space="preserve"> for an Arbitration Council of India. The objects were to use recognised institutions rather than courts, to promote institutional over ad hoc arbitration, and to reduce the burden on the courts.</w:t>
      </w:r>
    </w:p>
    <w:p>
      <w:pPr>
        <w:spacing w:after="120" w:line="264"/>
        <w:jc w:val="both"/>
      </w:pPr>
      <w:r>
        <w:rPr>
          <w:b/>
          <w:bCs/>
        </w:rPr>
        <w:t xml:space="preserve">That machinery is not operational.</w:t>
      </w:r>
      <w:r>
        <w:t xml:space="preserve"> The Council has not been constituted and institutions have not been graded or designated, so appointments continue to be made by the Supreme Court and the High Courts.</w:t>
      </w:r>
    </w:p>
    <w:p>
      <w:pPr>
        <w:pStyle w:val="Heading1"/>
        <w:keepNext/>
        <w:pBdr>
          <w:bottom w:val="single" w:color="1F3864" w:sz="6" w:space="4"/>
        </w:pBdr>
        <w:spacing w:after="160" w:before="420"/>
      </w:pPr>
      <w:r>
        <w:t xml:space="preserve">8.  Grounds and Procedure for Challenge: Sections 12 and 13</w:t>
      </w:r>
    </w:p>
    <w:p>
      <w:pPr>
        <w:spacing w:after="120" w:line="264"/>
        <w:jc w:val="both"/>
      </w:pPr>
      <w:r>
        <w:t xml:space="preserve">An arbitrator decides in place of a judge, and must be </w:t>
      </w:r>
      <w:r>
        <w:rPr>
          <w:b/>
          <w:bCs/>
        </w:rPr>
        <w:t xml:space="preserve">independent of the parties and impartial between them</w:t>
      </w:r>
      <w:r>
        <w:t xml:space="preserve">. Sections 12 and 13 protect this in three ways: a duty of disclosure, grounds of challenge, and a statutory ineligibility.</w:t>
      </w:r>
    </w:p>
    <w:p>
      <w:pPr>
        <w:spacing w:after="120" w:line="264"/>
        <w:jc w:val="both"/>
      </w:pPr>
      <w:r>
        <w:t xml:space="preserve">Two features frame the whole scheme. </w:t>
      </w:r>
      <w:r>
        <w:rPr>
          <w:b/>
          <w:bCs/>
          <w:shd w:fill="FFF2CC" w:color="auto" w:val="clear"/>
        </w:rPr>
        <w:t xml:space="preserve">The test is not actual bias but the likelihood or appearance of bias</w:t>
      </w:r>
      <w:r>
        <w:t xml:space="preserve"> — whether circumstances give rise to justifiable doubts. And </w:t>
      </w:r>
      <w:r>
        <w:rPr>
          <w:b/>
          <w:bCs/>
        </w:rPr>
        <w:t xml:space="preserve">disclosure is a continuing duty</w:t>
      </w:r>
      <w:r>
        <w:t xml:space="preserve">, not a single event at appointment.</w:t>
      </w:r>
    </w:p>
    <w:p>
      <w:pPr>
        <w:pStyle w:val="Heading2"/>
        <w:keepNext/>
        <w:spacing w:after="100" w:before="250"/>
      </w:pPr>
      <w:r>
        <w:t xml:space="preserve">Section 12: disclosure, grounds and ineligibility</w:t>
      </w:r>
    </w:p>
    <w:p>
      <w:pPr>
        <w:spacing w:after="120" w:line="264"/>
        <w:jc w:val="both"/>
      </w:pPr>
      <w:r>
        <w:rPr>
          <w:b/>
          <w:bCs/>
        </w:rPr>
        <w:t xml:space="preserve">Section 12(1) — disclosure.</w:t>
      </w:r>
      <w:r>
        <w:t xml:space="preserve"> A person approached about a possible appointment must disclose in writing any circumstances (a) of a past or present relationship with, or interest in, a party or the subject matter — financial, business, professional or otherwise — likely to give rise to </w:t>
      </w:r>
      <w:r>
        <w:rPr>
          <w:b/>
          <w:bCs/>
        </w:rPr>
        <w:t xml:space="preserve">justifiable doubts</w:t>
      </w:r>
      <w:r>
        <w:t xml:space="preserve"> as to independence or impartiality; and (b) likely to affect his ability to devote sufficient time, in particular to finish within twelve months.</w:t>
      </w:r>
    </w:p>
    <w:p>
      <w:pPr>
        <w:spacing w:after="120" w:line="264"/>
        <w:jc w:val="both"/>
      </w:pPr>
      <w:r>
        <w:t xml:space="preserve">Two Explanations govern this. The </w:t>
      </w:r>
      <w:r>
        <w:rPr>
          <w:b/>
          <w:bCs/>
        </w:rPr>
        <w:t xml:space="preserve">Fifth Schedule</w:t>
      </w:r>
      <w:r>
        <w:t xml:space="preserve"> guides the assessment of justifiable doubts. The </w:t>
      </w:r>
      <w:r>
        <w:rPr>
          <w:b/>
          <w:bCs/>
        </w:rPr>
        <w:t xml:space="preserve">Sixth Schedule</w:t>
      </w:r>
      <w:r>
        <w:t xml:space="preserve"> prescribes the form of disclosure.</w:t>
      </w:r>
    </w:p>
    <w:p>
      <w:pPr>
        <w:spacing w:after="120" w:line="264"/>
        <w:jc w:val="both"/>
      </w:pPr>
      <w:r>
        <w:rPr>
          <w:b/>
          <w:bCs/>
        </w:rPr>
        <w:t xml:space="preserve">Section 12(2).</w:t>
      </w:r>
      <w:r>
        <w:t xml:space="preserve"> The duty continues from appointment and throughout the proceedings, without delay.</w:t>
      </w:r>
    </w:p>
    <w:p>
      <w:pPr>
        <w:spacing w:after="120" w:line="264"/>
        <w:jc w:val="both"/>
      </w:pPr>
      <w:r>
        <w:rPr>
          <w:b/>
          <w:bCs/>
        </w:rPr>
        <w:t xml:space="preserve">Section 12(3) — grounds.</w:t>
      </w:r>
      <w:r>
        <w:t xml:space="preserve"> An arbitrator may be challenged </w:t>
      </w:r>
      <w:r>
        <w:rPr>
          <w:b/>
          <w:bCs/>
        </w:rPr>
        <w:t xml:space="preserve">only</w:t>
      </w:r>
      <w:r>
        <w:t xml:space="preserve"> if —</w:t>
      </w:r>
    </w:p>
    <w:p>
      <w:pPr>
        <w:pStyle w:val="ListParagraph"/>
        <w:numPr>
          <w:ilvl w:val="0"/>
          <w:numId w:val="14"/>
        </w:numPr>
        <w:spacing w:after="70" w:line="264"/>
        <w:jc w:val="both"/>
      </w:pPr>
      <w:r>
        <w:t xml:space="preserve">circumstances exist giving rise to </w:t>
      </w:r>
      <w:r>
        <w:rPr>
          <w:b/>
          <w:bCs/>
        </w:rPr>
        <w:t xml:space="preserve">justifiable doubts</w:t>
      </w:r>
      <w:r>
        <w:t xml:space="preserve"> as to his independence or impartiality; or</w:t>
      </w:r>
    </w:p>
    <w:p>
      <w:pPr>
        <w:pStyle w:val="ListParagraph"/>
        <w:numPr>
          <w:ilvl w:val="0"/>
          <w:numId w:val="14"/>
        </w:numPr>
        <w:spacing w:after="70" w:line="264"/>
        <w:jc w:val="both"/>
      </w:pPr>
      <w:r>
        <w:t xml:space="preserve">he </w:t>
      </w:r>
      <w:r>
        <w:rPr>
          <w:b/>
          <w:bCs/>
        </w:rPr>
        <w:t xml:space="preserve">lacks the qualifications</w:t>
      </w:r>
      <w:r>
        <w:t xml:space="preserve"> agreed by the parties.</w:t>
      </w:r>
    </w:p>
    <w:p>
      <w:pPr>
        <w:spacing w:after="120" w:line="264"/>
        <w:jc w:val="both"/>
      </w:pPr>
      <w:r>
        <w:t xml:space="preserve">The word “only” confines the grounds, so sub-section (3) is a </w:t>
      </w:r>
      <w:r>
        <w:rPr>
          <w:b/>
          <w:bCs/>
        </w:rPr>
        <w:t xml:space="preserve">filtering mechanism</w:t>
      </w:r>
      <w:r>
        <w:t xml:space="preserve"> against frivolous objections. The justifiable-doubts standard comes from the UNCITRAL Model Law.</w:t>
      </w:r>
    </w:p>
    <w:p>
      <w:pPr>
        <w:spacing w:after="120" w:line="264"/>
        <w:jc w:val="both"/>
      </w:pPr>
      <w:r>
        <w:rPr>
          <w:b/>
          <w:bCs/>
        </w:rPr>
        <w:t xml:space="preserve">Section 12(4).</w:t>
      </w:r>
      <w:r>
        <w:t xml:space="preserve"> A party may challenge its </w:t>
      </w:r>
      <w:r>
        <w:rPr>
          <w:b/>
          <w:bCs/>
        </w:rPr>
        <w:t xml:space="preserve">own</w:t>
      </w:r>
      <w:r>
        <w:t xml:space="preserve"> appointee only for reasons discovered </w:t>
      </w:r>
      <w:r>
        <w:rPr>
          <w:b/>
          <w:bCs/>
        </w:rPr>
        <w:t xml:space="preserve">after</w:t>
      </w:r>
      <w:r>
        <w:t xml:space="preserve"> the appointment. It cannot appoint knowing of a disqualifying circumstance and rely on it later.</w:t>
      </w:r>
    </w:p>
    <w:p>
      <w:pPr>
        <w:spacing w:after="120" w:line="264"/>
        <w:jc w:val="both"/>
      </w:pPr>
      <w:r>
        <w:rPr>
          <w:b/>
          <w:bCs/>
        </w:rPr>
        <w:t xml:space="preserve">Section 12(5) — ineligibility.</w:t>
      </w:r>
    </w:p>
    <w:p>
      <w:pPr>
        <w:spacing w:after="110" w:before="70" w:line="250"/>
        <w:ind w:left="460" w:right="259"/>
        <w:jc w:val="both"/>
      </w:pPr>
      <w:r>
        <w:rPr>
          <w:sz w:val="19"/>
          <w:szCs w:val="19"/>
        </w:rPr>
        <w:t xml:space="preserve">Notwithstanding any prior agreement to the contrary, any person whose relationship, with the parties or counsel or the subject-matter of the dispute, falls under any of the categories specified in the </w:t>
      </w:r>
      <w:r>
        <w:rPr>
          <w:b/>
          <w:bCs/>
          <w:sz w:val="19"/>
          <w:szCs w:val="19"/>
        </w:rPr>
        <w:t xml:space="preserve">Seventh Schedule</w:t>
      </w:r>
      <w:r>
        <w:rPr>
          <w:sz w:val="19"/>
          <w:szCs w:val="19"/>
        </w:rPr>
        <w:t xml:space="preserve"> shall be </w:t>
      </w:r>
      <w:r>
        <w:rPr>
          <w:b/>
          <w:bCs/>
          <w:sz w:val="19"/>
          <w:szCs w:val="19"/>
        </w:rPr>
        <w:t xml:space="preserve">ineligible</w:t>
      </w:r>
      <w:r>
        <w:rPr>
          <w:sz w:val="19"/>
          <w:szCs w:val="19"/>
        </w:rPr>
        <w:t xml:space="preserve"> to be appointed as an arbitrator: Provided that parties may, subsequent to disputes having arisen between them, waive the applicability of this sub-section by an </w:t>
      </w:r>
      <w:r>
        <w:rPr>
          <w:b/>
          <w:bCs/>
          <w:sz w:val="19"/>
          <w:szCs w:val="19"/>
        </w:rPr>
        <w:t xml:space="preserve">express agreement in writing</w:t>
      </w:r>
      <w:r>
        <w:rPr>
          <w:sz w:val="19"/>
          <w:szCs w:val="19"/>
        </w:rPr>
        <w:t xml:space="preserve">.</w:t>
      </w:r>
    </w:p>
    <w:p>
      <w:pPr>
        <w:pStyle w:val="Heading3"/>
        <w:keepNext/>
        <w:spacing w:after="80" w:before="180"/>
      </w:pPr>
      <w:r>
        <w:t xml:space="preserve">Section 12(3) and 12(5) distinguished</w:t>
      </w:r>
    </w:p>
    <w:p>
      <w:pPr>
        <w:spacing w:after="120" w:line="264"/>
        <w:jc w:val="both"/>
      </w:pPr>
      <w:r>
        <w:t xml:space="preserve">This distinction is fundamental. </w:t>
      </w:r>
      <w:r>
        <w:rPr>
          <w:b/>
          <w:bCs/>
        </w:rPr>
        <w:t xml:space="preserve">Sub-section (3)</w:t>
      </w:r>
      <w:r>
        <w:t xml:space="preserve"> creates a ground of </w:t>
      </w:r>
      <w:r>
        <w:rPr>
          <w:b/>
          <w:bCs/>
        </w:rPr>
        <w:t xml:space="preserve">challenge</w:t>
      </w:r>
      <w:r>
        <w:t xml:space="preserve">, decided under section 13. </w:t>
      </w:r>
      <w:r>
        <w:rPr>
          <w:b/>
          <w:bCs/>
        </w:rPr>
        <w:t xml:space="preserve">Sub-section (5)</w:t>
      </w:r>
      <w:r>
        <w:t xml:space="preserve"> creates an </w:t>
      </w:r>
      <w:r>
        <w:rPr>
          <w:b/>
          <w:bCs/>
        </w:rPr>
        <w:t xml:space="preserve">ineligibility</w:t>
      </w:r>
      <w:r>
        <w:t xml:space="preserve"> operating in law, and its non obstante clause overrides any prior agreement, including the very contractual clause that named him. </w:t>
      </w:r>
      <w:r>
        <w:rPr>
          <w:b/>
          <w:bCs/>
          <w:shd w:fill="FFF2CC" w:color="auto" w:val="clear"/>
        </w:rPr>
        <w:t xml:space="preserve">It can be waived only by an express agreement in writing made after the dispute has arisen; conduct, participation and silence will not do.</w:t>
      </w:r>
    </w:p>
    <w:p>
      <w:pPr>
        <w:pStyle w:val="Heading3"/>
        <w:keepNext/>
        <w:spacing w:after="80" w:before="180"/>
      </w:pPr>
      <w:r>
        <w:t xml:space="preserve">The IBA traffic-light system</w:t>
      </w:r>
    </w:p>
    <w:p>
      <w:pPr>
        <w:spacing w:after="120" w:line="264"/>
        <w:jc w:val="both"/>
      </w:pPr>
      <w:r>
        <w:t xml:space="preserve">The Fifth and Seventh Schedules draw on the IBA Guidelines on Conflicts of Interest in International Arbitration, which sort situations into three lists.</w:t>
      </w:r>
    </w:p>
    <w:p>
      <w:pPr>
        <w:pStyle w:val="ListParagraph"/>
        <w:numPr>
          <w:ilvl w:val="0"/>
          <w:numId w:val="15"/>
        </w:numPr>
        <w:spacing w:after="70" w:line="264"/>
        <w:jc w:val="both"/>
      </w:pPr>
      <w:r>
        <w:rPr>
          <w:b/>
          <w:bCs/>
        </w:rPr>
        <w:t xml:space="preserve">Green list</w:t>
      </w:r>
      <w:r>
        <w:t xml:space="preserve"> — no conflict, no disclosure needed. Example: a mere social or professional acquaintance with counsel.</w:t>
      </w:r>
    </w:p>
    <w:p>
      <w:pPr>
        <w:pStyle w:val="ListParagraph"/>
        <w:numPr>
          <w:ilvl w:val="0"/>
          <w:numId w:val="15"/>
        </w:numPr>
        <w:spacing w:after="70" w:line="264"/>
        <w:jc w:val="both"/>
      </w:pPr>
      <w:r>
        <w:rPr>
          <w:b/>
          <w:bCs/>
        </w:rPr>
        <w:t xml:space="preserve">Orange list</w:t>
      </w:r>
      <w:r>
        <w:t xml:space="preserve"> — may raise doubts without showing partiality. Disclosure required, and the arbitrator may serve unless a party objects. Example: having sat in a related case.</w:t>
      </w:r>
    </w:p>
    <w:p>
      <w:pPr>
        <w:pStyle w:val="ListParagraph"/>
        <w:numPr>
          <w:ilvl w:val="0"/>
          <w:numId w:val="15"/>
        </w:numPr>
        <w:spacing w:after="70" w:line="264"/>
        <w:jc w:val="both"/>
      </w:pPr>
      <w:r>
        <w:rPr>
          <w:b/>
          <w:bCs/>
        </w:rPr>
        <w:t xml:space="preserve">Red list</w:t>
      </w:r>
      <w:r>
        <w:t xml:space="preserve"> — serious doubts, divided into </w:t>
      </w:r>
      <w:r>
        <w:rPr>
          <w:b/>
          <w:bCs/>
        </w:rPr>
        <w:t xml:space="preserve">waivable</w:t>
      </w:r>
      <w:r>
        <w:t xml:space="preserve"> and </w:t>
      </w:r>
      <w:r>
        <w:rPr>
          <w:b/>
          <w:bCs/>
        </w:rPr>
        <w:t xml:space="preserve">non-waivable</w:t>
      </w:r>
      <w:r>
        <w:t xml:space="preserve">. Example: a close family relationship with a party is waivable if the parties agree.</w:t>
      </w:r>
    </w:p>
    <w:p>
      <w:pPr>
        <w:spacing w:after="120" w:line="264"/>
        <w:jc w:val="both"/>
      </w:pPr>
      <w:r>
        <w:rPr>
          <w:b/>
          <w:bCs/>
        </w:rPr>
        <w:t xml:space="preserve">Caution.</w:t>
      </w:r>
      <w:r>
        <w:t xml:space="preserve"> The Guidelines are guidance, not enacted law. The Act's </w:t>
      </w:r>
      <w:r>
        <w:rPr>
          <w:b/>
          <w:bCs/>
        </w:rPr>
        <w:t xml:space="preserve">Seventh Schedule is a single list</w:t>
      </w:r>
      <w:r>
        <w:t xml:space="preserve"> of disqualifying relationships, and the only waiver the Act permits is the express written waiver under the proviso to section 12(5). The Guidelines were updated in 2024.</w:t>
      </w:r>
    </w:p>
    <w:p>
      <w:pPr>
        <w:pStyle w:val="Heading2"/>
        <w:keepNext/>
        <w:spacing w:after="100" w:before="250"/>
      </w:pPr>
      <w:r>
        <w:t xml:space="preserve">Section 13: the challenge procedure</w:t>
      </w:r>
    </w:p>
    <w:p>
      <w:pPr>
        <w:pStyle w:val="ListParagraph"/>
        <w:numPr>
          <w:ilvl w:val="0"/>
          <w:numId w:val="16"/>
        </w:numPr>
        <w:spacing w:after="70" w:line="264"/>
        <w:jc w:val="both"/>
      </w:pPr>
      <w:r>
        <w:rPr>
          <w:b/>
          <w:bCs/>
        </w:rPr>
        <w:t xml:space="preserve">(1)</w:t>
      </w:r>
      <w:r>
        <w:t xml:space="preserve"> Subject to (4), the parties are free to agree a challenge procedure.</w:t>
      </w:r>
    </w:p>
    <w:p>
      <w:pPr>
        <w:pStyle w:val="ListParagraph"/>
        <w:numPr>
          <w:ilvl w:val="0"/>
          <w:numId w:val="16"/>
        </w:numPr>
        <w:spacing w:after="70" w:line="264"/>
        <w:jc w:val="both"/>
      </w:pPr>
      <w:r>
        <w:rPr>
          <w:b/>
          <w:bCs/>
        </w:rPr>
        <w:t xml:space="preserve">(2)</w:t>
      </w:r>
      <w:r>
        <w:t xml:space="preserve"> Failing agreement, the challenging party must, within </w:t>
      </w:r>
      <w:r>
        <w:rPr>
          <w:b/>
          <w:bCs/>
          <w:shd w:fill="FFF2CC" w:color="auto" w:val="clear"/>
        </w:rPr>
        <w:t xml:space="preserve">fifteen days</w:t>
      </w:r>
      <w:r>
        <w:t xml:space="preserve"> of becoming aware of the constitution of the tribunal or of any circumstance in section 12(3), send a </w:t>
      </w:r>
      <w:r>
        <w:rPr>
          <w:b/>
          <w:bCs/>
        </w:rPr>
        <w:t xml:space="preserve">written statement of reasons to the tribunal</w:t>
      </w:r>
      <w:r>
        <w:t xml:space="preserve">.</w:t>
      </w:r>
    </w:p>
    <w:p>
      <w:pPr>
        <w:pStyle w:val="ListParagraph"/>
        <w:numPr>
          <w:ilvl w:val="0"/>
          <w:numId w:val="16"/>
        </w:numPr>
        <w:spacing w:after="70" w:line="264"/>
        <w:jc w:val="both"/>
      </w:pPr>
      <w:r>
        <w:rPr>
          <w:b/>
          <w:bCs/>
        </w:rPr>
        <w:t xml:space="preserve">(3)</w:t>
      </w:r>
      <w:r>
        <w:t xml:space="preserve"> Unless the arbitrator withdraws or the other party agrees to the challenge, </w:t>
      </w:r>
      <w:r>
        <w:rPr>
          <w:b/>
          <w:bCs/>
          <w:shd w:fill="FFF2CC" w:color="auto" w:val="clear"/>
        </w:rPr>
        <w:t xml:space="preserve">the tribunal itself decides it.</w:t>
      </w:r>
    </w:p>
    <w:p>
      <w:pPr>
        <w:pStyle w:val="ListParagraph"/>
        <w:numPr>
          <w:ilvl w:val="0"/>
          <w:numId w:val="16"/>
        </w:numPr>
        <w:spacing w:after="70" w:line="264"/>
        <w:jc w:val="both"/>
      </w:pPr>
      <w:r>
        <w:rPr>
          <w:b/>
          <w:bCs/>
        </w:rPr>
        <w:t xml:space="preserve">(4)</w:t>
      </w:r>
      <w:r>
        <w:t xml:space="preserve"> If the challenge fails, the tribunal </w:t>
      </w:r>
      <w:r>
        <w:rPr>
          <w:b/>
          <w:bCs/>
        </w:rPr>
        <w:t xml:space="preserve">continues</w:t>
      </w:r>
      <w:r>
        <w:t xml:space="preserve"> and makes an award.</w:t>
      </w:r>
    </w:p>
    <w:p>
      <w:pPr>
        <w:pStyle w:val="ListParagraph"/>
        <w:numPr>
          <w:ilvl w:val="0"/>
          <w:numId w:val="16"/>
        </w:numPr>
        <w:spacing w:after="70" w:line="264"/>
        <w:jc w:val="both"/>
      </w:pPr>
      <w:r>
        <w:rPr>
          <w:b/>
          <w:bCs/>
        </w:rPr>
        <w:t xml:space="preserve">(5)</w:t>
      </w:r>
      <w:r>
        <w:t xml:space="preserve"> The challenging party may then apply to set that award aside under </w:t>
      </w:r>
      <w:r>
        <w:rPr>
          <w:b/>
          <w:bCs/>
        </w:rPr>
        <w:t xml:space="preserve">section 34</w:t>
      </w:r>
      <w:r>
        <w:t xml:space="preserve">.</w:t>
      </w:r>
    </w:p>
    <w:p>
      <w:pPr>
        <w:pStyle w:val="ListParagraph"/>
        <w:numPr>
          <w:ilvl w:val="0"/>
          <w:numId w:val="16"/>
        </w:numPr>
        <w:spacing w:after="70" w:line="264"/>
        <w:jc w:val="both"/>
      </w:pPr>
      <w:r>
        <w:rPr>
          <w:b/>
          <w:bCs/>
        </w:rPr>
        <w:t xml:space="preserve">(6)</w:t>
      </w:r>
      <w:r>
        <w:t xml:space="preserve"> If the award is set aside, the court may decide whether the challenged arbitrator is entitled to any fees.</w:t>
      </w:r>
    </w:p>
    <w:p>
      <w:pPr>
        <w:spacing w:after="120" w:line="264"/>
        <w:jc w:val="both"/>
      </w:pPr>
      <w:r>
        <w:rPr>
          <w:b/>
          <w:bCs/>
        </w:rPr>
        <w:t xml:space="preserve">The scheme is deliberately anti-dilatory.</w:t>
      </w:r>
      <w:r>
        <w:t xml:space="preserve"> A failed challenge does not halt the arbitration, so a challenge cannot be used to stop an arbitration a party expects to lose. Note that the tribunal decides a challenge to its own member — unusual, but tolerated because the safeguard is section 34. The challenged arbitrator must be given an opportunity to comment, as natural justice requires.</w:t>
      </w:r>
    </w:p>
    <w:p>
      <w:pPr>
        <w:pStyle w:val="Heading2"/>
        <w:keepNext/>
        <w:spacing w:after="100" w:before="250"/>
      </w:pPr>
      <w:r>
        <w:t xml:space="preserve">The standard applied: the Chagos challenge</w:t>
      </w:r>
    </w:p>
    <w:p>
      <w:pPr>
        <w:keepNext/>
        <w:spacing w:after="60" w:before="150"/>
      </w:pPr>
      <w:r>
        <w:rPr>
          <w:b/>
          <w:bCs/>
          <w:i/>
          <w:iCs/>
          <w:sz w:val="21"/>
          <w:szCs w:val="21"/>
        </w:rPr>
        <w:t xml:space="preserve">Chagos Marine Protected Area Arbitration (Mauritius v. United Kingdom) — Reasoned Decision on Challenge</w:t>
      </w:r>
      <w:r>
        <w:rPr>
          <w:sz w:val="19"/>
          <w:szCs w:val="19"/>
        </w:rPr>
        <w:t xml:space="preserve">, PCA Case No. 2011-03 (UNCLOS Annex VII); decision on the challenge to Judge Sir Christopher Greenwood, 30 November 2011</w:t>
      </w:r>
    </w:p>
    <w:p>
      <w:pPr>
        <w:spacing w:after="60" w:line="258"/>
        <w:ind w:left="230"/>
        <w:jc w:val="both"/>
      </w:pPr>
      <w:r>
        <w:rPr>
          <w:b/>
          <w:bCs/>
          <w:sz w:val="20"/>
          <w:szCs w:val="20"/>
        </w:rPr>
        <w:t xml:space="preserve">Facts. </w:t>
      </w:r>
      <w:r>
        <w:rPr>
          <w:sz w:val="20"/>
          <w:szCs w:val="20"/>
        </w:rPr>
        <w:t xml:space="preserve">Mauritius began arbitration over the United Kingdom's Marine Protected Area around the Chagos Archipelago. The United Kingdom nominated Judge Greenwood. Mauritius challenged the appointment, pointing to his long and close working relationship with the United Kingdom Government, his advice on sensitive questions of international law, and his participation in selecting the new Foreign and Commonwealth Office legal adviser after his appointment to the tribunal.</w:t>
      </w:r>
    </w:p>
    <w:p>
      <w:pPr>
        <w:spacing w:after="60" w:line="258"/>
        <w:ind w:left="230"/>
        <w:jc w:val="both"/>
      </w:pPr>
      <w:r>
        <w:rPr>
          <w:b/>
          <w:bCs/>
          <w:sz w:val="20"/>
          <w:szCs w:val="20"/>
        </w:rPr>
        <w:t xml:space="preserve">Decision. </w:t>
      </w:r>
      <w:r>
        <w:rPr>
          <w:sz w:val="20"/>
          <w:szCs w:val="20"/>
        </w:rPr>
        <w:t xml:space="preserve">The challenge was </w:t>
      </w:r>
      <w:r>
        <w:rPr>
          <w:b/>
          <w:bCs/>
          <w:sz w:val="20"/>
          <w:szCs w:val="20"/>
        </w:rPr>
        <w:t xml:space="preserve">dismissed</w:t>
      </w:r>
      <w:r>
        <w:rPr>
          <w:sz w:val="20"/>
          <w:szCs w:val="20"/>
        </w:rPr>
        <w:t xml:space="preserve">.</w:t>
      </w:r>
    </w:p>
    <w:p>
      <w:pPr>
        <w:spacing w:after="60" w:line="258"/>
        <w:ind w:left="230"/>
        <w:jc w:val="both"/>
      </w:pPr>
      <w:r>
        <w:rPr>
          <w:b/>
          <w:bCs/>
          <w:sz w:val="20"/>
          <w:szCs w:val="20"/>
        </w:rPr>
        <w:t xml:space="preserve">Principle. </w:t>
      </w:r>
      <w:r>
        <w:rPr>
          <w:sz w:val="20"/>
          <w:szCs w:val="20"/>
        </w:rPr>
        <w:t xml:space="preserve">Mauritius alleged no actual bias; its case was that the relationship was incompatible with an </w:t>
      </w:r>
      <w:r>
        <w:rPr>
          <w:b/>
          <w:bCs/>
          <w:sz w:val="20"/>
          <w:szCs w:val="20"/>
        </w:rPr>
        <w:t xml:space="preserve">appearance-of-bias</w:t>
      </w:r>
      <w:r>
        <w:rPr>
          <w:sz w:val="20"/>
          <w:szCs w:val="20"/>
        </w:rPr>
        <w:t xml:space="preserve"> standard as codified in the IBA Guidelines. The United Kingdom argued that the real test is </w:t>
      </w:r>
      <w:r>
        <w:rPr>
          <w:b/>
          <w:bCs/>
          <w:sz w:val="20"/>
          <w:szCs w:val="20"/>
        </w:rPr>
        <w:t xml:space="preserve">prior involvement in the subject matter</w:t>
      </w:r>
      <w:r>
        <w:rPr>
          <w:sz w:val="20"/>
          <w:szCs w:val="20"/>
        </w:rPr>
        <w:t xml:space="preserve">, as in the practice of the ICJ and ITLOS. Judge Greenwood denied involvement with the Statement of Claim issues or the Chagos Islands, and noted he had also appeared </w:t>
      </w:r>
      <w:r>
        <w:rPr>
          <w:b/>
          <w:bCs/>
          <w:sz w:val="20"/>
          <w:szCs w:val="20"/>
        </w:rPr>
        <w:t xml:space="preserve">against</w:t>
      </w:r>
      <w:r>
        <w:rPr>
          <w:sz w:val="20"/>
          <w:szCs w:val="20"/>
        </w:rPr>
        <w:t xml:space="preserve"> the United Kingdom and advised more than twenty other States. The tribunal held the applicable standard to be that in </w:t>
      </w:r>
      <w:r>
        <w:rPr>
          <w:b/>
          <w:bCs/>
          <w:sz w:val="20"/>
          <w:szCs w:val="20"/>
        </w:rPr>
        <w:t xml:space="preserve">Article 10 of the PCA Optional Rules for Arbitrating Disputes between Two States</w:t>
      </w:r>
      <w:r>
        <w:rPr>
          <w:sz w:val="20"/>
          <w:szCs w:val="20"/>
        </w:rPr>
        <w:t xml:space="preserve"> — challenge lies where circumstances give rise to </w:t>
      </w:r>
      <w:r>
        <w:rPr>
          <w:b/>
          <w:bCs/>
          <w:sz w:val="20"/>
          <w:szCs w:val="20"/>
          <w:shd w:fill="FFF2CC" w:color="auto" w:val="clear"/>
        </w:rPr>
        <w:t xml:space="preserve">justifiable doubts</w:t>
      </w:r>
      <w:r>
        <w:rPr>
          <w:sz w:val="20"/>
          <w:szCs w:val="20"/>
        </w:rPr>
        <w:t xml:space="preserve"> as to impartiality or independence. Applied, his prior engagements raised no such doubts.</w:t>
      </w:r>
    </w:p>
    <w:p>
      <w:pPr>
        <w:spacing w:after="60" w:line="258"/>
        <w:ind w:left="230"/>
        <w:jc w:val="both"/>
      </w:pPr>
      <w:r>
        <w:rPr>
          <w:b/>
          <w:bCs/>
          <w:sz w:val="20"/>
          <w:szCs w:val="20"/>
        </w:rPr>
        <w:t xml:space="preserve">Status. </w:t>
      </w:r>
      <w:r>
        <w:rPr>
          <w:sz w:val="20"/>
          <w:szCs w:val="20"/>
        </w:rPr>
        <w:t xml:space="preserve">Persuasive on the content of the standard, not binding in India, where section 12 and the Schedules govern. </w:t>
      </w:r>
      <w:r>
        <w:rPr>
          <w:b/>
          <w:bCs/>
          <w:sz w:val="20"/>
          <w:szCs w:val="20"/>
        </w:rPr>
        <w:t xml:space="preserve">Three transferable points:</w:t>
      </w:r>
      <w:r>
        <w:rPr>
          <w:sz w:val="20"/>
          <w:szCs w:val="20"/>
        </w:rPr>
        <w:t xml:space="preserve"> the test is appearance, not actual bias; what proved decisive was </w:t>
      </w:r>
      <w:r>
        <w:rPr>
          <w:b/>
          <w:bCs/>
          <w:sz w:val="20"/>
          <w:szCs w:val="20"/>
        </w:rPr>
        <w:t xml:space="preserve">involvement in the subject matter of the dispute</w:t>
      </w:r>
      <w:r>
        <w:rPr>
          <w:sz w:val="20"/>
          <w:szCs w:val="20"/>
        </w:rPr>
        <w:t xml:space="preserve">; and the challenged arbitrator is heard on the challenge.</w:t>
      </w:r>
    </w:p>
    <w:p>
      <w:pPr>
        <w:pStyle w:val="Heading2"/>
        <w:keepNext/>
        <w:spacing w:after="100" w:before="250"/>
      </w:pPr>
      <w:r>
        <w:t xml:space="preserve">The departmental arbitrator</w:t>
      </w:r>
    </w:p>
    <w:p>
      <w:pPr>
        <w:spacing w:after="120" w:line="264"/>
        <w:jc w:val="both"/>
      </w:pPr>
      <w:r>
        <w:t xml:space="preserve">The most litigated use of section 12(5) concerns clauses by which a public sector undertaking or government department makes one of its own officers, or that officer's nominee, the arbitrator. The practice is long established in defence and railway contracts, on the view that departmental officers understand the technical subject matter, and </w:t>
      </w:r>
      <w:r>
        <w:rPr>
          <w:b/>
          <w:bCs/>
        </w:rPr>
        <w:t xml:space="preserve">it sits very uneasily with the requirement of independence</w:t>
      </w:r>
      <w:r>
        <w:t xml:space="preserve">.</w:t>
      </w:r>
    </w:p>
    <w:p>
      <w:pPr>
        <w:keepNext/>
        <w:spacing w:after="60" w:before="150"/>
      </w:pPr>
      <w:r>
        <w:rPr>
          <w:b/>
          <w:bCs/>
          <w:i/>
          <w:iCs/>
          <w:sz w:val="21"/>
          <w:szCs w:val="21"/>
        </w:rPr>
        <w:t xml:space="preserve">Indian Oil Corporation Ltd. v. Raja Transport Pvt. Ltd.</w:t>
      </w:r>
      <w:r>
        <w:rPr>
          <w:sz w:val="19"/>
          <w:szCs w:val="19"/>
        </w:rPr>
        <w:t xml:space="preserve">, (2009) 8 SCC 520 (SC, 24 August 2009)</w:t>
      </w:r>
    </w:p>
    <w:p>
      <w:pPr>
        <w:spacing w:after="60" w:line="258"/>
        <w:ind w:left="230"/>
        <w:jc w:val="both"/>
      </w:pPr>
      <w:r>
        <w:rPr>
          <w:b/>
          <w:bCs/>
          <w:sz w:val="20"/>
          <w:szCs w:val="20"/>
        </w:rPr>
        <w:t xml:space="preserve">Facts. </w:t>
      </w:r>
      <w:r>
        <w:rPr>
          <w:sz w:val="20"/>
          <w:szCs w:val="20"/>
        </w:rPr>
        <w:t xml:space="preserve">The arbitration clause named a senior officer of one party as arbitrator, and the other party objected.</w:t>
      </w:r>
    </w:p>
    <w:p>
      <w:pPr>
        <w:spacing w:after="60" w:line="258"/>
        <w:ind w:left="230"/>
        <w:jc w:val="both"/>
      </w:pPr>
      <w:r>
        <w:rPr>
          <w:b/>
          <w:bCs/>
          <w:sz w:val="20"/>
          <w:szCs w:val="20"/>
        </w:rPr>
        <w:t xml:space="preserve">Decision. </w:t>
      </w:r>
      <w:r>
        <w:rPr>
          <w:sz w:val="20"/>
          <w:szCs w:val="20"/>
        </w:rPr>
        <w:t xml:space="preserve">An employee of a party is </w:t>
      </w:r>
      <w:r>
        <w:rPr>
          <w:b/>
          <w:bCs/>
          <w:sz w:val="20"/>
          <w:szCs w:val="20"/>
        </w:rPr>
        <w:t xml:space="preserve">not per se</w:t>
      </w:r>
      <w:r>
        <w:rPr>
          <w:sz w:val="20"/>
          <w:szCs w:val="20"/>
        </w:rPr>
        <w:t xml:space="preserve"> disqualified.</w:t>
      </w:r>
    </w:p>
    <w:p>
      <w:pPr>
        <w:spacing w:after="60" w:line="258"/>
        <w:ind w:left="230"/>
        <w:jc w:val="both"/>
      </w:pPr>
      <w:r>
        <w:rPr>
          <w:b/>
          <w:bCs/>
          <w:sz w:val="20"/>
          <w:szCs w:val="20"/>
        </w:rPr>
        <w:t xml:space="preserve">Principle. </w:t>
      </w:r>
      <w:r>
        <w:rPr>
          <w:sz w:val="20"/>
          <w:szCs w:val="20"/>
        </w:rPr>
        <w:t xml:space="preserve">Where the parties agreed that a named senior officer would arbitrate, he is presumed independent and impartial. The clause will be given effect unless a </w:t>
      </w:r>
      <w:r>
        <w:rPr>
          <w:b/>
          <w:bCs/>
          <w:sz w:val="20"/>
          <w:szCs w:val="20"/>
        </w:rPr>
        <w:t xml:space="preserve">reasonable apprehension of bias</w:t>
      </w:r>
      <w:r>
        <w:rPr>
          <w:sz w:val="20"/>
          <w:szCs w:val="20"/>
        </w:rPr>
        <w:t xml:space="preserve"> is made out on the facts; a bare allegation of employment is not enough.</w:t>
      </w:r>
    </w:p>
    <w:p>
      <w:pPr>
        <w:spacing w:after="60" w:line="258"/>
        <w:ind w:left="230"/>
        <w:jc w:val="both"/>
      </w:pPr>
      <w:r>
        <w:rPr>
          <w:b/>
          <w:bCs/>
          <w:sz w:val="20"/>
          <w:szCs w:val="20"/>
        </w:rPr>
        <w:t xml:space="preserve">Status. </w:t>
      </w:r>
      <w:r>
        <w:rPr>
          <w:b/>
          <w:bCs/>
          <w:sz w:val="20"/>
          <w:szCs w:val="20"/>
        </w:rPr>
        <w:t xml:space="preserve">Largely superseded.</w:t>
      </w:r>
      <w:r>
        <w:rPr>
          <w:sz w:val="20"/>
          <w:szCs w:val="20"/>
        </w:rPr>
        <w:t xml:space="preserve"> For arbitrations under the amended Act, section 12(5) with the Seventh Schedule, and </w:t>
      </w:r>
      <w:r>
        <w:rPr>
          <w:b/>
          <w:bCs/>
          <w:i/>
          <w:iCs/>
          <w:sz w:val="20"/>
          <w:szCs w:val="20"/>
        </w:rPr>
        <w:t xml:space="preserve">TRF</w:t>
      </w:r>
      <w:r>
        <w:rPr>
          <w:sz w:val="20"/>
          <w:szCs w:val="20"/>
        </w:rPr>
        <w:t xml:space="preserve"> and </w:t>
      </w:r>
      <w:r>
        <w:rPr>
          <w:b/>
          <w:bCs/>
          <w:i/>
          <w:iCs/>
          <w:sz w:val="20"/>
          <w:szCs w:val="20"/>
        </w:rPr>
        <w:t xml:space="preserve">Perkins Eastman</w:t>
      </w:r>
      <w:r>
        <w:rPr>
          <w:sz w:val="20"/>
          <w:szCs w:val="20"/>
        </w:rPr>
        <w:t xml:space="preserve">, have displaced this presumption. Cite it for the historical position only.</w:t>
      </w:r>
    </w:p>
    <w:p>
      <w:pPr>
        <w:keepNext/>
        <w:spacing w:after="60" w:before="150"/>
      </w:pPr>
      <w:r>
        <w:rPr>
          <w:b/>
          <w:bCs/>
          <w:i/>
          <w:iCs/>
          <w:sz w:val="21"/>
          <w:szCs w:val="21"/>
        </w:rPr>
        <w:t xml:space="preserve">Bharat Broadband Network Ltd. v. United Telecoms Ltd.</w:t>
      </w:r>
      <w:r>
        <w:rPr>
          <w:sz w:val="19"/>
          <w:szCs w:val="19"/>
        </w:rPr>
        <w:t xml:space="preserve">, (2019) 5 SCC 755; 2019 INSC 537 (SC, 16 April 2019, R.F. Nariman J.)</w:t>
      </w:r>
    </w:p>
    <w:p>
      <w:pPr>
        <w:spacing w:after="60" w:line="258"/>
        <w:ind w:left="230"/>
        <w:jc w:val="both"/>
      </w:pPr>
      <w:r>
        <w:rPr>
          <w:b/>
          <w:bCs/>
          <w:sz w:val="20"/>
          <w:szCs w:val="20"/>
        </w:rPr>
        <w:t xml:space="preserve">Facts. </w:t>
      </w:r>
      <w:r>
        <w:rPr>
          <w:sz w:val="20"/>
          <w:szCs w:val="20"/>
        </w:rPr>
        <w:t xml:space="preserve">The contract made the Chairman and Managing Director, or his nominee, sole arbitrator, and the CMD appointed one K.H. Khan. Item 5 of the Seventh Schedule covers an arbitrator who is part of the management of an affiliate of a party directly involved in the dispute. United Telecoms had filed its statement of claim without reservation.</w:t>
      </w:r>
    </w:p>
    <w:p>
      <w:pPr>
        <w:spacing w:after="60" w:line="258"/>
        <w:ind w:left="230"/>
        <w:jc w:val="both"/>
      </w:pPr>
      <w:r>
        <w:rPr>
          <w:b/>
          <w:bCs/>
          <w:sz w:val="20"/>
          <w:szCs w:val="20"/>
        </w:rPr>
        <w:t xml:space="preserve">Decision. </w:t>
      </w:r>
      <w:r>
        <w:rPr>
          <w:b/>
          <w:bCs/>
          <w:sz w:val="20"/>
          <w:szCs w:val="20"/>
          <w:shd w:fill="FFF2CC" w:color="auto" w:val="clear"/>
        </w:rPr>
        <w:t xml:space="preserve">The appointment was void and the mandate terminated.</w:t>
      </w:r>
    </w:p>
    <w:p>
      <w:pPr>
        <w:spacing w:after="60" w:line="258"/>
        <w:ind w:left="230"/>
        <w:jc w:val="both"/>
      </w:pPr>
      <w:r>
        <w:rPr>
          <w:b/>
          <w:bCs/>
          <w:sz w:val="20"/>
          <w:szCs w:val="20"/>
        </w:rPr>
        <w:t xml:space="preserve">Principle. </w:t>
      </w:r>
      <w:r>
        <w:rPr>
          <w:sz w:val="20"/>
          <w:szCs w:val="20"/>
        </w:rPr>
        <w:t xml:space="preserve">A person ineligible under section 12(5) is ineligible in law — </w:t>
      </w:r>
      <w:r>
        <w:rPr>
          <w:b/>
          <w:bCs/>
          <w:i/>
          <w:iCs/>
          <w:sz w:val="20"/>
          <w:szCs w:val="20"/>
        </w:rPr>
        <w:t xml:space="preserve">de jure</w:t>
      </w:r>
      <w:r>
        <w:rPr>
          <w:sz w:val="20"/>
          <w:szCs w:val="20"/>
        </w:rPr>
        <w:t xml:space="preserve"> — and cannot act. Applying </w:t>
      </w:r>
      <w:r>
        <w:rPr>
          <w:b/>
          <w:bCs/>
          <w:i/>
          <w:iCs/>
          <w:sz w:val="20"/>
          <w:szCs w:val="20"/>
        </w:rPr>
        <w:t xml:space="preserve">TRF</w:t>
      </w:r>
      <w:r>
        <w:rPr>
          <w:sz w:val="20"/>
          <w:szCs w:val="20"/>
        </w:rPr>
        <w:t xml:space="preserve">, </w:t>
      </w:r>
      <w:r>
        <w:rPr>
          <w:b/>
          <w:bCs/>
          <w:sz w:val="20"/>
          <w:szCs w:val="20"/>
        </w:rPr>
        <w:t xml:space="preserve">an ineligible person cannot appoint an arbitrator</w:t>
      </w:r>
      <w:r>
        <w:rPr>
          <w:sz w:val="20"/>
          <w:szCs w:val="20"/>
        </w:rPr>
        <w:t xml:space="preserve">, because he cannot delegate an authority he does not have. Ineligibility is waivable only by an </w:t>
      </w:r>
      <w:r>
        <w:rPr>
          <w:b/>
          <w:bCs/>
          <w:sz w:val="20"/>
          <w:szCs w:val="20"/>
        </w:rPr>
        <w:t xml:space="preserve">express agreement in writing</w:t>
      </w:r>
      <w:r>
        <w:rPr>
          <w:sz w:val="20"/>
          <w:szCs w:val="20"/>
        </w:rPr>
        <w:t xml:space="preserve"> after the dispute arises, and filing a claim without reservation is not such an agreement. Being de jure unable to act, the mandate stood terminated under </w:t>
      </w:r>
      <w:r>
        <w:rPr>
          <w:b/>
          <w:bCs/>
          <w:sz w:val="20"/>
          <w:szCs w:val="20"/>
        </w:rPr>
        <w:t xml:space="preserve">section 14</w:t>
      </w:r>
      <w:r>
        <w:rPr>
          <w:sz w:val="20"/>
          <w:szCs w:val="20"/>
        </w:rPr>
        <w:t xml:space="preserve">.</w:t>
      </w:r>
    </w:p>
    <w:p>
      <w:pPr>
        <w:spacing w:after="60" w:line="258"/>
        <w:ind w:left="230"/>
        <w:jc w:val="both"/>
      </w:pPr>
      <w:r>
        <w:rPr>
          <w:b/>
          <w:bCs/>
          <w:sz w:val="20"/>
          <w:szCs w:val="20"/>
        </w:rPr>
        <w:t xml:space="preserve">Status. </w:t>
      </w:r>
      <w:r>
        <w:rPr>
          <w:sz w:val="20"/>
          <w:szCs w:val="20"/>
        </w:rPr>
        <w:t xml:space="preserve">Good law. It links sections 12, 14 and 15: ineligibility produces de jure inability, terminating the mandate under section 14, whereupon a substitute is appointed under section 15(2).</w:t>
      </w:r>
    </w:p>
    <w:p>
      <w:pPr>
        <w:pStyle w:val="Heading2"/>
        <w:keepNext/>
        <w:spacing w:after="100" w:before="250"/>
      </w:pPr>
      <w:r>
        <w:t xml:space="preserve">Present position on unilateral appointment</w:t>
      </w:r>
    </w:p>
    <w:p>
      <w:pPr>
        <w:pStyle w:val="ListParagraph"/>
        <w:numPr>
          <w:ilvl w:val="0"/>
          <w:numId w:val="17"/>
        </w:numPr>
        <w:spacing w:after="70" w:line="264"/>
        <w:jc w:val="both"/>
      </w:pPr>
      <w:r>
        <w:rPr>
          <w:b/>
          <w:bCs/>
          <w:i/>
          <w:iCs/>
        </w:rPr>
        <w:t xml:space="preserve">TRF Ltd. v. Energo Engineering Projects Ltd.</w:t>
      </w:r>
      <w:r>
        <w:t xml:space="preserve">, (2017) 8 SCC 377 (3 Judges) — a person himself ineligible under section 12(5) </w:t>
      </w:r>
      <w:r>
        <w:rPr>
          <w:b/>
          <w:bCs/>
        </w:rPr>
        <w:t xml:space="preserve">cannot nominate</w:t>
      </w:r>
      <w:r>
        <w:t xml:space="preserve"> an arbitrator.</w:t>
      </w:r>
    </w:p>
    <w:p>
      <w:pPr>
        <w:pStyle w:val="ListParagraph"/>
        <w:numPr>
          <w:ilvl w:val="0"/>
          <w:numId w:val="17"/>
        </w:numPr>
        <w:spacing w:after="70" w:line="264"/>
        <w:jc w:val="both"/>
      </w:pPr>
      <w:r>
        <w:rPr>
          <w:b/>
          <w:bCs/>
          <w:i/>
          <w:iCs/>
        </w:rPr>
        <w:t xml:space="preserve">Perkins Eastman Architects DPC v. HSCC (India) Ltd.</w:t>
      </w:r>
      <w:r>
        <w:t xml:space="preserve">, (2020) 20 SCC 760; 2019 SCC OnLine SC 1517; AIR 2020 SC 59 (26 November 2019) — a party interested in the outcome </w:t>
      </w:r>
      <w:r>
        <w:rPr>
          <w:b/>
          <w:bCs/>
        </w:rPr>
        <w:t xml:space="preserve">cannot unilaterally appoint</w:t>
      </w:r>
      <w:r>
        <w:t xml:space="preserve"> the sole arbitrator. The interest that disqualifies a person from acting equally disqualifies him from choosing who acts.</w:t>
      </w:r>
    </w:p>
    <w:p>
      <w:pPr>
        <w:pStyle w:val="ListParagraph"/>
        <w:numPr>
          <w:ilvl w:val="0"/>
          <w:numId w:val="17"/>
        </w:numPr>
        <w:spacing w:after="70" w:line="264"/>
        <w:jc w:val="both"/>
      </w:pPr>
      <w:r>
        <w:rPr>
          <w:b/>
          <w:bCs/>
          <w:i/>
          <w:iCs/>
        </w:rPr>
        <w:t xml:space="preserve">Central Organisation for Railway Electrification v. ECI-SPIC-SMO-MCML (JV)</w:t>
      </w:r>
      <w:r>
        <w:t xml:space="preserve"> (CORE-II), 2024 INSC 857; 2024 SCC OnLine SC 3219 (Constitution Bench of 5, 8 November 2024) — </w:t>
      </w:r>
      <w:r>
        <w:rPr>
          <w:b/>
          <w:bCs/>
          <w:shd w:fill="FFF2CC" w:color="auto" w:val="clear"/>
        </w:rPr>
        <w:t xml:space="preserve">unilateral appointment clauses in public-private contracts violate Article 14 of the Constitution,</w:t>
      </w:r>
      <w:r>
        <w:t xml:space="preserve"> with prospective effect. CORE-I, (2020) 14 SCC 712, is overruled on the point.</w:t>
      </w:r>
    </w:p>
    <w:p>
      <w:pPr>
        <w:spacing w:after="120" w:line="264"/>
        <w:jc w:val="both"/>
      </w:pPr>
      <w:r>
        <w:rPr>
          <w:b/>
          <w:bCs/>
        </w:rPr>
        <w:t xml:space="preserve">Result. ==The departmental arbitrator, as traditionally practised, is no longer sustainable.==</w:t>
      </w:r>
      <w:r>
        <w:t xml:space="preserve"> A Seventh Schedule person is ineligible; an ineligible person cannot appoint; an interested party cannot unilaterally appoint a sole arbitrator; and in a public-private contract such a clause is unconstitutional.</w:t>
      </w:r>
    </w:p>
    <w:p>
      <w:pPr>
        <w:spacing w:after="120" w:line="264"/>
        <w:jc w:val="both"/>
      </w:pPr>
      <w:r>
        <w:rPr>
          <w:b/>
          <w:bCs/>
        </w:rPr>
        <w:t xml:space="preserve">Note.</w:t>
      </w:r>
      <w:r>
        <w:t xml:space="preserve"> The Seventh Schedule draws no distinction between governmental and private organisations. It speaks in terms of relationships and applies to both.</w:t>
      </w:r>
    </w:p>
    <w:p>
      <w:pPr>
        <w:pStyle w:val="Heading1"/>
        <w:keepNext/>
        <w:pBdr>
          <w:bottom w:val="single" w:color="1F3864" w:sz="6" w:space="4"/>
        </w:pBdr>
        <w:spacing w:after="160" w:before="420"/>
      </w:pPr>
      <w:r>
        <w:t xml:space="preserve">9.  Failure to Act, Termination and Substitution: Sections 14 and 15</w:t>
      </w:r>
    </w:p>
    <w:p>
      <w:pPr>
        <w:spacing w:after="120" w:line="264"/>
        <w:jc w:val="both"/>
      </w:pPr>
      <w:r>
        <w:t xml:space="preserve">An arbitrator who cannot do the job must be replaced. These two sections identify when the mandate ends and provide for a substitute, </w:t>
      </w:r>
      <w:r>
        <w:rPr>
          <w:b/>
          <w:bCs/>
        </w:rPr>
        <w:t xml:space="preserve">so that the arbitration continues instead of collapsing</w:t>
      </w:r>
      <w:r>
        <w:t xml:space="preserve">. Section 14 deals with inability and failure to act; section 15 covers the remaining modes of termination and the substitution machinery. They overlap and should be read together.</w:t>
      </w:r>
    </w:p>
    <w:p>
      <w:pPr>
        <w:pStyle w:val="Heading2"/>
        <w:keepNext/>
        <w:spacing w:after="100" w:before="250"/>
      </w:pPr>
      <w:r>
        <w:t xml:space="preserve">Section 14: failure or impossibility to act</w:t>
      </w:r>
    </w:p>
    <w:p>
      <w:pPr>
        <w:spacing w:after="120" w:line="264"/>
        <w:jc w:val="both"/>
      </w:pPr>
      <w:r>
        <w:t xml:space="preserve">Under </w:t>
      </w:r>
      <w:r>
        <w:rPr>
          <w:b/>
          <w:bCs/>
        </w:rPr>
        <w:t xml:space="preserve">section 14(1)</w:t>
      </w:r>
      <w:r>
        <w:t xml:space="preserve"> the mandate terminates, and the arbitrator is to be substituted, where —</w:t>
      </w:r>
    </w:p>
    <w:p>
      <w:pPr>
        <w:pStyle w:val="ListParagraph"/>
        <w:numPr>
          <w:ilvl w:val="0"/>
          <w:numId w:val="18"/>
        </w:numPr>
        <w:spacing w:after="70" w:line="264"/>
        <w:jc w:val="both"/>
      </w:pPr>
      <w:r>
        <w:t xml:space="preserve">he becomes </w:t>
      </w:r>
      <w:r>
        <w:rPr>
          <w:b/>
          <w:bCs/>
        </w:rPr>
        <w:t xml:space="preserve">de jure or de facto unable</w:t>
      </w:r>
      <w:r>
        <w:t xml:space="preserve"> to perform his functions, or for other reasons </w:t>
      </w:r>
      <w:r>
        <w:rPr>
          <w:b/>
          <w:bCs/>
        </w:rPr>
        <w:t xml:space="preserve">fails to act without undue delay</w:t>
      </w:r>
      <w:r>
        <w:t xml:space="preserve">; and</w:t>
      </w:r>
    </w:p>
    <w:p>
      <w:pPr>
        <w:pStyle w:val="ListParagraph"/>
        <w:numPr>
          <w:ilvl w:val="0"/>
          <w:numId w:val="18"/>
        </w:numPr>
        <w:spacing w:after="70" w:line="264"/>
        <w:jc w:val="both"/>
      </w:pPr>
      <w:r>
        <w:t xml:space="preserve">he </w:t>
      </w:r>
      <w:r>
        <w:rPr>
          <w:b/>
          <w:bCs/>
        </w:rPr>
        <w:t xml:space="preserve">withdraws from office</w:t>
      </w:r>
      <w:r>
        <w:t xml:space="preserve">, or </w:t>
      </w:r>
      <w:r>
        <w:rPr>
          <w:b/>
          <w:bCs/>
        </w:rPr>
        <w:t xml:space="preserve">the parties agree</w:t>
      </w:r>
      <w:r>
        <w:t xml:space="preserve"> to terminate his mandate.</w:t>
      </w:r>
    </w:p>
    <w:p>
      <w:pPr>
        <w:spacing w:after="120" w:line="264"/>
        <w:jc w:val="both"/>
      </w:pPr>
      <w:r>
        <w:t xml:space="preserve">The words “shall be substituted by another arbitrator” were added in 2015, making explicit what section 15(2) already implied: </w:t>
      </w:r>
      <w:r>
        <w:rPr>
          <w:b/>
          <w:bCs/>
        </w:rPr>
        <w:t xml:space="preserve">the object is replacement, not abandonment of the arbitration.</w:t>
      </w:r>
    </w:p>
    <w:p>
      <w:pPr>
        <w:pStyle w:val="Heading3"/>
        <w:keepNext/>
        <w:spacing w:after="80" w:before="180"/>
      </w:pPr>
      <w:r>
        <w:t xml:space="preserve">De jure and de facto inability</w:t>
      </w:r>
    </w:p>
    <w:p>
      <w:pPr>
        <w:spacing w:after="120" w:line="264"/>
        <w:jc w:val="both"/>
      </w:pPr>
      <w:r>
        <w:t xml:space="preserve">This distinction is frequently examined.</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2050"/>
        <w:gridCol w:w="6800"/>
      </w:tblGrid>
      <w:tr>
        <w:trPr>
          <w:tblHeader/>
        </w:trPr>
        <w:tc>
          <w:tcPr>
            <w:tcW w:type="dxa" w:w="2050"/>
            <w:tcMar>
              <w:top w:type="dxa" w:w="70"/>
              <w:left w:type="dxa" w:w="100"/>
              <w:bottom w:type="dxa" w:w="70"/>
              <w:right w:type="dxa" w:w="100"/>
            </w:tcMar>
          </w:tcPr>
          <w:p>
            <w:pPr>
              <w:spacing w:after="0" w:line="240"/>
            </w:pPr>
            <w:r>
              <w:rPr>
                <w:b/>
                <w:bCs/>
                <w:color w:val="1F3864"/>
                <w:sz w:val="18"/>
                <w:szCs w:val="18"/>
              </w:rPr>
              <w:t xml:space="preserve">Category</w:t>
            </w:r>
          </w:p>
        </w:tc>
        <w:tc>
          <w:tcPr>
            <w:tcW w:type="dxa" w:w="6800"/>
            <w:tcMar>
              <w:top w:type="dxa" w:w="70"/>
              <w:left w:type="dxa" w:w="100"/>
              <w:bottom w:type="dxa" w:w="70"/>
              <w:right w:type="dxa" w:w="100"/>
            </w:tcMar>
          </w:tcPr>
          <w:p>
            <w:pPr>
              <w:spacing w:after="0" w:line="240"/>
            </w:pPr>
            <w:r>
              <w:rPr>
                <w:b/>
                <w:bCs/>
                <w:color w:val="1F3864"/>
                <w:sz w:val="18"/>
                <w:szCs w:val="18"/>
              </w:rPr>
              <w:t xml:space="preserve">Meaning and illustrations</w:t>
            </w:r>
          </w:p>
        </w:tc>
      </w:tr>
      <w:tr>
        <w:tc>
          <w:tcPr>
            <w:tcW w:type="dxa" w:w="2050"/>
            <w:tcMar>
              <w:top w:type="dxa" w:w="70"/>
              <w:left w:type="dxa" w:w="100"/>
              <w:bottom w:type="dxa" w:w="70"/>
              <w:right w:type="dxa" w:w="100"/>
            </w:tcMar>
          </w:tcPr>
          <w:p>
            <w:pPr>
              <w:spacing w:after="0" w:line="240"/>
            </w:pPr>
            <w:r>
              <w:rPr>
                <w:b/>
                <w:bCs/>
                <w:sz w:val="18"/>
                <w:szCs w:val="18"/>
              </w:rPr>
              <w:t xml:space="preserve">De jure</w:t>
            </w:r>
            <w:r>
              <w:rPr>
                <w:sz w:val="18"/>
                <w:szCs w:val="18"/>
              </w:rPr>
              <w:t xml:space="preserve"> inability</w:t>
            </w:r>
          </w:p>
        </w:tc>
        <w:tc>
          <w:tcPr>
            <w:tcW w:type="dxa" w:w="6800"/>
            <w:tcMar>
              <w:top w:type="dxa" w:w="70"/>
              <w:left w:type="dxa" w:w="100"/>
              <w:bottom w:type="dxa" w:w="70"/>
              <w:right w:type="dxa" w:w="100"/>
            </w:tcMar>
          </w:tcPr>
          <w:p>
            <w:pPr>
              <w:spacing w:after="0" w:line="240"/>
            </w:pPr>
            <w:r>
              <w:rPr>
                <w:sz w:val="18"/>
                <w:szCs w:val="18"/>
              </w:rPr>
              <w:t xml:space="preserve">Disabled </w:t>
            </w:r>
            <w:r>
              <w:rPr>
                <w:b/>
                <w:bCs/>
                <w:sz w:val="18"/>
                <w:szCs w:val="18"/>
              </w:rPr>
              <w:t xml:space="preserve">in law</w:t>
            </w:r>
            <w:r>
              <w:rPr>
                <w:sz w:val="18"/>
                <w:szCs w:val="18"/>
              </w:rPr>
              <w:t xml:space="preserve">. His status, not his physical capacity, disqualifies him. The standard illustration is </w:t>
            </w:r>
            <w:r>
              <w:rPr>
                <w:b/>
                <w:bCs/>
                <w:sz w:val="18"/>
                <w:szCs w:val="18"/>
              </w:rPr>
              <w:t xml:space="preserve">insolvency</w:t>
            </w:r>
            <w:r>
              <w:rPr>
                <w:sz w:val="18"/>
                <w:szCs w:val="18"/>
              </w:rPr>
              <w:t xml:space="preserve">. The most important modern instance is </w:t>
            </w:r>
            <w:r>
              <w:rPr>
                <w:b/>
                <w:bCs/>
                <w:sz w:val="18"/>
                <w:szCs w:val="18"/>
                <w:shd w:fill="FFF2CC" w:color="auto" w:val="clear"/>
              </w:rPr>
              <w:t xml:space="preserve">section 12(5) ineligibility, which Bharat Broadband holds to be de jure inability,</w:t>
            </w:r>
            <w:r>
              <w:rPr>
                <w:sz w:val="18"/>
                <w:szCs w:val="18"/>
              </w:rPr>
              <w:t xml:space="preserve"> so the mandate terminates under section 14.</w:t>
            </w:r>
          </w:p>
        </w:tc>
      </w:tr>
      <w:tr>
        <w:tc>
          <w:tcPr>
            <w:tcW w:type="dxa" w:w="2050"/>
            <w:tcMar>
              <w:top w:type="dxa" w:w="70"/>
              <w:left w:type="dxa" w:w="100"/>
              <w:bottom w:type="dxa" w:w="70"/>
              <w:right w:type="dxa" w:w="100"/>
            </w:tcMar>
          </w:tcPr>
          <w:p>
            <w:pPr>
              <w:spacing w:after="0" w:line="240"/>
            </w:pPr>
            <w:r>
              <w:rPr>
                <w:b/>
                <w:bCs/>
                <w:sz w:val="18"/>
                <w:szCs w:val="18"/>
              </w:rPr>
              <w:t xml:space="preserve">De facto</w:t>
            </w:r>
            <w:r>
              <w:rPr>
                <w:sz w:val="18"/>
                <w:szCs w:val="18"/>
              </w:rPr>
              <w:t xml:space="preserve"> inability</w:t>
            </w:r>
          </w:p>
        </w:tc>
        <w:tc>
          <w:tcPr>
            <w:tcW w:type="dxa" w:w="6800"/>
            <w:tcMar>
              <w:top w:type="dxa" w:w="70"/>
              <w:left w:type="dxa" w:w="100"/>
              <w:bottom w:type="dxa" w:w="70"/>
              <w:right w:type="dxa" w:w="100"/>
            </w:tcMar>
          </w:tcPr>
          <w:p>
            <w:pPr>
              <w:spacing w:after="0" w:line="240"/>
            </w:pPr>
            <w:r>
              <w:rPr>
                <w:sz w:val="18"/>
                <w:szCs w:val="18"/>
              </w:rPr>
              <w:t xml:space="preserve">Disabled </w:t>
            </w:r>
            <w:r>
              <w:rPr>
                <w:b/>
                <w:bCs/>
                <w:sz w:val="18"/>
                <w:szCs w:val="18"/>
              </w:rPr>
              <w:t xml:space="preserve">in fact</w:t>
            </w:r>
            <w:r>
              <w:rPr>
                <w:sz w:val="18"/>
                <w:szCs w:val="18"/>
              </w:rPr>
              <w:t xml:space="preserve">, though still qualified in law — detention or arrest, serious illness, unsoundness of mind. The test is practical: can he summon and hear witnesses, read the documents, deliberate and decide?</w:t>
            </w:r>
          </w:p>
        </w:tc>
      </w:tr>
      <w:tr>
        <w:tc>
          <w:tcPr>
            <w:tcW w:type="dxa" w:w="2050"/>
            <w:tcMar>
              <w:top w:type="dxa" w:w="70"/>
              <w:left w:type="dxa" w:w="100"/>
              <w:bottom w:type="dxa" w:w="70"/>
              <w:right w:type="dxa" w:w="100"/>
            </w:tcMar>
          </w:tcPr>
          <w:p>
            <w:pPr>
              <w:spacing w:after="0" w:line="240"/>
            </w:pPr>
            <w:r>
              <w:rPr>
                <w:sz w:val="18"/>
                <w:szCs w:val="18"/>
              </w:rPr>
              <w:t xml:space="preserve">Failure to act without undue delay</w:t>
            </w:r>
          </w:p>
        </w:tc>
        <w:tc>
          <w:tcPr>
            <w:tcW w:type="dxa" w:w="6800"/>
            <w:tcMar>
              <w:top w:type="dxa" w:w="70"/>
              <w:left w:type="dxa" w:w="100"/>
              <w:bottom w:type="dxa" w:w="70"/>
              <w:right w:type="dxa" w:w="100"/>
            </w:tcMar>
          </w:tcPr>
          <w:p>
            <w:pPr>
              <w:spacing w:after="0" w:line="240"/>
            </w:pPr>
            <w:r>
              <w:rPr>
                <w:sz w:val="18"/>
                <w:szCs w:val="18"/>
              </w:rPr>
              <w:t xml:space="preserve">A separate limb. He is able to act but does not do so within a reasonable time. </w:t>
            </w:r>
            <w:r>
              <w:rPr>
                <w:b/>
                <w:bCs/>
                <w:sz w:val="18"/>
                <w:szCs w:val="18"/>
              </w:rPr>
              <w:t xml:space="preserve">A failure of performance, not an incapacity.</w:t>
            </w:r>
          </w:p>
        </w:tc>
      </w:tr>
    </w:tbl>
    <w:p>
      <w:pPr>
        <w:spacing w:after="120"/>
      </w:pPr>
      <w:r>
        <w:rPr>
          <w:sz w:val="10"/>
          <w:szCs w:val="10"/>
        </w:rPr>
        <w:t xml:space="preserve"/>
      </w:r>
    </w:p>
    <w:p>
      <w:pPr>
        <w:spacing w:after="120" w:line="264"/>
        <w:jc w:val="both"/>
      </w:pPr>
      <w:r>
        <w:rPr>
          <w:b/>
          <w:bCs/>
        </w:rPr>
        <w:t xml:space="preserve">Section 14(2).</w:t>
      </w:r>
      <w:r>
        <w:t xml:space="preserve"> If a controversy remains on any ground in clause (a), a party may, unless the parties agree otherwise, apply to </w:t>
      </w:r>
      <w:r>
        <w:rPr>
          <w:b/>
          <w:bCs/>
        </w:rPr>
        <w:t xml:space="preserve">the court</w:t>
      </w:r>
      <w:r>
        <w:t xml:space="preserve"> to decide on termination. This is one of the instances where Part I expressly permits court intervention, so it is consistent with section 5.</w:t>
      </w:r>
    </w:p>
    <w:p>
      <w:pPr>
        <w:spacing w:after="120" w:line="264"/>
        <w:jc w:val="both"/>
      </w:pPr>
      <w:r>
        <w:rPr>
          <w:b/>
          <w:bCs/>
        </w:rPr>
        <w:t xml:space="preserve">Section 14(3).</w:t>
      </w:r>
      <w:r>
        <w:t xml:space="preserve"> Withdrawal, or a party's agreement to termination, </w:t>
      </w:r>
      <w:r>
        <w:rPr>
          <w:b/>
          <w:bCs/>
          <w:shd w:fill="FFF2CC" w:color="auto" w:val="clear"/>
        </w:rPr>
        <w:t xml:space="preserve">does not imply acceptance of the validity of any ground</w:t>
      </w:r>
      <w:r>
        <w:t xml:space="preserve"> in section 14 or section 12(3). This removes the disincentive to a graceful exit: an arbitrator who resigns rather than fight a challenge has not conceded bias, and a party who consents has not conceded the ground.</w:t>
      </w:r>
    </w:p>
    <w:p>
      <w:pPr>
        <w:pStyle w:val="Heading2"/>
        <w:keepNext/>
        <w:spacing w:after="100" w:before="250"/>
      </w:pPr>
      <w:r>
        <w:t xml:space="preserve">Section 15: termination of mandate and substitution</w:t>
      </w:r>
    </w:p>
    <w:p>
      <w:pPr>
        <w:pStyle w:val="ListParagraph"/>
        <w:numPr>
          <w:ilvl w:val="0"/>
          <w:numId w:val="19"/>
        </w:numPr>
        <w:spacing w:after="70" w:line="264"/>
        <w:jc w:val="both"/>
      </w:pPr>
      <w:r>
        <w:rPr>
          <w:b/>
          <w:bCs/>
        </w:rPr>
        <w:t xml:space="preserve">(1)</w:t>
      </w:r>
      <w:r>
        <w:t xml:space="preserve"> In addition to the circumstances in section 13 or 14, the mandate terminates where the arbitrator withdraws for </w:t>
      </w:r>
      <w:r>
        <w:rPr>
          <w:b/>
          <w:bCs/>
        </w:rPr>
        <w:t xml:space="preserve">any</w:t>
      </w:r>
      <w:r>
        <w:t xml:space="preserve"> reason, or </w:t>
      </w:r>
      <w:r>
        <w:rPr>
          <w:b/>
          <w:bCs/>
        </w:rPr>
        <w:t xml:space="preserve">by agreement of the parties</w:t>
      </w:r>
      <w:r>
        <w:t xml:space="preserve">. The opening words show that sections 13, 14 and 15 are </w:t>
      </w:r>
      <w:r>
        <w:rPr>
          <w:b/>
          <w:bCs/>
        </w:rPr>
        <w:t xml:space="preserve">cumulative</w:t>
      </w:r>
      <w:r>
        <w:t xml:space="preserve">.</w:t>
      </w:r>
    </w:p>
    <w:p>
      <w:pPr>
        <w:pStyle w:val="ListParagraph"/>
        <w:numPr>
          <w:ilvl w:val="0"/>
          <w:numId w:val="19"/>
        </w:numPr>
        <w:spacing w:after="70" w:line="264"/>
        <w:jc w:val="both"/>
      </w:pPr>
      <w:r>
        <w:rPr>
          <w:b/>
          <w:bCs/>
        </w:rPr>
        <w:t xml:space="preserve">(2)</w:t>
      </w:r>
      <w:r>
        <w:t xml:space="preserve"> On termination, a substitute is appointed </w:t>
      </w:r>
      <w:r>
        <w:rPr>
          <w:b/>
          <w:bCs/>
          <w:shd w:fill="FFF2CC" w:color="auto" w:val="clear"/>
        </w:rPr>
        <w:t xml:space="preserve">according to the rules that applied to the appointment of the arbitrator being replaced.</w:t>
      </w:r>
      <w:r>
        <w:t xml:space="preserve"> This is why section 11 continues to matter after the tribunal is first constituted.</w:t>
      </w:r>
    </w:p>
    <w:p>
      <w:pPr>
        <w:pStyle w:val="ListParagraph"/>
        <w:numPr>
          <w:ilvl w:val="0"/>
          <w:numId w:val="19"/>
        </w:numPr>
        <w:spacing w:after="70" w:line="264"/>
        <w:jc w:val="both"/>
      </w:pPr>
      <w:r>
        <w:rPr>
          <w:b/>
          <w:bCs/>
        </w:rPr>
        <w:t xml:space="preserve">(3)</w:t>
      </w:r>
      <w:r>
        <w:t xml:space="preserve"> Unless otherwise agreed, previously held hearings </w:t>
      </w:r>
      <w:r>
        <w:rPr>
          <w:b/>
          <w:bCs/>
        </w:rPr>
        <w:t xml:space="preserve">may be repeated at the discretion of the tribunal</w:t>
      </w:r>
      <w:r>
        <w:t xml:space="preserve">. The discretion is the tribunal's, and is normally exercised where the reconstituted tribunal cannot fairly decide on the existing record — again, he who decides must hear.</w:t>
      </w:r>
    </w:p>
    <w:p>
      <w:pPr>
        <w:pStyle w:val="ListParagraph"/>
        <w:numPr>
          <w:ilvl w:val="0"/>
          <w:numId w:val="19"/>
        </w:numPr>
        <w:spacing w:after="70" w:line="264"/>
        <w:jc w:val="both"/>
      </w:pPr>
      <w:r>
        <w:rPr>
          <w:b/>
          <w:bCs/>
        </w:rPr>
        <w:t xml:space="preserve">(4)</w:t>
      </w:r>
      <w:r>
        <w:t xml:space="preserve"> Unless otherwise agreed, an order or ruling made before the replacement is </w:t>
      </w:r>
      <w:r>
        <w:rPr>
          <w:b/>
          <w:bCs/>
        </w:rPr>
        <w:t xml:space="preserve">not invalid solely</w:t>
      </w:r>
      <w:r>
        <w:t xml:space="preserve"> because the composition has changed. Without this, every substitution would unravel the interlocutory history.</w:t>
      </w:r>
    </w:p>
    <w:p>
      <w:pPr>
        <w:pStyle w:val="Heading2"/>
        <w:keepNext/>
        <w:spacing w:after="100" w:before="250"/>
      </w:pPr>
      <w:r>
        <w:t xml:space="preserve">Routes to termination, summarised</w:t>
      </w:r>
    </w:p>
    <w:p>
      <w:pPr>
        <w:pStyle w:val="ListParagraph"/>
        <w:numPr>
          <w:ilvl w:val="0"/>
          <w:numId w:val="20"/>
        </w:numPr>
        <w:spacing w:after="70" w:line="264"/>
        <w:jc w:val="both"/>
      </w:pPr>
      <w:r>
        <w:rPr>
          <w:b/>
          <w:bCs/>
        </w:rPr>
        <w:t xml:space="preserve">Successful challenge</w:t>
      </w:r>
      <w:r>
        <w:t xml:space="preserve"> for bias or want of qualification — sections 12 and 13, decided by the tribunal.</w:t>
      </w:r>
    </w:p>
    <w:p>
      <w:pPr>
        <w:pStyle w:val="ListParagraph"/>
        <w:numPr>
          <w:ilvl w:val="0"/>
          <w:numId w:val="20"/>
        </w:numPr>
        <w:spacing w:after="70" w:line="264"/>
        <w:jc w:val="both"/>
      </w:pPr>
      <w:r>
        <w:rPr>
          <w:b/>
          <w:bCs/>
        </w:rPr>
        <w:t xml:space="preserve">De jure or de facto inability, or failure to act without undue delay</w:t>
      </w:r>
      <w:r>
        <w:t xml:space="preserve"> — section 14(1)(a), with recourse to the court under section 14(2).</w:t>
      </w:r>
    </w:p>
    <w:p>
      <w:pPr>
        <w:pStyle w:val="ListParagraph"/>
        <w:numPr>
          <w:ilvl w:val="0"/>
          <w:numId w:val="20"/>
        </w:numPr>
        <w:spacing w:after="70" w:line="264"/>
        <w:jc w:val="both"/>
      </w:pPr>
      <w:r>
        <w:rPr>
          <w:b/>
          <w:bCs/>
        </w:rPr>
        <w:t xml:space="preserve">Withdrawal, or agreement of the parties</w:t>
      </w:r>
      <w:r>
        <w:t xml:space="preserve"> — sections 14(1)(b) and 15(1).</w:t>
      </w:r>
    </w:p>
    <w:p>
      <w:pPr>
        <w:pStyle w:val="ListParagraph"/>
        <w:numPr>
          <w:ilvl w:val="0"/>
          <w:numId w:val="20"/>
        </w:numPr>
        <w:spacing w:after="70" w:line="264"/>
        <w:jc w:val="both"/>
      </w:pPr>
      <w:r>
        <w:rPr>
          <w:b/>
          <w:bCs/>
        </w:rPr>
        <w:t xml:space="preserve">Statutory ineligibility under section 12(5)</w:t>
      </w:r>
      <w:r>
        <w:t xml:space="preserve"> — produces de jure inability, so the mandate ends under section 14 and a substitute is appointed under section 15(2).</w:t>
      </w:r>
    </w:p>
    <w:p>
      <w:pPr>
        <w:pStyle w:val="ListParagraph"/>
        <w:numPr>
          <w:ilvl w:val="0"/>
          <w:numId w:val="20"/>
        </w:numPr>
        <w:spacing w:after="70" w:line="264"/>
        <w:jc w:val="both"/>
      </w:pPr>
      <w:r>
        <w:rPr>
          <w:b/>
          <w:bCs/>
        </w:rPr>
        <w:t xml:space="preserve">Expiry of the period for making the award</w:t>
      </w:r>
      <w:r>
        <w:t xml:space="preserve"> under section 29A, unless extended.</w:t>
      </w:r>
    </w:p>
    <w:p>
      <w:pPr>
        <w:pStyle w:val="Heading1"/>
        <w:keepNext/>
        <w:pBdr>
          <w:bottom w:val="single" w:color="1F3864" w:sz="6" w:space="4"/>
        </w:pBdr>
        <w:spacing w:after="160" w:before="420"/>
      </w:pPr>
      <w:r>
        <w:t xml:space="preserve">10.  Competence of the Arbitral Tribunal: Section 16</w:t>
      </w:r>
    </w:p>
    <w:p>
      <w:pPr>
        <w:spacing w:after="120" w:line="264"/>
        <w:jc w:val="both"/>
      </w:pPr>
      <w:r>
        <w:t xml:space="preserve">Section 16 answers a question that would otherwise be circular. The tribunal's authority comes from the arbitration agreement. If a party denies that a valid agreement exists, who decides? If the tribunal decides, it seems to assume the very authority in dispute; if only a court can decide, every arbitration could be stalled at the outset.</w:t>
      </w:r>
    </w:p>
    <w:p>
      <w:pPr>
        <w:spacing w:after="120" w:line="264"/>
        <w:jc w:val="both"/>
      </w:pPr>
      <w:r>
        <w:t xml:space="preserve">The Act resolves this by two doctrines. </w:t>
      </w:r>
      <w:r>
        <w:rPr>
          <w:b/>
          <w:bCs/>
        </w:rPr>
        <w:t xml:space="preserve">Competence-competence</w:t>
      </w:r>
      <w:r>
        <w:t xml:space="preserve"> gives the tribunal power to rule on its own jurisdiction. </w:t>
      </w:r>
      <w:r>
        <w:rPr>
          <w:b/>
          <w:bCs/>
        </w:rPr>
        <w:t xml:space="preserve">Separability</w:t>
      </w:r>
      <w:r>
        <w:t xml:space="preserve"> treats the arbitration clause as independent of the contract containing it, so an attack on the contract does not automatically destroy that authority.</w:t>
      </w:r>
    </w:p>
    <w:p>
      <w:pPr>
        <w:pStyle w:val="Heading2"/>
        <w:keepNext/>
        <w:spacing w:after="100" w:before="250"/>
      </w:pPr>
      <w:r>
        <w:t xml:space="preserve">Section 16(1): the two doctrines</w:t>
      </w:r>
    </w:p>
    <w:p>
      <w:pPr>
        <w:spacing w:after="120" w:line="264"/>
        <w:jc w:val="both"/>
      </w:pPr>
      <w:r>
        <w:t xml:space="preserve">The tribunal may rule on its own jurisdiction, including on any objection as to the existence or validity of the arbitration agreement, and for that purpose —</w:t>
      </w:r>
    </w:p>
    <w:p>
      <w:pPr>
        <w:pStyle w:val="ListParagraph"/>
        <w:numPr>
          <w:ilvl w:val="0"/>
          <w:numId w:val="21"/>
        </w:numPr>
        <w:spacing w:after="70" w:line="264"/>
        <w:jc w:val="both"/>
      </w:pPr>
      <w:r>
        <w:t xml:space="preserve">an arbitration clause forming part of a contract </w:t>
      </w:r>
      <w:r>
        <w:rPr>
          <w:b/>
          <w:bCs/>
          <w:shd w:fill="FFF2CC" w:color="auto" w:val="clear"/>
        </w:rPr>
        <w:t xml:space="preserve">shall be treated as an agreement independent of the other terms of the contract;</w:t>
      </w:r>
      <w:r>
        <w:t xml:space="preserve"> and</w:t>
      </w:r>
    </w:p>
    <w:p>
      <w:pPr>
        <w:pStyle w:val="ListParagraph"/>
        <w:numPr>
          <w:ilvl w:val="0"/>
          <w:numId w:val="21"/>
        </w:numPr>
        <w:spacing w:after="70" w:line="264"/>
        <w:jc w:val="both"/>
      </w:pPr>
      <w:r>
        <w:t xml:space="preserve">a decision that the contract is null and void shall </w:t>
      </w:r>
      <w:r>
        <w:rPr>
          <w:b/>
          <w:bCs/>
        </w:rPr>
        <w:t xml:space="preserve">not entail the invalidity of the arbitration clause</w:t>
      </w:r>
      <w:r>
        <w:t xml:space="preserve"> </w:t>
      </w:r>
      <w:r>
        <w:rPr>
          <w:i/>
          <w:iCs/>
        </w:rPr>
        <w:t xml:space="preserve">ipso jure</w:t>
      </w:r>
      <w:r>
        <w:t xml:space="preserve">.</w:t>
      </w:r>
    </w:p>
    <w:p>
      <w:pPr>
        <w:spacing w:after="120" w:line="264"/>
        <w:jc w:val="both"/>
      </w:pPr>
      <w:r>
        <w:rPr>
          <w:i/>
          <w:iCs/>
        </w:rPr>
        <w:t xml:space="preserve">Ipso jure</w:t>
      </w:r>
      <w:r>
        <w:t xml:space="preserve"> means “by operation of law itself”. So invalidity of the main contract does not by itself carry the clause down with it. The clause survives so that the tribunal can determine the consequences of the invalidity. This is </w:t>
      </w:r>
      <w:r>
        <w:rPr>
          <w:b/>
          <w:bCs/>
        </w:rPr>
        <w:t xml:space="preserve">separability</w:t>
      </w:r>
      <w:r>
        <w:t xml:space="preserve">, sometimes called separation or severability.</w:t>
      </w:r>
    </w:p>
    <w:p>
      <w:pPr>
        <w:spacing w:after="120" w:line="264"/>
        <w:jc w:val="both"/>
      </w:pPr>
      <w:r>
        <w:rPr>
          <w:b/>
          <w:bCs/>
        </w:rPr>
        <w:t xml:space="preserve">Practical effect.</w:t>
      </w:r>
      <w:r>
        <w:t xml:space="preserve"> Where the contract is said to be void, rescinded or obtained by fraud, the tribunal keeps jurisdiction to decide those very questions. </w:t>
      </w:r>
      <w:r>
        <w:rPr>
          <w:b/>
          <w:bCs/>
          <w:shd w:fill="FFF2CC" w:color="auto" w:val="clear"/>
        </w:rPr>
        <w:t xml:space="preserve">It is otherwise where the attack is aimed at the arbitration agreement itself:</w:t>
      </w:r>
      <w:r>
        <w:t xml:space="preserve"> separability protects the clause from the fate of the contract, not from its own invalidity.</w:t>
      </w:r>
    </w:p>
    <w:p>
      <w:pPr>
        <w:pStyle w:val="Heading2"/>
        <w:keepNext/>
        <w:spacing w:after="100" w:before="250"/>
      </w:pPr>
      <w:r>
        <w:t xml:space="preserve">Timing of pleas</w:t>
      </w:r>
    </w:p>
    <w:p>
      <w:pPr>
        <w:spacing w:after="120" w:line="264"/>
        <w:jc w:val="both"/>
      </w:pPr>
      <w:r>
        <w:t xml:space="preserve">Two different pleas carry two different timing rules.</w:t>
      </w:r>
    </w:p>
    <w:p>
      <w:pPr>
        <w:pStyle w:val="ListParagraph"/>
        <w:numPr>
          <w:ilvl w:val="0"/>
          <w:numId w:val="22"/>
        </w:numPr>
        <w:spacing w:after="70" w:line="264"/>
        <w:jc w:val="both"/>
      </w:pPr>
      <w:r>
        <w:rPr>
          <w:b/>
          <w:bCs/>
        </w:rPr>
        <w:t xml:space="preserve">No jurisdiction at all</w:t>
      </w:r>
      <w:r>
        <w:t xml:space="preserve"> — an </w:t>
      </w:r>
      <w:r>
        <w:rPr>
          <w:i/>
          <w:iCs/>
        </w:rPr>
        <w:t xml:space="preserve">ab initio</w:t>
      </w:r>
      <w:r>
        <w:t xml:space="preserve"> objection — must be raised </w:t>
      </w:r>
      <w:r>
        <w:rPr>
          <w:b/>
          <w:bCs/>
          <w:shd w:fill="FFF2CC" w:color="auto" w:val="clear"/>
        </w:rPr>
        <w:t xml:space="preserve">not later than the submission of the statement of defence</w:t>
      </w:r>
      <w:r>
        <w:t xml:space="preserve"> (section 16(2)). The proviso matters: a party is </w:t>
      </w:r>
      <w:r>
        <w:rPr>
          <w:b/>
          <w:bCs/>
        </w:rPr>
        <w:t xml:space="preserve">not</w:t>
      </w:r>
      <w:r>
        <w:t xml:space="preserve"> precluded merely because it appointed, or took part in appointing, an arbitrator. </w:t>
      </w:r>
      <w:r>
        <w:rPr>
          <w:b/>
          <w:bCs/>
        </w:rPr>
        <w:t xml:space="preserve">Participation in constituting the tribunal is not submission to its jurisdiction.</w:t>
      </w:r>
    </w:p>
    <w:p>
      <w:pPr>
        <w:pStyle w:val="ListParagraph"/>
        <w:numPr>
          <w:ilvl w:val="0"/>
          <w:numId w:val="22"/>
        </w:numPr>
        <w:spacing w:after="70" w:line="264"/>
        <w:jc w:val="both"/>
      </w:pPr>
      <w:r>
        <w:rPr>
          <w:b/>
          <w:bCs/>
        </w:rPr>
        <w:t xml:space="preserve">Excess of the scope of authority</w:t>
      </w:r>
      <w:r>
        <w:t xml:space="preserve"> — must be raised </w:t>
      </w:r>
      <w:r>
        <w:rPr>
          <w:b/>
          <w:bCs/>
        </w:rPr>
        <w:t xml:space="preserve">as soon as the matter alleged to be beyond the scope is raised</w:t>
      </w:r>
      <w:r>
        <w:t xml:space="preserve"> during the proceedings (section 16(3)). It cannot be tied to the statement of defence, because the excess may occur at any stage.</w:t>
      </w:r>
    </w:p>
    <w:p>
      <w:pPr>
        <w:pStyle w:val="ListParagraph"/>
        <w:numPr>
          <w:ilvl w:val="0"/>
          <w:numId w:val="22"/>
        </w:numPr>
        <w:spacing w:after="70" w:line="264"/>
        <w:jc w:val="both"/>
      </w:pPr>
      <w:r>
        <w:rPr>
          <w:b/>
          <w:bCs/>
        </w:rPr>
        <w:t xml:space="preserve">Condonation</w:t>
      </w:r>
      <w:r>
        <w:t xml:space="preserve"> — under section 16(4) the tribunal may admit a later plea in either case if it considers the delay </w:t>
      </w:r>
      <w:r>
        <w:rPr>
          <w:b/>
          <w:bCs/>
        </w:rPr>
        <w:t xml:space="preserve">justified</w:t>
      </w:r>
      <w:r>
        <w:t xml:space="preserve">.</w:t>
      </w:r>
    </w:p>
    <w:p>
      <w:pPr>
        <w:spacing w:after="120" w:line="264"/>
        <w:jc w:val="both"/>
      </w:pPr>
      <w:r>
        <w:rPr>
          <w:b/>
          <w:bCs/>
        </w:rPr>
        <w:t xml:space="preserve">Contrast with civil procedure.</w:t>
      </w:r>
      <w:r>
        <w:t xml:space="preserve"> In litigation a plea to jurisdiction may often be taken later. Here the outer limit is fixed and the sanction for delay is loss of the plea, subject to condonation. The policy is the same as section 4: </w:t>
      </w:r>
      <w:r>
        <w:rPr>
          <w:b/>
          <w:bCs/>
        </w:rPr>
        <w:t xml:space="preserve">no objection may be kept in reserve.</w:t>
      </w:r>
    </w:p>
    <w:p>
      <w:pPr>
        <w:pStyle w:val="Heading2"/>
        <w:keepNext/>
        <w:spacing w:after="100" w:before="250"/>
      </w:pPr>
      <w:r>
        <w:t xml:space="preserve">Consequences: sections 16(5) and 16(6)</w:t>
      </w:r>
    </w:p>
    <w:p>
      <w:pPr>
        <w:spacing w:after="120" w:line="264"/>
        <w:jc w:val="both"/>
      </w:pPr>
      <w:r>
        <w:t xml:space="preserve">The tribunal decides the plea. Where it </w:t>
      </w:r>
      <w:r>
        <w:rPr>
          <w:b/>
          <w:bCs/>
        </w:rPr>
        <w:t xml:space="preserve">rejects</w:t>
      </w:r>
      <w:r>
        <w:t xml:space="preserve"> the plea it continues and makes an award, and the aggrieved party's remedy is an application under </w:t>
      </w:r>
      <w:r>
        <w:rPr>
          <w:b/>
          <w:bCs/>
        </w:rPr>
        <w:t xml:space="preserve">section 34</w:t>
      </w:r>
      <w:r>
        <w:t xml:space="preserve">.</w:t>
      </w:r>
    </w:p>
    <w:p>
      <w:pPr>
        <w:spacing w:after="120" w:line="264"/>
        <w:jc w:val="both"/>
      </w:pPr>
      <w:r>
        <w:rPr>
          <w:b/>
          <w:bCs/>
        </w:rPr>
        <w:t xml:space="preserve">Note the asymmetry.</w:t>
      </w:r>
      <w:r>
        <w:t xml:space="preserve"> A rejection is </w:t>
      </w:r>
      <w:r>
        <w:rPr>
          <w:b/>
          <w:bCs/>
        </w:rPr>
        <w:t xml:space="preserve">not separately appealable</w:t>
      </w:r>
      <w:r>
        <w:t xml:space="preserve">, so the objector must see the arbitration through to an award. An order </w:t>
      </w:r>
      <w:r>
        <w:rPr>
          <w:b/>
          <w:bCs/>
        </w:rPr>
        <w:t xml:space="preserve">accepting</w:t>
      </w:r>
      <w:r>
        <w:t xml:space="preserve"> a plea of no jurisdiction ends the arbitration and is appealable under </w:t>
      </w:r>
      <w:r>
        <w:rPr>
          <w:b/>
          <w:bCs/>
        </w:rPr>
        <w:t xml:space="preserve">section 37(2)(a)</w:t>
      </w:r>
      <w:r>
        <w:t xml:space="preserve">. </w:t>
      </w:r>
      <w:r>
        <w:rPr>
          <w:b/>
          <w:bCs/>
          <w:shd w:fill="FFF2CC" w:color="auto" w:val="clear"/>
        </w:rPr>
        <w:t xml:space="preserve">The design is deliberately weighted against interlocutory interference.</w:t>
      </w:r>
    </w:p>
    <w:p>
      <w:pPr>
        <w:pStyle w:val="Heading2"/>
        <w:keepNext/>
        <w:spacing w:after="100" w:before="250"/>
      </w:pPr>
      <w:r>
        <w:t xml:space="preserve">Link with sections 8 and 11</w:t>
      </w:r>
    </w:p>
    <w:p>
      <w:pPr>
        <w:spacing w:after="120" w:line="264"/>
        <w:jc w:val="both"/>
      </w:pPr>
      <w:r>
        <w:t xml:space="preserve">Section 16 is the source of the </w:t>
      </w:r>
      <w:r>
        <w:rPr>
          <w:b/>
          <w:bCs/>
        </w:rPr>
        <w:t xml:space="preserve">rule of first priority</w:t>
      </w:r>
      <w:r>
        <w:t xml:space="preserve">. Where existence or validity is in issue, the tribunal decides first. The court's role is confined to a </w:t>
      </w:r>
      <w:r>
        <w:rPr>
          <w:i/>
          <w:iCs/>
        </w:rPr>
        <w:t xml:space="preserve">prima facie</w:t>
      </w:r>
      <w:r>
        <w:t xml:space="preserve"> view under section 8 and, by section 11(6A), to the existence of the agreement under section 11. Fuller consideration comes only under section 34, and even then within that section's limits.</w:t>
      </w:r>
    </w:p>
    <w:p>
      <w:pPr>
        <w:spacing w:after="120" w:line="264"/>
        <w:jc w:val="both"/>
      </w:pPr>
      <w:r>
        <w:rPr>
          <w:b/>
          <w:bCs/>
        </w:rPr>
        <w:t xml:space="preserve">The arrangement is imperfect.</w:t>
      </w:r>
      <w:r>
        <w:t xml:space="preserve"> A wrong </w:t>
      </w:r>
      <w:r>
        <w:rPr>
          <w:i/>
          <w:iCs/>
        </w:rPr>
        <w:t xml:space="preserve">prima facie</w:t>
      </w:r>
      <w:r>
        <w:t xml:space="preserve"> view either constitutes a tribunal with no consensual basis, or leaves a valid agreement unenforced. The Act accepts that risk rather than allow full determination of jurisdiction at the threshold, and relies on section 34 as the corrective.</w:t>
      </w:r>
    </w:p>
    <w:p>
      <w:pPr>
        <w:pStyle w:val="Heading1"/>
        <w:keepNext/>
        <w:pBdr>
          <w:bottom w:val="single" w:color="1F3864" w:sz="6" w:space="4"/>
        </w:pBdr>
        <w:spacing w:after="160" w:before="420"/>
      </w:pPr>
      <w:r>
        <w:t xml:space="preserve">11.  Conduct of Arbitral Proceedings: Sections 18 to 26</w:t>
      </w:r>
    </w:p>
    <w:p>
      <w:pPr>
        <w:spacing w:after="120" w:line="264"/>
        <w:jc w:val="both"/>
      </w:pPr>
      <w:r>
        <w:t xml:space="preserve">Chapter V governs how an arbitration is actually conducted. It holds two objectives in tension and reconciles them: </w:t>
      </w:r>
      <w:r>
        <w:rPr>
          <w:b/>
          <w:bCs/>
        </w:rPr>
        <w:t xml:space="preserve">flexibility</w:t>
      </w:r>
      <w:r>
        <w:t xml:space="preserve">, freeing the tribunal from rigid court procedure, and </w:t>
      </w:r>
      <w:r>
        <w:rPr>
          <w:b/>
          <w:bCs/>
        </w:rPr>
        <w:t xml:space="preserve">due process</w:t>
      </w:r>
      <w:r>
        <w:t xml:space="preserve">, requiring that the procedure treat the parties equally and hear each properly.</w:t>
      </w:r>
    </w:p>
    <w:p>
      <w:pPr>
        <w:spacing w:after="120" w:line="264"/>
        <w:jc w:val="both"/>
      </w:pPr>
      <w:r>
        <w:t xml:space="preserve">Most of the Chapter is derogable, the provisions operating “unless otherwise agreed by the parties”. </w:t>
      </w:r>
      <w:r>
        <w:rPr>
          <w:b/>
          <w:bCs/>
          <w:shd w:fill="FFF2CC" w:color="auto" w:val="clear"/>
        </w:rPr>
        <w:t xml:space="preserve">Section 18 is the non-derogable core.</w:t>
      </w:r>
    </w:p>
    <w:p>
      <w:pPr>
        <w:pStyle w:val="Heading2"/>
        <w:keepNext/>
        <w:spacing w:after="100" w:before="250"/>
      </w:pPr>
      <w:r>
        <w:t xml:space="preserve">Section 18: equal treatment of parties</w:t>
      </w:r>
    </w:p>
    <w:p>
      <w:pPr>
        <w:spacing w:after="110" w:before="70" w:line="250"/>
        <w:ind w:left="460" w:right="259"/>
        <w:jc w:val="both"/>
      </w:pPr>
      <w:r>
        <w:rPr>
          <w:b/>
          <w:bCs/>
          <w:sz w:val="19"/>
          <w:szCs w:val="19"/>
        </w:rPr>
        <w:t xml:space="preserve">18.</w:t>
      </w:r>
      <w:r>
        <w:rPr>
          <w:sz w:val="19"/>
          <w:szCs w:val="19"/>
        </w:rPr>
        <w:t xml:space="preserve"> The parties shall be treated with equality and each party shall be given a </w:t>
      </w:r>
      <w:r>
        <w:rPr>
          <w:b/>
          <w:bCs/>
          <w:sz w:val="19"/>
          <w:szCs w:val="19"/>
        </w:rPr>
        <w:t xml:space="preserve">full opportunity</w:t>
      </w:r>
      <w:r>
        <w:rPr>
          <w:sz w:val="19"/>
          <w:szCs w:val="19"/>
        </w:rPr>
        <w:t xml:space="preserve"> to present his case.</w:t>
      </w:r>
    </w:p>
    <w:p>
      <w:pPr>
        <w:spacing w:after="120" w:line="264"/>
        <w:jc w:val="both"/>
      </w:pPr>
      <w:r>
        <w:t xml:space="preserve">This is the </w:t>
      </w:r>
      <w:r>
        <w:rPr>
          <w:b/>
          <w:bCs/>
        </w:rPr>
        <w:t xml:space="preserve">due process clause</w:t>
      </w:r>
      <w:r>
        <w:t xml:space="preserve"> of the Act and it is </w:t>
      </w:r>
      <w:r>
        <w:rPr>
          <w:b/>
          <w:bCs/>
        </w:rPr>
        <w:t xml:space="preserve">non-derogable</w:t>
      </w:r>
      <w:r>
        <w:t xml:space="preserve">. It contains two requirements: equality of treatment, and a full opportunity for each side. It is the arbitral counterpart of </w:t>
      </w:r>
      <w:r>
        <w:rPr>
          <w:i/>
          <w:iCs/>
        </w:rPr>
        <w:t xml:space="preserve">audi alteram partem</w:t>
      </w:r>
      <w:r>
        <w:t xml:space="preserve">.</w:t>
      </w:r>
    </w:p>
    <w:p>
      <w:pPr>
        <w:spacing w:after="120" w:line="264"/>
        <w:jc w:val="both"/>
      </w:pPr>
      <w:r>
        <w:rPr>
          <w:b/>
          <w:bCs/>
        </w:rPr>
        <w:t xml:space="preserve">Link to section 34.</w:t>
      </w:r>
      <w:r>
        <w:t xml:space="preserve"> Breach of section 18 is the substance of </w:t>
      </w:r>
      <w:r>
        <w:rPr>
          <w:b/>
          <w:bCs/>
        </w:rPr>
        <w:t xml:space="preserve">section 34(2)(a)(iii)</w:t>
      </w:r>
      <w:r>
        <w:t xml:space="preserve">, under which an award may be set aside where the applicant had no proper notice of the appointment or the proceedings, or was otherwise unable to present his case.</w:t>
      </w:r>
    </w:p>
    <w:p>
      <w:pPr>
        <w:spacing w:after="120" w:line="264"/>
        <w:jc w:val="both"/>
      </w:pPr>
      <w:r>
        <w:t xml:space="preserve">Section 18 is called the natural justice clause or the due process clause, and nothing turns on the label. The twin rules of natural justice — including </w:t>
      </w:r>
      <w:r>
        <w:rPr>
          <w:b/>
          <w:bCs/>
          <w:i/>
          <w:iCs/>
        </w:rPr>
        <w:t xml:space="preserve">Gullapalli-I</w:t>
      </w:r>
      <w:r>
        <w:t xml:space="preserve">, that he who decides must hear — apply to </w:t>
      </w:r>
      <w:r>
        <w:rPr>
          <w:b/>
          <w:bCs/>
        </w:rPr>
        <w:t xml:space="preserve">every</w:t>
      </w:r>
      <w:r>
        <w:t xml:space="preserve"> arbitral tribunal, whether the parties are public authorities or private persons.</w:t>
      </w:r>
    </w:p>
    <w:p>
      <w:pPr>
        <w:pStyle w:val="Heading2"/>
        <w:keepNext/>
        <w:spacing w:after="100" w:before="250"/>
      </w:pPr>
      <w:r>
        <w:t xml:space="preserve">Section 19: rules of procedure</w:t>
      </w:r>
    </w:p>
    <w:p>
      <w:pPr>
        <w:spacing w:after="120" w:line="264"/>
        <w:jc w:val="both"/>
      </w:pPr>
      <w:r>
        <w:rPr>
          <w:b/>
          <w:bCs/>
        </w:rPr>
        <w:t xml:space="preserve">Section 19(1):</w:t>
      </w:r>
      <w:r>
        <w:t xml:space="preserve"> the tribunal </w:t>
      </w:r>
      <w:r>
        <w:rPr>
          <w:b/>
          <w:bCs/>
          <w:shd w:fill="FFF2CC" w:color="auto" w:val="clear"/>
        </w:rPr>
        <w:t xml:space="preserve">shall not be bound by the Code of Civil Procedure, 1908 or the law of evidence,</w:t>
      </w:r>
      <w:r>
        <w:t xml:space="preserve"> because technical court procedure lengthens proceedings and would defeat the purpose of arbitration.</w:t>
      </w:r>
    </w:p>
    <w:p>
      <w:pPr>
        <w:spacing w:after="120" w:line="264"/>
        <w:jc w:val="both"/>
      </w:pPr>
      <w:r>
        <w:rPr>
          <w:b/>
          <w:bCs/>
        </w:rPr>
        <w:t xml:space="preserve">Section 19(2):</w:t>
      </w:r>
      <w:r>
        <w:t xml:space="preserve"> subject to Part I, the parties may agree the procedure. </w:t>
      </w:r>
      <w:r>
        <w:rPr>
          <w:b/>
          <w:bCs/>
        </w:rPr>
        <w:t xml:space="preserve">Section 19(3):</w:t>
      </w:r>
      <w:r>
        <w:t xml:space="preserve"> failing agreement, the tribunal may conduct the proceedings as it considers appropriate. </w:t>
      </w:r>
      <w:r>
        <w:rPr>
          <w:b/>
          <w:bCs/>
        </w:rPr>
        <w:t xml:space="preserve">Section 19(4):</w:t>
      </w:r>
      <w:r>
        <w:t xml:space="preserve"> that power includes determining the </w:t>
      </w:r>
      <w:r>
        <w:rPr>
          <w:b/>
          <w:bCs/>
        </w:rPr>
        <w:t xml:space="preserve">admissibility, relevance, materiality and weight</w:t>
      </w:r>
      <w:r>
        <w:t xml:space="preserve"> of any evidence.</w:t>
      </w:r>
    </w:p>
    <w:p>
      <w:pPr>
        <w:spacing w:after="120" w:line="264"/>
        <w:jc w:val="both"/>
      </w:pPr>
      <w:r>
        <w:rPr>
          <w:b/>
          <w:bCs/>
        </w:rPr>
        <w:t xml:space="preserve">Two points of nuance.</w:t>
      </w:r>
      <w:r>
        <w:t xml:space="preserve"> The tribunal is </w:t>
      </w:r>
      <w:r>
        <w:rPr>
          <w:b/>
          <w:bCs/>
        </w:rPr>
        <w:t xml:space="preserve">not bound</w:t>
      </w:r>
      <w:r>
        <w:t xml:space="preserve"> by those enactments but is not forbidden to use them, and tribunals often adopt their principles; section 19 removes the compulsion, not the option. And section 19(3) is subject to Part I, so subject to section 18 — </w:t>
      </w:r>
      <w:r>
        <w:rPr>
          <w:b/>
          <w:bCs/>
        </w:rPr>
        <w:t xml:space="preserve">procedural freedom does not license unequal treatment</w:t>
      </w:r>
      <w:r>
        <w:t xml:space="preserve">.</w:t>
      </w:r>
    </w:p>
    <w:p>
      <w:pPr>
        <w:spacing w:after="120" w:line="264"/>
        <w:jc w:val="both"/>
      </w:pPr>
      <w:r>
        <w:t xml:space="preserve">In practice tribunals hold a procedural hearing at the outset and record the result in </w:t>
      </w:r>
      <w:r>
        <w:rPr>
          <w:b/>
          <w:bCs/>
        </w:rPr>
        <w:t xml:space="preserve">procedural orders</w:t>
      </w:r>
      <w:r>
        <w:t xml:space="preserve"> fixing the timetable, pleadings, mode of evidence and hearing arrangements. Section 19(4) makes the tribunal </w:t>
      </w:r>
      <w:r>
        <w:rPr>
          <w:b/>
          <w:bCs/>
        </w:rPr>
        <w:t xml:space="preserve">master of the evidence</w:t>
      </w:r>
      <w:r>
        <w:t xml:space="preserve">.</w:t>
      </w:r>
    </w:p>
    <w:p>
      <w:pPr>
        <w:pStyle w:val="Heading2"/>
        <w:keepNext/>
        <w:spacing w:after="100" w:before="250"/>
      </w:pPr>
      <w:r>
        <w:t xml:space="preserve">Section 20: place of arbitration — seat and venue</w:t>
      </w:r>
    </w:p>
    <w:p>
      <w:pPr>
        <w:spacing w:after="120" w:line="264"/>
        <w:jc w:val="both"/>
      </w:pPr>
      <w:r>
        <w:rPr>
          <w:b/>
          <w:bCs/>
        </w:rPr>
        <w:t xml:space="preserve">Section 20(1):</w:t>
      </w:r>
      <w:r>
        <w:t xml:space="preserve"> the parties may agree the place of arbitration. </w:t>
      </w:r>
      <w:r>
        <w:rPr>
          <w:b/>
          <w:bCs/>
        </w:rPr>
        <w:t xml:space="preserve">Section 20(2):</w:t>
      </w:r>
      <w:r>
        <w:t xml:space="preserve"> failing agreement, the tribunal determines it having regard to the circumstances, </w:t>
      </w:r>
      <w:r>
        <w:rPr>
          <w:b/>
          <w:bCs/>
        </w:rPr>
        <w:t xml:space="preserve">including the convenience of the parties</w:t>
      </w:r>
      <w:r>
        <w:t xml:space="preserve">. </w:t>
      </w:r>
      <w:r>
        <w:rPr>
          <w:b/>
          <w:bCs/>
        </w:rPr>
        <w:t xml:space="preserve">Section 20(3):</w:t>
      </w:r>
      <w:r>
        <w:t xml:space="preserve"> notwithstanding (1) and (2), the tribunal may meet at any place it considers appropriate for consultation among its members, for hearing witnesses, experts or parties, or for inspection.</w:t>
      </w:r>
    </w:p>
    <w:p>
      <w:pPr>
        <w:spacing w:after="120" w:line="264"/>
        <w:jc w:val="both"/>
      </w:pPr>
      <w:r>
        <w:rPr>
          <w:b/>
          <w:bCs/>
        </w:rPr>
        <w:t xml:space="preserve">Seat.</w:t>
      </w:r>
      <w:r>
        <w:t xml:space="preserve"> “Place” in sub-sections (1) and (2) means the </w:t>
      </w:r>
      <w:r>
        <w:rPr>
          <w:b/>
          <w:bCs/>
        </w:rPr>
        <w:t xml:space="preserve">juridical seat</w:t>
      </w:r>
      <w:r>
        <w:t xml:space="preserve">. </w:t>
      </w:r>
      <w:r>
        <w:rPr>
          <w:b/>
          <w:bCs/>
          <w:shd w:fill="FFF2CC" w:color="auto" w:val="clear"/>
        </w:rPr>
        <w:t xml:space="preserve">It fixes the procedural law (*lex arbitri*) and identifies the courts that supervise the arbitration, including the court that may set the award aside.</w:t>
      </w:r>
      <w:r>
        <w:t xml:space="preserve"> This is why </w:t>
      </w:r>
      <w:r>
        <w:rPr>
          <w:b/>
          <w:bCs/>
          <w:i/>
          <w:iCs/>
        </w:rPr>
        <w:t xml:space="preserve">BALCO</w:t>
      </w:r>
      <w:r>
        <w:t xml:space="preserve"> adopted a seat-centric approach to Part I.</w:t>
      </w:r>
    </w:p>
    <w:p>
      <w:pPr>
        <w:spacing w:after="120" w:line="264"/>
        <w:jc w:val="both"/>
      </w:pPr>
      <w:r>
        <w:rPr>
          <w:b/>
          <w:bCs/>
        </w:rPr>
        <w:t xml:space="preserve">Venue.</w:t>
      </w:r>
      <w:r>
        <w:t xml:space="preserve"> The venue is where the tribunal in fact sits. Section 20(3) lets it sit elsewhere without changing the seat, so a tribunal may be seated in India and hear witnesses abroad. </w:t>
      </w:r>
      <w:r>
        <w:rPr>
          <w:b/>
          <w:bCs/>
        </w:rPr>
        <w:t xml:space="preserve">The legal consequences follow the seat, not the venue.</w:t>
      </w:r>
    </w:p>
    <w:p>
      <w:pPr>
        <w:spacing w:after="120" w:line="264"/>
        <w:jc w:val="both"/>
      </w:pPr>
      <w:r>
        <w:t xml:space="preserve">Where no seat is chosen, the tribunal infers one from the circumstances. </w:t>
      </w:r>
      <w:r>
        <w:rPr>
          <w:b/>
          <w:bCs/>
        </w:rPr>
        <w:t xml:space="preserve">Illustration:</w:t>
      </w:r>
      <w:r>
        <w:t xml:space="preserve"> where the same parties' earlier contracts expressly named a seat and the present one is silent, the tribunal may reasonably infer the same seat. That is an inference, not a presumption of law.</w:t>
      </w:r>
    </w:p>
    <w:p>
      <w:pPr>
        <w:pStyle w:val="Heading2"/>
        <w:keepNext/>
        <w:spacing w:after="100" w:before="250"/>
      </w:pPr>
      <w:r>
        <w:t xml:space="preserve">Section 21: commencement of proceedings</w:t>
      </w:r>
    </w:p>
    <w:p>
      <w:pPr>
        <w:spacing w:after="120" w:line="264"/>
        <w:jc w:val="both"/>
      </w:pPr>
      <w:r>
        <w:t xml:space="preserve">Unless otherwise agreed, proceedings commence </w:t>
      </w:r>
      <w:r>
        <w:rPr>
          <w:b/>
          <w:bCs/>
          <w:shd w:fill="FFF2CC" w:color="auto" w:val="clear"/>
        </w:rPr>
        <w:t xml:space="preserve">on the date the respondent receives the request for that dispute to be referred to arbitration.</w:t>
      </w:r>
      <w:r>
        <w:t xml:space="preserve"> Three points follow.</w:t>
      </w:r>
    </w:p>
    <w:p>
      <w:pPr>
        <w:pStyle w:val="ListParagraph"/>
        <w:numPr>
          <w:ilvl w:val="0"/>
          <w:numId w:val="23"/>
        </w:numPr>
        <w:spacing w:after="70" w:line="264"/>
        <w:jc w:val="both"/>
      </w:pPr>
      <w:r>
        <w:t xml:space="preserve">The trigger is </w:t>
      </w:r>
      <w:r>
        <w:rPr>
          <w:b/>
          <w:bCs/>
        </w:rPr>
        <w:t xml:space="preserve">receipt</w:t>
      </w:r>
      <w:r>
        <w:t xml:space="preserve"> by the respondent, not despatch by the claimant.</w:t>
      </w:r>
    </w:p>
    <w:p>
      <w:pPr>
        <w:pStyle w:val="ListParagraph"/>
        <w:numPr>
          <w:ilvl w:val="0"/>
          <w:numId w:val="23"/>
        </w:numPr>
        <w:spacing w:after="70" w:line="264"/>
        <w:jc w:val="both"/>
      </w:pPr>
      <w:r>
        <w:t xml:space="preserve">The request must relate to the </w:t>
      </w:r>
      <w:r>
        <w:rPr>
          <w:b/>
          <w:bCs/>
        </w:rPr>
        <w:t xml:space="preserve">particular dispute</w:t>
      </w:r>
      <w:r>
        <w:t xml:space="preserve">. A general reservation of rights will not do.</w:t>
      </w:r>
    </w:p>
    <w:p>
      <w:pPr>
        <w:pStyle w:val="ListParagraph"/>
        <w:numPr>
          <w:ilvl w:val="0"/>
          <w:numId w:val="23"/>
        </w:numPr>
        <w:spacing w:after="70" w:line="264"/>
        <w:jc w:val="both"/>
      </w:pPr>
      <w:r>
        <w:t xml:space="preserve">This request is the </w:t>
      </w:r>
      <w:r>
        <w:rPr>
          <w:b/>
          <w:bCs/>
        </w:rPr>
        <w:t xml:space="preserve">notice of arbitration</w:t>
      </w:r>
      <w:r>
        <w:t xml:space="preserve">, which must be distinguished from a </w:t>
      </w:r>
      <w:r>
        <w:rPr>
          <w:b/>
          <w:bCs/>
        </w:rPr>
        <w:t xml:space="preserve">notice of dispute</w:t>
      </w:r>
      <w:r>
        <w:t xml:space="preserve"> or demand. A notice of dispute merely asserts a grievance; the notice of arbitration invokes the arbitration agreement, and in practice comes well after.</w:t>
      </w:r>
    </w:p>
    <w:p>
      <w:pPr>
        <w:spacing w:after="120" w:line="264"/>
        <w:jc w:val="both"/>
      </w:pPr>
      <w:r>
        <w:rPr>
          <w:b/>
          <w:bCs/>
        </w:rPr>
        <w:t xml:space="preserve">Why the date matters.</w:t>
      </w:r>
      <w:r>
        <w:t xml:space="preserve"> The ninety-day rule in section 9(2) is measured against it, limitation runs to it, and the tribunal's power under section 17 operates from it.</w:t>
      </w:r>
    </w:p>
    <w:p>
      <w:pPr>
        <w:pStyle w:val="Heading2"/>
        <w:keepNext/>
        <w:spacing w:after="100" w:before="250"/>
      </w:pPr>
      <w:r>
        <w:t xml:space="preserve">Section 22: language</w:t>
      </w:r>
    </w:p>
    <w:p>
      <w:pPr>
        <w:spacing w:after="120" w:line="264"/>
        <w:jc w:val="both"/>
      </w:pPr>
      <w:r>
        <w:t xml:space="preserve">The parties may agree the language, and failing agreement the tribunal determines it. Unless otherwise specified, the choice applies to </w:t>
      </w:r>
      <w:r>
        <w:rPr>
          <w:b/>
          <w:bCs/>
        </w:rPr>
        <w:t xml:space="preserve">any written statement by a party, any hearing, and any arbitral award, decision or other communication by or to the tribunal</w:t>
      </w:r>
      <w:r>
        <w:t xml:space="preserve">. The tribunal may order that documentary evidence be accompanied by a </w:t>
      </w:r>
      <w:r>
        <w:rPr>
          <w:b/>
          <w:bCs/>
        </w:rPr>
        <w:t xml:space="preserve">translation</w:t>
      </w:r>
      <w:r>
        <w:t xml:space="preserve">.</w:t>
      </w:r>
    </w:p>
    <w:p>
      <w:pPr>
        <w:spacing w:after="120" w:line="264"/>
        <w:jc w:val="both"/>
      </w:pPr>
      <w:r>
        <w:rPr>
          <w:b/>
          <w:bCs/>
        </w:rPr>
        <w:t xml:space="preserve">Note.</w:t>
      </w:r>
      <w:r>
        <w:t xml:space="preserve"> Sub-section (3) reaches awards and decisions, so the choice of language governs the tribunal's own output and not merely the parties' submissions.</w:t>
      </w:r>
    </w:p>
    <w:p>
      <w:pPr>
        <w:pStyle w:val="Heading2"/>
        <w:keepNext/>
        <w:spacing w:after="100" w:before="250"/>
      </w:pPr>
      <w:r>
        <w:t xml:space="preserve">Section 23: statements of claim and defence</w:t>
      </w:r>
    </w:p>
    <w:p>
      <w:pPr>
        <w:spacing w:after="120" w:line="264"/>
        <w:jc w:val="both"/>
      </w:pPr>
      <w:r>
        <w:rPr>
          <w:b/>
          <w:bCs/>
        </w:rPr>
        <w:t xml:space="preserve">Section 23(1).</w:t>
      </w:r>
      <w:r>
        <w:t xml:space="preserve"> Within the time agreed or determined, the </w:t>
      </w:r>
      <w:r>
        <w:rPr>
          <w:b/>
          <w:bCs/>
        </w:rPr>
        <w:t xml:space="preserve">claimant</w:t>
      </w:r>
      <w:r>
        <w:t xml:space="preserve"> shall state —</w:t>
      </w:r>
    </w:p>
    <w:p>
      <w:pPr>
        <w:pStyle w:val="ListParagraph"/>
        <w:numPr>
          <w:ilvl w:val="0"/>
          <w:numId w:val="24"/>
        </w:numPr>
        <w:spacing w:after="70" w:line="264"/>
        <w:jc w:val="both"/>
      </w:pPr>
      <w:r>
        <w:t xml:space="preserve">the </w:t>
      </w:r>
      <w:r>
        <w:rPr>
          <w:b/>
          <w:bCs/>
        </w:rPr>
        <w:t xml:space="preserve">facts supporting his claim</w:t>
      </w:r>
      <w:r>
        <w:t xml:space="preserve">;</w:t>
      </w:r>
    </w:p>
    <w:p>
      <w:pPr>
        <w:pStyle w:val="ListParagraph"/>
        <w:numPr>
          <w:ilvl w:val="0"/>
          <w:numId w:val="24"/>
        </w:numPr>
        <w:spacing w:after="70" w:line="264"/>
        <w:jc w:val="both"/>
      </w:pPr>
      <w:r>
        <w:t xml:space="preserve">the </w:t>
      </w:r>
      <w:r>
        <w:rPr>
          <w:b/>
          <w:bCs/>
        </w:rPr>
        <w:t xml:space="preserve">points at issue</w:t>
      </w:r>
      <w:r>
        <w:t xml:space="preserve">; and</w:t>
      </w:r>
    </w:p>
    <w:p>
      <w:pPr>
        <w:pStyle w:val="ListParagraph"/>
        <w:numPr>
          <w:ilvl w:val="0"/>
          <w:numId w:val="24"/>
        </w:numPr>
        <w:spacing w:after="70" w:line="264"/>
        <w:jc w:val="both"/>
      </w:pPr>
      <w:r>
        <w:t xml:space="preserve">the </w:t>
      </w:r>
      <w:r>
        <w:rPr>
          <w:b/>
          <w:bCs/>
        </w:rPr>
        <w:t xml:space="preserve">relief or remedy sought</w:t>
      </w:r>
      <w:r>
        <w:t xml:space="preserve">.</w:t>
      </w:r>
    </w:p>
    <w:p>
      <w:pPr>
        <w:spacing w:after="120" w:line="264"/>
        <w:jc w:val="both"/>
      </w:pPr>
      <w:r>
        <w:t xml:space="preserve">The </w:t>
      </w:r>
      <w:r>
        <w:rPr>
          <w:b/>
          <w:bCs/>
        </w:rPr>
        <w:t xml:space="preserve">respondent</w:t>
      </w:r>
      <w:r>
        <w:t xml:space="preserve"> shall state his defence to these particulars. Claim and defence are the arbitral equivalents of plaint and written statement. Under </w:t>
      </w:r>
      <w:r>
        <w:rPr>
          <w:b/>
          <w:bCs/>
        </w:rPr>
        <w:t xml:space="preserve">section 23(2)</w:t>
      </w:r>
      <w:r>
        <w:t xml:space="preserve"> the parties may submit all documents they consider relevant (the exhibits), or refer to documents they will submit.</w:t>
      </w:r>
    </w:p>
    <w:p>
      <w:pPr>
        <w:pStyle w:val="Heading3"/>
        <w:keepNext/>
        <w:spacing w:after="80" w:before="180"/>
      </w:pPr>
      <w:r>
        <w:t xml:space="preserve">Counterclaim and set-off — section 23(2A)</w:t>
      </w:r>
    </w:p>
    <w:p>
      <w:pPr>
        <w:spacing w:after="120" w:line="264"/>
        <w:jc w:val="both"/>
      </w:pPr>
      <w:r>
        <w:t xml:space="preserve">Inserted in 2015. The respondent may submit a </w:t>
      </w:r>
      <w:r>
        <w:rPr>
          <w:b/>
          <w:bCs/>
        </w:rPr>
        <w:t xml:space="preserve">counterclaim</w:t>
      </w:r>
      <w:r>
        <w:t xml:space="preserve"> or plead a </w:t>
      </w:r>
      <w:r>
        <w:rPr>
          <w:b/>
          <w:bCs/>
        </w:rPr>
        <w:t xml:space="preserve">set-off</w:t>
      </w:r>
      <w:r>
        <w:t xml:space="preserve">, which the tribunal shall adjudicate </w:t>
      </w:r>
      <w:r>
        <w:rPr>
          <w:b/>
          <w:bCs/>
          <w:shd w:fill="FFF2CC" w:color="auto" w:val="clear"/>
        </w:rPr>
        <w:t xml:space="preserve">if it falls within the scope of the arbitration agreement.</w:t>
      </w:r>
      <w:r>
        <w:t xml:space="preserve"> The qualification is essential, because the tribunal's jurisdiction is consensual.</w:t>
      </w:r>
    </w:p>
    <w:p>
      <w:pPr>
        <w:spacing w:after="120" w:line="264"/>
        <w:jc w:val="both"/>
      </w:pPr>
      <w:r>
        <w:rPr>
          <w:b/>
          <w:bCs/>
        </w:rPr>
        <w:t xml:space="preserve">The two differ.</w:t>
      </w:r>
      <w:r>
        <w:t xml:space="preserve"> A </w:t>
      </w:r>
      <w:r>
        <w:rPr>
          <w:b/>
          <w:bCs/>
        </w:rPr>
        <w:t xml:space="preserve">counterclaim</w:t>
      </w:r>
      <w:r>
        <w:t xml:space="preserve"> is an independent claim on which the respondent may recover affirmatively. A </w:t>
      </w:r>
      <w:r>
        <w:rPr>
          <w:b/>
          <w:bCs/>
        </w:rPr>
        <w:t xml:space="preserve">set-off</w:t>
      </w:r>
      <w:r>
        <w:t xml:space="preserve"> is defensive: it reduces or extinguishes the claim and yields no independent recovery.</w:t>
      </w:r>
    </w:p>
    <w:p>
      <w:pPr>
        <w:pStyle w:val="Heading3"/>
        <w:keepNext/>
        <w:spacing w:after="80" w:before="180"/>
      </w:pPr>
      <w:r>
        <w:t xml:space="preserve">Amendment of pleadings — section 23(3)</w:t>
      </w:r>
    </w:p>
    <w:p>
      <w:pPr>
        <w:spacing w:after="120" w:line="264"/>
        <w:jc w:val="both"/>
      </w:pPr>
      <w:r>
        <w:t xml:space="preserve">Unless otherwise agreed, either party may amend or supplement its claim or defence during the proceedings, </w:t>
      </w:r>
      <w:r>
        <w:rPr>
          <w:b/>
          <w:bCs/>
        </w:rPr>
        <w:t xml:space="preserve">unless the tribunal considers it inappropriate having regard to the delay</w:t>
      </w:r>
      <w:r>
        <w:t xml:space="preserve"> in making it.</w:t>
      </w:r>
    </w:p>
    <w:p>
      <w:pPr>
        <w:spacing w:after="120" w:line="264"/>
        <w:jc w:val="both"/>
      </w:pPr>
      <w:r>
        <w:rPr>
          <w:b/>
          <w:bCs/>
        </w:rPr>
        <w:t xml:space="preserve">Permission is the rule and refusal the exception</w:t>
      </w:r>
      <w:r>
        <w:t xml:space="preserve">, and the ground of refusal named in the provision is delay. A tribunal will also refuse an amendment falling outside the arbitration agreement, for want of jurisdiction. The comparison with the Code of Civil Procedure is apt: amendments are generally allowed, the test being whether the amendment helps determine the </w:t>
      </w:r>
      <w:r>
        <w:rPr>
          <w:b/>
          <w:bCs/>
        </w:rPr>
        <w:t xml:space="preserve">real question in controversy</w:t>
      </w:r>
      <w:r>
        <w:t xml:space="preserve">.</w:t>
      </w:r>
    </w:p>
    <w:p>
      <w:pPr>
        <w:pStyle w:val="Heading3"/>
        <w:keepNext/>
        <w:spacing w:after="80" w:before="180"/>
      </w:pPr>
      <w:r>
        <w:t xml:space="preserve">The six-month timetable — section 23(4)</w:t>
      </w:r>
    </w:p>
    <w:p>
      <w:pPr>
        <w:spacing w:after="120" w:line="264"/>
        <w:jc w:val="both"/>
      </w:pPr>
      <w:r>
        <w:t xml:space="preserve">Inserted by the 2019 Amendment, section 23(4) requires claim and defence to be completed within </w:t>
      </w:r>
      <w:r>
        <w:rPr>
          <w:b/>
          <w:bCs/>
          <w:shd w:fill="FFF2CC" w:color="auto" w:val="clear"/>
        </w:rPr>
        <w:t xml:space="preserve">six months from the date the arbitrator, or all the arbitrators, received notice in writing of their appointment.</w:t>
      </w:r>
    </w:p>
    <w:p>
      <w:pPr>
        <w:spacing w:after="120" w:line="264"/>
        <w:jc w:val="both"/>
      </w:pPr>
      <w:r>
        <w:rPr>
          <w:b/>
          <w:bCs/>
        </w:rPr>
        <w:t xml:space="preserve">Important. ==There is no section 23(9).==</w:t>
      </w:r>
      <w:r>
        <w:t xml:space="preserve"> The timetable is sometimes wrongly attributed to one. Its real connection is with </w:t>
      </w:r>
      <w:r>
        <w:rPr>
          <w:b/>
          <w:bCs/>
        </w:rPr>
        <w:t xml:space="preserve">section 29A</w:t>
      </w:r>
      <w:r>
        <w:t xml:space="preserve">: under section 29A(1) as amended in 2019, the twelve-month period for making the award runs from completion of pleadings under section 23(4). </w:t>
      </w:r>
      <w:r>
        <w:rPr>
          <w:b/>
          <w:bCs/>
        </w:rPr>
        <w:t xml:space="preserve">The two periods are consecutive, not overlapping.</w:t>
      </w:r>
    </w:p>
    <w:p>
      <w:pPr>
        <w:spacing w:after="120" w:line="264"/>
        <w:jc w:val="both"/>
      </w:pPr>
      <w:r>
        <w:rPr>
          <w:b/>
          <w:bCs/>
        </w:rPr>
        <w:t xml:space="preserve">On section 29A</w:t>
      </w:r>
      <w:r>
        <w:t xml:space="preserve"> (outside these topics, noted for the link): the award is due within twelve months of completion of pleadings; the parties may extend by consent by up to six months under section 29A(3); beyond that only a court may extend, for sufficient cause, under section 29A(4) and (5). For </w:t>
      </w:r>
      <w:r>
        <w:rPr>
          <w:b/>
          <w:bCs/>
        </w:rPr>
        <w:t xml:space="preserve">international commercial arbitration</w:t>
      </w:r>
      <w:r>
        <w:t xml:space="preserve"> the twelve months is </w:t>
      </w:r>
      <w:r>
        <w:rPr>
          <w:b/>
          <w:bCs/>
          <w:shd w:fill="FFF2CC" w:color="auto" w:val="clear"/>
        </w:rPr>
        <w:t xml:space="preserve">directory, not mandatory</w:t>
      </w:r>
      <w:r>
        <w:t xml:space="preserve"> — the tribunal must endeavour to finish within twelve months but is not bound by the domestic limit: </w:t>
      </w:r>
      <w:r>
        <w:rPr>
          <w:b/>
          <w:bCs/>
          <w:i/>
          <w:iCs/>
        </w:rPr>
        <w:t xml:space="preserve">Tata Sons Pvt. Ltd. v. Siva Industries and Holdings Ltd.</w:t>
      </w:r>
      <w:r>
        <w:t xml:space="preserve">, MA No. 2680 of 2019 in Arbitration Case (Civil) No. 38 of 2017 (SC, 5 January 2023).</w:t>
      </w:r>
    </w:p>
    <w:p>
      <w:pPr>
        <w:pStyle w:val="Heading2"/>
        <w:keepNext/>
        <w:spacing w:after="100" w:before="250"/>
      </w:pPr>
      <w:r>
        <w:t xml:space="preserve">Section 24: hearings and written proceedings</w:t>
      </w:r>
    </w:p>
    <w:p>
      <w:pPr>
        <w:spacing w:after="120" w:line="264"/>
        <w:jc w:val="both"/>
      </w:pPr>
      <w:r>
        <w:rPr>
          <w:b/>
          <w:bCs/>
        </w:rPr>
        <w:t xml:space="preserve">Section 24(1).</w:t>
      </w:r>
      <w:r>
        <w:t xml:space="preserve"> Unless otherwise agreed, the tribunal decides whether to hold oral hearings for evidence or argument, or to proceed on documents and other materials. An arbitration wholly on the papers is a </w:t>
      </w:r>
      <w:r>
        <w:rPr>
          <w:b/>
          <w:bCs/>
        </w:rPr>
        <w:t xml:space="preserve">documents-only arbitration</w:t>
      </w:r>
      <w:r>
        <w:t xml:space="preserve">. The discretion is heavily qualified by two provisos.</w:t>
      </w:r>
    </w:p>
    <w:p>
      <w:pPr>
        <w:pStyle w:val="ListParagraph"/>
        <w:numPr>
          <w:ilvl w:val="0"/>
          <w:numId w:val="25"/>
        </w:numPr>
        <w:spacing w:after="70" w:line="264"/>
        <w:jc w:val="both"/>
      </w:pPr>
      <w:r>
        <w:rPr>
          <w:b/>
          <w:bCs/>
        </w:rPr>
        <w:t xml:space="preserve">First proviso.</w:t>
      </w:r>
      <w:r>
        <w:t xml:space="preserve"> The tribunal </w:t>
      </w:r>
      <w:r>
        <w:rPr>
          <w:b/>
          <w:bCs/>
        </w:rPr>
        <w:t xml:space="preserve">shall</w:t>
      </w:r>
      <w:r>
        <w:t xml:space="preserve"> hold oral hearings, at an appropriate stage, </w:t>
      </w:r>
      <w:r>
        <w:rPr>
          <w:b/>
          <w:bCs/>
          <w:shd w:fill="FFF2CC" w:color="auto" w:val="clear"/>
        </w:rPr>
        <w:t xml:space="preserve">on a request by a party,</w:t>
      </w:r>
      <w:r>
        <w:t xml:space="preserve"> unless the parties have agreed there shall be none. In effect a party is entitled to an oral hearing on asking. </w:t>
      </w:r>
      <w:r>
        <w:rPr>
          <w:b/>
          <w:bCs/>
        </w:rPr>
        <w:t xml:space="preserve">Dispensing with it is the exception</w:t>
      </w:r>
      <w:r>
        <w:t xml:space="preserve">, and needs either agreement or a case decidable on the papers. A dispute turning on complicated facts calls for oral hearing; one capable of decision on documents may not.</w:t>
      </w:r>
    </w:p>
    <w:p>
      <w:pPr>
        <w:pStyle w:val="ListParagraph"/>
        <w:numPr>
          <w:ilvl w:val="0"/>
          <w:numId w:val="25"/>
        </w:numPr>
        <w:spacing w:after="70" w:line="264"/>
        <w:jc w:val="both"/>
      </w:pPr>
      <w:r>
        <w:rPr>
          <w:b/>
          <w:bCs/>
        </w:rPr>
        <w:t xml:space="preserve">Second proviso.</w:t>
      </w:r>
      <w:r>
        <w:t xml:space="preserve"> The tribunal shall, so far as possible, hold oral hearings </w:t>
      </w:r>
      <w:r>
        <w:rPr>
          <w:b/>
          <w:bCs/>
        </w:rPr>
        <w:t xml:space="preserve">on a day-to-day basis</w:t>
      </w:r>
      <w:r>
        <w:t xml:space="preserve">, shall </w:t>
      </w:r>
      <w:r>
        <w:rPr>
          <w:b/>
          <w:bCs/>
        </w:rPr>
        <w:t xml:space="preserve">not grant any adjournment unless sufficient cause is made out</w:t>
      </w:r>
      <w:r>
        <w:t xml:space="preserve">, and </w:t>
      </w:r>
      <w:r>
        <w:rPr>
          <w:b/>
          <w:bCs/>
          <w:shd w:fill="FFF2CC" w:color="auto" w:val="clear"/>
        </w:rPr>
        <w:t xml:space="preserve">may impose costs, including exemplary costs,</w:t>
      </w:r>
      <w:r>
        <w:t xml:space="preserve"> on a party seeking an adjournment without sufficient cause. This is the Act's principal weapon against the tactical adjournment.</w:t>
      </w:r>
    </w:p>
    <w:p>
      <w:pPr>
        <w:spacing w:after="120" w:line="264"/>
        <w:jc w:val="both"/>
      </w:pPr>
      <w:r>
        <w:rPr>
          <w:b/>
          <w:bCs/>
        </w:rPr>
        <w:t xml:space="preserve">Section 24(2).</w:t>
      </w:r>
      <w:r>
        <w:t xml:space="preserve"> The parties must be given </w:t>
      </w:r>
      <w:r>
        <w:rPr>
          <w:b/>
          <w:bCs/>
        </w:rPr>
        <w:t xml:space="preserve">sufficient advance notice</w:t>
      </w:r>
      <w:r>
        <w:t xml:space="preserve"> of any hearing and of any meeting for inspection of documents, goods or property.</w:t>
      </w:r>
    </w:p>
    <w:p>
      <w:pPr>
        <w:spacing w:after="120" w:line="264"/>
        <w:jc w:val="both"/>
      </w:pPr>
      <w:r>
        <w:rPr>
          <w:b/>
          <w:bCs/>
        </w:rPr>
        <w:t xml:space="preserve">Section 24(3).</w:t>
      </w:r>
      <w:r>
        <w:t xml:space="preserve"> All statements, documents, information and applications supplied to the tribunal by one party </w:t>
      </w:r>
      <w:r>
        <w:rPr>
          <w:b/>
          <w:bCs/>
        </w:rPr>
        <w:t xml:space="preserve">must be communicated to the other</w:t>
      </w:r>
      <w:r>
        <w:t xml:space="preserve">, and any expert report or evidentiary document on which the tribunal may rely must be communicated to the parties.</w:t>
      </w:r>
    </w:p>
    <w:p>
      <w:pPr>
        <w:spacing w:after="120" w:line="264"/>
        <w:jc w:val="both"/>
      </w:pPr>
      <w:r>
        <w:rPr>
          <w:b/>
          <w:bCs/>
        </w:rPr>
        <w:t xml:space="preserve">These two are section 18 in operation.</w:t>
      </w:r>
      <w:r>
        <w:t xml:space="preserve"> A party cannot have a full opportunity if it does not know when the tribunal sits or what material it has. </w:t>
      </w:r>
      <w:r>
        <w:rPr>
          <w:b/>
          <w:bCs/>
          <w:shd w:fill="FFF2CC" w:color="auto" w:val="clear"/>
        </w:rPr>
        <w:t xml:space="preserve">Section 24(3) also bars the tribunal from relying on material the parties have not seen,</w:t>
      </w:r>
      <w:r>
        <w:t xml:space="preserve"> a rule carried further by section 26.</w:t>
      </w:r>
    </w:p>
    <w:p>
      <w:pPr>
        <w:pStyle w:val="Heading2"/>
        <w:keepNext/>
        <w:spacing w:after="100" w:before="250"/>
      </w:pPr>
      <w:r>
        <w:t xml:space="preserve">Section 25: default of a party</w:t>
      </w:r>
    </w:p>
    <w:p>
      <w:pPr>
        <w:spacing w:after="120" w:line="264"/>
        <w:jc w:val="both"/>
      </w:pPr>
      <w:r>
        <w:t xml:space="preserve">Unless otherwise agreed, and where the defaulting party shows </w:t>
      </w:r>
      <w:r>
        <w:rPr>
          <w:b/>
          <w:bCs/>
        </w:rPr>
        <w:t xml:space="preserve">no sufficient cause</w:t>
      </w:r>
      <w:r>
        <w:t xml:space="preserve"> —</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3450"/>
        <w:gridCol w:w="5400"/>
      </w:tblGrid>
      <w:tr>
        <w:trPr>
          <w:tblHeader/>
        </w:trPr>
        <w:tc>
          <w:tcPr>
            <w:tcW w:type="dxa" w:w="3450"/>
            <w:tcMar>
              <w:top w:type="dxa" w:w="70"/>
              <w:left w:type="dxa" w:w="100"/>
              <w:bottom w:type="dxa" w:w="70"/>
              <w:right w:type="dxa" w:w="100"/>
            </w:tcMar>
          </w:tcPr>
          <w:p>
            <w:pPr>
              <w:spacing w:after="0" w:line="240"/>
            </w:pPr>
            <w:r>
              <w:rPr>
                <w:b/>
                <w:bCs/>
                <w:color w:val="1F3864"/>
                <w:sz w:val="18"/>
                <w:szCs w:val="18"/>
              </w:rPr>
              <w:t xml:space="preserve">Default</w:t>
            </w:r>
          </w:p>
        </w:tc>
        <w:tc>
          <w:tcPr>
            <w:tcW w:type="dxa" w:w="5400"/>
            <w:tcMar>
              <w:top w:type="dxa" w:w="70"/>
              <w:left w:type="dxa" w:w="100"/>
              <w:bottom w:type="dxa" w:w="70"/>
              <w:right w:type="dxa" w:w="100"/>
            </w:tcMar>
          </w:tcPr>
          <w:p>
            <w:pPr>
              <w:spacing w:after="0" w:line="240"/>
            </w:pPr>
            <w:r>
              <w:rPr>
                <w:b/>
                <w:bCs/>
                <w:color w:val="1F3864"/>
                <w:sz w:val="18"/>
                <w:szCs w:val="18"/>
              </w:rPr>
              <w:t xml:space="preserve">Consequence</w:t>
            </w:r>
          </w:p>
        </w:tc>
      </w:tr>
      <w:tr>
        <w:tc>
          <w:tcPr>
            <w:tcW w:type="dxa" w:w="3450"/>
            <w:tcMar>
              <w:top w:type="dxa" w:w="70"/>
              <w:left w:type="dxa" w:w="100"/>
              <w:bottom w:type="dxa" w:w="70"/>
              <w:right w:type="dxa" w:w="100"/>
            </w:tcMar>
          </w:tcPr>
          <w:p>
            <w:pPr>
              <w:spacing w:after="0" w:line="240"/>
            </w:pPr>
            <w:r>
              <w:rPr>
                <w:b/>
                <w:bCs/>
                <w:sz w:val="18"/>
                <w:szCs w:val="18"/>
              </w:rPr>
              <w:t xml:space="preserve">(a)</w:t>
            </w:r>
            <w:r>
              <w:rPr>
                <w:sz w:val="18"/>
                <w:szCs w:val="18"/>
              </w:rPr>
              <w:t xml:space="preserve"> the claimant fails to communicate his statement of claim under section 23(1)</w:t>
            </w:r>
          </w:p>
        </w:tc>
        <w:tc>
          <w:tcPr>
            <w:tcW w:type="dxa" w:w="5400"/>
            <w:tcMar>
              <w:top w:type="dxa" w:w="70"/>
              <w:left w:type="dxa" w:w="100"/>
              <w:bottom w:type="dxa" w:w="70"/>
              <w:right w:type="dxa" w:w="100"/>
            </w:tcMar>
          </w:tcPr>
          <w:p>
            <w:pPr>
              <w:spacing w:after="0" w:line="240"/>
            </w:pPr>
            <w:r>
              <w:rPr>
                <w:sz w:val="18"/>
                <w:szCs w:val="18"/>
              </w:rPr>
              <w:t xml:space="preserve">The tribunal </w:t>
            </w:r>
            <w:r>
              <w:rPr>
                <w:b/>
                <w:bCs/>
                <w:sz w:val="18"/>
                <w:szCs w:val="18"/>
              </w:rPr>
              <w:t xml:space="preserve">shall terminate</w:t>
            </w:r>
            <w:r>
              <w:rPr>
                <w:sz w:val="18"/>
                <w:szCs w:val="18"/>
              </w:rPr>
              <w:t xml:space="preserve"> the proceedings. There is no claim to try.</w:t>
            </w:r>
          </w:p>
        </w:tc>
      </w:tr>
      <w:tr>
        <w:tc>
          <w:tcPr>
            <w:tcW w:type="dxa" w:w="3450"/>
            <w:tcMar>
              <w:top w:type="dxa" w:w="70"/>
              <w:left w:type="dxa" w:w="100"/>
              <w:bottom w:type="dxa" w:w="70"/>
              <w:right w:type="dxa" w:w="100"/>
            </w:tcMar>
          </w:tcPr>
          <w:p>
            <w:pPr>
              <w:spacing w:after="0" w:line="240"/>
            </w:pPr>
            <w:r>
              <w:rPr>
                <w:b/>
                <w:bCs/>
                <w:sz w:val="18"/>
                <w:szCs w:val="18"/>
              </w:rPr>
              <w:t xml:space="preserve">(b)</w:t>
            </w:r>
            <w:r>
              <w:rPr>
                <w:sz w:val="18"/>
                <w:szCs w:val="18"/>
              </w:rPr>
              <w:t xml:space="preserve"> the respondent fails to communicate his statement of defence under section 23(1)</w:t>
            </w:r>
          </w:p>
        </w:tc>
        <w:tc>
          <w:tcPr>
            <w:tcW w:type="dxa" w:w="5400"/>
            <w:tcMar>
              <w:top w:type="dxa" w:w="70"/>
              <w:left w:type="dxa" w:w="100"/>
              <w:bottom w:type="dxa" w:w="70"/>
              <w:right w:type="dxa" w:w="100"/>
            </w:tcMar>
          </w:tcPr>
          <w:p>
            <w:pPr>
              <w:spacing w:after="0" w:line="240"/>
            </w:pPr>
            <w:r>
              <w:rPr>
                <w:sz w:val="18"/>
                <w:szCs w:val="18"/>
              </w:rPr>
              <w:t xml:space="preserve">The tribunal </w:t>
            </w:r>
            <w:r>
              <w:rPr>
                <w:b/>
                <w:bCs/>
                <w:sz w:val="18"/>
                <w:szCs w:val="18"/>
              </w:rPr>
              <w:t xml:space="preserve">shall continue</w:t>
            </w:r>
            <w:r>
              <w:rPr>
                <w:sz w:val="18"/>
                <w:szCs w:val="18"/>
              </w:rPr>
              <w:t xml:space="preserve">, </w:t>
            </w:r>
            <w:r>
              <w:rPr>
                <w:b/>
                <w:bCs/>
                <w:sz w:val="18"/>
                <w:szCs w:val="18"/>
                <w:shd w:fill="FFF2CC" w:color="auto" w:val="clear"/>
              </w:rPr>
              <w:t xml:space="preserve">without treating that failure in itself as an admission of the claimant's allegations,</w:t>
            </w:r>
            <w:r>
              <w:rPr>
                <w:sz w:val="18"/>
                <w:szCs w:val="18"/>
              </w:rPr>
              <w:t xml:space="preserve"> and has discretion to treat the right to file the defence as </w:t>
            </w:r>
            <w:r>
              <w:rPr>
                <w:b/>
                <w:bCs/>
                <w:sz w:val="18"/>
                <w:szCs w:val="18"/>
              </w:rPr>
              <w:t xml:space="preserve">forfeited</w:t>
            </w:r>
            <w:r>
              <w:rPr>
                <w:sz w:val="18"/>
                <w:szCs w:val="18"/>
              </w:rPr>
              <w:t xml:space="preserve">.</w:t>
            </w:r>
          </w:p>
        </w:tc>
      </w:tr>
      <w:tr>
        <w:tc>
          <w:tcPr>
            <w:tcW w:type="dxa" w:w="3450"/>
            <w:tcMar>
              <w:top w:type="dxa" w:w="70"/>
              <w:left w:type="dxa" w:w="100"/>
              <w:bottom w:type="dxa" w:w="70"/>
              <w:right w:type="dxa" w:w="100"/>
            </w:tcMar>
          </w:tcPr>
          <w:p>
            <w:pPr>
              <w:spacing w:after="0" w:line="240"/>
            </w:pPr>
            <w:r>
              <w:rPr>
                <w:b/>
                <w:bCs/>
                <w:sz w:val="18"/>
                <w:szCs w:val="18"/>
              </w:rPr>
              <w:t xml:space="preserve">(c)</w:t>
            </w:r>
            <w:r>
              <w:rPr>
                <w:sz w:val="18"/>
                <w:szCs w:val="18"/>
              </w:rPr>
              <w:t xml:space="preserve"> a party fails to appear at an oral hearing or to produce documentary evidence</w:t>
            </w:r>
          </w:p>
        </w:tc>
        <w:tc>
          <w:tcPr>
            <w:tcW w:type="dxa" w:w="5400"/>
            <w:tcMar>
              <w:top w:type="dxa" w:w="70"/>
              <w:left w:type="dxa" w:w="100"/>
              <w:bottom w:type="dxa" w:w="70"/>
              <w:right w:type="dxa" w:w="100"/>
            </w:tcMar>
          </w:tcPr>
          <w:p>
            <w:pPr>
              <w:spacing w:after="0" w:line="240"/>
            </w:pPr>
            <w:r>
              <w:rPr>
                <w:sz w:val="18"/>
                <w:szCs w:val="18"/>
              </w:rPr>
              <w:t xml:space="preserve">The tribunal </w:t>
            </w:r>
            <w:r>
              <w:rPr>
                <w:b/>
                <w:bCs/>
                <w:sz w:val="18"/>
                <w:szCs w:val="18"/>
              </w:rPr>
              <w:t xml:space="preserve">may continue</w:t>
            </w:r>
            <w:r>
              <w:rPr>
                <w:sz w:val="18"/>
                <w:szCs w:val="18"/>
              </w:rPr>
              <w:t xml:space="preserve"> and make the award </w:t>
            </w:r>
            <w:r>
              <w:rPr>
                <w:b/>
                <w:bCs/>
                <w:sz w:val="18"/>
                <w:szCs w:val="18"/>
              </w:rPr>
              <w:t xml:space="preserve">on the evidence before it</w:t>
            </w:r>
            <w:r>
              <w:rPr>
                <w:sz w:val="18"/>
                <w:szCs w:val="18"/>
              </w:rPr>
              <w:t xml:space="preserve">.</w:t>
            </w:r>
          </w:p>
        </w:tc>
      </w:tr>
    </w:tbl>
    <w:p>
      <w:pPr>
        <w:spacing w:after="120"/>
      </w:pPr>
      <w:r>
        <w:rPr>
          <w:sz w:val="10"/>
          <w:szCs w:val="10"/>
        </w:rPr>
        <w:t xml:space="preserve"/>
      </w:r>
    </w:p>
    <w:p>
      <w:pPr>
        <w:spacing w:after="120" w:line="264"/>
        <w:jc w:val="both"/>
      </w:pPr>
      <w:r>
        <w:rPr>
          <w:b/>
          <w:bCs/>
        </w:rPr>
        <w:t xml:space="preserve">Clause (b) repays attention.</w:t>
      </w:r>
      <w:r>
        <w:t xml:space="preserve"> The words about not treating default as an admission were added in 2015, and they matter: </w:t>
      </w:r>
      <w:r>
        <w:rPr>
          <w:b/>
          <w:bCs/>
        </w:rPr>
        <w:t xml:space="preserve">a respondent's default is not a concession of the claim.</w:t>
      </w:r>
      <w:r>
        <w:t xml:space="preserve"> The claimant must still prove its case and the tribunal must still decide on the evidence. This distinguishes the arbitral position from the consequences of non-filing of a written statement in some civil proceedings.</w:t>
      </w:r>
    </w:p>
    <w:p>
      <w:pPr>
        <w:spacing w:after="120" w:line="264"/>
        <w:jc w:val="both"/>
      </w:pPr>
      <w:r>
        <w:t xml:space="preserve">The consequences sometimes called civil penalties — forfeiture of the right to file the defence, with it the opportunity to examine witnesses, and imposition of costs — are </w:t>
      </w:r>
      <w:r>
        <w:rPr>
          <w:b/>
          <w:bCs/>
        </w:rPr>
        <w:t xml:space="preserve">procedural consequences designed to keep the arbitration moving, not punishments</w:t>
      </w:r>
      <w:r>
        <w:t xml:space="preserve">. They operate only where no sufficient cause is shown.</w:t>
      </w:r>
    </w:p>
    <w:p>
      <w:pPr>
        <w:pStyle w:val="Heading2"/>
        <w:keepNext/>
        <w:spacing w:after="100" w:before="250"/>
      </w:pPr>
      <w:r>
        <w:t xml:space="preserve">Section 26: expert appointed by the tribunal</w:t>
      </w:r>
    </w:p>
    <w:p>
      <w:pPr>
        <w:spacing w:after="120" w:line="264"/>
        <w:jc w:val="both"/>
      </w:pPr>
      <w:r>
        <w:t xml:space="preserve">Two kinds of expert appear in arbitration.</w:t>
      </w:r>
    </w:p>
    <w:p>
      <w:pPr>
        <w:pStyle w:val="ListParagraph"/>
        <w:numPr>
          <w:ilvl w:val="0"/>
          <w:numId w:val="26"/>
        </w:numPr>
        <w:spacing w:after="70" w:line="264"/>
        <w:jc w:val="both"/>
      </w:pPr>
      <w:r>
        <w:t xml:space="preserve">A </w:t>
      </w:r>
      <w:r>
        <w:rPr>
          <w:b/>
          <w:bCs/>
        </w:rPr>
        <w:t xml:space="preserve">party-appointed expert</w:t>
      </w:r>
      <w:r>
        <w:t xml:space="preserve"> is retained and instructed by a party in support of its case. He is a </w:t>
      </w:r>
      <w:r>
        <w:rPr>
          <w:b/>
          <w:bCs/>
        </w:rPr>
        <w:t xml:space="preserve">witness</w:t>
      </w:r>
      <w:r>
        <w:t xml:space="preserve">, tested by cross-examination.</w:t>
      </w:r>
    </w:p>
    <w:p>
      <w:pPr>
        <w:pStyle w:val="ListParagraph"/>
        <w:numPr>
          <w:ilvl w:val="0"/>
          <w:numId w:val="26"/>
        </w:numPr>
        <w:spacing w:after="70" w:line="264"/>
        <w:jc w:val="both"/>
      </w:pPr>
      <w:r>
        <w:t xml:space="preserve">A </w:t>
      </w:r>
      <w:r>
        <w:rPr>
          <w:b/>
          <w:bCs/>
        </w:rPr>
        <w:t xml:space="preserve">tribunal-appointed expert</w:t>
      </w:r>
      <w:r>
        <w:t xml:space="preserve"> is appointed by the tribunal to report on issues the tribunal identifies. Because the tribunal commissioned the report and may rely on it, section 26 builds in safeguards.</w:t>
      </w:r>
    </w:p>
    <w:p>
      <w:pPr>
        <w:spacing w:after="120" w:line="264"/>
        <w:jc w:val="both"/>
      </w:pPr>
      <w:r>
        <w:t xml:space="preserve">Unless otherwise agreed, the tribunal may appoint one or more experts to report on </w:t>
      </w:r>
      <w:r>
        <w:rPr>
          <w:b/>
          <w:bCs/>
        </w:rPr>
        <w:t xml:space="preserve">specific issues to be determined by the tribunal</w:t>
      </w:r>
      <w:r>
        <w:t xml:space="preserve">, and may require a party to give the expert relevant information or access to documents, goods or property. If a party requests or the tribunal thinks it necessary, the expert shall </w:t>
      </w:r>
      <w:r>
        <w:rPr>
          <w:b/>
          <w:bCs/>
        </w:rPr>
        <w:t xml:space="preserve">participate in an oral hearing</w:t>
      </w:r>
      <w:r>
        <w:t xml:space="preserve"> where the parties may question him and present their own expert witnesses. On a party's request the expert shall </w:t>
      </w:r>
      <w:r>
        <w:rPr>
          <w:b/>
          <w:bCs/>
        </w:rPr>
        <w:t xml:space="preserve">make available for examination</w:t>
      </w:r>
      <w:r>
        <w:t xml:space="preserve"> all material with which he was provided to prepare the report.</w:t>
      </w:r>
    </w:p>
    <w:p>
      <w:pPr>
        <w:spacing w:after="120" w:line="264"/>
        <w:jc w:val="both"/>
      </w:pPr>
      <w:r>
        <w:rPr>
          <w:b/>
          <w:bCs/>
        </w:rPr>
        <w:t xml:space="preserve">These are due process safeguards.</w:t>
      </w:r>
      <w:r>
        <w:t xml:space="preserve"> The expert can be questioned, a competing expert can be called, and the foundation of the report can be inspected — the same principle as section 24(3). </w:t>
      </w:r>
      <w:r>
        <w:rPr>
          <w:b/>
          <w:bCs/>
          <w:shd w:fill="FFF2CC" w:color="auto" w:val="clear"/>
        </w:rPr>
        <w:t xml:space="preserve">The mandate is confined to the specific issues identified: the expert does not decide the dispute, and the tribunal cannot delegate its adjudicative function to him.</w:t>
      </w:r>
    </w:p>
    <w:p>
      <w:pPr>
        <w:pStyle w:val="Heading1"/>
        <w:keepNext/>
        <w:pBdr>
          <w:bottom w:val="single" w:color="1F3864" w:sz="6" w:space="4"/>
        </w:pBdr>
        <w:spacing w:after="160" w:before="420"/>
      </w:pPr>
      <w:r>
        <w:t xml:space="preserve">12.  Case Laws, Topic-wise</w:t>
      </w:r>
    </w:p>
    <w:p>
      <w:pPr>
        <w:spacing w:after="120" w:line="264"/>
        <w:jc w:val="both"/>
      </w:pPr>
      <w:r>
        <w:t xml:space="preserve">Every citation below was checked against the judgment text or an authoritative report. Where a bound-volume citation could not be confirmed, the neutral citation, the SCC OnLine citation, or the case number and date is given instead.</w:t>
      </w:r>
    </w:p>
    <w:p>
      <w:pPr>
        <w:pStyle w:val="Heading2"/>
        <w:keepNext/>
        <w:spacing w:after="100" w:before="250"/>
      </w:pPr>
      <w:r>
        <w:t xml:space="preserve">Topic 1 — International commercial arbitration: section 2(1)(f)</w:t>
      </w:r>
    </w:p>
    <w:p>
      <w:pPr>
        <w:pStyle w:val="ListParagraph"/>
        <w:numPr>
          <w:ilvl w:val="0"/>
          <w:numId w:val="27"/>
        </w:numPr>
        <w:spacing w:after="70" w:line="264"/>
        <w:jc w:val="both"/>
      </w:pPr>
      <w:r>
        <w:rPr>
          <w:b/>
          <w:bCs/>
          <w:i/>
          <w:iCs/>
        </w:rPr>
        <w:t xml:space="preserve">R.M. Investments &amp; Trading Co. Pvt. Ltd. v. Boeing Co.</w:t>
      </w:r>
      <w:r>
        <w:t xml:space="preserve">, (1994) 4 SCC 541; AIR 1994 SC 1136 (SC, 10 February 1994) — “commercial” construed broadly.</w:t>
      </w:r>
    </w:p>
    <w:p>
      <w:pPr>
        <w:pStyle w:val="ListParagraph"/>
        <w:numPr>
          <w:ilvl w:val="0"/>
          <w:numId w:val="27"/>
        </w:numPr>
        <w:spacing w:after="70" w:line="264"/>
        <w:jc w:val="both"/>
      </w:pPr>
      <w:r>
        <w:rPr>
          <w:b/>
          <w:bCs/>
          <w:i/>
          <w:iCs/>
        </w:rPr>
        <w:t xml:space="preserve">TDM Infrastructure P. Ltd. v. UE Development India P. Ltd.</w:t>
      </w:r>
      <w:r>
        <w:t xml:space="preserve">, (2008) 14 SCC 271 (SC, 14 May 2008) — nationality of a company fixed by place of incorporation.</w:t>
      </w:r>
    </w:p>
    <w:p>
      <w:pPr>
        <w:pStyle w:val="ListParagraph"/>
        <w:numPr>
          <w:ilvl w:val="0"/>
          <w:numId w:val="27"/>
        </w:numPr>
        <w:spacing w:after="70" w:line="264"/>
        <w:jc w:val="both"/>
      </w:pPr>
      <w:r>
        <w:rPr>
          <w:b/>
          <w:bCs/>
          <w:i/>
          <w:iCs/>
        </w:rPr>
        <w:t xml:space="preserve">Bhatia International v. Bulk Trading S.A.</w:t>
      </w:r>
      <w:r>
        <w:t xml:space="preserve">, (2002) 4 SCC 105 (SC, 3 Judges) — Part I applied to foreign-seated arbitration. </w:t>
      </w:r>
      <w:r>
        <w:rPr>
          <w:b/>
          <w:bCs/>
        </w:rPr>
        <w:t xml:space="preserve">Overruled prospectively by BALCO.</w:t>
      </w:r>
    </w:p>
    <w:p>
      <w:pPr>
        <w:pStyle w:val="ListParagraph"/>
        <w:numPr>
          <w:ilvl w:val="0"/>
          <w:numId w:val="27"/>
        </w:numPr>
        <w:spacing w:after="70" w:line="264"/>
        <w:jc w:val="both"/>
      </w:pPr>
      <w:r>
        <w:rPr>
          <w:b/>
          <w:bCs/>
          <w:i/>
          <w:iCs/>
        </w:rPr>
        <w:t xml:space="preserve">Venture Global Engineering v. Satyam Computer Services Ltd.</w:t>
      </w:r>
      <w:r>
        <w:t xml:space="preserve">, (2008) 4 SCC 190 (SC) — section 34 held available against a foreign award. </w:t>
      </w:r>
      <w:r>
        <w:rPr>
          <w:b/>
          <w:bCs/>
        </w:rPr>
        <w:t xml:space="preserve">Overruled prospectively by BALCO.</w:t>
      </w:r>
    </w:p>
    <w:p>
      <w:pPr>
        <w:pStyle w:val="ListParagraph"/>
        <w:numPr>
          <w:ilvl w:val="0"/>
          <w:numId w:val="27"/>
        </w:numPr>
        <w:spacing w:after="70" w:line="264"/>
        <w:jc w:val="both"/>
      </w:pPr>
      <w:r>
        <w:rPr>
          <w:b/>
          <w:bCs/>
          <w:i/>
          <w:iCs/>
        </w:rPr>
        <w:t xml:space="preserve">Bharat Aluminium Co. v. Kaiser Aluminium Technical Services Inc.</w:t>
      </w:r>
      <w:r>
        <w:t xml:space="preserve"> (BALCO), (2012) 9 SCC 552 (SC, Constitution Bench of 5, 6 September 2012) — Part I applies only to India-seated arbitrations; seat-centric approach; prospective under Article 142.</w:t>
      </w:r>
    </w:p>
    <w:p>
      <w:pPr>
        <w:pStyle w:val="ListParagraph"/>
        <w:numPr>
          <w:ilvl w:val="0"/>
          <w:numId w:val="27"/>
        </w:numPr>
        <w:spacing w:after="70" w:line="264"/>
        <w:jc w:val="both"/>
      </w:pPr>
      <w:r>
        <w:rPr>
          <w:b/>
          <w:bCs/>
          <w:i/>
          <w:iCs/>
        </w:rPr>
        <w:t xml:space="preserve">Saipem S.p.A. v. People's Republic of Bangladesh</w:t>
      </w:r>
      <w:r>
        <w:t xml:space="preserve">, ICSID Case No. ARB/05/7; Award 30 June 2009 — judicial obstruction of arbitration as expropriation.</w:t>
      </w:r>
    </w:p>
    <w:p>
      <w:pPr>
        <w:pStyle w:val="ListParagraph"/>
        <w:numPr>
          <w:ilvl w:val="0"/>
          <w:numId w:val="27"/>
        </w:numPr>
        <w:spacing w:after="70" w:line="264"/>
        <w:jc w:val="both"/>
      </w:pPr>
      <w:r>
        <w:rPr>
          <w:b/>
          <w:bCs/>
          <w:i/>
          <w:iCs/>
        </w:rPr>
        <w:t xml:space="preserve">White Industries Australia Ltd. v. Republic of India</w:t>
      </w:r>
      <w:r>
        <w:t xml:space="preserve">, UNCITRAL, Australia–India BIT; Final Award 30 November 2011 — breach of the “effective means” standard through judicial delay.</w:t>
      </w:r>
    </w:p>
    <w:p>
      <w:pPr>
        <w:pStyle w:val="Heading2"/>
        <w:keepNext/>
        <w:spacing w:after="100" w:before="250"/>
      </w:pPr>
      <w:r>
        <w:t xml:space="preserve">Topic 2 — Waiver of the right to object: section 4</w:t>
      </w:r>
    </w:p>
    <w:p>
      <w:pPr>
        <w:pStyle w:val="ListParagraph"/>
        <w:numPr>
          <w:ilvl w:val="0"/>
          <w:numId w:val="28"/>
        </w:numPr>
        <w:spacing w:after="70" w:line="264"/>
        <w:jc w:val="both"/>
      </w:pPr>
      <w:r>
        <w:rPr>
          <w:b/>
          <w:bCs/>
          <w:i/>
          <w:iCs/>
        </w:rPr>
        <w:t xml:space="preserve">Scott v. Avery</w:t>
      </w:r>
      <w:r>
        <w:t xml:space="preserve">, (1856) 5 HL Cas 811; 10 ER 1121 (House of Lords) — a clause making an award a condition precedent to suit is valid.</w:t>
      </w:r>
    </w:p>
    <w:p>
      <w:pPr>
        <w:pStyle w:val="ListParagraph"/>
        <w:numPr>
          <w:ilvl w:val="0"/>
          <w:numId w:val="28"/>
        </w:numPr>
        <w:spacing w:after="70" w:line="264"/>
        <w:jc w:val="both"/>
      </w:pPr>
      <w:r>
        <w:rPr>
          <w:b/>
          <w:bCs/>
          <w:i/>
          <w:iCs/>
        </w:rPr>
        <w:t xml:space="preserve">Narayan Prasad Lohia v. Nikunj Kumar Lohia</w:t>
      </w:r>
      <w:r>
        <w:t xml:space="preserve">, (2002) 3 SCC 572 — waiver of a derogable requirement by failure to object under section 16(2). See also Topic 6.</w:t>
      </w:r>
    </w:p>
    <w:p>
      <w:pPr>
        <w:pStyle w:val="Heading2"/>
        <w:keepNext/>
        <w:spacing w:after="100" w:before="250"/>
      </w:pPr>
      <w:r>
        <w:t xml:space="preserve">Topic 3 — Reference and judicial intervention: sections 8 and 5</w:t>
      </w:r>
    </w:p>
    <w:p>
      <w:pPr>
        <w:pStyle w:val="ListParagraph"/>
        <w:numPr>
          <w:ilvl w:val="0"/>
          <w:numId w:val="29"/>
        </w:numPr>
        <w:spacing w:after="70" w:line="264"/>
        <w:jc w:val="both"/>
      </w:pPr>
      <w:r>
        <w:rPr>
          <w:b/>
          <w:bCs/>
          <w:i/>
          <w:iCs/>
        </w:rPr>
        <w:t xml:space="preserve">Union of India v. Tantia Construction Pvt. Ltd.</w:t>
      </w:r>
      <w:r>
        <w:t xml:space="preserve">, (2011) 5 SCC 697 — an alternative remedy, including an arbitration clause, is no absolute bar to writ jurisdiction; section 5 cannot curtail the constitutional jurisdiction.</w:t>
      </w:r>
    </w:p>
    <w:p>
      <w:pPr>
        <w:pStyle w:val="ListParagraph"/>
        <w:numPr>
          <w:ilvl w:val="0"/>
          <w:numId w:val="29"/>
        </w:numPr>
        <w:spacing w:after="70" w:line="264"/>
        <w:jc w:val="both"/>
      </w:pPr>
      <w:r>
        <w:rPr>
          <w:b/>
          <w:bCs/>
          <w:i/>
          <w:iCs/>
        </w:rPr>
        <w:t xml:space="preserve">Union of India v. Tantia Constructions Ltd.</w:t>
      </w:r>
      <w:r>
        <w:t xml:space="preserve">, 2021 SCC OnLine SC 271 (SC, 3 Judges) — </w:t>
      </w:r>
      <w:r>
        <w:rPr>
          <w:b/>
          <w:bCs/>
        </w:rPr>
        <w:t xml:space="preserve">a different case</w:t>
      </w:r>
      <w:r>
        <w:t xml:space="preserve">; doubted CORE-I on unilateral appointments and referred the question to a larger Bench.</w:t>
      </w:r>
    </w:p>
    <w:p>
      <w:pPr>
        <w:pStyle w:val="ListParagraph"/>
        <w:numPr>
          <w:ilvl w:val="0"/>
          <w:numId w:val="29"/>
        </w:numPr>
        <w:spacing w:after="70" w:line="264"/>
        <w:jc w:val="both"/>
      </w:pPr>
      <w:r>
        <w:rPr>
          <w:b/>
          <w:bCs/>
          <w:i/>
          <w:iCs/>
        </w:rPr>
        <w:t xml:space="preserve">Emaar MGF Land Ltd. v. Aftab Singh</w:t>
      </w:r>
      <w:r>
        <w:t xml:space="preserve">, (2019) 12 SCC 751 (SC, 10 December 2018) — consumer disputes are non-arbitrable; the consumer forum need not refer under section 8.</w:t>
      </w:r>
    </w:p>
    <w:p>
      <w:pPr>
        <w:pStyle w:val="ListParagraph"/>
        <w:numPr>
          <w:ilvl w:val="0"/>
          <w:numId w:val="29"/>
        </w:numPr>
        <w:spacing w:after="70" w:line="264"/>
        <w:jc w:val="both"/>
      </w:pPr>
      <w:r>
        <w:rPr>
          <w:b/>
          <w:bCs/>
          <w:i/>
          <w:iCs/>
        </w:rPr>
        <w:t xml:space="preserve">Booz Allen &amp; Hamilton Inc. v. SBI Home Finance Ltd.</w:t>
      </w:r>
      <w:r>
        <w:t xml:space="preserve">, (2011) 5 SCC 532 — non-arbitrable categories on a rights </w:t>
      </w:r>
      <w:r>
        <w:rPr>
          <w:i/>
          <w:iCs/>
        </w:rPr>
        <w:t xml:space="preserve">in rem</w:t>
      </w:r>
      <w:r>
        <w:t xml:space="preserve"> analysis.</w:t>
      </w:r>
    </w:p>
    <w:p>
      <w:pPr>
        <w:pStyle w:val="ListParagraph"/>
        <w:numPr>
          <w:ilvl w:val="0"/>
          <w:numId w:val="29"/>
        </w:numPr>
        <w:spacing w:after="70" w:line="264"/>
        <w:jc w:val="both"/>
      </w:pPr>
      <w:r>
        <w:rPr>
          <w:b/>
          <w:bCs/>
          <w:i/>
          <w:iCs/>
        </w:rPr>
        <w:t xml:space="preserve">Vidya Drolia v. Durga Trading Corporation</w:t>
      </w:r>
      <w:r>
        <w:t xml:space="preserve">, (2021) 2 SCC 1 (SC, 3 Judges) — the fourfold test of non-arbitrability.</w:t>
      </w:r>
    </w:p>
    <w:p>
      <w:pPr>
        <w:pStyle w:val="Heading2"/>
        <w:keepNext/>
        <w:spacing w:after="100" w:before="250"/>
      </w:pPr>
      <w:r>
        <w:t xml:space="preserve">Topic 4 — The arbitration agreement: section 7</w:t>
      </w:r>
    </w:p>
    <w:p>
      <w:pPr>
        <w:pStyle w:val="ListParagraph"/>
        <w:numPr>
          <w:ilvl w:val="0"/>
          <w:numId w:val="30"/>
        </w:numPr>
        <w:spacing w:after="70" w:line="264"/>
        <w:jc w:val="both"/>
      </w:pPr>
      <w:r>
        <w:rPr>
          <w:b/>
          <w:bCs/>
          <w:i/>
          <w:iCs/>
        </w:rPr>
        <w:t xml:space="preserve">Jagdish Chander v. Ramesh Chander</w:t>
      </w:r>
      <w:r>
        <w:t xml:space="preserve">, (2007) 5 SCC 719 — a binding, non-optional agreement to refer is required; the four essential attributes and the guidelines.</w:t>
      </w:r>
    </w:p>
    <w:p>
      <w:pPr>
        <w:pStyle w:val="ListParagraph"/>
        <w:numPr>
          <w:ilvl w:val="0"/>
          <w:numId w:val="30"/>
        </w:numPr>
        <w:spacing w:after="70" w:line="264"/>
        <w:jc w:val="both"/>
      </w:pPr>
      <w:r>
        <w:rPr>
          <w:b/>
          <w:bCs/>
          <w:i/>
          <w:iCs/>
        </w:rPr>
        <w:t xml:space="preserve">Wellington Associates Ltd. v. Kirit Mehta</w:t>
      </w:r>
      <w:r>
        <w:t xml:space="preserve">, (2000) 4 SCC 272 — “may be referred to arbitration” is not an arbitration agreement.</w:t>
      </w:r>
    </w:p>
    <w:p>
      <w:pPr>
        <w:pStyle w:val="ListParagraph"/>
        <w:numPr>
          <w:ilvl w:val="0"/>
          <w:numId w:val="30"/>
        </w:numPr>
        <w:spacing w:after="70" w:line="264"/>
        <w:jc w:val="both"/>
      </w:pPr>
      <w:r>
        <w:rPr>
          <w:b/>
          <w:bCs/>
          <w:i/>
          <w:iCs/>
        </w:rPr>
        <w:t xml:space="preserve">In Re: Interplay between Arbitration Agreements under the Arbitration and Conciliation Act 1996 and the Indian Stamp Act 1899</w:t>
      </w:r>
      <w:r>
        <w:t xml:space="preserve">, 2023 INSC 1066 (SC, 7 Judges, 13 December 2023) — unstamped instrument is inadmissible but not void; the defect is curable; stamping is for the tribunal.</w:t>
      </w:r>
    </w:p>
    <w:p>
      <w:pPr>
        <w:pStyle w:val="ListParagraph"/>
        <w:numPr>
          <w:ilvl w:val="0"/>
          <w:numId w:val="30"/>
        </w:numPr>
        <w:spacing w:after="70" w:line="264"/>
        <w:jc w:val="both"/>
      </w:pPr>
      <w:r>
        <w:rPr>
          <w:b/>
          <w:bCs/>
          <w:i/>
          <w:iCs/>
        </w:rPr>
        <w:t xml:space="preserve">N.N. Global Mercantile Pvt. Ltd. v. Indo Unique Flame Ltd.</w:t>
      </w:r>
      <w:r>
        <w:t xml:space="preserve">, (2023) 7 SCC 1 (5 Judges) — </w:t>
      </w:r>
      <w:r>
        <w:rPr>
          <w:b/>
          <w:bCs/>
        </w:rPr>
        <w:t xml:space="preserve">overruled</w:t>
      </w:r>
      <w:r>
        <w:t xml:space="preserve"> by In Re: Interplay.</w:t>
      </w:r>
    </w:p>
    <w:p>
      <w:pPr>
        <w:pStyle w:val="ListParagraph"/>
        <w:numPr>
          <w:ilvl w:val="0"/>
          <w:numId w:val="30"/>
        </w:numPr>
        <w:spacing w:after="70" w:line="264"/>
        <w:jc w:val="both"/>
      </w:pPr>
      <w:r>
        <w:rPr>
          <w:b/>
          <w:bCs/>
          <w:i/>
          <w:iCs/>
        </w:rPr>
        <w:t xml:space="preserve">SMS Tea Estates Pvt. Ltd. v. Chandmari Tea Co. Pvt. Ltd.</w:t>
      </w:r>
      <w:r>
        <w:t xml:space="preserve">, (2011) 14 SCC 66 — </w:t>
      </w:r>
      <w:r>
        <w:rPr>
          <w:b/>
          <w:bCs/>
        </w:rPr>
        <w:t xml:space="preserve">overruled</w:t>
      </w:r>
      <w:r>
        <w:t xml:space="preserve"> by In Re: Interplay.</w:t>
      </w:r>
    </w:p>
    <w:p>
      <w:pPr>
        <w:pStyle w:val="ListParagraph"/>
        <w:numPr>
          <w:ilvl w:val="0"/>
          <w:numId w:val="30"/>
        </w:numPr>
        <w:spacing w:after="70" w:line="264"/>
        <w:jc w:val="both"/>
      </w:pPr>
      <w:r>
        <w:rPr>
          <w:b/>
          <w:bCs/>
          <w:i/>
          <w:iCs/>
        </w:rPr>
        <w:t xml:space="preserve">Garware Wall Ropes Ltd. v. Coastal Marine Constructions &amp; Engineering Ltd.</w:t>
      </w:r>
      <w:r>
        <w:t xml:space="preserve">, (2019) 9 SCC 209 — paragraphs 22 and 29 </w:t>
      </w:r>
      <w:r>
        <w:rPr>
          <w:b/>
          <w:bCs/>
        </w:rPr>
        <w:t xml:space="preserve">overruled</w:t>
      </w:r>
      <w:r>
        <w:t xml:space="preserve"> by In Re: Interplay.</w:t>
      </w:r>
    </w:p>
    <w:p>
      <w:pPr>
        <w:pStyle w:val="ListParagraph"/>
        <w:numPr>
          <w:ilvl w:val="0"/>
          <w:numId w:val="30"/>
        </w:numPr>
        <w:spacing w:after="70" w:line="264"/>
        <w:jc w:val="both"/>
      </w:pPr>
      <w:r>
        <w:rPr>
          <w:b/>
          <w:bCs/>
          <w:i/>
          <w:iCs/>
        </w:rPr>
        <w:t xml:space="preserve">Cox and Kings Ltd. v. SAP India Pvt. Ltd.</w:t>
      </w:r>
      <w:r>
        <w:t xml:space="preserve">, 2023 INSC 1051; 2023 SCC OnLine SC 1634 (SC, Constitution Bench of 5, 6 December 2023) — group of companies doctrine, grounded in section 2(1)(h) read with section 7.</w:t>
      </w:r>
    </w:p>
    <w:p>
      <w:pPr>
        <w:pStyle w:val="Heading2"/>
        <w:keepNext/>
        <w:spacing w:after="100" w:before="250"/>
      </w:pPr>
      <w:r>
        <w:t xml:space="preserve">Topic 5 — Interim measures: sections 9 and 17</w:t>
      </w:r>
    </w:p>
    <w:p>
      <w:pPr>
        <w:pStyle w:val="ListParagraph"/>
        <w:numPr>
          <w:ilvl w:val="0"/>
          <w:numId w:val="31"/>
        </w:numPr>
        <w:spacing w:after="70" w:line="264"/>
        <w:jc w:val="both"/>
      </w:pPr>
      <w:r>
        <w:rPr>
          <w:b/>
          <w:bCs/>
          <w:i/>
          <w:iCs/>
        </w:rPr>
        <w:t xml:space="preserve">Sundaram Finance Ltd. v. NEPC India Ltd.</w:t>
      </w:r>
      <w:r>
        <w:t xml:space="preserve">, (1999) 2 SCC 479; AIR 1999 SC 565 (SC, 13 January 1999) — section 9 relief before commencement, on proof of a manifest intention to arbitrate.</w:t>
      </w:r>
    </w:p>
    <w:p>
      <w:pPr>
        <w:pStyle w:val="ListParagraph"/>
        <w:numPr>
          <w:ilvl w:val="0"/>
          <w:numId w:val="31"/>
        </w:numPr>
        <w:spacing w:after="70" w:line="264"/>
        <w:jc w:val="both"/>
      </w:pPr>
      <w:r>
        <w:rPr>
          <w:b/>
          <w:bCs/>
          <w:i/>
          <w:iCs/>
        </w:rPr>
        <w:t xml:space="preserve">Firm Ashok Traders v. Gurumukh Das Saluja</w:t>
      </w:r>
      <w:r>
        <w:t xml:space="preserve">, (2004) 3 SCC 155 — the section 9 right is statutory, not contractual, and available only to a party.</w:t>
      </w:r>
    </w:p>
    <w:p>
      <w:pPr>
        <w:pStyle w:val="Heading2"/>
        <w:keepNext/>
        <w:spacing w:after="100" w:before="250"/>
      </w:pPr>
      <w:r>
        <w:t xml:space="preserve">Topic 6 — Number of arbitrators: section 10</w:t>
      </w:r>
    </w:p>
    <w:p>
      <w:pPr>
        <w:pStyle w:val="ListParagraph"/>
        <w:numPr>
          <w:ilvl w:val="0"/>
          <w:numId w:val="32"/>
        </w:numPr>
        <w:spacing w:after="70" w:line="264"/>
        <w:jc w:val="both"/>
      </w:pPr>
      <w:r>
        <w:rPr>
          <w:b/>
          <w:bCs/>
          <w:i/>
          <w:iCs/>
        </w:rPr>
        <w:t xml:space="preserve">Narayan Prasad Lohia v. Nikunj Kumar Lohia</w:t>
      </w:r>
      <w:r>
        <w:t xml:space="preserve">, (2002) 3 SCC 572; AIR 2002 SC 1139 (SC, 3 Judges, 20 February 2002) — section 10 is derogable; an even-numbered tribunal agreed by the parties is valid, and an untimely objection is waived.</w:t>
      </w:r>
    </w:p>
    <w:p>
      <w:pPr>
        <w:pStyle w:val="ListParagraph"/>
        <w:numPr>
          <w:ilvl w:val="0"/>
          <w:numId w:val="32"/>
        </w:numPr>
        <w:spacing w:after="70" w:line="264"/>
        <w:jc w:val="both"/>
      </w:pPr>
      <w:r>
        <w:rPr>
          <w:b/>
          <w:bCs/>
          <w:i/>
          <w:iCs/>
        </w:rPr>
        <w:t xml:space="preserve">Quippo Construction Equipment Ltd. v. Janardan Nirman Pvt. Ltd.</w:t>
      </w:r>
      <w:r>
        <w:t xml:space="preserve">, (2020) 18 SCC 277 — affirms Lohia; sections 10 and 16 read conjointly with section 4.</w:t>
      </w:r>
    </w:p>
    <w:p>
      <w:pPr>
        <w:pStyle w:val="Heading2"/>
        <w:keepNext/>
        <w:spacing w:after="100" w:before="250"/>
      </w:pPr>
      <w:r>
        <w:t xml:space="preserve">Topic 7 — Appointment of arbitrators: section 11</w:t>
      </w:r>
    </w:p>
    <w:p>
      <w:pPr>
        <w:pStyle w:val="ListParagraph"/>
        <w:numPr>
          <w:ilvl w:val="0"/>
          <w:numId w:val="33"/>
        </w:numPr>
        <w:spacing w:after="70" w:line="264"/>
        <w:jc w:val="both"/>
      </w:pPr>
      <w:r>
        <w:rPr>
          <w:b/>
          <w:bCs/>
          <w:i/>
          <w:iCs/>
        </w:rPr>
        <w:t xml:space="preserve">Gullapalli Nageswara Rao v. Andhra Pradesh State Road Transport Corporation</w:t>
      </w:r>
      <w:r>
        <w:t xml:space="preserve"> (Gullapalli-I), AIR 1959 SC 308 (Constitution Bench of 5, 5 November 1958) — natural justice; he who decides must hear.</w:t>
      </w:r>
    </w:p>
    <w:p>
      <w:pPr>
        <w:pStyle w:val="ListParagraph"/>
        <w:numPr>
          <w:ilvl w:val="0"/>
          <w:numId w:val="33"/>
        </w:numPr>
        <w:spacing w:after="70" w:line="264"/>
        <w:jc w:val="both"/>
      </w:pPr>
      <w:r>
        <w:rPr>
          <w:b/>
          <w:bCs/>
          <w:i/>
          <w:iCs/>
        </w:rPr>
        <w:t xml:space="preserve">Gullapalli Nageswara Rao v. State of Andhra Pradesh</w:t>
      </w:r>
      <w:r>
        <w:t xml:space="preserve"> (Gullapalli-II), AIR 1959 SC 1376 (21 August 1959) — to be distinguished; corrected procedure upheld.</w:t>
      </w:r>
    </w:p>
    <w:p>
      <w:pPr>
        <w:pStyle w:val="ListParagraph"/>
        <w:numPr>
          <w:ilvl w:val="0"/>
          <w:numId w:val="33"/>
        </w:numPr>
        <w:spacing w:after="70" w:line="264"/>
        <w:jc w:val="both"/>
      </w:pPr>
      <w:r>
        <w:rPr>
          <w:b/>
          <w:bCs/>
          <w:i/>
          <w:iCs/>
        </w:rPr>
        <w:t xml:space="preserve">Konkan Railway Corporation Ltd. v. Mehul Construction Co.</w:t>
      </w:r>
      <w:r>
        <w:t xml:space="preserve">, (2000) 7 SCC 201 (3 Judges) — section 11 power administrative; mandamus lies. </w:t>
      </w:r>
      <w:r>
        <w:rPr>
          <w:b/>
          <w:bCs/>
        </w:rPr>
        <w:t xml:space="preserve">Overruled on the nature of the power by Patel Engineering.</w:t>
      </w:r>
    </w:p>
    <w:p>
      <w:pPr>
        <w:pStyle w:val="ListParagraph"/>
        <w:numPr>
          <w:ilvl w:val="0"/>
          <w:numId w:val="33"/>
        </w:numPr>
        <w:spacing w:after="70" w:line="264"/>
        <w:jc w:val="both"/>
      </w:pPr>
      <w:r>
        <w:rPr>
          <w:b/>
          <w:bCs/>
          <w:i/>
          <w:iCs/>
        </w:rPr>
        <w:t xml:space="preserve">Konkan Railway Corporation Ltd. v. Rani Construction Pvt. Ltd.</w:t>
      </w:r>
      <w:r>
        <w:t xml:space="preserve">, (2002) 2 SCC 388 (Constitution Bench) — affirmed Mehul; a scheme cannot interpret the parent Act. </w:t>
      </w:r>
      <w:r>
        <w:rPr>
          <w:b/>
          <w:bCs/>
        </w:rPr>
        <w:t xml:space="preserve">Overruled by Patel Engineering.</w:t>
      </w:r>
    </w:p>
    <w:p>
      <w:pPr>
        <w:pStyle w:val="ListParagraph"/>
        <w:numPr>
          <w:ilvl w:val="0"/>
          <w:numId w:val="33"/>
        </w:numPr>
        <w:spacing w:after="70" w:line="264"/>
        <w:jc w:val="both"/>
      </w:pPr>
      <w:r>
        <w:rPr>
          <w:b/>
          <w:bCs/>
          <w:i/>
          <w:iCs/>
        </w:rPr>
        <w:t xml:space="preserve">SBP &amp; Co. v. Patel Engineering Ltd.</w:t>
      </w:r>
      <w:r>
        <w:t xml:space="preserve">, (2005) 8 SCC 618; AIR 2006 SC 450 (7 Judges, 26 October 2005) — section 11(6) power is judicial; preliminary aspects may be decided. </w:t>
      </w:r>
      <w:r>
        <w:rPr>
          <w:b/>
          <w:bCs/>
        </w:rPr>
        <w:t xml:space="preserve">Partly displaced</w:t>
      </w:r>
      <w:r>
        <w:t xml:space="preserve">: the wide enquiry is no longer good law.</w:t>
      </w:r>
    </w:p>
    <w:p>
      <w:pPr>
        <w:pStyle w:val="ListParagraph"/>
        <w:numPr>
          <w:ilvl w:val="0"/>
          <w:numId w:val="33"/>
        </w:numPr>
        <w:spacing w:after="70" w:line="264"/>
        <w:jc w:val="both"/>
      </w:pPr>
      <w:r>
        <w:rPr>
          <w:b/>
          <w:bCs/>
          <w:i/>
          <w:iCs/>
        </w:rPr>
        <w:t xml:space="preserve">National Insurance Co. Ltd. v. Boghara Polyfab Pvt. Ltd.</w:t>
      </w:r>
      <w:r>
        <w:t xml:space="preserve">, (2009) 1 SCC 267 — catalogued the issues decidable at the appointment stage.</w:t>
      </w:r>
    </w:p>
    <w:p>
      <w:pPr>
        <w:pStyle w:val="ListParagraph"/>
        <w:numPr>
          <w:ilvl w:val="0"/>
          <w:numId w:val="33"/>
        </w:numPr>
        <w:spacing w:after="70" w:line="264"/>
        <w:jc w:val="both"/>
      </w:pPr>
      <w:r>
        <w:rPr>
          <w:b/>
          <w:bCs/>
          <w:i/>
          <w:iCs/>
        </w:rPr>
        <w:t xml:space="preserve">Duro Felguera S.A. v. Gangavaram Port Ltd.</w:t>
      </w:r>
      <w:r>
        <w:t xml:space="preserve">, (2017) 9 SCC 729 — after section 11(6A) the enquiry is confined to existence.</w:t>
      </w:r>
    </w:p>
    <w:p>
      <w:pPr>
        <w:pStyle w:val="ListParagraph"/>
        <w:numPr>
          <w:ilvl w:val="0"/>
          <w:numId w:val="33"/>
        </w:numPr>
        <w:spacing w:after="70" w:line="264"/>
        <w:jc w:val="both"/>
      </w:pPr>
      <w:r>
        <w:rPr>
          <w:b/>
          <w:bCs/>
          <w:i/>
          <w:iCs/>
        </w:rPr>
        <w:t xml:space="preserve">Mayavati Trading Pvt. Ltd. v. Pradyuat Deb Burman</w:t>
      </w:r>
      <w:r>
        <w:t xml:space="preserve">, (2019) 8 SCC 714 — the wide enquiry in Patel Engineering is no longer good law.</w:t>
      </w:r>
    </w:p>
    <w:p>
      <w:pPr>
        <w:pStyle w:val="ListParagraph"/>
        <w:numPr>
          <w:ilvl w:val="0"/>
          <w:numId w:val="33"/>
        </w:numPr>
        <w:spacing w:after="70" w:line="264"/>
        <w:jc w:val="both"/>
      </w:pPr>
      <w:r>
        <w:rPr>
          <w:b/>
          <w:bCs/>
          <w:i/>
          <w:iCs/>
        </w:rPr>
        <w:t xml:space="preserve">In Re: Interplay</w:t>
      </w:r>
      <w:r>
        <w:t xml:space="preserve">, 2023 INSC 1066 (7 Judges) — section 11(6A) remains in force; narrow enquiry reaffirmed.</w:t>
      </w:r>
    </w:p>
    <w:p>
      <w:pPr>
        <w:pStyle w:val="Heading2"/>
        <w:keepNext/>
        <w:spacing w:after="100" w:before="250"/>
      </w:pPr>
      <w:r>
        <w:t xml:space="preserve">Topic 8 — Grounds and procedure for challenge: sections 12 and 13</w:t>
      </w:r>
    </w:p>
    <w:p>
      <w:pPr>
        <w:pStyle w:val="ListParagraph"/>
        <w:numPr>
          <w:ilvl w:val="0"/>
          <w:numId w:val="34"/>
        </w:numPr>
        <w:spacing w:after="70" w:line="264"/>
        <w:jc w:val="both"/>
      </w:pPr>
      <w:r>
        <w:rPr>
          <w:b/>
          <w:bCs/>
          <w:i/>
          <w:iCs/>
        </w:rPr>
        <w:t xml:space="preserve">Chagos Marine Protected Area Arbitration (Mauritius v. United Kingdom)</w:t>
      </w:r>
      <w:r>
        <w:t xml:space="preserve"> — Reasoned Decision on Challenge, PCA Case No. 2011-03, 30 November 2011 — the justifiable-doubts standard; challenge dismissed.</w:t>
      </w:r>
    </w:p>
    <w:p>
      <w:pPr>
        <w:pStyle w:val="ListParagraph"/>
        <w:numPr>
          <w:ilvl w:val="0"/>
          <w:numId w:val="34"/>
        </w:numPr>
        <w:spacing w:after="70" w:line="264"/>
        <w:jc w:val="both"/>
      </w:pPr>
      <w:r>
        <w:rPr>
          <w:b/>
          <w:bCs/>
          <w:i/>
          <w:iCs/>
        </w:rPr>
        <w:t xml:space="preserve">Indian Oil Corporation Ltd. v. Raja Transport Pvt. Ltd.</w:t>
      </w:r>
      <w:r>
        <w:t xml:space="preserve">, (2009) 8 SCC 520 (SC, 24 August 2009) — an employee of a party is not per se disqualified. </w:t>
      </w:r>
      <w:r>
        <w:rPr>
          <w:b/>
          <w:bCs/>
        </w:rPr>
        <w:t xml:space="preserve">Largely superseded.</w:t>
      </w:r>
    </w:p>
    <w:p>
      <w:pPr>
        <w:pStyle w:val="ListParagraph"/>
        <w:numPr>
          <w:ilvl w:val="0"/>
          <w:numId w:val="34"/>
        </w:numPr>
        <w:spacing w:after="70" w:line="264"/>
        <w:jc w:val="both"/>
      </w:pPr>
      <w:r>
        <w:rPr>
          <w:b/>
          <w:bCs/>
          <w:i/>
          <w:iCs/>
        </w:rPr>
        <w:t xml:space="preserve">Bharat Broadband Network Ltd. v. United Telecoms Ltd.</w:t>
      </w:r>
      <w:r>
        <w:t xml:space="preserve">, (2019) 5 SCC 755; 2019 INSC 537 (SC, 16 April 2019) — section 12(5) ineligibility is </w:t>
      </w:r>
      <w:r>
        <w:rPr>
          <w:i/>
          <w:iCs/>
        </w:rPr>
        <w:t xml:space="preserve">de jure</w:t>
      </w:r>
      <w:r>
        <w:t xml:space="preserve">; an ineligible person cannot appoint; waiver only by express written agreement after the dispute arises.</w:t>
      </w:r>
    </w:p>
    <w:p>
      <w:pPr>
        <w:pStyle w:val="ListParagraph"/>
        <w:numPr>
          <w:ilvl w:val="0"/>
          <w:numId w:val="34"/>
        </w:numPr>
        <w:spacing w:after="70" w:line="264"/>
        <w:jc w:val="both"/>
      </w:pPr>
      <w:r>
        <w:rPr>
          <w:b/>
          <w:bCs/>
          <w:i/>
          <w:iCs/>
        </w:rPr>
        <w:t xml:space="preserve">TRF Ltd. v. Energo Engineering Projects Ltd.</w:t>
      </w:r>
      <w:r>
        <w:t xml:space="preserve">, (2017) 8 SCC 377 (3 Judges) — an ineligible person cannot nominate an arbitrator.</w:t>
      </w:r>
    </w:p>
    <w:p>
      <w:pPr>
        <w:pStyle w:val="ListParagraph"/>
        <w:numPr>
          <w:ilvl w:val="0"/>
          <w:numId w:val="34"/>
        </w:numPr>
        <w:spacing w:after="70" w:line="264"/>
        <w:jc w:val="both"/>
      </w:pPr>
      <w:r>
        <w:rPr>
          <w:b/>
          <w:bCs/>
          <w:i/>
          <w:iCs/>
        </w:rPr>
        <w:t xml:space="preserve">Perkins Eastman Architects DPC v. HSCC (India) Ltd.</w:t>
      </w:r>
      <w:r>
        <w:t xml:space="preserve">, (2020) 20 SCC 760; 2019 SCC OnLine SC 1517; AIR 2020 SC 59 (26 November 2019) — an interested party cannot unilaterally appoint the sole arbitrator.</w:t>
      </w:r>
    </w:p>
    <w:p>
      <w:pPr>
        <w:pStyle w:val="ListParagraph"/>
        <w:numPr>
          <w:ilvl w:val="0"/>
          <w:numId w:val="34"/>
        </w:numPr>
        <w:spacing w:after="70" w:line="264"/>
        <w:jc w:val="both"/>
      </w:pPr>
      <w:r>
        <w:rPr>
          <w:b/>
          <w:bCs/>
          <w:i/>
          <w:iCs/>
        </w:rPr>
        <w:t xml:space="preserve">Central Organisation for Railway Electrification v. ECI-SPIC-SMO-MCML (JV)</w:t>
      </w:r>
      <w:r>
        <w:t xml:space="preserve"> (CORE-II), 2024 INSC 857; 2024 SCC OnLine SC 3219 (Constitution Bench of 5, 8 November 2024) — unilateral appointment clauses in public-private contracts violate Article 14; prospective effect.</w:t>
      </w:r>
    </w:p>
    <w:p>
      <w:pPr>
        <w:pStyle w:val="ListParagraph"/>
        <w:numPr>
          <w:ilvl w:val="0"/>
          <w:numId w:val="34"/>
        </w:numPr>
        <w:spacing w:after="70" w:line="264"/>
        <w:jc w:val="both"/>
      </w:pPr>
      <w:r>
        <w:rPr>
          <w:b/>
          <w:bCs/>
          <w:i/>
          <w:iCs/>
        </w:rPr>
        <w:t xml:space="preserve">Central Organisation for Railway Electrification v. ECI-SPIC-SMO-MCML (JV)</w:t>
      </w:r>
      <w:r>
        <w:t xml:space="preserve"> (CORE-I), (2020) 14 SCC 712 (3 Judges, 17 December 2019) — upheld such a clause. </w:t>
      </w:r>
      <w:r>
        <w:rPr>
          <w:b/>
          <w:bCs/>
        </w:rPr>
        <w:t xml:space="preserve">Overruled by CORE-II.</w:t>
      </w:r>
    </w:p>
    <w:p>
      <w:pPr>
        <w:pStyle w:val="Heading2"/>
        <w:keepNext/>
        <w:spacing w:after="100" w:before="250"/>
      </w:pPr>
      <w:r>
        <w:t xml:space="preserve">Topics 9, 10 and 11 — sections 14, 15, 16 and Chapter V</w:t>
      </w:r>
    </w:p>
    <w:p>
      <w:pPr>
        <w:pStyle w:val="ListParagraph"/>
        <w:numPr>
          <w:ilvl w:val="0"/>
          <w:numId w:val="35"/>
        </w:numPr>
        <w:spacing w:after="70" w:line="264"/>
        <w:jc w:val="both"/>
      </w:pPr>
      <w:r>
        <w:rPr>
          <w:b/>
          <w:bCs/>
          <w:i/>
          <w:iCs/>
        </w:rPr>
        <w:t xml:space="preserve">Bharat Broadband Network Ltd. v. United Telecoms Ltd.</w:t>
      </w:r>
      <w:r>
        <w:t xml:space="preserve">, (2019) 5 SCC 755 — statutory ineligibility produces </w:t>
      </w:r>
      <w:r>
        <w:rPr>
          <w:i/>
          <w:iCs/>
        </w:rPr>
        <w:t xml:space="preserve">de jure</w:t>
      </w:r>
      <w:r>
        <w:t xml:space="preserve"> inability, so the mandate terminates under section 14 and a substitute is appointed under section 15(2).</w:t>
      </w:r>
    </w:p>
    <w:p>
      <w:pPr>
        <w:pStyle w:val="ListParagraph"/>
        <w:numPr>
          <w:ilvl w:val="0"/>
          <w:numId w:val="35"/>
        </w:numPr>
        <w:spacing w:after="70" w:line="264"/>
        <w:jc w:val="both"/>
      </w:pPr>
      <w:r>
        <w:rPr>
          <w:b/>
          <w:bCs/>
          <w:i/>
          <w:iCs/>
        </w:rPr>
        <w:t xml:space="preserve">Gullapalli Nageswara Rao v. A.P. State Road Transport Corporation</w:t>
      </w:r>
      <w:r>
        <w:t xml:space="preserve"> (Gullapalli-I), AIR 1959 SC 308 — the principle behind section 15(3) and the natural justice content of section 18.</w:t>
      </w:r>
    </w:p>
    <w:p>
      <w:pPr>
        <w:pStyle w:val="ListParagraph"/>
        <w:numPr>
          <w:ilvl w:val="0"/>
          <w:numId w:val="35"/>
        </w:numPr>
        <w:spacing w:after="70" w:line="264"/>
        <w:jc w:val="both"/>
      </w:pPr>
      <w:r>
        <w:rPr>
          <w:b/>
          <w:bCs/>
          <w:i/>
          <w:iCs/>
        </w:rPr>
        <w:t xml:space="preserve">Bharat Aluminium Co. v. Kaiser Aluminium Technical Services Inc.</w:t>
      </w:r>
      <w:r>
        <w:t xml:space="preserve"> (BALCO), (2012) 9 SCC 552 — the seat-centric approach underlying the seat and venue distinction under section 20.</w:t>
      </w:r>
    </w:p>
    <w:p>
      <w:pPr>
        <w:pStyle w:val="ListParagraph"/>
        <w:numPr>
          <w:ilvl w:val="0"/>
          <w:numId w:val="35"/>
        </w:numPr>
        <w:spacing w:after="70" w:line="264"/>
        <w:jc w:val="both"/>
      </w:pPr>
      <w:r>
        <w:rPr>
          <w:b/>
          <w:bCs/>
          <w:i/>
          <w:iCs/>
        </w:rPr>
        <w:t xml:space="preserve">Tata Sons Pvt. Ltd. v. Siva Industries and Holdings Ltd.</w:t>
      </w:r>
      <w:r>
        <w:t xml:space="preserve">, MA No. 2680 of 2019 in Arbitration Case (Civil) No. 38 of 2017 (SC, 5 January 2023) — the twelve-month period under section 29A, running from completion of pleadings under section 23(4), is directory and not mandatory for international commercial arbitration.</w:t>
      </w:r>
    </w:p>
    <w:p>
      <w:pPr>
        <w:spacing w:after="120" w:line="264"/>
        <w:jc w:val="both"/>
      </w:pPr>
      <w:r>
        <w:rPr>
          <w:b/>
          <w:bCs/>
        </w:rPr>
        <w:t xml:space="preserve">Note.</w:t>
      </w:r>
      <w:r>
        <w:t xml:space="preserve"> Section 16 had no separate prescribed authority. Its operation is traced through the reference and appointment cases in Topics 3 and 7, where the rule of first priority is established.</w:t>
      </w:r>
    </w:p>
    <w:p>
      <w:pPr>
        <w:pStyle w:val="Heading2"/>
        <w:keepNext/>
        <w:spacing w:after="100" w:before="250"/>
      </w:pPr>
      <w:r>
        <w:t xml:space="preserve">Cases overruled, superseded or to be cited with care</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3300"/>
        <w:gridCol w:w="5550"/>
      </w:tblGrid>
      <w:tr>
        <w:trPr>
          <w:tblHeader/>
        </w:trPr>
        <w:tc>
          <w:tcPr>
            <w:tcW w:type="dxa" w:w="3300"/>
            <w:tcMar>
              <w:top w:type="dxa" w:w="70"/>
              <w:left w:type="dxa" w:w="100"/>
              <w:bottom w:type="dxa" w:w="70"/>
              <w:right w:type="dxa" w:w="100"/>
            </w:tcMar>
          </w:tcPr>
          <w:p>
            <w:pPr>
              <w:spacing w:after="0" w:line="240"/>
            </w:pPr>
            <w:r>
              <w:rPr>
                <w:b/>
                <w:bCs/>
                <w:color w:val="1F3864"/>
                <w:sz w:val="18"/>
                <w:szCs w:val="18"/>
              </w:rPr>
              <w:t xml:space="preserve">Case</w:t>
            </w:r>
          </w:p>
        </w:tc>
        <w:tc>
          <w:tcPr>
            <w:tcW w:type="dxa" w:w="5550"/>
            <w:tcMar>
              <w:top w:type="dxa" w:w="70"/>
              <w:left w:type="dxa" w:w="100"/>
              <w:bottom w:type="dxa" w:w="70"/>
              <w:right w:type="dxa" w:w="100"/>
            </w:tcMar>
          </w:tcPr>
          <w:p>
            <w:pPr>
              <w:spacing w:after="0" w:line="240"/>
            </w:pPr>
            <w:r>
              <w:rPr>
                <w:b/>
                <w:bCs/>
                <w:color w:val="1F3864"/>
                <w:sz w:val="18"/>
                <w:szCs w:val="18"/>
              </w:rPr>
              <w:t xml:space="preserve">Present standing</w:t>
            </w:r>
          </w:p>
        </w:tc>
      </w:tr>
      <w:tr>
        <w:tc>
          <w:tcPr>
            <w:tcW w:type="dxa" w:w="3300"/>
            <w:tcMar>
              <w:top w:type="dxa" w:w="70"/>
              <w:left w:type="dxa" w:w="100"/>
              <w:bottom w:type="dxa" w:w="70"/>
              <w:right w:type="dxa" w:w="100"/>
            </w:tcMar>
          </w:tcPr>
          <w:p>
            <w:pPr>
              <w:spacing w:after="0" w:line="240"/>
            </w:pPr>
            <w:r>
              <w:rPr>
                <w:b/>
                <w:bCs/>
                <w:i/>
                <w:iCs/>
                <w:sz w:val="18"/>
                <w:szCs w:val="18"/>
              </w:rPr>
              <w:t xml:space="preserve">Bhatia International</w:t>
            </w:r>
            <w:r>
              <w:rPr>
                <w:sz w:val="18"/>
                <w:szCs w:val="18"/>
              </w:rPr>
              <w:t xml:space="preserve"> (2002); </w:t>
            </w:r>
            <w:r>
              <w:rPr>
                <w:b/>
                <w:bCs/>
                <w:i/>
                <w:iCs/>
                <w:sz w:val="18"/>
                <w:szCs w:val="18"/>
              </w:rPr>
              <w:t xml:space="preserve">Venture Global</w:t>
            </w:r>
            <w:r>
              <w:rPr>
                <w:sz w:val="18"/>
                <w:szCs w:val="18"/>
              </w:rPr>
              <w:t xml:space="preserve"> (2008)</w:t>
            </w:r>
          </w:p>
        </w:tc>
        <w:tc>
          <w:tcPr>
            <w:tcW w:type="dxa" w:w="5550"/>
            <w:tcMar>
              <w:top w:type="dxa" w:w="70"/>
              <w:left w:type="dxa" w:w="100"/>
              <w:bottom w:type="dxa" w:w="70"/>
              <w:right w:type="dxa" w:w="100"/>
            </w:tcMar>
          </w:tcPr>
          <w:p>
            <w:pPr>
              <w:spacing w:after="0" w:line="240"/>
            </w:pPr>
            <w:r>
              <w:rPr>
                <w:sz w:val="18"/>
                <w:szCs w:val="18"/>
              </w:rPr>
              <w:t xml:space="preserve">Overruled by BALCO, prospectively from 6 September 2012. Agreements executed before that date remain governed by Bhatia.</w:t>
            </w:r>
          </w:p>
        </w:tc>
      </w:tr>
      <w:tr>
        <w:tc>
          <w:tcPr>
            <w:tcW w:type="dxa" w:w="3300"/>
            <w:tcMar>
              <w:top w:type="dxa" w:w="70"/>
              <w:left w:type="dxa" w:w="100"/>
              <w:bottom w:type="dxa" w:w="70"/>
              <w:right w:type="dxa" w:w="100"/>
            </w:tcMar>
          </w:tcPr>
          <w:p>
            <w:pPr>
              <w:spacing w:after="0" w:line="240"/>
            </w:pPr>
            <w:r>
              <w:rPr>
                <w:b/>
                <w:bCs/>
                <w:i/>
                <w:iCs/>
                <w:sz w:val="18"/>
                <w:szCs w:val="18"/>
              </w:rPr>
              <w:t xml:space="preserve">Mehul Construction</w:t>
            </w:r>
            <w:r>
              <w:rPr>
                <w:sz w:val="18"/>
                <w:szCs w:val="18"/>
              </w:rPr>
              <w:t xml:space="preserve"> (2000); </w:t>
            </w:r>
            <w:r>
              <w:rPr>
                <w:b/>
                <w:bCs/>
                <w:i/>
                <w:iCs/>
                <w:sz w:val="18"/>
                <w:szCs w:val="18"/>
              </w:rPr>
              <w:t xml:space="preserve">Rani Construction</w:t>
            </w:r>
            <w:r>
              <w:rPr>
                <w:sz w:val="18"/>
                <w:szCs w:val="18"/>
              </w:rPr>
              <w:t xml:space="preserve"> (2002)</w:t>
            </w:r>
          </w:p>
        </w:tc>
        <w:tc>
          <w:tcPr>
            <w:tcW w:type="dxa" w:w="5550"/>
            <w:tcMar>
              <w:top w:type="dxa" w:w="70"/>
              <w:left w:type="dxa" w:w="100"/>
              <w:bottom w:type="dxa" w:w="70"/>
              <w:right w:type="dxa" w:w="100"/>
            </w:tcMar>
          </w:tcPr>
          <w:p>
            <w:pPr>
              <w:spacing w:after="0" w:line="240"/>
            </w:pPr>
            <w:r>
              <w:rPr>
                <w:sz w:val="18"/>
                <w:szCs w:val="18"/>
              </w:rPr>
              <w:t xml:space="preserve">Overruled on the nature of the section 11 power by Patel Engineering; their narrow-enquiry reasoning has in effect been restored by section 11(6A).</w:t>
            </w:r>
          </w:p>
        </w:tc>
      </w:tr>
      <w:tr>
        <w:tc>
          <w:tcPr>
            <w:tcW w:type="dxa" w:w="3300"/>
            <w:tcMar>
              <w:top w:type="dxa" w:w="70"/>
              <w:left w:type="dxa" w:w="100"/>
              <w:bottom w:type="dxa" w:w="70"/>
              <w:right w:type="dxa" w:w="100"/>
            </w:tcMar>
          </w:tcPr>
          <w:p>
            <w:pPr>
              <w:spacing w:after="0" w:line="240"/>
            </w:pPr>
            <w:r>
              <w:rPr>
                <w:b/>
                <w:bCs/>
                <w:i/>
                <w:iCs/>
                <w:sz w:val="18"/>
                <w:szCs w:val="18"/>
              </w:rPr>
              <w:t xml:space="preserve">SBP &amp; Co. v. Patel Engineering</w:t>
            </w:r>
            <w:r>
              <w:rPr>
                <w:sz w:val="18"/>
                <w:szCs w:val="18"/>
              </w:rPr>
              <w:t xml:space="preserve"> (2005)</w:t>
            </w:r>
          </w:p>
        </w:tc>
        <w:tc>
          <w:tcPr>
            <w:tcW w:type="dxa" w:w="5550"/>
            <w:tcMar>
              <w:top w:type="dxa" w:w="70"/>
              <w:left w:type="dxa" w:w="100"/>
              <w:bottom w:type="dxa" w:w="70"/>
              <w:right w:type="dxa" w:w="100"/>
            </w:tcMar>
          </w:tcPr>
          <w:p>
            <w:pPr>
              <w:spacing w:after="0" w:line="240"/>
            </w:pPr>
            <w:r>
              <w:rPr>
                <w:sz w:val="18"/>
                <w:szCs w:val="18"/>
              </w:rPr>
              <w:t xml:space="preserve">Judicial-power holding survives; the wide preliminary enquiry does not (Mayavati Trading).</w:t>
            </w:r>
          </w:p>
        </w:tc>
      </w:tr>
      <w:tr>
        <w:tc>
          <w:tcPr>
            <w:tcW w:type="dxa" w:w="3300"/>
            <w:tcMar>
              <w:top w:type="dxa" w:w="70"/>
              <w:left w:type="dxa" w:w="100"/>
              <w:bottom w:type="dxa" w:w="70"/>
              <w:right w:type="dxa" w:w="100"/>
            </w:tcMar>
          </w:tcPr>
          <w:p>
            <w:pPr>
              <w:spacing w:after="0" w:line="240"/>
            </w:pPr>
            <w:r>
              <w:rPr>
                <w:b/>
                <w:bCs/>
                <w:i/>
                <w:iCs/>
                <w:sz w:val="18"/>
                <w:szCs w:val="18"/>
              </w:rPr>
              <w:t xml:space="preserve">Indian Oil Corporation v. Raja Transport</w:t>
            </w:r>
            <w:r>
              <w:rPr>
                <w:sz w:val="18"/>
                <w:szCs w:val="18"/>
              </w:rPr>
              <w:t xml:space="preserve"> (2009)</w:t>
            </w:r>
          </w:p>
        </w:tc>
        <w:tc>
          <w:tcPr>
            <w:tcW w:type="dxa" w:w="5550"/>
            <w:tcMar>
              <w:top w:type="dxa" w:w="70"/>
              <w:left w:type="dxa" w:w="100"/>
              <w:bottom w:type="dxa" w:w="70"/>
              <w:right w:type="dxa" w:w="100"/>
            </w:tcMar>
          </w:tcPr>
          <w:p>
            <w:pPr>
              <w:spacing w:after="0" w:line="240"/>
            </w:pPr>
            <w:r>
              <w:rPr>
                <w:sz w:val="18"/>
                <w:szCs w:val="18"/>
              </w:rPr>
              <w:t xml:space="preserve">Largely superseded by section 12(5), TRF, Perkins Eastman and CORE-II. Cite for the historical position only.</w:t>
            </w:r>
          </w:p>
        </w:tc>
      </w:tr>
      <w:tr>
        <w:tc>
          <w:tcPr>
            <w:tcW w:type="dxa" w:w="3300"/>
            <w:tcMar>
              <w:top w:type="dxa" w:w="70"/>
              <w:left w:type="dxa" w:w="100"/>
              <w:bottom w:type="dxa" w:w="70"/>
              <w:right w:type="dxa" w:w="100"/>
            </w:tcMar>
          </w:tcPr>
          <w:p>
            <w:pPr>
              <w:spacing w:after="0" w:line="240"/>
            </w:pPr>
            <w:r>
              <w:rPr>
                <w:b/>
                <w:bCs/>
                <w:i/>
                <w:iCs/>
                <w:sz w:val="18"/>
                <w:szCs w:val="18"/>
              </w:rPr>
              <w:t xml:space="preserve">CORE-I</w:t>
            </w:r>
            <w:r>
              <w:rPr>
                <w:sz w:val="18"/>
                <w:szCs w:val="18"/>
              </w:rPr>
              <w:t xml:space="preserve"> (2020)</w:t>
            </w:r>
          </w:p>
        </w:tc>
        <w:tc>
          <w:tcPr>
            <w:tcW w:type="dxa" w:w="5550"/>
            <w:tcMar>
              <w:top w:type="dxa" w:w="70"/>
              <w:left w:type="dxa" w:w="100"/>
              <w:bottom w:type="dxa" w:w="70"/>
              <w:right w:type="dxa" w:w="100"/>
            </w:tcMar>
          </w:tcPr>
          <w:p>
            <w:pPr>
              <w:spacing w:after="0" w:line="240"/>
            </w:pPr>
            <w:r>
              <w:rPr>
                <w:sz w:val="18"/>
                <w:szCs w:val="18"/>
              </w:rPr>
              <w:t xml:space="preserve">Overruled on unilateral appointment by CORE-II (2024).</w:t>
            </w:r>
          </w:p>
        </w:tc>
      </w:tr>
      <w:tr>
        <w:tc>
          <w:tcPr>
            <w:tcW w:type="dxa" w:w="3300"/>
            <w:tcMar>
              <w:top w:type="dxa" w:w="70"/>
              <w:left w:type="dxa" w:w="100"/>
              <w:bottom w:type="dxa" w:w="70"/>
              <w:right w:type="dxa" w:w="100"/>
            </w:tcMar>
          </w:tcPr>
          <w:p>
            <w:pPr>
              <w:spacing w:after="0" w:line="240"/>
            </w:pPr>
            <w:r>
              <w:rPr>
                <w:b/>
                <w:bCs/>
                <w:i/>
                <w:iCs/>
                <w:sz w:val="18"/>
                <w:szCs w:val="18"/>
              </w:rPr>
              <w:t xml:space="preserve">N.N. Global</w:t>
            </w:r>
            <w:r>
              <w:rPr>
                <w:sz w:val="18"/>
                <w:szCs w:val="18"/>
              </w:rPr>
              <w:t xml:space="preserve"> (2023); </w:t>
            </w:r>
            <w:r>
              <w:rPr>
                <w:b/>
                <w:bCs/>
                <w:i/>
                <w:iCs/>
                <w:sz w:val="18"/>
                <w:szCs w:val="18"/>
              </w:rPr>
              <w:t xml:space="preserve">SMS Tea Estates</w:t>
            </w:r>
            <w:r>
              <w:rPr>
                <w:sz w:val="18"/>
                <w:szCs w:val="18"/>
              </w:rPr>
              <w:t xml:space="preserve"> (2011); </w:t>
            </w:r>
            <w:r>
              <w:rPr>
                <w:b/>
                <w:bCs/>
                <w:i/>
                <w:iCs/>
                <w:sz w:val="18"/>
                <w:szCs w:val="18"/>
              </w:rPr>
              <w:t xml:space="preserve">Garware Wall Ropes</w:t>
            </w:r>
            <w:r>
              <w:rPr>
                <w:sz w:val="18"/>
                <w:szCs w:val="18"/>
              </w:rPr>
              <w:t xml:space="preserve"> (2019), paras 22 and 29</w:t>
            </w:r>
          </w:p>
        </w:tc>
        <w:tc>
          <w:tcPr>
            <w:tcW w:type="dxa" w:w="5550"/>
            <w:tcMar>
              <w:top w:type="dxa" w:w="70"/>
              <w:left w:type="dxa" w:w="100"/>
              <w:bottom w:type="dxa" w:w="70"/>
              <w:right w:type="dxa" w:w="100"/>
            </w:tcMar>
          </w:tcPr>
          <w:p>
            <w:pPr>
              <w:spacing w:after="0" w:line="240"/>
            </w:pPr>
            <w:r>
              <w:rPr>
                <w:sz w:val="18"/>
                <w:szCs w:val="18"/>
              </w:rPr>
              <w:t xml:space="preserve">Overruled by In Re: Interplay (2023).</w:t>
            </w:r>
          </w:p>
        </w:tc>
      </w:tr>
      <w:tr>
        <w:tc>
          <w:tcPr>
            <w:tcW w:type="dxa" w:w="3300"/>
            <w:tcMar>
              <w:top w:type="dxa" w:w="70"/>
              <w:left w:type="dxa" w:w="100"/>
              <w:bottom w:type="dxa" w:w="70"/>
              <w:right w:type="dxa" w:w="100"/>
            </w:tcMar>
          </w:tcPr>
          <w:p>
            <w:pPr>
              <w:spacing w:after="0" w:line="240"/>
            </w:pPr>
            <w:r>
              <w:rPr>
                <w:b/>
                <w:bCs/>
                <w:i/>
                <w:iCs/>
                <w:sz w:val="18"/>
                <w:szCs w:val="18"/>
              </w:rPr>
              <w:t xml:space="preserve">Vidya Drolia</w:t>
            </w:r>
            <w:r>
              <w:rPr>
                <w:sz w:val="18"/>
                <w:szCs w:val="18"/>
              </w:rPr>
              <w:t xml:space="preserve"> (2021)</w:t>
            </w:r>
          </w:p>
        </w:tc>
        <w:tc>
          <w:tcPr>
            <w:tcW w:type="dxa" w:w="5550"/>
            <w:tcMar>
              <w:top w:type="dxa" w:w="70"/>
              <w:left w:type="dxa" w:w="100"/>
              <w:bottom w:type="dxa" w:w="70"/>
              <w:right w:type="dxa" w:w="100"/>
            </w:tcMar>
          </w:tcPr>
          <w:p>
            <w:pPr>
              <w:spacing w:after="0" w:line="240"/>
            </w:pPr>
            <w:r>
              <w:rPr>
                <w:sz w:val="18"/>
                <w:szCs w:val="18"/>
              </w:rPr>
              <w:t xml:space="preserve">Good law on non-arbitrability, but it wrongly assumed section 11(6A) had been omitted. Corrected in In Re: Interplay.</w:t>
            </w:r>
          </w:p>
        </w:tc>
      </w:tr>
      <w:tr>
        <w:tc>
          <w:tcPr>
            <w:tcW w:type="dxa" w:w="3300"/>
            <w:tcMar>
              <w:top w:type="dxa" w:w="70"/>
              <w:left w:type="dxa" w:w="100"/>
              <w:bottom w:type="dxa" w:w="70"/>
              <w:right w:type="dxa" w:w="100"/>
            </w:tcMar>
          </w:tcPr>
          <w:p>
            <w:pPr>
              <w:spacing w:after="0" w:line="240"/>
            </w:pPr>
            <w:r>
              <w:rPr>
                <w:b/>
                <w:bCs/>
                <w:i/>
                <w:iCs/>
                <w:sz w:val="18"/>
                <w:szCs w:val="18"/>
              </w:rPr>
              <w:t xml:space="preserve">Tantia Construction</w:t>
            </w:r>
            <w:r>
              <w:rPr>
                <w:sz w:val="18"/>
                <w:szCs w:val="18"/>
              </w:rPr>
              <w:t xml:space="preserve"> (2011) and </w:t>
            </w:r>
            <w:r>
              <w:rPr>
                <w:b/>
                <w:bCs/>
                <w:i/>
                <w:iCs/>
                <w:sz w:val="18"/>
                <w:szCs w:val="18"/>
              </w:rPr>
              <w:t xml:space="preserve">Tantia Constructions</w:t>
            </w:r>
            <w:r>
              <w:rPr>
                <w:sz w:val="18"/>
                <w:szCs w:val="18"/>
              </w:rPr>
              <w:t xml:space="preserve"> (2021)</w:t>
            </w:r>
          </w:p>
        </w:tc>
        <w:tc>
          <w:tcPr>
            <w:tcW w:type="dxa" w:w="5550"/>
            <w:tcMar>
              <w:top w:type="dxa" w:w="70"/>
              <w:left w:type="dxa" w:w="100"/>
              <w:bottom w:type="dxa" w:w="70"/>
              <w:right w:type="dxa" w:w="100"/>
            </w:tcMar>
          </w:tcPr>
          <w:p>
            <w:pPr>
              <w:spacing w:after="0" w:line="240"/>
            </w:pPr>
            <w:r>
              <w:rPr>
                <w:sz w:val="18"/>
                <w:szCs w:val="18"/>
              </w:rPr>
              <w:t xml:space="preserve">Two different cases on different questions. </w:t>
            </w:r>
            <w:r>
              <w:rPr>
                <w:b/>
                <w:bCs/>
                <w:sz w:val="18"/>
                <w:szCs w:val="18"/>
              </w:rPr>
              <w:t xml:space="preserve">Do not conflate.</w:t>
            </w:r>
          </w:p>
        </w:tc>
      </w:tr>
      <w:tr>
        <w:tc>
          <w:tcPr>
            <w:tcW w:type="dxa" w:w="3300"/>
            <w:tcMar>
              <w:top w:type="dxa" w:w="70"/>
              <w:left w:type="dxa" w:w="100"/>
              <w:bottom w:type="dxa" w:w="70"/>
              <w:right w:type="dxa" w:w="100"/>
            </w:tcMar>
          </w:tcPr>
          <w:p>
            <w:pPr>
              <w:spacing w:after="0" w:line="240"/>
            </w:pPr>
            <w:r>
              <w:rPr>
                <w:b/>
                <w:bCs/>
                <w:i/>
                <w:iCs/>
                <w:sz w:val="18"/>
                <w:szCs w:val="18"/>
              </w:rPr>
              <w:t xml:space="preserve">Scott v. Avery</w:t>
            </w:r>
            <w:r>
              <w:rPr>
                <w:sz w:val="18"/>
                <w:szCs w:val="18"/>
              </w:rPr>
              <w:t xml:space="preserve"> (1856)</w:t>
            </w:r>
          </w:p>
        </w:tc>
        <w:tc>
          <w:tcPr>
            <w:tcW w:type="dxa" w:w="5550"/>
            <w:tcMar>
              <w:top w:type="dxa" w:w="70"/>
              <w:left w:type="dxa" w:w="100"/>
              <w:bottom w:type="dxa" w:w="70"/>
              <w:right w:type="dxa" w:w="100"/>
            </w:tcMar>
          </w:tcPr>
          <w:p>
            <w:pPr>
              <w:spacing w:after="0" w:line="240"/>
            </w:pPr>
            <w:r>
              <w:rPr>
                <w:sz w:val="18"/>
                <w:szCs w:val="18"/>
              </w:rPr>
              <w:t xml:space="preserve">English authority describing a type of clause, not a rule of Indian statute law.</w:t>
            </w:r>
          </w:p>
        </w:tc>
      </w:tr>
      <w:tr>
        <w:tc>
          <w:tcPr>
            <w:tcW w:type="dxa" w:w="3300"/>
            <w:tcMar>
              <w:top w:type="dxa" w:w="70"/>
              <w:left w:type="dxa" w:w="100"/>
              <w:bottom w:type="dxa" w:w="70"/>
              <w:right w:type="dxa" w:w="100"/>
            </w:tcMar>
          </w:tcPr>
          <w:p>
            <w:pPr>
              <w:spacing w:after="0" w:line="240"/>
            </w:pPr>
            <w:r>
              <w:rPr>
                <w:b/>
                <w:bCs/>
                <w:i/>
                <w:iCs/>
                <w:sz w:val="18"/>
                <w:szCs w:val="18"/>
              </w:rPr>
              <w:t xml:space="preserve">Saipem</w:t>
            </w:r>
            <w:r>
              <w:rPr>
                <w:sz w:val="18"/>
                <w:szCs w:val="18"/>
              </w:rPr>
              <w:t xml:space="preserve"> (2009); </w:t>
            </w:r>
            <w:r>
              <w:rPr>
                <w:b/>
                <w:bCs/>
                <w:i/>
                <w:iCs/>
                <w:sz w:val="18"/>
                <w:szCs w:val="18"/>
              </w:rPr>
              <w:t xml:space="preserve">White Industries</w:t>
            </w:r>
            <w:r>
              <w:rPr>
                <w:sz w:val="18"/>
                <w:szCs w:val="18"/>
              </w:rPr>
              <w:t xml:space="preserve"> (2011); </w:t>
            </w:r>
            <w:r>
              <w:rPr>
                <w:b/>
                <w:bCs/>
                <w:i/>
                <w:iCs/>
                <w:sz w:val="18"/>
                <w:szCs w:val="18"/>
              </w:rPr>
              <w:t xml:space="preserve">Chagos</w:t>
            </w:r>
            <w:r>
              <w:rPr>
                <w:sz w:val="18"/>
                <w:szCs w:val="18"/>
              </w:rPr>
              <w:t xml:space="preserve"> challenge (2011)</w:t>
            </w:r>
          </w:p>
        </w:tc>
        <w:tc>
          <w:tcPr>
            <w:tcW w:type="dxa" w:w="5550"/>
            <w:tcMar>
              <w:top w:type="dxa" w:w="70"/>
              <w:left w:type="dxa" w:w="100"/>
              <w:bottom w:type="dxa" w:w="70"/>
              <w:right w:type="dxa" w:w="100"/>
            </w:tcMar>
          </w:tcPr>
          <w:p>
            <w:pPr>
              <w:spacing w:after="0" w:line="240"/>
            </w:pPr>
            <w:r>
              <w:rPr>
                <w:sz w:val="18"/>
                <w:szCs w:val="18"/>
              </w:rPr>
              <w:t xml:space="preserve">Arbitral decisions — persuasive, not binding in India.</w:t>
            </w:r>
          </w:p>
        </w:tc>
      </w:tr>
    </w:tbl>
    <w:p>
      <w:pPr>
        <w:spacing w:after="120"/>
      </w:pPr>
      <w:r>
        <w:rPr>
          <w:sz w:val="10"/>
          <w:szCs w:val="10"/>
        </w:rPr>
        <w:t xml:space="preserve"/>
      </w:r>
    </w:p>
    <w:sectPr>
      <w:headerReference w:type="default" r:id="rId7"/>
      <w:headerReference w:type="first" r:id="rId8"/>
      <w:footerReference w:type="default" r:id="rId9"/>
      <w:footerReference w:type="first" r:id="rId10"/>
      <w:pgSz w:w="11906" w:h="16838" w:orient="portrait"/>
      <w:pgMar w:top="1250" w:right="1300" w:bottom="125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5"/>
      </w:pBdr>
      <w:tabs>
        <w:tab w:val="right" w:pos="9306"/>
      </w:tabs>
      <w:spacing w:before="60"/>
    </w:pPr>
    <w:r>
      <w:rPr>
        <w:rFonts w:ascii="Arial" w:cs="Arial" w:eastAsia="Arial" w:hAnsi="Arial"/>
        <w:color w:val="1F3864"/>
        <w:sz w:val="17"/>
        <w:szCs w:val="17"/>
      </w:rPr>
      <w:t xml:space="preserve">Surendra Mundvadiya | Alternative Dispute Resolution</w:t>
    </w:r>
    <w:r>
      <w:rPr>
        <w:sz w:val="17"/>
        <w:szCs w:val="17"/>
      </w:rPr>
      <w:t xml:space="preserve">	</w:t>
    </w:r>
    <w:r>
      <w:rPr>
        <w:rFonts w:ascii="Arial" w:cs="Arial" w:eastAsia="Arial" w:hAnsi="Arial"/>
        <w:color w:val="1F386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5" w:hanging="302"/>
      </w:pPr>
    </w:lvl>
  </w:abstractNum>
  <w:abstractNum w:abstractNumId="3" w15:restartNumberingAfterBreak="0">
    <w:multiLevelType w:val="hybridMultilevel"/>
    <w:lvl w:ilvl="0" w15:tentative="1">
      <w:start w:val="1"/>
      <w:numFmt w:val="lowerLetter"/>
      <w:lvlText w:val="(%1)"/>
      <w:lvlJc w:val="start"/>
      <w:pPr>
        <w:ind w:left="576" w:hanging="3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color w:val="1F386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Dispute Resolution</dc:title>
  <dc:creator>Surendra Mundvadiya</dc:creator>
  <cp:lastModifiedBy>Un-named</cp:lastModifiedBy>
  <cp:revision>1</cp:revision>
  <dcterms:created xsi:type="dcterms:W3CDTF">2026-09-22T09:40:48.544Z</dcterms:created>
  <dcterms:modified xsi:type="dcterms:W3CDTF">2026-09-22T09:40:48.545Z</dcterms:modified>
</cp:coreProperties>
</file>

<file path=docProps/custom.xml><?xml version="1.0" encoding="utf-8"?>
<Properties xmlns="http://schemas.openxmlformats.org/officeDocument/2006/custom-properties" xmlns:vt="http://schemas.openxmlformats.org/officeDocument/2006/docPropsVTypes"/>
</file>