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7365D"/>
          <w:sz w:val="48"/>
          <w:szCs w:val="48"/>
        </w:rPr>
        <w:t xml:space="preserve">PRINCIPLES OF TAXATION LAW</w:t>
      </w:r>
    </w:p>
    <w:p>
      <w:pPr>
        <w:spacing w:after="400"/>
        <w:jc w:val="center"/>
      </w:pPr>
      <w:r>
        <w:rPr>
          <w:color w:val="404040"/>
          <w:sz w:val="28"/>
          <w:szCs w:val="28"/>
        </w:rPr>
        <w:t xml:space="preserve">Consolidated Examination Notes</w:t>
      </w:r>
    </w:p>
    <w:p>
      <w:pPr>
        <w:pBdr>
          <w:top w:val="single" w:color="1F4E79" w:sz="6" w:space="8"/>
        </w:pBdr>
        <w:spacing w:after="700"/>
        <w:jc w:val="center"/>
      </w:pPr>
      <w:r>
        <w:rPr>
          <w:b/>
          <w:bCs/>
          <w:sz w:val="26"/>
          <w:szCs w:val="26"/>
        </w:rPr>
        <w:t xml:space="preserve">Units I to V — up to Income from House Property</w:t>
      </w:r>
    </w:p>
    <w:p>
      <w:pPr>
        <w:spacing w:after="100"/>
        <w:jc w:val="center"/>
      </w:pPr>
      <w:r>
        <w:rPr>
          <w:sz w:val="22"/>
          <w:szCs w:val="22"/>
        </w:rPr>
        <w:t xml:space="preserve">Subject Code: IP61015  |  Semester III  |  Credits 3-1-0 (4)</w:t>
      </w:r>
    </w:p>
    <w:p>
      <w:pPr>
        <w:spacing w:after="100"/>
        <w:jc w:val="center"/>
      </w:pPr>
      <w:r>
        <w:rPr>
          <w:sz w:val="22"/>
          <w:szCs w:val="22"/>
        </w:rPr>
        <w:t xml:space="preserve">Rajiv Gandhi School of Intellectual Property Law</w:t>
      </w:r>
    </w:p>
    <w:p>
      <w:pPr>
        <w:spacing w:after="500"/>
        <w:jc w:val="center"/>
      </w:pPr>
      <w:r>
        <w:rPr>
          <w:sz w:val="22"/>
          <w:szCs w:val="22"/>
        </w:rPr>
        <w:t xml:space="preserve">Indian Institute of Technology Kharagpur</w:t>
      </w:r>
    </w:p>
    <w:p>
      <w:pPr>
        <w:spacing w:after="100"/>
        <w:jc w:val="center"/>
      </w:pPr>
      <w:r>
        <w:rPr>
          <w:b/>
          <w:bCs/>
          <w:sz w:val="22"/>
          <w:szCs w:val="22"/>
        </w:rPr>
        <w:t xml:space="preserve">Jurisdiction: India</w:t>
      </w:r>
    </w:p>
    <w:p>
      <w:pPr>
        <w:spacing w:after="100"/>
        <w:jc w:val="center"/>
      </w:pPr>
      <w:r>
        <w:rPr>
          <w:sz w:val="22"/>
          <w:szCs w:val="22"/>
        </w:rPr>
        <w:t xml:space="preserve">Governing statute: the Income-tax Act, 2025 (Act 30 of 2025)</w:t>
      </w:r>
    </w:p>
    <w:p>
      <w:pPr>
        <w:spacing w:after="500"/>
        <w:jc w:val="center"/>
      </w:pPr>
      <w:r>
        <w:rPr>
          <w:sz w:val="22"/>
          <w:szCs w:val="22"/>
        </w:rPr>
        <w:t xml:space="preserve">Purpose: university examination preparation and revision</w:t>
      </w:r>
    </w:p>
    <w:p>
      <w:pPr>
        <w:jc w:val="center"/>
      </w:pPr>
      <w:r>
        <w:rPr>
          <w:i/>
          <w:iCs/>
          <w:color w:val="595959"/>
          <w:sz w:val="20"/>
          <w:szCs w:val="20"/>
        </w:rPr>
        <w:t xml:space="preserve">Prepared: 18 September 2026</w:t>
      </w:r>
    </w:p>
    <w:p>
      <w:pPr>
        <w:spacing w:after="600"/>
      </w:pPr>
    </w:p>
    <w:p>
      <w:pPr>
        <w:ind w:left="700" w:right="700"/>
        <w:jc w:val="center"/>
      </w:pPr>
      <w:r>
        <w:rPr>
          <w:i/>
          <w:iCs/>
          <w:color w:val="595959"/>
          <w:sz w:val="18"/>
          <w:szCs w:val="18"/>
        </w:rPr>
        <w:t xml:space="preserve">Section numbers are those of the Income-tax Act, 2025, with the corresponding section of the Income-tax Act, 1961 given in square brackets. Judgments decided under the Acts of 1922 and 1961 remain authority for the corresponding provisions of the Act of 2025.</w:t>
      </w:r>
    </w:p>
    <w:p>
      <w:pPr>
        <w:sectPr>
          <w:pgSz w:w="11906" w:h="16838" w:orient="portrait"/>
          <w:pgMar w:top="1440" w:right="1440" w:bottom="1440" w:left="1440" w:header="708" w:footer="708" w:gutter="0"/>
          <w:pgNumType/>
          <w:docGrid w:linePitch="360"/>
        </w:sectPr>
      </w:pPr>
    </w:p>
    <w:p>
      <w:pPr>
        <w:spacing w:after="200"/>
      </w:pPr>
      <w:r>
        <w:rPr>
          <w:b/>
          <w:bCs/>
          <w:color w:val="17365D"/>
          <w:sz w:val="32"/>
          <w:szCs w:val="32"/>
        </w:rPr>
        <w:t xml:space="preserve">Contents</w:t>
      </w:r>
    </w:p>
    <w:p>
      <w:pPr>
        <w:spacing w:after="200"/>
      </w:pPr>
      <w:r>
        <w:rPr>
          <w:i/>
          <w:iCs/>
          <w:color w:val="595959"/>
          <w:sz w:val="19"/>
          <w:szCs w:val="19"/>
        </w:rPr>
        <w:t xml:space="preserve">The contents below are generated automatically. If the list appears blank or out of date, click on it and press F9 (in Word: References → Update Table) to refresh the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Unit I — Introduction to Taxation</w:t>
      </w:r>
    </w:p>
    <w:p>
      <w:pPr>
        <w:pStyle w:val="Heading2"/>
      </w:pPr>
      <w:r>
        <w:t xml:space="preserve">1.1 Meaning of tax</w:t>
      </w:r>
    </w:p>
    <w:p>
      <w:pPr>
        <w:spacing w:after="140" w:line="276"/>
        <w:jc w:val="both"/>
      </w:pPr>
      <w:r>
        <w:t xml:space="preserve">A tax is a compulsory payment to the government for which the payer receives nothing directly in return. The word used for this is "unrequited": the taxpayer cannot point to a particular service bought with a particular rupee of tax. The money goes into a common fund and is spent for public purposes.</w:t>
      </w:r>
    </w:p>
    <w:p>
      <w:pPr>
        <w:spacing w:after="140" w:line="276"/>
        <w:jc w:val="both"/>
      </w:pPr>
      <w:r>
        <w:t xml:space="preserve">Two consequences follow. First, payment does not depend on the taxpayer’s consent or agreement. Second, no taxpayer can demand a specific benefit in exchange for the tax he pays. Both features distinguish a tax from a fee and from a price.</w:t>
      </w:r>
    </w:p>
    <w:p>
      <w:pPr>
        <w:pStyle w:val="Heading2"/>
      </w:pPr>
      <w:r>
        <w:t xml:space="preserve">1.2 History of taxation</w:t>
      </w:r>
    </w:p>
    <w:p>
      <w:pPr>
        <w:spacing w:after="140" w:line="276"/>
        <w:jc w:val="both"/>
      </w:pPr>
      <w:r>
        <w:t xml:space="preserve">Ancient systems taxed what could be seen and counted: land, produce, livestock, salt and trade. Rome levied customs duties, wealth taxes and a poll tax under Augustus. The English word "tax" comes from the Latin taxare, meaning to assess or estimate value. Kautilya’s Arthashastra, Book II, describes revenue administration in ancient India, and Magna Carta (1215) recorded the principle that taxation requires common consent.</w:t>
      </w:r>
    </w:p>
    <w:p>
      <w:pPr>
        <w:spacing w:after="140" w:line="276"/>
        <w:jc w:val="both"/>
      </w:pPr>
      <w:r>
        <w:t xml:space="preserve">Modern income tax begins in Britain. William Pitt the Younger introduced it in the budget of December 1798, operative from 1799, to finance the Napoleonic Wars. Incomes above sixty pounds were taxed on a graduated scale rising to ten per cent on incomes above two hundred pounds, and incomes below sixty pounds were exempt. Robert Peel reintroduced it in 1842; Gladstone repeatedly promised to abolish it but never did, and the Crimean War made it permanent. Wars have generally expanded taxation.</w:t>
      </w:r>
    </w:p>
    <w:p>
      <w:pPr>
        <w:spacing w:after="140" w:line="276"/>
        <w:jc w:val="both"/>
      </w:pPr>
      <w:r>
        <w:rPr>
          <w:b/>
          <w:bCs/>
          <w:i w:val="false"/>
          <w:iCs w:val="false"/>
        </w:rPr>
        <w:t xml:space="preserve">In India, income tax was introduced by Sir James Wilson in 1860 </w:t>
      </w:r>
      <w:r>
        <w:rPr>
          <w:b w:val="false"/>
          <w:bCs w:val="false"/>
          <w:i w:val="false"/>
          <w:iCs w:val="false"/>
        </w:rPr>
        <w:t xml:space="preserve">to meet the financial loss caused by the revolt of 1857. It was intended as a temporary measure and became permanent. The line of statutes is: Income Tax Act 1886, Income Tax Act 1918, Income-tax Act 1922, Income-tax Act 1961, and now the Income-tax Act 2025. </w:t>
      </w:r>
      <w:r>
        <w:rPr>
          <w:b w:val="false"/>
          <w:bCs w:val="false"/>
          <w:i/>
          <w:iCs/>
        </w:rPr>
        <w:t xml:space="preserve">(Correction to class notes: 1857 is the date of the revolt; 1860 is the date of the tax.)</w:t>
      </w:r>
    </w:p>
    <w:p>
      <w:pPr>
        <w:pStyle w:val="Heading2"/>
      </w:pPr>
      <w:r>
        <w:t xml:space="preserve">1.3 Purpose of taxation</w:t>
      </w:r>
    </w:p>
    <w:p>
      <w:pPr>
        <w:spacing w:after="140" w:line="276"/>
        <w:jc w:val="both"/>
      </w:pPr>
      <w:r>
        <w:t xml:space="preserve">Taxation funds public services, but its purposes and limits are contested.</w:t>
      </w:r>
    </w:p>
    <w:p>
      <w:pPr>
        <w:pStyle w:val="ListParagraph"/>
        <w:numPr>
          <w:ilvl w:val="0"/>
          <w:numId w:val="2"/>
        </w:numPr>
        <w:spacing w:after="70" w:line="276"/>
        <w:jc w:val="both"/>
      </w:pPr>
      <w:r>
        <w:rPr>
          <w:b/>
          <w:bCs/>
          <w:i w:val="false"/>
          <w:iCs w:val="false"/>
        </w:rPr>
        <w:t xml:space="preserve">Revenue. </w:t>
      </w:r>
      <w:r>
        <w:rPr>
          <w:b w:val="false"/>
          <w:bCs w:val="false"/>
          <w:i w:val="false"/>
          <w:iCs w:val="false"/>
        </w:rPr>
        <w:t xml:space="preserve">To fund defence, courts, police, roads, education, health and social security — the primary purpose.</w:t>
      </w:r>
    </w:p>
    <w:p>
      <w:pPr>
        <w:pStyle w:val="ListParagraph"/>
        <w:numPr>
          <w:ilvl w:val="0"/>
          <w:numId w:val="2"/>
        </w:numPr>
        <w:spacing w:after="70" w:line="276"/>
        <w:jc w:val="both"/>
      </w:pPr>
      <w:r>
        <w:rPr>
          <w:b/>
          <w:bCs/>
          <w:i w:val="false"/>
          <w:iCs w:val="false"/>
        </w:rPr>
        <w:t xml:space="preserve">Economic stability. </w:t>
      </w:r>
      <w:r>
        <w:rPr>
          <w:b w:val="false"/>
          <w:bCs w:val="false"/>
          <w:i w:val="false"/>
          <w:iCs w:val="false"/>
        </w:rPr>
        <w:t xml:space="preserve">Counter-cyclical policy: raising taxes in a boom to cool demand and cutting them in a downturn to support it.</w:t>
      </w:r>
    </w:p>
    <w:p>
      <w:pPr>
        <w:pStyle w:val="ListParagraph"/>
        <w:numPr>
          <w:ilvl w:val="0"/>
          <w:numId w:val="2"/>
        </w:numPr>
        <w:spacing w:after="70" w:line="276"/>
        <w:jc w:val="both"/>
      </w:pPr>
      <w:r>
        <w:rPr>
          <w:b/>
          <w:bCs/>
          <w:i w:val="false"/>
          <w:iCs w:val="false"/>
        </w:rPr>
        <w:t xml:space="preserve">Redistribution. </w:t>
      </w:r>
      <w:r>
        <w:rPr>
          <w:b w:val="false"/>
          <w:bCs w:val="false"/>
          <w:i w:val="false"/>
          <w:iCs w:val="false"/>
        </w:rPr>
        <w:t xml:space="preserve">Shifting a larger share of the burden to those with greater means, justified by the diminishing marginal utility of money.</w:t>
      </w:r>
    </w:p>
    <w:p>
      <w:pPr>
        <w:pStyle w:val="ListParagraph"/>
        <w:numPr>
          <w:ilvl w:val="0"/>
          <w:numId w:val="2"/>
        </w:numPr>
        <w:spacing w:after="70" w:line="276"/>
        <w:jc w:val="both"/>
      </w:pPr>
      <w:r>
        <w:rPr>
          <w:b/>
          <w:bCs/>
          <w:i w:val="false"/>
          <w:iCs w:val="false"/>
        </w:rPr>
        <w:t xml:space="preserve">Deterring harm. </w:t>
      </w:r>
      <w:r>
        <w:rPr>
          <w:b w:val="false"/>
          <w:bCs w:val="false"/>
          <w:i w:val="false"/>
          <w:iCs w:val="false"/>
        </w:rPr>
        <w:t xml:space="preserve">Taxes on alcohol, tobacco, sugar, pollution and congestion raise the price of harmful activity. These are called Pigouvian taxes, after A.C. Pigou (1877–1959), and are aimed at making the producer bear the full social cost.</w:t>
      </w:r>
    </w:p>
    <w:p>
      <w:pPr>
        <w:pStyle w:val="ListParagraph"/>
        <w:numPr>
          <w:ilvl w:val="0"/>
          <w:numId w:val="2"/>
        </w:numPr>
        <w:spacing w:after="70" w:line="276"/>
        <w:jc w:val="both"/>
      </w:pPr>
      <w:r>
        <w:rPr>
          <w:b/>
          <w:bCs/>
          <w:i w:val="false"/>
          <w:iCs w:val="false"/>
        </w:rPr>
        <w:t xml:space="preserve">Misuse. </w:t>
      </w:r>
      <w:r>
        <w:rPr>
          <w:b w:val="false"/>
          <w:bCs w:val="false"/>
          <w:i w:val="false"/>
          <w:iCs w:val="false"/>
        </w:rPr>
        <w:t xml:space="preserve">Tax measures can also be used to favour political supporters, protect inefficient domestic producers, or target unpopular groups. This is a criticism of practice, not a purpose.</w:t>
      </w:r>
    </w:p>
    <w:p>
      <w:pPr>
        <w:spacing w:after="140" w:line="276"/>
        <w:jc w:val="both"/>
      </w:pPr>
      <w:r>
        <w:t xml:space="preserve">Arthur Laffer argued in 1974 that beyond an optimal rate, raising rates reduces revenue, because people work less, retire early, move abroad or evade. The Laffer curve is a caution about rate-setting, not a precise measurement.</w:t>
      </w:r>
    </w:p>
    <w:p>
      <w:pPr>
        <w:pStyle w:val="Heading2"/>
      </w:pPr>
      <w:r>
        <w:t xml:space="preserve">1.4 The free rider problem</w:t>
      </w:r>
    </w:p>
    <w:p>
      <w:pPr>
        <w:spacing w:after="140" w:line="276"/>
        <w:jc w:val="both"/>
      </w:pPr>
      <w:r>
        <w:t xml:space="preserve">Defence, policing and courts benefit everyone and cannot practically be withheld from a person who refuses to pay for them. A person who enjoys them without contributing is a free rider. Because voluntary contribution would be undermined by free riding, compulsory financing through taxation is the standard solution. This is the strongest justification of taxation, and it is generally accepted at least for basic protective functions. It still raises the moral question of using the coercive power of the State against citizens.</w:t>
      </w:r>
    </w:p>
    <w:p>
      <w:pPr>
        <w:pStyle w:val="Heading2"/>
      </w:pPr>
      <w:r>
        <w:t xml:space="preserve">1.5 Types of taxes</w:t>
      </w:r>
    </w:p>
    <w:p>
      <w:pPr>
        <w:pStyle w:val="Heading3"/>
      </w:pPr>
      <w:r>
        <w:t xml:space="preserve">Direct taxes</w:t>
      </w:r>
    </w:p>
    <w:p>
      <w:pPr>
        <w:spacing w:after="140" w:line="276"/>
        <w:jc w:val="both"/>
      </w:pPr>
      <w:r>
        <w:t xml:space="preserve">A direct tax is paid to the authorities by the person or organisation on whom it is imposed, and the burden cannot be passed on. Examples are income tax, corporation tax, capital gains tax and taxes on wealth or land. A direct tax may be proportional, where everyone pays the same marginal rate on each additional rupee, or progressive, where the marginal rate itself rises with income. Under a proportional rate a high earner still pays more in total, because his base is larger.</w:t>
      </w:r>
    </w:p>
    <w:p>
      <w:pPr>
        <w:spacing w:after="140" w:line="276"/>
        <w:jc w:val="both"/>
      </w:pPr>
      <w:r>
        <w:t xml:space="preserve">Not every direct tax reflects ability to pay: a vehicle licence may be a flat or size-based charge, and a poll tax is a flat amount per person. Critics of progressive taxation argue that high marginal rates reduce the incentive to work, depress activity and encourage evasion.</w:t>
      </w:r>
    </w:p>
    <w:p>
      <w:pPr>
        <w:pStyle w:val="Heading3"/>
      </w:pPr>
      <w:r>
        <w:t xml:space="preserve">Indirect taxes</w:t>
      </w:r>
    </w:p>
    <w:p>
      <w:pPr>
        <w:spacing w:after="140" w:line="276"/>
        <w:jc w:val="both"/>
      </w:pPr>
      <w:r>
        <w:t xml:space="preserve">An indirect tax is remitted to the authorities by producers or retailers and passed on to consumers in the price. Examples are GST, excise duties and customs duties. The legal taxpayer and the person who actually bears the burden are therefore different. An ad valorem tax is a percentage of value, so tax rises with price; a specific tax is a fixed amount per unit, so cheap and premium goods bear the same tax. Indirect taxes are criticised as regressive, because essentials take a larger share of a poor household’s budget, and as "stealth" taxes, because the consumer cannot see how much he is paying.</w:t>
      </w:r>
    </w:p>
    <w:p>
      <w:pPr>
        <w:pStyle w:val="Heading3"/>
      </w:pPr>
      <w:r>
        <w:t xml:space="preserve">Transfer taxes</w:t>
      </w:r>
    </w:p>
    <w:p>
      <w:pPr>
        <w:spacing w:after="140" w:line="276"/>
        <w:jc w:val="both"/>
      </w:pPr>
      <w:r>
        <w:t xml:space="preserve">A transfer tax is levied on the formal transfer of ownership of land, buildings, shares or bonds. Stamp duty, gift tax and inheritance tax are examples, and the rate usually depends on the value and type of property.</w:t>
      </w:r>
    </w:p>
    <w:p>
      <w:pPr>
        <w:spacing w:after="140" w:line="276"/>
        <w:jc w:val="both"/>
      </w:pPr>
      <w:r>
        <w:rPr>
          <w:b/>
          <w:bCs/>
          <w:i w:val="false"/>
          <w:iCs w:val="false"/>
        </w:rPr>
        <w:t xml:space="preserve">Knowlton v. Moore, 178 U.S. 41 (1900) </w:t>
      </w:r>
      <w:r>
        <w:rPr>
          <w:b w:val="false"/>
          <w:bCs w:val="false"/>
          <w:i w:val="false"/>
          <w:iCs w:val="false"/>
        </w:rPr>
        <w:t xml:space="preserve">(United States Supreme Court) upheld the federal legacy tax, holding that a death or succession duty is a tax on the privilege of transmitting property rather than a direct tax on property itself, and so is in the nature of an indirect or excise tax.</w:t>
      </w:r>
    </w:p>
    <w:p>
      <w:pPr>
        <w:pStyle w:val="Heading2"/>
      </w:pPr>
      <w:r>
        <w:t xml:space="preserve">1.6 Impact, incidence and shifting</w:t>
      </w:r>
    </w:p>
    <w:p>
      <w:pPr>
        <w:spacing w:after="140" w:line="276"/>
        <w:jc w:val="both"/>
      </w:pPr>
      <w:r>
        <w:rPr>
          <w:b/>
          <w:bCs/>
          <w:i w:val="false"/>
          <w:iCs w:val="false"/>
        </w:rPr>
        <w:t xml:space="preserve">Impact </w:t>
      </w:r>
      <w:r>
        <w:rPr>
          <w:b w:val="false"/>
          <w:bCs w:val="false"/>
          <w:i w:val="false"/>
          <w:iCs w:val="false"/>
        </w:rPr>
        <w:t xml:space="preserve">is the point at which the tax is first levied — the person legally liable to pay. </w:t>
      </w:r>
      <w:r>
        <w:rPr>
          <w:b/>
          <w:bCs/>
          <w:i w:val="false"/>
          <w:iCs w:val="false"/>
        </w:rPr>
        <w:t xml:space="preserve">Incidence </w:t>
      </w:r>
      <w:r>
        <w:rPr>
          <w:b w:val="false"/>
          <w:bCs w:val="false"/>
          <w:i w:val="false"/>
          <w:iCs w:val="false"/>
        </w:rPr>
        <w:t xml:space="preserve">is where the burden finally rests after any shifting. </w:t>
      </w:r>
      <w:r>
        <w:rPr>
          <w:b/>
          <w:bCs/>
          <w:i w:val="false"/>
          <w:iCs w:val="false"/>
        </w:rPr>
        <w:t xml:space="preserve">Shifting </w:t>
      </w:r>
      <w:r>
        <w:rPr>
          <w:b w:val="false"/>
          <w:bCs w:val="false"/>
          <w:i w:val="false"/>
          <w:iCs w:val="false"/>
        </w:rPr>
        <w:t xml:space="preserve">is the passing of the burden to someone else, forward to consumers through higher prices or backward to suppliers through lower payments. For a direct tax, impact and incidence normally coincide. For an indirect tax they differ, and that difference is the whole point of the classification.</w:t>
      </w:r>
    </w:p>
    <w:p>
      <w:pPr>
        <w:pStyle w:val="Heading2"/>
      </w:pPr>
      <w:r>
        <w:t xml:space="preserve">1.7 Tax planning, avoidance and evasion</w:t>
      </w:r>
    </w:p>
    <w:p>
      <w:pPr>
        <w:pStyle w:val="ListParagraph"/>
        <w:numPr>
          <w:ilvl w:val="0"/>
          <w:numId w:val="2"/>
        </w:numPr>
        <w:spacing w:after="70" w:line="276"/>
        <w:jc w:val="both"/>
      </w:pPr>
      <w:r>
        <w:rPr>
          <w:b/>
          <w:bCs/>
          <w:i w:val="false"/>
          <w:iCs w:val="false"/>
        </w:rPr>
        <w:t xml:space="preserve">Tax planning </w:t>
      </w:r>
      <w:r>
        <w:rPr>
          <w:b w:val="false"/>
          <w:bCs w:val="false"/>
          <w:i w:val="false"/>
          <w:iCs w:val="false"/>
        </w:rPr>
        <w:t xml:space="preserve">is arranging one’s affairs using the reliefs, exemptions and structures the law itself provides, in order to pay less tax. It is lawful.</w:t>
      </w:r>
    </w:p>
    <w:p>
      <w:pPr>
        <w:pStyle w:val="ListParagraph"/>
        <w:numPr>
          <w:ilvl w:val="0"/>
          <w:numId w:val="2"/>
        </w:numPr>
        <w:spacing w:after="70" w:line="276"/>
        <w:jc w:val="both"/>
      </w:pPr>
      <w:r>
        <w:rPr>
          <w:b/>
          <w:bCs/>
          <w:i w:val="false"/>
          <w:iCs w:val="false"/>
        </w:rPr>
        <w:t xml:space="preserve">Tax avoidance </w:t>
      </w:r>
      <w:r>
        <w:rPr>
          <w:b w:val="false"/>
          <w:bCs w:val="false"/>
          <w:i w:val="false"/>
          <w:iCs w:val="false"/>
        </w:rPr>
        <w:t xml:space="preserve">is using artificial or colourable devices which comply with the letter of the law but defeat its object. It is technically lawful but is now largely curtailed by statute and by judicial doctrine.</w:t>
      </w:r>
    </w:p>
    <w:p>
      <w:pPr>
        <w:pStyle w:val="ListParagraph"/>
        <w:numPr>
          <w:ilvl w:val="0"/>
          <w:numId w:val="2"/>
        </w:numPr>
        <w:spacing w:after="70" w:line="276"/>
        <w:jc w:val="both"/>
      </w:pPr>
      <w:r>
        <w:rPr>
          <w:b/>
          <w:bCs/>
          <w:i w:val="false"/>
          <w:iCs w:val="false"/>
        </w:rPr>
        <w:t xml:space="preserve">Tax evasion </w:t>
      </w:r>
      <w:r>
        <w:rPr>
          <w:b w:val="false"/>
          <w:bCs w:val="false"/>
          <w:i w:val="false"/>
          <w:iCs w:val="false"/>
        </w:rPr>
        <w:t xml:space="preserve">is escaping tax unlawfully, by concealing income, falsifying accounts or making false claims. It is illegal and punishable.</w:t>
      </w:r>
    </w:p>
    <w:p>
      <w:pPr>
        <w:spacing w:after="140" w:line="276"/>
        <w:jc w:val="both"/>
      </w:pPr>
      <w:r>
        <w:t xml:space="preserve">McDowell &amp; Co. Ltd. v. Commercial Tax Officer (1985) 3 SCC 230 criticised the use of dubious devices to avoid tax. Union of India v. Azadi Bachao Andolan (2004) 10 SCC 1 read McDowell down and confirmed that legitimate planning within the law, including the use of a tax treaty, is permissible. The distinction therefore turns on whether the arrangement is genuine.</w:t>
      </w:r>
    </w:p>
    <w:p>
      <w:pPr>
        <w:spacing w:after="140" w:line="276"/>
        <w:jc w:val="both"/>
      </w:pPr>
      <w:r>
        <w:rPr>
          <w:b/>
          <w:bCs/>
          <w:i w:val="false"/>
          <w:iCs w:val="false"/>
        </w:rPr>
        <w:t xml:space="preserve">General anti-avoidance rule. </w:t>
      </w:r>
      <w:r>
        <w:rPr>
          <w:b w:val="false"/>
          <w:bCs w:val="false"/>
          <w:i w:val="false"/>
          <w:iCs w:val="false"/>
        </w:rPr>
        <w:t xml:space="preserve">GAAR is contained in sections 178 to 184 of the Act of 2025 [Chapter X-A, sections 95 to 102 of the Act of 1961]. It applies to an "impermissible avoidance arrangement" whose main purpose is to obtain a tax benefit and which lacks commercial substance. Under Rule 10U(1)(a) of the Income-tax Rules, GAAR is not invoked where the tax benefit does not exceed three crore rupees.</w:t>
      </w:r>
    </w:p>
    <w:p>
      <w:pPr>
        <w:pStyle w:val="Heading2"/>
      </w:pPr>
      <w:r>
        <w:t xml:space="preserve">1.8 Tax, cess, fee, surcharge and toll</w:t>
      </w:r>
    </w:p>
    <w:p>
      <w:pPr>
        <w:pStyle w:val="ListParagraph"/>
        <w:numPr>
          <w:ilvl w:val="0"/>
          <w:numId w:val="2"/>
        </w:numPr>
        <w:spacing w:after="70" w:line="276"/>
        <w:jc w:val="both"/>
      </w:pPr>
      <w:r>
        <w:rPr>
          <w:b/>
          <w:bCs/>
          <w:i w:val="false"/>
          <w:iCs w:val="false"/>
        </w:rPr>
        <w:t xml:space="preserve">Tax </w:t>
      </w:r>
      <w:r>
        <w:rPr>
          <w:b w:val="false"/>
          <w:bCs w:val="false"/>
          <w:i w:val="false"/>
          <w:iCs w:val="false"/>
        </w:rPr>
        <w:t xml:space="preserve">— a compulsory exaction for public purposes, with no quid pro quo; it goes into general revenue.</w:t>
      </w:r>
    </w:p>
    <w:p>
      <w:pPr>
        <w:pStyle w:val="ListParagraph"/>
        <w:numPr>
          <w:ilvl w:val="0"/>
          <w:numId w:val="2"/>
        </w:numPr>
        <w:spacing w:after="70" w:line="276"/>
        <w:jc w:val="both"/>
      </w:pPr>
      <w:r>
        <w:rPr>
          <w:b/>
          <w:bCs/>
          <w:i w:val="false"/>
          <w:iCs w:val="false"/>
        </w:rPr>
        <w:t xml:space="preserve">Fee </w:t>
      </w:r>
      <w:r>
        <w:rPr>
          <w:b w:val="false"/>
          <w:bCs w:val="false"/>
          <w:i w:val="false"/>
          <w:iCs w:val="false"/>
        </w:rPr>
        <w:t xml:space="preserve">— a charge for a service, licence or privilege. It must bear a broad relationship to the cost of what is provided or regulated.</w:t>
      </w:r>
    </w:p>
    <w:p>
      <w:pPr>
        <w:pStyle w:val="ListParagraph"/>
        <w:numPr>
          <w:ilvl w:val="0"/>
          <w:numId w:val="2"/>
        </w:numPr>
        <w:spacing w:after="70" w:line="276"/>
        <w:jc w:val="both"/>
      </w:pPr>
      <w:r>
        <w:rPr>
          <w:b/>
          <w:bCs/>
          <w:i w:val="false"/>
          <w:iCs w:val="false"/>
        </w:rPr>
        <w:t xml:space="preserve">Cess </w:t>
      </w:r>
      <w:r>
        <w:rPr>
          <w:b w:val="false"/>
          <w:bCs w:val="false"/>
          <w:i w:val="false"/>
          <w:iCs w:val="false"/>
        </w:rPr>
        <w:t xml:space="preserve">— a tax earmarked for a stated purpose. Under income tax law the current levy is the Health and Education Cess at four per cent of income tax plus surcharge.</w:t>
      </w:r>
    </w:p>
    <w:p>
      <w:pPr>
        <w:pStyle w:val="ListParagraph"/>
        <w:numPr>
          <w:ilvl w:val="0"/>
          <w:numId w:val="2"/>
        </w:numPr>
        <w:spacing w:after="70" w:line="276"/>
        <w:jc w:val="both"/>
      </w:pPr>
      <w:r>
        <w:rPr>
          <w:b/>
          <w:bCs/>
          <w:i w:val="false"/>
          <w:iCs w:val="false"/>
        </w:rPr>
        <w:t xml:space="preserve">Surcharge </w:t>
      </w:r>
      <w:r>
        <w:rPr>
          <w:b w:val="false"/>
          <w:bCs w:val="false"/>
          <w:i w:val="false"/>
          <w:iCs w:val="false"/>
        </w:rPr>
        <w:t xml:space="preserve">— a tax on tax, levied for the purposes of the Union under Article 271 and not shared with the States.</w:t>
      </w:r>
    </w:p>
    <w:p>
      <w:pPr>
        <w:pStyle w:val="ListParagraph"/>
        <w:numPr>
          <w:ilvl w:val="0"/>
          <w:numId w:val="2"/>
        </w:numPr>
        <w:spacing w:after="70" w:line="276"/>
        <w:jc w:val="both"/>
      </w:pPr>
      <w:r>
        <w:rPr>
          <w:b/>
          <w:bCs/>
          <w:i w:val="false"/>
          <w:iCs w:val="false"/>
        </w:rPr>
        <w:t xml:space="preserve">Toll </w:t>
      </w:r>
      <w:r>
        <w:rPr>
          <w:b w:val="false"/>
          <w:bCs w:val="false"/>
          <w:i w:val="false"/>
          <w:iCs w:val="false"/>
        </w:rPr>
        <w:t xml:space="preserve">— a charge for the use of a particular facility, such as a road or bridge.</w:t>
      </w:r>
    </w:p>
    <w:p>
      <w:pPr>
        <w:spacing w:after="140" w:line="276"/>
        <w:jc w:val="both"/>
      </w:pPr>
      <w:r>
        <w:t xml:space="preserve">Commissioner, Hindu Religious Endowments, Madras v. Sri Lakshmindra Thirtha Swamiar (the Shirur Mutt case), AIR 1954 SC 282, is the starting point: a tax is a compulsory exaction for public purposes with no element of quid pro quo, while a fee is a payment for a special service rendered. Sreenivasa General Traders v. State of Andhra Pradesh (1983) 4 SCC 353 relaxed the test, holding that the correlation between the fee and the service need only be broad and reasonable, not arithmetically exact. State of West Bengal v. Kesoram Industries Ltd (2004) 10 SCC 201 restates the distinction: in a fee there is an element of quid pro quo which is absent in a tax.</w:t>
      </w:r>
    </w:p>
    <w:p>
      <w:pPr>
        <w:pStyle w:val="Heading3"/>
      </w:pPr>
      <w:r>
        <w:t xml:space="preserve">Delhi Race Club Ltd v. Union of India (2012) 8 SCC 680 (Supreme Court, 13 July 2012)</w:t>
      </w:r>
    </w:p>
    <w:p>
      <w:pPr>
        <w:spacing w:after="140" w:line="276"/>
        <w:jc w:val="both"/>
      </w:pPr>
      <w:r>
        <w:rPr>
          <w:b/>
          <w:bCs/>
          <w:i w:val="false"/>
          <w:iCs w:val="false"/>
        </w:rPr>
        <w:t xml:space="preserve">Facts. </w:t>
      </w:r>
      <w:r>
        <w:rPr>
          <w:b w:val="false"/>
          <w:bCs w:val="false"/>
          <w:i w:val="false"/>
          <w:iCs w:val="false"/>
        </w:rPr>
        <w:t xml:space="preserve">Rules governing horse racing in Delhi were amended to raise the licence fee from two thousand rupees to twenty thousand rupees per race day, and the wagering licence fee from five hundred to five thousand rupees. The club challenged the increase.</w:t>
      </w:r>
    </w:p>
    <w:p>
      <w:pPr>
        <w:spacing w:after="140" w:line="276"/>
        <w:jc w:val="both"/>
      </w:pPr>
      <w:r>
        <w:rPr>
          <w:b/>
          <w:bCs/>
          <w:i w:val="false"/>
          <w:iCs w:val="false"/>
        </w:rPr>
        <w:t xml:space="preserve">Issues. </w:t>
      </w:r>
      <w:r>
        <w:rPr>
          <w:b w:val="false"/>
          <w:bCs w:val="false"/>
          <w:i w:val="false"/>
          <w:iCs w:val="false"/>
        </w:rPr>
        <w:t xml:space="preserve">First, whether the power to fix the fee had been delegated excessively. Second, whether the levy was in truth a tax rather than a fee, because no service was rendered in exchange, and so required the authority of law under Article 265.</w:t>
      </w:r>
    </w:p>
    <w:p>
      <w:pPr>
        <w:spacing w:after="140" w:line="276"/>
        <w:jc w:val="both"/>
      </w:pPr>
      <w:r>
        <w:rPr>
          <w:b/>
          <w:bCs/>
          <w:i w:val="false"/>
          <w:iCs w:val="false"/>
        </w:rPr>
        <w:t xml:space="preserve">Held. </w:t>
      </w:r>
      <w:r>
        <w:rPr>
          <w:b w:val="false"/>
          <w:bCs w:val="false"/>
          <w:i w:val="false"/>
          <w:iCs w:val="false"/>
        </w:rPr>
        <w:t xml:space="preserve">The increase was valid. On the reading of the parent Act, the essential legislative function had been retained by the legislature, so there was no excessive delegation. The levy was a regulatory licence fee, for which no quid pro quo is required.</w:t>
      </w:r>
    </w:p>
    <w:p>
      <w:pPr>
        <w:spacing w:after="140" w:line="276"/>
        <w:jc w:val="both"/>
      </w:pPr>
      <w:r>
        <w:rPr>
          <w:b/>
          <w:bCs/>
          <w:i w:val="false"/>
          <w:iCs w:val="false"/>
        </w:rPr>
        <w:t xml:space="preserve">Principle. </w:t>
      </w:r>
      <w:r>
        <w:rPr>
          <w:b w:val="false"/>
          <w:bCs w:val="false"/>
          <w:i w:val="false"/>
          <w:iCs w:val="false"/>
        </w:rPr>
        <w:t xml:space="preserve">A licence fee may be of two kinds. A compensatory fee is charged for rendering a specific service and must broadly correspond to the cost of that service, though exact arithmetical equivalence is not expected. A regulatory fee is charged because the activity needs to be regulated or controlled; it is validly a fee and not a tax even though no service is rendered, provided it is not excessive. Some measure of governmental oversight, rather than an exact exchange, is what supports it.</w:t>
      </w:r>
    </w:p>
    <w:p>
      <w:pPr>
        <w:spacing w:after="140" w:line="276"/>
        <w:jc w:val="both"/>
      </w:pPr>
      <w:r>
        <w:rPr>
          <w:b/>
          <w:bCs/>
          <w:i w:val="false"/>
          <w:iCs w:val="false"/>
        </w:rPr>
        <w:t xml:space="preserve">Relevance. </w:t>
      </w:r>
      <w:r>
        <w:rPr>
          <w:b w:val="false"/>
          <w:bCs w:val="false"/>
          <w:i w:val="false"/>
          <w:iCs w:val="false"/>
        </w:rPr>
        <w:t xml:space="preserve">This is the leading authority on the syllabus topic of tax, cess and fee, and it also explains why Article 110(2) treats licence fees separately from taxes.</w:t>
      </w:r>
    </w:p>
    <w:p>
      <w:pPr>
        <w:pStyle w:val="Heading1"/>
      </w:pPr>
      <w:r>
        <w:t xml:space="preserve">Unit II — Constitution and Taxation; Interpretation of Tax Statutes</w:t>
      </w:r>
    </w:p>
    <w:p>
      <w:pPr>
        <w:pStyle w:val="Heading2"/>
      </w:pPr>
      <w:r>
        <w:t xml:space="preserve">2.1 Article 265: no tax without authority of law</w:t>
      </w:r>
    </w:p>
    <w:p>
      <w:pPr>
        <w:spacing w:after="140" w:line="276"/>
        <w:jc w:val="both"/>
      </w:pPr>
      <w:r>
        <w:t xml:space="preserve">Article 265 provides that no tax shall be levied or collected except by authority of law. Both the imposition and the collection must rest on a valid law made by a competent legislature. An executive instruction, an administrative circular or a bare demand is not enough, and a levy beyond what the statute authorises can be recovered back. This is the constitutional foundation of the rule that a taxing statute must be strictly construed.</w:t>
      </w:r>
    </w:p>
    <w:p>
      <w:pPr>
        <w:pStyle w:val="Heading2"/>
      </w:pPr>
      <w:r>
        <w:t xml:space="preserve">2.2 Sources and distribution of the power to tax</w:t>
      </w:r>
    </w:p>
    <w:p>
      <w:pPr>
        <w:spacing w:after="140" w:line="276"/>
        <w:jc w:val="both"/>
      </w:pPr>
      <w:r>
        <w:t xml:space="preserve">Article 245 fixes the territorial extent of the laws made by Parliament and by State legislatures. Article 246, read with the Seventh Schedule, distributes subjects between them. The Constitution keeps taxation entries separate from general entries, so the power to tax must be found in a specific taxation entry and cannot be inferred from a general regulatory entry.</w:t>
      </w:r>
    </w:p>
    <w:p>
      <w:pPr>
        <w:pStyle w:val="ListParagraph"/>
        <w:numPr>
          <w:ilvl w:val="0"/>
          <w:numId w:val="2"/>
        </w:numPr>
        <w:spacing w:after="70" w:line="276"/>
        <w:jc w:val="both"/>
      </w:pPr>
      <w:r>
        <w:rPr>
          <w:b/>
          <w:bCs/>
          <w:i w:val="false"/>
          <w:iCs w:val="false"/>
        </w:rPr>
        <w:t xml:space="preserve">List I (Union). </w:t>
      </w:r>
      <w:r>
        <w:rPr>
          <w:b w:val="false"/>
          <w:bCs w:val="false"/>
          <w:i w:val="false"/>
          <w:iCs w:val="false"/>
        </w:rPr>
        <w:t xml:space="preserve">Taxation entries are Entries 82 to 92B, with the residuary Entry 97. Entry 82 is "taxes on income other than agricultural income" — the constitutional basis of the Income-tax Act.</w:t>
      </w:r>
    </w:p>
    <w:p>
      <w:pPr>
        <w:pStyle w:val="ListParagraph"/>
        <w:numPr>
          <w:ilvl w:val="0"/>
          <w:numId w:val="2"/>
        </w:numPr>
        <w:spacing w:after="70" w:line="276"/>
        <w:jc w:val="both"/>
      </w:pPr>
      <w:r>
        <w:rPr>
          <w:b/>
          <w:bCs/>
          <w:i w:val="false"/>
          <w:iCs w:val="false"/>
        </w:rPr>
        <w:t xml:space="preserve">List II (State). </w:t>
      </w:r>
      <w:r>
        <w:rPr>
          <w:b w:val="false"/>
          <w:bCs w:val="false"/>
          <w:i w:val="false"/>
          <w:iCs w:val="false"/>
        </w:rPr>
        <w:t xml:space="preserve">Taxation entries run from Entry 45 to Entry 63. Entry 46 is "taxes on agricultural income", which is why agricultural income is left out of central income tax.</w:t>
      </w:r>
    </w:p>
    <w:p>
      <w:pPr>
        <w:pStyle w:val="ListParagraph"/>
        <w:numPr>
          <w:ilvl w:val="0"/>
          <w:numId w:val="2"/>
        </w:numPr>
        <w:spacing w:after="70" w:line="276"/>
        <w:jc w:val="both"/>
      </w:pPr>
      <w:r>
        <w:rPr>
          <w:b/>
          <w:bCs/>
          <w:i w:val="false"/>
          <w:iCs w:val="false"/>
        </w:rPr>
        <w:t xml:space="preserve">List III (Concurrent). </w:t>
      </w:r>
      <w:r>
        <w:rPr>
          <w:b w:val="false"/>
          <w:bCs w:val="false"/>
          <w:i w:val="false"/>
          <w:iCs w:val="false"/>
        </w:rPr>
        <w:t xml:space="preserve">Entry 44 deals with stamp duties other than rates of stamp duty.</w:t>
      </w:r>
    </w:p>
    <w:p>
      <w:pPr>
        <w:spacing w:after="140" w:line="276"/>
        <w:jc w:val="both"/>
      </w:pPr>
      <w:r>
        <w:t xml:space="preserve">Article 248, read with Entry 97 of List I, gives Parliament the residuary power, which expressly includes the power to impose a tax not mentioned in the State or Concurrent List. Union of India v. H.S. Dhillon, AIR 1972 SC 1061, confirms that for a Union tax the only question is whether the subject falls in List II or List III; if not, Parliament is competent.</w:t>
      </w:r>
    </w:p>
    <w:p>
      <w:pPr>
        <w:spacing w:after="140" w:line="276"/>
        <w:jc w:val="both"/>
      </w:pPr>
      <w:r>
        <w:rPr>
          <w:b/>
          <w:bCs/>
          <w:i w:val="false"/>
          <w:iCs w:val="false"/>
        </w:rPr>
        <w:t xml:space="preserve">The Constitution (One Hundred and First Amendment) Act, 2016 </w:t>
      </w:r>
      <w:r>
        <w:rPr>
          <w:b w:val="false"/>
          <w:bCs w:val="false"/>
          <w:i w:val="false"/>
          <w:iCs w:val="false"/>
        </w:rPr>
        <w:t xml:space="preserve">introduced GST. It inserted Article 246A, giving Parliament and the State legislatures concurrent power to tax the supply of goods and services, Article 269A on inter-State supply, and Article 279A creating the GST Council. It omitted Entries 92 and 92C of List I and Entries 52 (octroi and entry tax) and 55 of List II, substituted Entries 84, 54 and 62, and omitted Article 268A. </w:t>
      </w:r>
      <w:r>
        <w:rPr>
          <w:b w:val="false"/>
          <w:bCs w:val="false"/>
          <w:i/>
          <w:iCs/>
        </w:rPr>
        <w:t xml:space="preserve">(Correction to class notes: octroi and Entry 55 were State entries, not Union entries.)</w:t>
      </w:r>
    </w:p>
    <w:p>
      <w:pPr>
        <w:pStyle w:val="Heading2"/>
      </w:pPr>
      <w:r>
        <w:t xml:space="preserve">2.3 Article 110: Money Bills</w:t>
      </w:r>
    </w:p>
    <w:p>
      <w:pPr>
        <w:spacing w:after="140" w:line="276"/>
        <w:jc w:val="both"/>
      </w:pPr>
      <w:r>
        <w:t xml:space="preserve">A Bill is a Money Bill only if it contains nothing except provisions dealing with the matters listed in Article 110(1), which include the imposition, abolition, remission, alteration or regulation of any tax. The classification matters because a Money Bill follows a special procedure in which the Rajya Sabha can only make recommendations.</w:t>
      </w:r>
    </w:p>
    <w:p>
      <w:pPr>
        <w:spacing w:after="140" w:line="276"/>
        <w:jc w:val="both"/>
      </w:pPr>
      <w:r>
        <w:t xml:space="preserve">Article 110(2) provides that a Bill is not deemed to be a Money Bill by reason only that it provides for the imposition of fines or other pecuniary penalties, or for the demand or payment of fees for licences or fees for services rendered, or for the imposition, abolition, remission, alteration or regulation of any tax by a local authority for local purposes. The provision assumes that a fee is not a tax, and so it is the constitutional counterpart of the distinction drawn in Delhi Race Club.</w:t>
      </w:r>
    </w:p>
    <w:p>
      <w:pPr>
        <w:pStyle w:val="Heading2"/>
      </w:pPr>
      <w:r>
        <w:t xml:space="preserve">2.4 Article 27: taxes and religion</w:t>
      </w:r>
    </w:p>
    <w:p>
      <w:pPr>
        <w:spacing w:after="140" w:line="276"/>
        <w:jc w:val="both"/>
      </w:pPr>
      <w:r>
        <w:t xml:space="preserve">Article 27 provides that no person shall be compelled to pay any tax whose proceeds are specifically appropriated for the promotion or maintenance of any particular religion or religious denomination. The protection is against a tax, not against a fee. In the Shirur Mutt case a levy imposed to meet the expenses of regulating the secular administration of religious institutions was held to be a fee and therefore outside the prohibition.</w:t>
      </w:r>
    </w:p>
    <w:p>
      <w:pPr>
        <w:pStyle w:val="Heading2"/>
      </w:pPr>
      <w:r>
        <w:t xml:space="preserve">2.5 Fundamental rights and tax statutes</w:t>
      </w:r>
    </w:p>
    <w:p>
      <w:pPr>
        <w:pStyle w:val="Heading3"/>
      </w:pPr>
      <w:r>
        <w:t xml:space="preserve">Article 14: equality and classification</w:t>
      </w:r>
    </w:p>
    <w:p>
      <w:pPr>
        <w:spacing w:after="140" w:line="276"/>
        <w:jc w:val="both"/>
      </w:pPr>
      <w:r>
        <w:t xml:space="preserve">In matters of taxation the legislature has a wide choice. It may decide what to tax, whom to tax and at what rate, and it may classify persons or property into categories and tax them differently. The limits are that the classification must be rational and must have a rational nexus with the object sought to be achieved. A classification that is irrational or unconnected with its object can be declared ultra vires. Mere inequality of outcome, or the fact that some are taxed and others are not, does not by itself offend Article 14.</w:t>
      </w:r>
    </w:p>
    <w:p>
      <w:pPr>
        <w:spacing w:after="140" w:line="276"/>
        <w:jc w:val="both"/>
      </w:pPr>
      <w:r>
        <w:t xml:space="preserve">Khandige Sham Bhat v. Agricultural Income Tax Officer, AIR 1963 SC 591, and East India Tobacco Co. v. State of Andhra Pradesh, AIR 1962 SC 1733, establish this latitude. R.K. Garg v. Union of India (1981) 4 SCC 675 adds that laws relating to economic activities are viewed with greater judicial deference, allowing the legislature "play in the joints", because such measures involve complex predictions and experiments.</w:t>
      </w:r>
    </w:p>
    <w:p>
      <w:pPr>
        <w:pStyle w:val="Heading3"/>
      </w:pPr>
      <w:r>
        <w:t xml:space="preserve">Article 19(1)(g) and Article 19(6): liberty and taxation</w:t>
      </w:r>
    </w:p>
    <w:p>
      <w:pPr>
        <w:spacing w:after="140" w:line="276"/>
        <w:jc w:val="both"/>
      </w:pPr>
      <w:r>
        <w:t xml:space="preserve">A tax on a business or profession is not by itself a violation of the freedom to practise any profession or carry on any trade. Article 19(6) permits reasonable restrictions in the interests of the general public, and since public functions require revenue and taxation is the principal source of revenue, a tax normally falls within that head. The other grounds in Article 19(6), namely professional or technical qualifications and State monopolies, do not concern taxation. A tax may still be struck down if it is so heavy as to be confiscatory and to destroy the right itself.</w:t>
      </w:r>
    </w:p>
    <w:p>
      <w:pPr>
        <w:pStyle w:val="Heading3"/>
      </w:pPr>
      <w:r>
        <w:t xml:space="preserve">Retrospective taxation and Article 300A</w:t>
      </w:r>
    </w:p>
    <w:p>
      <w:pPr>
        <w:spacing w:after="140" w:line="276"/>
        <w:jc w:val="both"/>
      </w:pPr>
      <w:r>
        <w:t xml:space="preserve">A tax may be levied retrospectively, provided the legislature is competent. Article 300A requires that property be taken only by authority of law. The courts, however, start from a presumption against retrospectivity. CIT v. Vatika Township Pvt Ltd (2015) 1 SCC 1 holds that a provision which imposes a new burden operates prospectively unless the legislature clearly says otherwise, whereas a beneficial or curative provision may be applied retrospectively. The retrospective amendment following the Vodafone judgment, discussed in Unit III, is the leading modern illustration of the policy objection to retrospective taxation.</w:t>
      </w:r>
    </w:p>
    <w:p>
      <w:pPr>
        <w:pStyle w:val="Heading2"/>
      </w:pPr>
      <w:r>
        <w:t xml:space="preserve">2.6 Financial relations between the Centre and the States</w:t>
      </w:r>
    </w:p>
    <w:p>
      <w:pPr>
        <w:spacing w:after="140" w:line="276"/>
        <w:jc w:val="both"/>
      </w:pPr>
      <w:r>
        <w:t xml:space="preserve">Part XII of the Constitution divides not only the power to tax but also the proceeds of taxation.</w:t>
      </w:r>
    </w:p>
    <w:p>
      <w:pPr>
        <w:pStyle w:val="ListParagraph"/>
        <w:numPr>
          <w:ilvl w:val="0"/>
          <w:numId w:val="2"/>
        </w:numPr>
        <w:spacing w:after="70" w:line="276"/>
        <w:jc w:val="both"/>
      </w:pPr>
      <w:r>
        <w:rPr>
          <w:b/>
          <w:bCs/>
          <w:i w:val="false"/>
          <w:iCs w:val="false"/>
        </w:rPr>
        <w:t xml:space="preserve">Article 268 </w:t>
      </w:r>
      <w:r>
        <w:rPr>
          <w:b w:val="false"/>
          <w:bCs w:val="false"/>
          <w:i w:val="false"/>
          <w:iCs w:val="false"/>
        </w:rPr>
        <w:t xml:space="preserve">— duties levied by the Union but collected and appropriated by the States.</w:t>
      </w:r>
    </w:p>
    <w:p>
      <w:pPr>
        <w:pStyle w:val="ListParagraph"/>
        <w:numPr>
          <w:ilvl w:val="0"/>
          <w:numId w:val="2"/>
        </w:numPr>
        <w:spacing w:after="70" w:line="276"/>
        <w:jc w:val="both"/>
      </w:pPr>
      <w:r>
        <w:rPr>
          <w:b/>
          <w:bCs/>
          <w:i w:val="false"/>
          <w:iCs w:val="false"/>
        </w:rPr>
        <w:t xml:space="preserve">Article 269 </w:t>
      </w:r>
      <w:r>
        <w:rPr>
          <w:b w:val="false"/>
          <w:bCs w:val="false"/>
          <w:i w:val="false"/>
          <w:iCs w:val="false"/>
        </w:rPr>
        <w:t xml:space="preserve">— taxes on inter-State trade levied and collected by the Union but assigned to the States.</w:t>
      </w:r>
    </w:p>
    <w:p>
      <w:pPr>
        <w:pStyle w:val="ListParagraph"/>
        <w:numPr>
          <w:ilvl w:val="0"/>
          <w:numId w:val="2"/>
        </w:numPr>
        <w:spacing w:after="70" w:line="276"/>
        <w:jc w:val="both"/>
      </w:pPr>
      <w:r>
        <w:rPr>
          <w:b/>
          <w:bCs/>
          <w:i w:val="false"/>
          <w:iCs w:val="false"/>
        </w:rPr>
        <w:t xml:space="preserve">Article 269A </w:t>
      </w:r>
      <w:r>
        <w:rPr>
          <w:b w:val="false"/>
          <w:bCs w:val="false"/>
          <w:i w:val="false"/>
          <w:iCs w:val="false"/>
        </w:rPr>
        <w:t xml:space="preserve">— integrated GST on inter-State supply, levied and collected by the Union and apportioned between the Union and the States.</w:t>
      </w:r>
    </w:p>
    <w:p>
      <w:pPr>
        <w:pStyle w:val="ListParagraph"/>
        <w:numPr>
          <w:ilvl w:val="0"/>
          <w:numId w:val="2"/>
        </w:numPr>
        <w:spacing w:after="70" w:line="276"/>
        <w:jc w:val="both"/>
      </w:pPr>
      <w:r>
        <w:rPr>
          <w:b/>
          <w:bCs/>
          <w:i w:val="false"/>
          <w:iCs w:val="false"/>
        </w:rPr>
        <w:t xml:space="preserve">Article 270 </w:t>
      </w:r>
      <w:r>
        <w:rPr>
          <w:b w:val="false"/>
          <w:bCs w:val="false"/>
          <w:i w:val="false"/>
          <w:iCs w:val="false"/>
        </w:rPr>
        <w:t xml:space="preserve">— the divisible pool: taxes levied and collected by the Union are distributed between the Union and the States in the manner recommended by the Finance Commission.</w:t>
      </w:r>
    </w:p>
    <w:p>
      <w:pPr>
        <w:pStyle w:val="ListParagraph"/>
        <w:numPr>
          <w:ilvl w:val="0"/>
          <w:numId w:val="2"/>
        </w:numPr>
        <w:spacing w:after="70" w:line="276"/>
        <w:jc w:val="both"/>
      </w:pPr>
      <w:r>
        <w:rPr>
          <w:b/>
          <w:bCs/>
          <w:i w:val="false"/>
          <w:iCs w:val="false"/>
        </w:rPr>
        <w:t xml:space="preserve">Article 271 </w:t>
      </w:r>
      <w:r>
        <w:rPr>
          <w:b w:val="false"/>
          <w:bCs w:val="false"/>
          <w:i w:val="false"/>
          <w:iCs w:val="false"/>
        </w:rPr>
        <w:t xml:space="preserve">— a surcharge for the purposes of the Union, which does not form part of the divisible pool.</w:t>
      </w:r>
    </w:p>
    <w:p>
      <w:pPr>
        <w:pStyle w:val="ListParagraph"/>
        <w:numPr>
          <w:ilvl w:val="0"/>
          <w:numId w:val="2"/>
        </w:numPr>
        <w:spacing w:after="70" w:line="276"/>
        <w:jc w:val="both"/>
      </w:pPr>
      <w:r>
        <w:rPr>
          <w:b/>
          <w:bCs/>
          <w:i w:val="false"/>
          <w:iCs w:val="false"/>
        </w:rPr>
        <w:t xml:space="preserve">Articles 275 and 282 </w:t>
      </w:r>
      <w:r>
        <w:rPr>
          <w:b w:val="false"/>
          <w:bCs w:val="false"/>
          <w:i w:val="false"/>
          <w:iCs w:val="false"/>
        </w:rPr>
        <w:t xml:space="preserve">— statutory grants-in-aid, and discretionary grants for any public purpose.</w:t>
      </w:r>
    </w:p>
    <w:p>
      <w:pPr>
        <w:pStyle w:val="ListParagraph"/>
        <w:numPr>
          <w:ilvl w:val="0"/>
          <w:numId w:val="2"/>
        </w:numPr>
        <w:spacing w:after="70" w:line="276"/>
        <w:jc w:val="both"/>
      </w:pPr>
      <w:r>
        <w:rPr>
          <w:b/>
          <w:bCs/>
          <w:i w:val="false"/>
          <w:iCs w:val="false"/>
        </w:rPr>
        <w:t xml:space="preserve">Articles 279 and 279A </w:t>
      </w:r>
      <w:r>
        <w:rPr>
          <w:b w:val="false"/>
          <w:bCs w:val="false"/>
          <w:i w:val="false"/>
          <w:iCs w:val="false"/>
        </w:rPr>
        <w:t xml:space="preserve">— computation of net proceeds, and the GST Council.</w:t>
      </w:r>
    </w:p>
    <w:p>
      <w:pPr>
        <w:pStyle w:val="ListParagraph"/>
        <w:numPr>
          <w:ilvl w:val="0"/>
          <w:numId w:val="2"/>
        </w:numPr>
        <w:spacing w:after="70" w:line="276"/>
        <w:jc w:val="both"/>
      </w:pPr>
      <w:r>
        <w:rPr>
          <w:b/>
          <w:bCs/>
          <w:i w:val="false"/>
          <w:iCs w:val="false"/>
        </w:rPr>
        <w:t xml:space="preserve">Articles 292 and 293 </w:t>
      </w:r>
      <w:r>
        <w:rPr>
          <w:b w:val="false"/>
          <w:bCs w:val="false"/>
          <w:i w:val="false"/>
          <w:iCs w:val="false"/>
        </w:rPr>
        <w:t xml:space="preserve">— borrowing by the Union and by the States.</w:t>
      </w:r>
    </w:p>
    <w:p>
      <w:pPr>
        <w:spacing w:after="140" w:line="276"/>
        <w:jc w:val="both"/>
      </w:pPr>
      <w:r>
        <w:t xml:space="preserve">A practical point of friction follows from this scheme. Cesses and surcharges are outside the divisible pool, so an increase in revenue raised through them does not increase what is shared with the States. This is why the growing use of cesses is a live issue in fiscal federalism.</w:t>
      </w:r>
    </w:p>
    <w:p>
      <w:pPr>
        <w:pStyle w:val="Heading2"/>
      </w:pPr>
      <w:r>
        <w:t xml:space="preserve">2.7 The Finance Commission (Article 280)</w:t>
      </w:r>
    </w:p>
    <w:p>
      <w:pPr>
        <w:spacing w:after="140" w:line="276"/>
        <w:jc w:val="both"/>
      </w:pPr>
      <w:r>
        <w:t xml:space="preserve">The Finance Commission is a constitutional body which the President constitutes every fifth year, or earlier if he considers it necessary. It consists of a Chairman and four other members. Its functions are to make recommendations on the distribution of the net proceeds of shareable taxes between the Union and the States and among the States, on the principles governing grants-in-aid to the States from the Consolidated Fund of India, on measures needed to augment the resources of Panchayats and Municipalities, and on any other matter referred to it in the interests of sound finance.</w:t>
      </w:r>
    </w:p>
    <w:p>
      <w:pPr>
        <w:spacing w:after="140" w:line="276"/>
        <w:jc w:val="both"/>
      </w:pPr>
      <w:r>
        <w:t xml:space="preserve">Its recommendations are advisory and not binding, but by convention they are accepted. Under Article 281 every recommendation, together with an explanatory memorandum on the action taken, is laid before each House of Parliament.</w:t>
      </w:r>
    </w:p>
    <w:p>
      <w:pPr>
        <w:spacing w:after="140" w:line="276"/>
        <w:jc w:val="both"/>
      </w:pPr>
      <w:r>
        <w:rPr>
          <w:b/>
          <w:bCs/>
          <w:i w:val="false"/>
          <w:iCs w:val="false"/>
        </w:rPr>
        <w:t xml:space="preserve">Present position. </w:t>
      </w:r>
      <w:r>
        <w:rPr>
          <w:b w:val="false"/>
          <w:bCs w:val="false"/>
          <w:i w:val="false"/>
          <w:iCs w:val="false"/>
        </w:rPr>
        <w:t xml:space="preserve">The Sixteenth Finance Commission, chaired by Dr Arvind Panagariya, submitted its report for the period 2026 to 2031 on 17 November 2025. It retained the share of the States in the divisible pool at forty-one per cent, the same share as recommended by the Fifteenth Finance Commission for 2021 to 2026. The award period runs from 1 April 2026 to 31 March 2031, and the report was laid before Parliament with the Union Budget for 2026-27.</w:t>
      </w:r>
    </w:p>
    <w:p>
      <w:pPr>
        <w:pStyle w:val="Heading2"/>
      </w:pPr>
      <w:r>
        <w:t xml:space="preserve">2.8 NITI Aayog</w:t>
      </w:r>
    </w:p>
    <w:p>
      <w:pPr>
        <w:spacing w:after="140" w:line="276"/>
        <w:jc w:val="both"/>
      </w:pPr>
      <w:r>
        <w:t xml:space="preserve">NITI Aayog was created by a Cabinet Resolution dated 1 January 2015 in place of the Planning Commission. It is an executive body with no constitutional or statutory status. The Prime Minister is its Chairperson; it has a Vice-Chairperson, full-time and ex-officio members, and a Governing Council consisting of the Chief Ministers of all States and the Lieutenant-Governors of Union Territories.</w:t>
      </w:r>
    </w:p>
    <w:p>
      <w:pPr>
        <w:spacing w:after="140" w:line="276"/>
        <w:jc w:val="both"/>
      </w:pPr>
      <w:r>
        <w:t xml:space="preserve">Its role is to advise on policy, provide technical support to the States and serve as a forum for cooperative federalism. The contrast with the Finance Commission is the point to remember: the Finance Commission is a constitutional body whose function is the devolution of revenue, while NITI Aayog neither allocates nor devolves funds and derives its authority from an executive decision that could be reversed in the same way.</w:t>
      </w:r>
    </w:p>
    <w:p>
      <w:pPr>
        <w:pStyle w:val="Heading2"/>
      </w:pPr>
      <w:r>
        <w:t xml:space="preserve">2.9 Interpretation of taxing statutes</w:t>
      </w:r>
    </w:p>
    <w:p>
      <w:pPr>
        <w:pStyle w:val="ListParagraph"/>
        <w:numPr>
          <w:ilvl w:val="0"/>
          <w:numId w:val="2"/>
        </w:numPr>
        <w:spacing w:after="70" w:line="276"/>
        <w:jc w:val="both"/>
      </w:pPr>
      <w:r>
        <w:rPr>
          <w:b/>
          <w:bCs/>
          <w:i w:val="false"/>
          <w:iCs w:val="false"/>
        </w:rPr>
        <w:t xml:space="preserve">Strict interpretation. </w:t>
      </w:r>
      <w:r>
        <w:rPr>
          <w:b w:val="false"/>
          <w:bCs w:val="false"/>
          <w:i w:val="false"/>
          <w:iCs w:val="false"/>
        </w:rPr>
        <w:t xml:space="preserve">A charge must be found in clear statutory language. Cape Brandy Syndicate v. Inland Revenue Commissioners [1921] 1 KB 64: in a taxing Act one must look merely at what is clearly said; nothing is to be read in and nothing implied.</w:t>
      </w:r>
    </w:p>
    <w:p>
      <w:pPr>
        <w:pStyle w:val="ListParagraph"/>
        <w:numPr>
          <w:ilvl w:val="0"/>
          <w:numId w:val="2"/>
        </w:numPr>
        <w:spacing w:after="70" w:line="276"/>
        <w:jc w:val="both"/>
      </w:pPr>
      <w:r>
        <w:rPr>
          <w:b/>
          <w:bCs/>
          <w:i w:val="false"/>
          <w:iCs w:val="false"/>
        </w:rPr>
        <w:t xml:space="preserve">No scope for analogy. </w:t>
      </w:r>
      <w:r>
        <w:rPr>
          <w:b w:val="false"/>
          <w:bCs w:val="false"/>
          <w:i w:val="false"/>
          <w:iCs w:val="false"/>
        </w:rPr>
        <w:t xml:space="preserve">A liability cannot be created because a similar transaction is taxed, or because the legislature probably intended to tax it.</w:t>
      </w:r>
    </w:p>
    <w:p>
      <w:pPr>
        <w:pStyle w:val="ListParagraph"/>
        <w:numPr>
          <w:ilvl w:val="0"/>
          <w:numId w:val="2"/>
        </w:numPr>
        <w:spacing w:after="70" w:line="276"/>
        <w:jc w:val="both"/>
      </w:pPr>
      <w:r>
        <w:rPr>
          <w:b/>
          <w:bCs/>
          <w:i w:val="false"/>
          <w:iCs w:val="false"/>
        </w:rPr>
        <w:t xml:space="preserve">Protection of property. </w:t>
      </w:r>
      <w:r>
        <w:rPr>
          <w:b w:val="false"/>
          <w:bCs w:val="false"/>
          <w:i w:val="false"/>
          <w:iCs w:val="false"/>
        </w:rPr>
        <w:t xml:space="preserve">Because tax takes away property, doubtful language is not stretched against the subject.</w:t>
      </w:r>
    </w:p>
    <w:p>
      <w:pPr>
        <w:pStyle w:val="ListParagraph"/>
        <w:numPr>
          <w:ilvl w:val="0"/>
          <w:numId w:val="2"/>
        </w:numPr>
        <w:spacing w:after="70" w:line="276"/>
        <w:jc w:val="both"/>
      </w:pPr>
      <w:r>
        <w:rPr>
          <w:b/>
          <w:bCs/>
          <w:i w:val="false"/>
          <w:iCs w:val="false"/>
        </w:rPr>
        <w:t xml:space="preserve">Hardship is irrelevant. </w:t>
      </w:r>
      <w:r>
        <w:rPr>
          <w:b w:val="false"/>
          <w:bCs w:val="false"/>
          <w:i w:val="false"/>
          <w:iCs w:val="false"/>
        </w:rPr>
        <w:t xml:space="preserve">A.V. Fernandez v. State of Kerala, AIR 1957 SC 657: if the case falls within the letter of the law the subject is taxed however great the hardship may appear, and if it falls outside he escapes however much he may seem to be within the spirit.</w:t>
      </w:r>
    </w:p>
    <w:p>
      <w:pPr>
        <w:pStyle w:val="ListParagraph"/>
        <w:numPr>
          <w:ilvl w:val="0"/>
          <w:numId w:val="2"/>
        </w:numPr>
        <w:spacing w:after="70" w:line="276"/>
        <w:jc w:val="both"/>
      </w:pPr>
      <w:r>
        <w:rPr>
          <w:b/>
          <w:bCs/>
          <w:i w:val="false"/>
          <w:iCs w:val="false"/>
        </w:rPr>
        <w:t xml:space="preserve">Ambiguity. </w:t>
      </w:r>
      <w:r>
        <w:rPr>
          <w:b w:val="false"/>
          <w:bCs w:val="false"/>
          <w:i w:val="false"/>
          <w:iCs w:val="false"/>
        </w:rPr>
        <w:t xml:space="preserve">Doubt in a charging provision is resolved in favour of the assessee. Doubt in an exemption provision is resolved in favour of the Revenue, because an exemption is a departure from the general charge: Commissioner of Customs (Import), Mumbai v. Dilip Kumar &amp; Company (2018) 9 SCC 1 (Constitution Bench).</w:t>
      </w:r>
    </w:p>
    <w:p>
      <w:pPr>
        <w:pStyle w:val="ListParagraph"/>
        <w:numPr>
          <w:ilvl w:val="0"/>
          <w:numId w:val="2"/>
        </w:numPr>
        <w:spacing w:after="70" w:line="276"/>
        <w:jc w:val="both"/>
      </w:pPr>
      <w:r>
        <w:rPr>
          <w:b/>
          <w:bCs/>
          <w:i w:val="false"/>
          <w:iCs w:val="false"/>
        </w:rPr>
        <w:t xml:space="preserve">Machinery provisions. </w:t>
      </w:r>
      <w:r>
        <w:rPr>
          <w:b w:val="false"/>
          <w:bCs w:val="false"/>
          <w:i w:val="false"/>
          <w:iCs w:val="false"/>
        </w:rPr>
        <w:t xml:space="preserve">Provisions for computation, assessment and recovery are construed so as to make the charge workable, and not so as to defeat it. This is an exception to strict construction.</w:t>
      </w:r>
    </w:p>
    <w:p>
      <w:pPr>
        <w:pStyle w:val="ListParagraph"/>
        <w:numPr>
          <w:ilvl w:val="0"/>
          <w:numId w:val="2"/>
        </w:numPr>
        <w:spacing w:after="70" w:line="276"/>
        <w:jc w:val="both"/>
      </w:pPr>
      <w:r>
        <w:rPr>
          <w:b/>
          <w:bCs/>
          <w:i w:val="false"/>
          <w:iCs w:val="false"/>
        </w:rPr>
        <w:t xml:space="preserve">Purposive interpretation. </w:t>
      </w:r>
      <w:r>
        <w:rPr>
          <w:b w:val="false"/>
          <w:bCs w:val="false"/>
          <w:i w:val="false"/>
          <w:iCs w:val="false"/>
        </w:rPr>
        <w:t xml:space="preserve">It may be adopted in exceptional cases where a purely literal reading would defeat the object the legislature plainly intended.</w:t>
      </w:r>
    </w:p>
    <w:p>
      <w:pPr>
        <w:pStyle w:val="ListParagraph"/>
        <w:numPr>
          <w:ilvl w:val="0"/>
          <w:numId w:val="2"/>
        </w:numPr>
        <w:spacing w:after="70" w:line="276"/>
        <w:jc w:val="both"/>
      </w:pPr>
      <w:r>
        <w:rPr>
          <w:b/>
          <w:bCs/>
          <w:i w:val="false"/>
          <w:iCs w:val="false"/>
        </w:rPr>
        <w:t xml:space="preserve">Two meanings of "income". </w:t>
      </w:r>
      <w:r>
        <w:rPr>
          <w:b w:val="false"/>
          <w:bCs w:val="false"/>
          <w:i w:val="false"/>
          <w:iCs w:val="false"/>
        </w:rPr>
        <w:t xml:space="preserve">The word carries its natural meaning and also the artificial or extended meanings the Act gives it. The natural meaning is never displaced entirely; the statutory additions are added to it.</w:t>
      </w:r>
    </w:p>
    <w:p>
      <w:pPr>
        <w:pStyle w:val="Heading1"/>
      </w:pPr>
      <w:r>
        <w:t xml:space="preserve">Unit III — Introduction to the Income-tax Act, 2025</w:t>
      </w:r>
    </w:p>
    <w:p>
      <w:pPr>
        <w:pStyle w:val="Heading2"/>
      </w:pPr>
      <w:r>
        <w:t xml:space="preserve">3.1 Overview of the Act</w:t>
      </w:r>
    </w:p>
    <w:p>
      <w:pPr>
        <w:spacing w:after="140" w:line="276"/>
        <w:jc w:val="both"/>
      </w:pPr>
      <w:r>
        <w:t xml:space="preserve">The Income-tax Act, 2025 (Act 30 of 2025) received the assent of the President on 21 August 2025 and came into force on 1 April 2026. It replaces the Income-tax Act, 1961, which had itself replaced the Act of 1922 and had been amended more than a thousand times. The new Act has 536 sections, 23 chapters and 16 schedules, as against 819 sections and 14 schedules in the Act of 1961.</w:t>
      </w:r>
    </w:p>
    <w:p>
      <w:pPr>
        <w:spacing w:after="140" w:line="276"/>
        <w:jc w:val="both"/>
      </w:pPr>
      <w:r>
        <w:t xml:space="preserve">Three points matter for examination purposes. First, the Act is a re-codification and not a change of policy: the charge of tax, the five heads of income, the residence tests, the treatment of agricultural income and the judicial tests developed over a century all continue. What changed is the numbering, the drafting and the use of tables and schedules in place of long provisos. Second, the first tax year under the Act is 2026-27; income earned before 1 April 2026 remains governed by the Act of 1961, and pending assessments, appeals and proceedings continue under it. Third, and consequently, judgments decided under the Acts of 1922 and 1961 remain good authority for the corresponding provisions of the new Act.</w:t>
      </w:r>
    </w:p>
    <w:p>
      <w:pPr>
        <w:spacing w:after="140" w:line="276"/>
        <w:jc w:val="both"/>
      </w:pPr>
      <w:r>
        <w:t xml:space="preserve">The table below maps the provisions relevant to Units III to V.</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20"/>
        <w:gridCol w:w="2650"/>
        <w:gridCol w:w="2650"/>
      </w:tblGrid>
      <w:tr>
        <w:trPr>
          <w:tblHeader/>
        </w:trPr>
        <w:tc>
          <w:tcPr>
            <w:tcW w:type="dxa" w:w="3720"/>
            <w:shd w:fill="DCE6F1" w:color="auto" w:val="clear"/>
            <w:tcMar>
              <w:top w:type="dxa" w:w="60"/>
              <w:left w:type="dxa" w:w="100"/>
              <w:bottom w:type="dxa" w:w="60"/>
              <w:right w:type="dxa" w:w="100"/>
            </w:tcMar>
          </w:tcPr>
          <w:p>
            <w:pPr>
              <w:spacing w:after="0" w:line="240"/>
            </w:pPr>
            <w:r>
              <w:rPr>
                <w:b/>
                <w:bCs/>
                <w:sz w:val="20"/>
                <w:szCs w:val="20"/>
              </w:rPr>
              <w:t xml:space="preserve">Topic</w:t>
            </w:r>
          </w:p>
        </w:tc>
        <w:tc>
          <w:tcPr>
            <w:tcW w:type="dxa" w:w="2650"/>
            <w:shd w:fill="DCE6F1" w:color="auto" w:val="clear"/>
            <w:tcMar>
              <w:top w:type="dxa" w:w="60"/>
              <w:left w:type="dxa" w:w="100"/>
              <w:bottom w:type="dxa" w:w="60"/>
              <w:right w:type="dxa" w:w="100"/>
            </w:tcMar>
          </w:tcPr>
          <w:p>
            <w:pPr>
              <w:spacing w:after="0" w:line="240"/>
            </w:pPr>
            <w:r>
              <w:rPr>
                <w:b/>
                <w:bCs/>
                <w:sz w:val="20"/>
                <w:szCs w:val="20"/>
              </w:rPr>
              <w:t xml:space="preserve">Act of 2025</w:t>
            </w:r>
          </w:p>
        </w:tc>
        <w:tc>
          <w:tcPr>
            <w:tcW w:type="dxa" w:w="2650"/>
            <w:shd w:fill="DCE6F1" w:color="auto" w:val="clear"/>
            <w:tcMar>
              <w:top w:type="dxa" w:w="60"/>
              <w:left w:type="dxa" w:w="100"/>
              <w:bottom w:type="dxa" w:w="60"/>
              <w:right w:type="dxa" w:w="100"/>
            </w:tcMar>
          </w:tcPr>
          <w:p>
            <w:pPr>
              <w:spacing w:after="0" w:line="240"/>
            </w:pPr>
            <w:r>
              <w:rPr>
                <w:b/>
                <w:bCs/>
                <w:sz w:val="20"/>
                <w:szCs w:val="20"/>
              </w:rPr>
              <w:t xml:space="preserve">Act of 1961</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Definition of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2(49)</w:t>
            </w:r>
          </w:p>
        </w:tc>
        <w:tc>
          <w:tcPr>
            <w:tcW w:type="dxa" w:w="2650"/>
            <w:tcMar>
              <w:top w:type="dxa" w:w="60"/>
              <w:left w:type="dxa" w:w="100"/>
              <w:bottom w:type="dxa" w:w="60"/>
              <w:right w:type="dxa" w:w="100"/>
            </w:tcMar>
          </w:tcPr>
          <w:p>
            <w:pPr>
              <w:spacing w:after="0" w:line="240"/>
            </w:pPr>
            <w:r>
              <w:rPr>
                <w:b w:val="false"/>
                <w:bCs w:val="false"/>
                <w:sz w:val="20"/>
                <w:szCs w:val="20"/>
              </w:rPr>
              <w:t xml:space="preserve">s. 2(24)</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Winnings from lotteries, races, betting</w:t>
            </w:r>
          </w:p>
        </w:tc>
        <w:tc>
          <w:tcPr>
            <w:tcW w:type="dxa" w:w="2650"/>
            <w:tcMar>
              <w:top w:type="dxa" w:w="60"/>
              <w:left w:type="dxa" w:w="100"/>
              <w:bottom w:type="dxa" w:w="60"/>
              <w:right w:type="dxa" w:w="100"/>
            </w:tcMar>
          </w:tcPr>
          <w:p>
            <w:pPr>
              <w:spacing w:after="0" w:line="240"/>
            </w:pPr>
            <w:r>
              <w:rPr>
                <w:b w:val="false"/>
                <w:bCs w:val="false"/>
                <w:sz w:val="20"/>
                <w:szCs w:val="20"/>
              </w:rPr>
              <w:t xml:space="preserve">s. 2(49)(n)</w:t>
            </w:r>
          </w:p>
        </w:tc>
        <w:tc>
          <w:tcPr>
            <w:tcW w:type="dxa" w:w="2650"/>
            <w:tcMar>
              <w:top w:type="dxa" w:w="60"/>
              <w:left w:type="dxa" w:w="100"/>
              <w:bottom w:type="dxa" w:w="60"/>
              <w:right w:type="dxa" w:w="100"/>
            </w:tcMar>
          </w:tcPr>
          <w:p>
            <w:pPr>
              <w:spacing w:after="0" w:line="240"/>
            </w:pPr>
            <w:r>
              <w:rPr>
                <w:b w:val="false"/>
                <w:bCs w:val="false"/>
                <w:sz w:val="20"/>
                <w:szCs w:val="20"/>
              </w:rPr>
              <w:t xml:space="preserve">s. 2(24)(ix)</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Agricultural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2(5)</w:t>
            </w:r>
          </w:p>
        </w:tc>
        <w:tc>
          <w:tcPr>
            <w:tcW w:type="dxa" w:w="2650"/>
            <w:tcMar>
              <w:top w:type="dxa" w:w="60"/>
              <w:left w:type="dxa" w:w="100"/>
              <w:bottom w:type="dxa" w:w="60"/>
              <w:right w:type="dxa" w:w="100"/>
            </w:tcMar>
          </w:tcPr>
          <w:p>
            <w:pPr>
              <w:spacing w:after="0" w:line="240"/>
            </w:pPr>
            <w:r>
              <w:rPr>
                <w:b w:val="false"/>
                <w:bCs w:val="false"/>
                <w:sz w:val="20"/>
                <w:szCs w:val="20"/>
              </w:rPr>
              <w:t xml:space="preserve">s. 2(1A)</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Assessee</w:t>
            </w:r>
          </w:p>
        </w:tc>
        <w:tc>
          <w:tcPr>
            <w:tcW w:type="dxa" w:w="2650"/>
            <w:tcMar>
              <w:top w:type="dxa" w:w="60"/>
              <w:left w:type="dxa" w:w="100"/>
              <w:bottom w:type="dxa" w:w="60"/>
              <w:right w:type="dxa" w:w="100"/>
            </w:tcMar>
          </w:tcPr>
          <w:p>
            <w:pPr>
              <w:spacing w:after="0" w:line="240"/>
            </w:pPr>
            <w:r>
              <w:rPr>
                <w:b w:val="false"/>
                <w:bCs w:val="false"/>
                <w:sz w:val="20"/>
                <w:szCs w:val="20"/>
              </w:rPr>
              <w:t xml:space="preserve">s. 2(11)</w:t>
            </w:r>
          </w:p>
        </w:tc>
        <w:tc>
          <w:tcPr>
            <w:tcW w:type="dxa" w:w="2650"/>
            <w:tcMar>
              <w:top w:type="dxa" w:w="60"/>
              <w:left w:type="dxa" w:w="100"/>
              <w:bottom w:type="dxa" w:w="60"/>
              <w:right w:type="dxa" w:w="100"/>
            </w:tcMar>
          </w:tcPr>
          <w:p>
            <w:pPr>
              <w:spacing w:after="0" w:line="240"/>
            </w:pPr>
            <w:r>
              <w:rPr>
                <w:b w:val="false"/>
                <w:bCs w:val="false"/>
                <w:sz w:val="20"/>
                <w:szCs w:val="20"/>
              </w:rPr>
              <w:t xml:space="preserve">s. 2(7)</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Person</w:t>
            </w:r>
          </w:p>
        </w:tc>
        <w:tc>
          <w:tcPr>
            <w:tcW w:type="dxa" w:w="2650"/>
            <w:tcMar>
              <w:top w:type="dxa" w:w="60"/>
              <w:left w:type="dxa" w:w="100"/>
              <w:bottom w:type="dxa" w:w="60"/>
              <w:right w:type="dxa" w:w="100"/>
            </w:tcMar>
          </w:tcPr>
          <w:p>
            <w:pPr>
              <w:spacing w:after="0" w:line="240"/>
            </w:pPr>
            <w:r>
              <w:rPr>
                <w:b w:val="false"/>
                <w:bCs w:val="false"/>
                <w:sz w:val="20"/>
                <w:szCs w:val="20"/>
              </w:rPr>
              <w:t xml:space="preserve">s. 2(77)</w:t>
            </w:r>
          </w:p>
        </w:tc>
        <w:tc>
          <w:tcPr>
            <w:tcW w:type="dxa" w:w="2650"/>
            <w:tcMar>
              <w:top w:type="dxa" w:w="60"/>
              <w:left w:type="dxa" w:w="100"/>
              <w:bottom w:type="dxa" w:w="60"/>
              <w:right w:type="dxa" w:w="100"/>
            </w:tcMar>
          </w:tcPr>
          <w:p>
            <w:pPr>
              <w:spacing w:after="0" w:line="240"/>
            </w:pPr>
            <w:r>
              <w:rPr>
                <w:b w:val="false"/>
                <w:bCs w:val="false"/>
                <w:sz w:val="20"/>
                <w:szCs w:val="20"/>
              </w:rPr>
              <w:t xml:space="preserve">s. 2(31)</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Tax year</w:t>
            </w:r>
          </w:p>
        </w:tc>
        <w:tc>
          <w:tcPr>
            <w:tcW w:type="dxa" w:w="2650"/>
            <w:tcMar>
              <w:top w:type="dxa" w:w="60"/>
              <w:left w:type="dxa" w:w="100"/>
              <w:bottom w:type="dxa" w:w="60"/>
              <w:right w:type="dxa" w:w="100"/>
            </w:tcMar>
          </w:tcPr>
          <w:p>
            <w:pPr>
              <w:spacing w:after="0" w:line="240"/>
            </w:pPr>
            <w:r>
              <w:rPr>
                <w:b w:val="false"/>
                <w:bCs w:val="false"/>
                <w:sz w:val="20"/>
                <w:szCs w:val="20"/>
              </w:rPr>
              <w:t xml:space="preserve">s. 3</w:t>
            </w:r>
          </w:p>
        </w:tc>
        <w:tc>
          <w:tcPr>
            <w:tcW w:type="dxa" w:w="2650"/>
            <w:tcMar>
              <w:top w:type="dxa" w:w="60"/>
              <w:left w:type="dxa" w:w="100"/>
              <w:bottom w:type="dxa" w:w="60"/>
              <w:right w:type="dxa" w:w="100"/>
            </w:tcMar>
          </w:tcPr>
          <w:p>
            <w:pPr>
              <w:spacing w:after="0" w:line="240"/>
            </w:pPr>
            <w:r>
              <w:rPr>
                <w:b w:val="false"/>
                <w:bCs w:val="false"/>
                <w:sz w:val="20"/>
                <w:szCs w:val="20"/>
              </w:rPr>
              <w:t xml:space="preserve">ss. 2(9), 3</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Charge of income-tax</w:t>
            </w:r>
          </w:p>
        </w:tc>
        <w:tc>
          <w:tcPr>
            <w:tcW w:type="dxa" w:w="2650"/>
            <w:tcMar>
              <w:top w:type="dxa" w:w="60"/>
              <w:left w:type="dxa" w:w="100"/>
              <w:bottom w:type="dxa" w:w="60"/>
              <w:right w:type="dxa" w:w="100"/>
            </w:tcMar>
          </w:tcPr>
          <w:p>
            <w:pPr>
              <w:spacing w:after="0" w:line="240"/>
            </w:pPr>
            <w:r>
              <w:rPr>
                <w:b w:val="false"/>
                <w:bCs w:val="false"/>
                <w:sz w:val="20"/>
                <w:szCs w:val="20"/>
              </w:rPr>
              <w:t xml:space="preserve">s. 4</w:t>
            </w:r>
          </w:p>
        </w:tc>
        <w:tc>
          <w:tcPr>
            <w:tcW w:type="dxa" w:w="2650"/>
            <w:tcMar>
              <w:top w:type="dxa" w:w="60"/>
              <w:left w:type="dxa" w:w="100"/>
              <w:bottom w:type="dxa" w:w="60"/>
              <w:right w:type="dxa" w:w="100"/>
            </w:tcMar>
          </w:tcPr>
          <w:p>
            <w:pPr>
              <w:spacing w:after="0" w:line="240"/>
            </w:pPr>
            <w:r>
              <w:rPr>
                <w:b w:val="false"/>
                <w:bCs w:val="false"/>
                <w:sz w:val="20"/>
                <w:szCs w:val="20"/>
              </w:rPr>
              <w:t xml:space="preserve">s. 4</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Scope of total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5</w:t>
            </w:r>
          </w:p>
        </w:tc>
        <w:tc>
          <w:tcPr>
            <w:tcW w:type="dxa" w:w="2650"/>
            <w:tcMar>
              <w:top w:type="dxa" w:w="60"/>
              <w:left w:type="dxa" w:w="100"/>
              <w:bottom w:type="dxa" w:w="60"/>
              <w:right w:type="dxa" w:w="100"/>
            </w:tcMar>
          </w:tcPr>
          <w:p>
            <w:pPr>
              <w:spacing w:after="0" w:line="240"/>
            </w:pPr>
            <w:r>
              <w:rPr>
                <w:b w:val="false"/>
                <w:bCs w:val="false"/>
                <w:sz w:val="20"/>
                <w:szCs w:val="20"/>
              </w:rPr>
              <w:t xml:space="preserve">s. 5</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Residence in India</w:t>
            </w:r>
          </w:p>
        </w:tc>
        <w:tc>
          <w:tcPr>
            <w:tcW w:type="dxa" w:w="2650"/>
            <w:tcMar>
              <w:top w:type="dxa" w:w="60"/>
              <w:left w:type="dxa" w:w="100"/>
              <w:bottom w:type="dxa" w:w="60"/>
              <w:right w:type="dxa" w:w="100"/>
            </w:tcMar>
          </w:tcPr>
          <w:p>
            <w:pPr>
              <w:spacing w:after="0" w:line="240"/>
            </w:pPr>
            <w:r>
              <w:rPr>
                <w:b w:val="false"/>
                <w:bCs w:val="false"/>
                <w:sz w:val="20"/>
                <w:szCs w:val="20"/>
              </w:rPr>
              <w:t xml:space="preserve">s. 6</w:t>
            </w:r>
          </w:p>
        </w:tc>
        <w:tc>
          <w:tcPr>
            <w:tcW w:type="dxa" w:w="2650"/>
            <w:tcMar>
              <w:top w:type="dxa" w:w="60"/>
              <w:left w:type="dxa" w:w="100"/>
              <w:bottom w:type="dxa" w:w="60"/>
              <w:right w:type="dxa" w:w="100"/>
            </w:tcMar>
          </w:tcPr>
          <w:p>
            <w:pPr>
              <w:spacing w:after="0" w:line="240"/>
            </w:pPr>
            <w:r>
              <w:rPr>
                <w:b w:val="false"/>
                <w:bCs w:val="false"/>
                <w:sz w:val="20"/>
                <w:szCs w:val="20"/>
              </w:rPr>
              <w:t xml:space="preserve">s. 6</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Income deemed to accrue or arise in India</w:t>
            </w:r>
          </w:p>
        </w:tc>
        <w:tc>
          <w:tcPr>
            <w:tcW w:type="dxa" w:w="2650"/>
            <w:tcMar>
              <w:top w:type="dxa" w:w="60"/>
              <w:left w:type="dxa" w:w="100"/>
              <w:bottom w:type="dxa" w:w="60"/>
              <w:right w:type="dxa" w:w="100"/>
            </w:tcMar>
          </w:tcPr>
          <w:p>
            <w:pPr>
              <w:spacing w:after="0" w:line="240"/>
            </w:pPr>
            <w:r>
              <w:rPr>
                <w:b w:val="false"/>
                <w:bCs w:val="false"/>
                <w:sz w:val="20"/>
                <w:szCs w:val="20"/>
              </w:rPr>
              <w:t xml:space="preserve">s. 9</w:t>
            </w:r>
          </w:p>
        </w:tc>
        <w:tc>
          <w:tcPr>
            <w:tcW w:type="dxa" w:w="2650"/>
            <w:tcMar>
              <w:top w:type="dxa" w:w="60"/>
              <w:left w:type="dxa" w:w="100"/>
              <w:bottom w:type="dxa" w:w="60"/>
              <w:right w:type="dxa" w:w="100"/>
            </w:tcMar>
          </w:tcPr>
          <w:p>
            <w:pPr>
              <w:spacing w:after="0" w:line="240"/>
            </w:pPr>
            <w:r>
              <w:rPr>
                <w:b w:val="false"/>
                <w:bCs w:val="false"/>
                <w:sz w:val="20"/>
                <w:szCs w:val="20"/>
              </w:rPr>
              <w:t xml:space="preserve">s. 9</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Incomes not included in total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11 + Schedules II-VII</w:t>
            </w:r>
          </w:p>
        </w:tc>
        <w:tc>
          <w:tcPr>
            <w:tcW w:type="dxa" w:w="2650"/>
            <w:tcMar>
              <w:top w:type="dxa" w:w="60"/>
              <w:left w:type="dxa" w:w="100"/>
              <w:bottom w:type="dxa" w:w="60"/>
              <w:right w:type="dxa" w:w="100"/>
            </w:tcMar>
          </w:tcPr>
          <w:p>
            <w:pPr>
              <w:spacing w:after="0" w:line="240"/>
            </w:pPr>
            <w:r>
              <w:rPr>
                <w:b w:val="false"/>
                <w:bCs w:val="false"/>
                <w:sz w:val="20"/>
                <w:szCs w:val="20"/>
              </w:rPr>
              <w:t xml:space="preserve">s. 10</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Heads of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13</w:t>
            </w:r>
          </w:p>
        </w:tc>
        <w:tc>
          <w:tcPr>
            <w:tcW w:type="dxa" w:w="2650"/>
            <w:tcMar>
              <w:top w:type="dxa" w:w="60"/>
              <w:left w:type="dxa" w:w="100"/>
              <w:bottom w:type="dxa" w:w="60"/>
              <w:right w:type="dxa" w:w="100"/>
            </w:tcMar>
          </w:tcPr>
          <w:p>
            <w:pPr>
              <w:spacing w:after="0" w:line="240"/>
            </w:pPr>
            <w:r>
              <w:rPr>
                <w:b w:val="false"/>
                <w:bCs w:val="false"/>
                <w:sz w:val="20"/>
                <w:szCs w:val="20"/>
              </w:rPr>
              <w:t xml:space="preserve">s. 14</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Expenditure relating to exempt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14</w:t>
            </w:r>
          </w:p>
        </w:tc>
        <w:tc>
          <w:tcPr>
            <w:tcW w:type="dxa" w:w="2650"/>
            <w:tcMar>
              <w:top w:type="dxa" w:w="60"/>
              <w:left w:type="dxa" w:w="100"/>
              <w:bottom w:type="dxa" w:w="60"/>
              <w:right w:type="dxa" w:w="100"/>
            </w:tcMar>
          </w:tcPr>
          <w:p>
            <w:pPr>
              <w:spacing w:after="0" w:line="240"/>
            </w:pPr>
            <w:r>
              <w:rPr>
                <w:b w:val="false"/>
                <w:bCs w:val="false"/>
                <w:sz w:val="20"/>
                <w:szCs w:val="20"/>
              </w:rPr>
              <w:t xml:space="preserve">s. 14A</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Salaries - charge</w:t>
            </w:r>
          </w:p>
        </w:tc>
        <w:tc>
          <w:tcPr>
            <w:tcW w:type="dxa" w:w="2650"/>
            <w:tcMar>
              <w:top w:type="dxa" w:w="60"/>
              <w:left w:type="dxa" w:w="100"/>
              <w:bottom w:type="dxa" w:w="60"/>
              <w:right w:type="dxa" w:w="100"/>
            </w:tcMar>
          </w:tcPr>
          <w:p>
            <w:pPr>
              <w:spacing w:after="0" w:line="240"/>
            </w:pPr>
            <w:r>
              <w:rPr>
                <w:b w:val="false"/>
                <w:bCs w:val="false"/>
                <w:sz w:val="20"/>
                <w:szCs w:val="20"/>
              </w:rPr>
              <w:t xml:space="preserve">s. 15</w:t>
            </w:r>
          </w:p>
        </w:tc>
        <w:tc>
          <w:tcPr>
            <w:tcW w:type="dxa" w:w="2650"/>
            <w:tcMar>
              <w:top w:type="dxa" w:w="60"/>
              <w:left w:type="dxa" w:w="100"/>
              <w:bottom w:type="dxa" w:w="60"/>
              <w:right w:type="dxa" w:w="100"/>
            </w:tcMar>
          </w:tcPr>
          <w:p>
            <w:pPr>
              <w:spacing w:after="0" w:line="240"/>
            </w:pPr>
            <w:r>
              <w:rPr>
                <w:b w:val="false"/>
                <w:bCs w:val="false"/>
                <w:sz w:val="20"/>
                <w:szCs w:val="20"/>
              </w:rPr>
              <w:t xml:space="preserve">s. 15</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Meaning of "salary"</w:t>
            </w:r>
          </w:p>
        </w:tc>
        <w:tc>
          <w:tcPr>
            <w:tcW w:type="dxa" w:w="2650"/>
            <w:tcMar>
              <w:top w:type="dxa" w:w="60"/>
              <w:left w:type="dxa" w:w="100"/>
              <w:bottom w:type="dxa" w:w="60"/>
              <w:right w:type="dxa" w:w="100"/>
            </w:tcMar>
          </w:tcPr>
          <w:p>
            <w:pPr>
              <w:spacing w:after="0" w:line="240"/>
            </w:pPr>
            <w:r>
              <w:rPr>
                <w:b w:val="false"/>
                <w:bCs w:val="false"/>
                <w:sz w:val="20"/>
                <w:szCs w:val="20"/>
              </w:rPr>
              <w:t xml:space="preserve">s. 16</w:t>
            </w:r>
          </w:p>
        </w:tc>
        <w:tc>
          <w:tcPr>
            <w:tcW w:type="dxa" w:w="2650"/>
            <w:tcMar>
              <w:top w:type="dxa" w:w="60"/>
              <w:left w:type="dxa" w:w="100"/>
              <w:bottom w:type="dxa" w:w="60"/>
              <w:right w:type="dxa" w:w="100"/>
            </w:tcMar>
          </w:tcPr>
          <w:p>
            <w:pPr>
              <w:spacing w:after="0" w:line="240"/>
            </w:pPr>
            <w:r>
              <w:rPr>
                <w:b w:val="false"/>
                <w:bCs w:val="false"/>
                <w:sz w:val="20"/>
                <w:szCs w:val="20"/>
              </w:rPr>
              <w:t xml:space="preserve">s. 17(1)</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Perquisite</w:t>
            </w:r>
          </w:p>
        </w:tc>
        <w:tc>
          <w:tcPr>
            <w:tcW w:type="dxa" w:w="2650"/>
            <w:tcMar>
              <w:top w:type="dxa" w:w="60"/>
              <w:left w:type="dxa" w:w="100"/>
              <w:bottom w:type="dxa" w:w="60"/>
              <w:right w:type="dxa" w:w="100"/>
            </w:tcMar>
          </w:tcPr>
          <w:p>
            <w:pPr>
              <w:spacing w:after="0" w:line="240"/>
            </w:pPr>
            <w:r>
              <w:rPr>
                <w:b w:val="false"/>
                <w:bCs w:val="false"/>
                <w:sz w:val="20"/>
                <w:szCs w:val="20"/>
              </w:rPr>
              <w:t xml:space="preserve">s. 17</w:t>
            </w:r>
          </w:p>
        </w:tc>
        <w:tc>
          <w:tcPr>
            <w:tcW w:type="dxa" w:w="2650"/>
            <w:tcMar>
              <w:top w:type="dxa" w:w="60"/>
              <w:left w:type="dxa" w:w="100"/>
              <w:bottom w:type="dxa" w:w="60"/>
              <w:right w:type="dxa" w:w="100"/>
            </w:tcMar>
          </w:tcPr>
          <w:p>
            <w:pPr>
              <w:spacing w:after="0" w:line="240"/>
            </w:pPr>
            <w:r>
              <w:rPr>
                <w:b w:val="false"/>
                <w:bCs w:val="false"/>
                <w:sz w:val="20"/>
                <w:szCs w:val="20"/>
              </w:rPr>
              <w:t xml:space="preserve">s. 17(2)</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Profits in lieu of salary</w:t>
            </w:r>
          </w:p>
        </w:tc>
        <w:tc>
          <w:tcPr>
            <w:tcW w:type="dxa" w:w="2650"/>
            <w:tcMar>
              <w:top w:type="dxa" w:w="60"/>
              <w:left w:type="dxa" w:w="100"/>
              <w:bottom w:type="dxa" w:w="60"/>
              <w:right w:type="dxa" w:w="100"/>
            </w:tcMar>
          </w:tcPr>
          <w:p>
            <w:pPr>
              <w:spacing w:after="0" w:line="240"/>
            </w:pPr>
            <w:r>
              <w:rPr>
                <w:b w:val="false"/>
                <w:bCs w:val="false"/>
                <w:sz w:val="20"/>
                <w:szCs w:val="20"/>
              </w:rPr>
              <w:t xml:space="preserve">s. 18</w:t>
            </w:r>
          </w:p>
        </w:tc>
        <w:tc>
          <w:tcPr>
            <w:tcW w:type="dxa" w:w="2650"/>
            <w:tcMar>
              <w:top w:type="dxa" w:w="60"/>
              <w:left w:type="dxa" w:w="100"/>
              <w:bottom w:type="dxa" w:w="60"/>
              <w:right w:type="dxa" w:w="100"/>
            </w:tcMar>
          </w:tcPr>
          <w:p>
            <w:pPr>
              <w:spacing w:after="0" w:line="240"/>
            </w:pPr>
            <w:r>
              <w:rPr>
                <w:b w:val="false"/>
                <w:bCs w:val="false"/>
                <w:sz w:val="20"/>
                <w:szCs w:val="20"/>
              </w:rPr>
              <w:t xml:space="preserve">s. 17(3)</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Deductions from salaries</w:t>
            </w:r>
          </w:p>
        </w:tc>
        <w:tc>
          <w:tcPr>
            <w:tcW w:type="dxa" w:w="2650"/>
            <w:tcMar>
              <w:top w:type="dxa" w:w="60"/>
              <w:left w:type="dxa" w:w="100"/>
              <w:bottom w:type="dxa" w:w="60"/>
              <w:right w:type="dxa" w:w="100"/>
            </w:tcMar>
          </w:tcPr>
          <w:p>
            <w:pPr>
              <w:spacing w:after="0" w:line="240"/>
            </w:pPr>
            <w:r>
              <w:rPr>
                <w:b w:val="false"/>
                <w:bCs w:val="false"/>
                <w:sz w:val="20"/>
                <w:szCs w:val="20"/>
              </w:rPr>
              <w:t xml:space="preserve">s. 19</w:t>
            </w:r>
          </w:p>
        </w:tc>
        <w:tc>
          <w:tcPr>
            <w:tcW w:type="dxa" w:w="2650"/>
            <w:tcMar>
              <w:top w:type="dxa" w:w="60"/>
              <w:left w:type="dxa" w:w="100"/>
              <w:bottom w:type="dxa" w:w="60"/>
              <w:right w:type="dxa" w:w="100"/>
            </w:tcMar>
          </w:tcPr>
          <w:p>
            <w:pPr>
              <w:spacing w:after="0" w:line="240"/>
            </w:pPr>
            <w:r>
              <w:rPr>
                <w:b w:val="false"/>
                <w:bCs w:val="false"/>
                <w:sz w:val="20"/>
                <w:szCs w:val="20"/>
              </w:rPr>
              <w:t xml:space="preserve">s. 16 and parts of s. 10</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House property - charge</w:t>
            </w:r>
          </w:p>
        </w:tc>
        <w:tc>
          <w:tcPr>
            <w:tcW w:type="dxa" w:w="2650"/>
            <w:tcMar>
              <w:top w:type="dxa" w:w="60"/>
              <w:left w:type="dxa" w:w="100"/>
              <w:bottom w:type="dxa" w:w="60"/>
              <w:right w:type="dxa" w:w="100"/>
            </w:tcMar>
          </w:tcPr>
          <w:p>
            <w:pPr>
              <w:spacing w:after="0" w:line="240"/>
            </w:pPr>
            <w:r>
              <w:rPr>
                <w:b w:val="false"/>
                <w:bCs w:val="false"/>
                <w:sz w:val="20"/>
                <w:szCs w:val="20"/>
              </w:rPr>
              <w:t xml:space="preserve">s. 20</w:t>
            </w:r>
          </w:p>
        </w:tc>
        <w:tc>
          <w:tcPr>
            <w:tcW w:type="dxa" w:w="2650"/>
            <w:tcMar>
              <w:top w:type="dxa" w:w="60"/>
              <w:left w:type="dxa" w:w="100"/>
              <w:bottom w:type="dxa" w:w="60"/>
              <w:right w:type="dxa" w:w="100"/>
            </w:tcMar>
          </w:tcPr>
          <w:p>
            <w:pPr>
              <w:spacing w:after="0" w:line="240"/>
            </w:pPr>
            <w:r>
              <w:rPr>
                <w:b w:val="false"/>
                <w:bCs w:val="false"/>
                <w:sz w:val="20"/>
                <w:szCs w:val="20"/>
              </w:rPr>
              <w:t xml:space="preserve">s. 22</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Determination of annual value</w:t>
            </w:r>
          </w:p>
        </w:tc>
        <w:tc>
          <w:tcPr>
            <w:tcW w:type="dxa" w:w="2650"/>
            <w:tcMar>
              <w:top w:type="dxa" w:w="60"/>
              <w:left w:type="dxa" w:w="100"/>
              <w:bottom w:type="dxa" w:w="60"/>
              <w:right w:type="dxa" w:w="100"/>
            </w:tcMar>
          </w:tcPr>
          <w:p>
            <w:pPr>
              <w:spacing w:after="0" w:line="240"/>
            </w:pPr>
            <w:r>
              <w:rPr>
                <w:b w:val="false"/>
                <w:bCs w:val="false"/>
                <w:sz w:val="20"/>
                <w:szCs w:val="20"/>
              </w:rPr>
              <w:t xml:space="preserve">s. 21</w:t>
            </w:r>
          </w:p>
        </w:tc>
        <w:tc>
          <w:tcPr>
            <w:tcW w:type="dxa" w:w="2650"/>
            <w:tcMar>
              <w:top w:type="dxa" w:w="60"/>
              <w:left w:type="dxa" w:w="100"/>
              <w:bottom w:type="dxa" w:w="60"/>
              <w:right w:type="dxa" w:w="100"/>
            </w:tcMar>
          </w:tcPr>
          <w:p>
            <w:pPr>
              <w:spacing w:after="0" w:line="240"/>
            </w:pPr>
            <w:r>
              <w:rPr>
                <w:b w:val="false"/>
                <w:bCs w:val="false"/>
                <w:sz w:val="20"/>
                <w:szCs w:val="20"/>
              </w:rPr>
              <w:t xml:space="preserve">s. 23</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Deductions from house property income</w:t>
            </w:r>
          </w:p>
        </w:tc>
        <w:tc>
          <w:tcPr>
            <w:tcW w:type="dxa" w:w="2650"/>
            <w:tcMar>
              <w:top w:type="dxa" w:w="60"/>
              <w:left w:type="dxa" w:w="100"/>
              <w:bottom w:type="dxa" w:w="60"/>
              <w:right w:type="dxa" w:w="100"/>
            </w:tcMar>
          </w:tcPr>
          <w:p>
            <w:pPr>
              <w:spacing w:after="0" w:line="240"/>
            </w:pPr>
            <w:r>
              <w:rPr>
                <w:b w:val="false"/>
                <w:bCs w:val="false"/>
                <w:sz w:val="20"/>
                <w:szCs w:val="20"/>
              </w:rPr>
              <w:t xml:space="preserve">s. 22</w:t>
            </w:r>
          </w:p>
        </w:tc>
        <w:tc>
          <w:tcPr>
            <w:tcW w:type="dxa" w:w="2650"/>
            <w:tcMar>
              <w:top w:type="dxa" w:w="60"/>
              <w:left w:type="dxa" w:w="100"/>
              <w:bottom w:type="dxa" w:w="60"/>
              <w:right w:type="dxa" w:w="100"/>
            </w:tcMar>
          </w:tcPr>
          <w:p>
            <w:pPr>
              <w:spacing w:after="0" w:line="240"/>
            </w:pPr>
            <w:r>
              <w:rPr>
                <w:b w:val="false"/>
                <w:bCs w:val="false"/>
                <w:sz w:val="20"/>
                <w:szCs w:val="20"/>
              </w:rPr>
              <w:t xml:space="preserve">s. 24</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Arrears and unrealised rent recovered</w:t>
            </w:r>
          </w:p>
        </w:tc>
        <w:tc>
          <w:tcPr>
            <w:tcW w:type="dxa" w:w="2650"/>
            <w:tcMar>
              <w:top w:type="dxa" w:w="60"/>
              <w:left w:type="dxa" w:w="100"/>
              <w:bottom w:type="dxa" w:w="60"/>
              <w:right w:type="dxa" w:w="100"/>
            </w:tcMar>
          </w:tcPr>
          <w:p>
            <w:pPr>
              <w:spacing w:after="0" w:line="240"/>
            </w:pPr>
            <w:r>
              <w:rPr>
                <w:b w:val="false"/>
                <w:bCs w:val="false"/>
                <w:sz w:val="20"/>
                <w:szCs w:val="20"/>
              </w:rPr>
              <w:t xml:space="preserve">s. 23</w:t>
            </w:r>
          </w:p>
        </w:tc>
        <w:tc>
          <w:tcPr>
            <w:tcW w:type="dxa" w:w="2650"/>
            <w:tcMar>
              <w:top w:type="dxa" w:w="60"/>
              <w:left w:type="dxa" w:w="100"/>
              <w:bottom w:type="dxa" w:w="60"/>
              <w:right w:type="dxa" w:w="100"/>
            </w:tcMar>
          </w:tcPr>
          <w:p>
            <w:pPr>
              <w:spacing w:after="0" w:line="240"/>
            </w:pPr>
            <w:r>
              <w:rPr>
                <w:b w:val="false"/>
                <w:bCs w:val="false"/>
                <w:sz w:val="20"/>
                <w:szCs w:val="20"/>
              </w:rPr>
              <w:t xml:space="preserve">s. 25A</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Property owned by co-owners</w:t>
            </w:r>
          </w:p>
        </w:tc>
        <w:tc>
          <w:tcPr>
            <w:tcW w:type="dxa" w:w="2650"/>
            <w:tcMar>
              <w:top w:type="dxa" w:w="60"/>
              <w:left w:type="dxa" w:w="100"/>
              <w:bottom w:type="dxa" w:w="60"/>
              <w:right w:type="dxa" w:w="100"/>
            </w:tcMar>
          </w:tcPr>
          <w:p>
            <w:pPr>
              <w:spacing w:after="0" w:line="240"/>
            </w:pPr>
            <w:r>
              <w:rPr>
                <w:b w:val="false"/>
                <w:bCs w:val="false"/>
                <w:sz w:val="20"/>
                <w:szCs w:val="20"/>
              </w:rPr>
              <w:t xml:space="preserve">s. 24</w:t>
            </w:r>
          </w:p>
        </w:tc>
        <w:tc>
          <w:tcPr>
            <w:tcW w:type="dxa" w:w="2650"/>
            <w:tcMar>
              <w:top w:type="dxa" w:w="60"/>
              <w:left w:type="dxa" w:w="100"/>
              <w:bottom w:type="dxa" w:w="60"/>
              <w:right w:type="dxa" w:w="100"/>
            </w:tcMar>
          </w:tcPr>
          <w:p>
            <w:pPr>
              <w:spacing w:after="0" w:line="240"/>
            </w:pPr>
            <w:r>
              <w:rPr>
                <w:b w:val="false"/>
                <w:bCs w:val="false"/>
                <w:sz w:val="20"/>
                <w:szCs w:val="20"/>
              </w:rPr>
              <w:t xml:space="preserve">s. 26</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Interpretation; deemed ownership</w:t>
            </w:r>
          </w:p>
        </w:tc>
        <w:tc>
          <w:tcPr>
            <w:tcW w:type="dxa" w:w="2650"/>
            <w:tcMar>
              <w:top w:type="dxa" w:w="60"/>
              <w:left w:type="dxa" w:w="100"/>
              <w:bottom w:type="dxa" w:w="60"/>
              <w:right w:type="dxa" w:w="100"/>
            </w:tcMar>
          </w:tcPr>
          <w:p>
            <w:pPr>
              <w:spacing w:after="0" w:line="240"/>
            </w:pPr>
            <w:r>
              <w:rPr>
                <w:b w:val="false"/>
                <w:bCs w:val="false"/>
                <w:sz w:val="20"/>
                <w:szCs w:val="20"/>
              </w:rPr>
              <w:t xml:space="preserve">s. 25</w:t>
            </w:r>
          </w:p>
        </w:tc>
        <w:tc>
          <w:tcPr>
            <w:tcW w:type="dxa" w:w="2650"/>
            <w:tcMar>
              <w:top w:type="dxa" w:w="60"/>
              <w:left w:type="dxa" w:w="100"/>
              <w:bottom w:type="dxa" w:w="60"/>
              <w:right w:type="dxa" w:w="100"/>
            </w:tcMar>
          </w:tcPr>
          <w:p>
            <w:pPr>
              <w:spacing w:after="0" w:line="240"/>
            </w:pPr>
            <w:r>
              <w:rPr>
                <w:b w:val="false"/>
                <w:bCs w:val="false"/>
                <w:sz w:val="20"/>
                <w:szCs w:val="20"/>
              </w:rPr>
              <w:t xml:space="preserve">s. 27</w:t>
            </w:r>
          </w:p>
        </w:tc>
      </w:tr>
      <w:tr>
        <w:trPr>
          <w:tblHeader w:val="false"/>
        </w:trPr>
        <w:tc>
          <w:tcPr>
            <w:tcW w:type="dxa" w:w="3720"/>
            <w:tcMar>
              <w:top w:type="dxa" w:w="60"/>
              <w:left w:type="dxa" w:w="100"/>
              <w:bottom w:type="dxa" w:w="60"/>
              <w:right w:type="dxa" w:w="100"/>
            </w:tcMar>
          </w:tcPr>
          <w:p>
            <w:pPr>
              <w:spacing w:after="0" w:line="240"/>
            </w:pPr>
            <w:r>
              <w:rPr>
                <w:b w:val="false"/>
                <w:bCs w:val="false"/>
                <w:sz w:val="20"/>
                <w:szCs w:val="20"/>
              </w:rPr>
              <w:t xml:space="preserve">GAAR</w:t>
            </w:r>
          </w:p>
        </w:tc>
        <w:tc>
          <w:tcPr>
            <w:tcW w:type="dxa" w:w="2650"/>
            <w:tcMar>
              <w:top w:type="dxa" w:w="60"/>
              <w:left w:type="dxa" w:w="100"/>
              <w:bottom w:type="dxa" w:w="60"/>
              <w:right w:type="dxa" w:w="100"/>
            </w:tcMar>
          </w:tcPr>
          <w:p>
            <w:pPr>
              <w:spacing w:after="0" w:line="240"/>
            </w:pPr>
            <w:r>
              <w:rPr>
                <w:b w:val="false"/>
                <w:bCs w:val="false"/>
                <w:sz w:val="20"/>
                <w:szCs w:val="20"/>
              </w:rPr>
              <w:t xml:space="preserve">ss. 178-184</w:t>
            </w:r>
          </w:p>
        </w:tc>
        <w:tc>
          <w:tcPr>
            <w:tcW w:type="dxa" w:w="2650"/>
            <w:tcMar>
              <w:top w:type="dxa" w:w="60"/>
              <w:left w:type="dxa" w:w="100"/>
              <w:bottom w:type="dxa" w:w="60"/>
              <w:right w:type="dxa" w:w="100"/>
            </w:tcMar>
          </w:tcPr>
          <w:p>
            <w:pPr>
              <w:spacing w:after="0" w:line="240"/>
            </w:pPr>
            <w:r>
              <w:rPr>
                <w:b w:val="false"/>
                <w:bCs w:val="false"/>
                <w:sz w:val="20"/>
                <w:szCs w:val="20"/>
              </w:rPr>
              <w:t xml:space="preserve">ss. 95-102</w:t>
            </w:r>
          </w:p>
        </w:tc>
      </w:tr>
    </w:tbl>
    <w:p>
      <w:pPr>
        <w:spacing w:after="160"/>
      </w:pPr>
    </w:p>
    <w:p>
      <w:pPr>
        <w:pStyle w:val="Heading2"/>
      </w:pPr>
      <w:r>
        <w:t xml:space="preserve">3.2 Concept of income — section 2(49) [section 2(24)]</w:t>
      </w:r>
    </w:p>
    <w:p>
      <w:pPr>
        <w:spacing w:after="140" w:line="276"/>
        <w:jc w:val="both"/>
      </w:pPr>
      <w:r>
        <w:t xml:space="preserve">Section 2(49) provides that "income" includes the items listed in clauses (a) to (w). The definition is inclusive and not exhaustive: the object of the long list is to widen the net of what is taxable, not to confine it. Something not mentioned in the list can still be income if it answers the natural meaning of the word, and the courts have consistently given the word the widest amplitude. The same broad approach is used when the word "income" is interpreted in Entry 82 of List I.</w:t>
      </w:r>
    </w:p>
    <w:p>
      <w:pPr>
        <w:spacing w:after="140" w:line="276"/>
        <w:jc w:val="both"/>
      </w:pPr>
      <w:r>
        <w:t xml:space="preserve">The settled features of the concept are these.</w:t>
      </w:r>
    </w:p>
    <w:p>
      <w:pPr>
        <w:pStyle w:val="ListParagraph"/>
        <w:numPr>
          <w:ilvl w:val="0"/>
          <w:numId w:val="2"/>
        </w:numPr>
        <w:spacing w:after="70" w:line="276"/>
        <w:jc w:val="both"/>
      </w:pPr>
      <w:r>
        <w:t xml:space="preserve">Income need not be recurring. A single, isolated receipt can be income.</w:t>
      </w:r>
    </w:p>
    <w:p>
      <w:pPr>
        <w:pStyle w:val="ListParagraph"/>
        <w:numPr>
          <w:ilvl w:val="0"/>
          <w:numId w:val="2"/>
        </w:numPr>
        <w:spacing w:after="70" w:line="276"/>
        <w:jc w:val="both"/>
      </w:pPr>
      <w:r>
        <w:t xml:space="preserve">There must be two entities. One cannot earn income from oneself, which is the foundation of the doctrine of mutuality.</w:t>
      </w:r>
    </w:p>
    <w:p>
      <w:pPr>
        <w:pStyle w:val="ListParagraph"/>
        <w:numPr>
          <w:ilvl w:val="0"/>
          <w:numId w:val="2"/>
        </w:numPr>
        <w:spacing w:after="70" w:line="276"/>
        <w:jc w:val="both"/>
      </w:pPr>
      <w:r>
        <w:t xml:space="preserve">Income may be in money or in anything convertible into money.</w:t>
      </w:r>
    </w:p>
    <w:p>
      <w:pPr>
        <w:pStyle w:val="ListParagraph"/>
        <w:numPr>
          <w:ilvl w:val="0"/>
          <w:numId w:val="2"/>
        </w:numPr>
        <w:spacing w:after="70" w:line="276"/>
        <w:jc w:val="both"/>
      </w:pPr>
      <w:r>
        <w:t xml:space="preserve">Income earned by unlawful means is still income for tax purposes.</w:t>
      </w:r>
    </w:p>
    <w:p>
      <w:pPr>
        <w:pStyle w:val="ListParagraph"/>
        <w:numPr>
          <w:ilvl w:val="0"/>
          <w:numId w:val="2"/>
        </w:numPr>
        <w:spacing w:after="70" w:line="276"/>
        <w:jc w:val="both"/>
      </w:pPr>
      <w:r>
        <w:t xml:space="preserve">A reimbursement of expenditure is normally not income, because it restores an outgoing rather than creating a gain.</w:t>
      </w:r>
    </w:p>
    <w:p>
      <w:pPr>
        <w:pStyle w:val="ListParagraph"/>
        <w:numPr>
          <w:ilvl w:val="0"/>
          <w:numId w:val="2"/>
        </w:numPr>
        <w:spacing w:after="70" w:line="276"/>
        <w:jc w:val="both"/>
      </w:pPr>
      <w:r>
        <w:t xml:space="preserve">Revenue receipts are income; capital receipts are not, unless the Act specifically makes them chargeable.</w:t>
      </w:r>
    </w:p>
    <w:p>
      <w:pPr>
        <w:pStyle w:val="ListParagraph"/>
        <w:numPr>
          <w:ilvl w:val="0"/>
          <w:numId w:val="2"/>
        </w:numPr>
        <w:spacing w:after="70" w:line="276"/>
        <w:jc w:val="both"/>
      </w:pPr>
      <w:r>
        <w:t xml:space="preserve">Income must be real and not hypothetical.</w:t>
      </w:r>
    </w:p>
    <w:p>
      <w:pPr>
        <w:pStyle w:val="ListParagraph"/>
        <w:numPr>
          <w:ilvl w:val="0"/>
          <w:numId w:val="2"/>
        </w:numPr>
        <w:spacing w:after="70" w:line="276"/>
        <w:jc w:val="both"/>
      </w:pPr>
      <w:r>
        <w:t xml:space="preserve">Income is wider than "profit" or "gain", and profit is different from gross receipts.</w:t>
      </w:r>
    </w:p>
    <w:p>
      <w:pPr>
        <w:spacing w:after="140" w:line="276"/>
        <w:jc w:val="both"/>
      </w:pPr>
      <w:r>
        <w:t xml:space="preserve">Winnings from lotteries, crossword puzzles, races including horse races, card games, gambling and betting fall under section 2(49)(n) [section 2(24)(ix)].</w:t>
      </w:r>
    </w:p>
    <w:p>
      <w:pPr>
        <w:pStyle w:val="Heading3"/>
      </w:pPr>
      <w:r>
        <w:t xml:space="preserve">CIT, Madras v. G.R. Karthikeyan (1993) 201 ITR 866 (SC)</w:t>
      </w:r>
    </w:p>
    <w:p>
      <w:pPr>
        <w:spacing w:after="140" w:line="276"/>
        <w:jc w:val="both"/>
      </w:pPr>
      <w:r>
        <w:rPr>
          <w:b/>
          <w:bCs/>
          <w:i w:val="false"/>
          <w:iCs w:val="false"/>
        </w:rPr>
        <w:t xml:space="preserve">Facts. </w:t>
      </w:r>
      <w:r>
        <w:rPr>
          <w:b w:val="false"/>
          <w:bCs w:val="false"/>
          <w:i w:val="false"/>
          <w:iCs w:val="false"/>
        </w:rPr>
        <w:t xml:space="preserve">The assessee took part in the All India Highway Motor Rally, a contest of reliability and endurance in which competitors had to observe rules of driving rather than merely go fastest. He won prizes totalling twenty-two thousand rupees in the assessment year 1974-75. The Revenue taxed the amount under section 2(24)(ix).</w:t>
      </w:r>
    </w:p>
    <w:p>
      <w:pPr>
        <w:spacing w:after="140" w:line="276"/>
        <w:jc w:val="both"/>
      </w:pPr>
      <w:r>
        <w:rPr>
          <w:b/>
          <w:bCs/>
          <w:i w:val="false"/>
          <w:iCs w:val="false"/>
        </w:rPr>
        <w:t xml:space="preserve">Issue. </w:t>
      </w:r>
      <w:r>
        <w:rPr>
          <w:b w:val="false"/>
          <w:bCs w:val="false"/>
          <w:i w:val="false"/>
          <w:iCs w:val="false"/>
        </w:rPr>
        <w:t xml:space="preserve">Whether a rally of this kind was a "race" or a "game", and whether the prize money was income at all or merely a casual receipt outside the charge.</w:t>
      </w:r>
    </w:p>
    <w:p>
      <w:pPr>
        <w:spacing w:after="140" w:line="276"/>
        <w:jc w:val="both"/>
      </w:pPr>
      <w:r>
        <w:rPr>
          <w:b/>
          <w:bCs/>
          <w:i w:val="false"/>
          <w:iCs w:val="false"/>
        </w:rPr>
        <w:t xml:space="preserve">Held. </w:t>
      </w:r>
      <w:r>
        <w:rPr>
          <w:b w:val="false"/>
          <w:bCs w:val="false"/>
          <w:i w:val="false"/>
          <w:iCs w:val="false"/>
        </w:rPr>
        <w:t xml:space="preserve">The receipt was income and was chargeable. The High Court’s narrower view, that winnings from such a rally were not within the clause, was not accepted.</w:t>
      </w:r>
    </w:p>
    <w:p>
      <w:pPr>
        <w:spacing w:after="140" w:line="276"/>
        <w:jc w:val="both"/>
      </w:pPr>
      <w:r>
        <w:rPr>
          <w:b/>
          <w:bCs/>
          <w:i w:val="false"/>
          <w:iCs w:val="false"/>
        </w:rPr>
        <w:t xml:space="preserve">Principle. </w:t>
      </w:r>
      <w:r>
        <w:rPr>
          <w:b w:val="false"/>
          <w:bCs w:val="false"/>
          <w:i w:val="false"/>
          <w:iCs w:val="false"/>
        </w:rPr>
        <w:t xml:space="preserve">Section 2(24) is an inclusive definition; the clauses do not cut down the ordinary meaning of income. If receipts from betting and gambling, which depend on chance, are income, money earned through skill and endurance in a rule-bound contest can hardly be excluded. A casual and non-recurring receipt is still income, and the question whether it is exempt is separate from the question whether it is income.</w:t>
      </w:r>
    </w:p>
    <w:p>
      <w:pPr>
        <w:spacing w:after="140" w:line="276"/>
        <w:jc w:val="both"/>
      </w:pPr>
      <w:r>
        <w:rPr>
          <w:b/>
          <w:bCs/>
          <w:i w:val="false"/>
          <w:iCs w:val="false"/>
        </w:rPr>
        <w:t xml:space="preserve">Note. </w:t>
      </w:r>
      <w:r>
        <w:rPr>
          <w:b w:val="false"/>
          <w:bCs w:val="false"/>
          <w:i w:val="false"/>
          <w:iCs w:val="false"/>
        </w:rPr>
        <w:t xml:space="preserve">The prize figure of twenty-two thousand rupees is verified. The distance of 6,500 kilometres noted in class could not be confirmed from the judgment and should not be quoted.</w:t>
      </w:r>
    </w:p>
    <w:p>
      <w:pPr>
        <w:pStyle w:val="Heading3"/>
      </w:pPr>
      <w:r>
        <w:t xml:space="preserve">CIT v. K. Thangamani (2009) 309 ITR 15 (Madras)</w:t>
      </w:r>
    </w:p>
    <w:p>
      <w:pPr>
        <w:spacing w:after="140" w:line="276"/>
        <w:jc w:val="both"/>
      </w:pPr>
      <w:r>
        <w:rPr>
          <w:b/>
          <w:bCs/>
          <w:i w:val="false"/>
          <w:iCs w:val="false"/>
        </w:rPr>
        <w:t xml:space="preserve">Facts. </w:t>
      </w:r>
      <w:r>
        <w:rPr>
          <w:b w:val="false"/>
          <w:bCs w:val="false"/>
          <w:i w:val="false"/>
          <w:iCs w:val="false"/>
        </w:rPr>
        <w:t xml:space="preserve">The assessee obtained money by fraudulently procuring income-tax refunds and argued that money earned by crime could not be taxed as his income.</w:t>
      </w:r>
    </w:p>
    <w:p>
      <w:pPr>
        <w:spacing w:after="140" w:line="276"/>
        <w:jc w:val="both"/>
      </w:pPr>
      <w:r>
        <w:rPr>
          <w:b/>
          <w:bCs/>
          <w:i w:val="false"/>
          <w:iCs w:val="false"/>
        </w:rPr>
        <w:t xml:space="preserve">Held. </w:t>
      </w:r>
      <w:r>
        <w:rPr>
          <w:b w:val="false"/>
          <w:bCs w:val="false"/>
          <w:i w:val="false"/>
          <w:iCs w:val="false"/>
        </w:rPr>
        <w:t xml:space="preserve">The amounts were taxable.</w:t>
      </w:r>
    </w:p>
    <w:p>
      <w:pPr>
        <w:spacing w:after="140" w:line="276"/>
        <w:jc w:val="both"/>
      </w:pPr>
      <w:r>
        <w:rPr>
          <w:b/>
          <w:bCs/>
          <w:i w:val="false"/>
          <w:iCs w:val="false"/>
        </w:rPr>
        <w:t xml:space="preserve">Principle. </w:t>
      </w:r>
      <w:r>
        <w:rPr>
          <w:b w:val="false"/>
          <w:bCs w:val="false"/>
          <w:i w:val="false"/>
          <w:iCs w:val="false"/>
        </w:rPr>
        <w:t xml:space="preserve">The Act taxes income whatever its source, and the source may be lawful or unlawful. An assessee cannot escape tax by pleading his own wrongdoing: allegans suam turpitudinem non est audiendus — one alleging his own turpitude is not to be heard. The judgment also distinguishes income from profit or gain and both from gross receipts, and confirms that tax is levied on real income.</w:t>
      </w:r>
    </w:p>
    <w:p>
      <w:pPr>
        <w:pStyle w:val="Heading3"/>
      </w:pPr>
      <w:r>
        <w:t xml:space="preserve">CIT, Bombay City I v. Shoorji Vallabhdas &amp; Co. (1962) 46 ITR 144 (SC)</w:t>
      </w:r>
    </w:p>
    <w:p>
      <w:pPr>
        <w:spacing w:after="140" w:line="276"/>
        <w:jc w:val="both"/>
      </w:pPr>
      <w:r>
        <w:rPr>
          <w:b/>
          <w:bCs/>
          <w:i w:val="false"/>
          <w:iCs w:val="false"/>
        </w:rPr>
        <w:t xml:space="preserve">Facts. </w:t>
      </w:r>
      <w:r>
        <w:rPr>
          <w:b w:val="false"/>
          <w:bCs w:val="false"/>
          <w:i w:val="false"/>
          <w:iCs w:val="false"/>
        </w:rPr>
        <w:t xml:space="preserve">Commission had been credited in the books of a managing agency at the originally agreed rate, but the rate was later reduced by agreement so that the higher amount was never received and never became payable.</w:t>
      </w:r>
    </w:p>
    <w:p>
      <w:pPr>
        <w:spacing w:after="140" w:line="276"/>
        <w:jc w:val="both"/>
      </w:pPr>
      <w:r>
        <w:rPr>
          <w:b/>
          <w:bCs/>
          <w:i w:val="false"/>
          <w:iCs w:val="false"/>
        </w:rPr>
        <w:t xml:space="preserve">Held. </w:t>
      </w:r>
      <w:r>
        <w:rPr>
          <w:b w:val="false"/>
          <w:bCs w:val="false"/>
          <w:i w:val="false"/>
          <w:iCs w:val="false"/>
        </w:rPr>
        <w:t xml:space="preserve">Only the reduced amount was taxable. The difference, which never materialised, could not be taxed.</w:t>
      </w:r>
    </w:p>
    <w:p>
      <w:pPr>
        <w:spacing w:after="140" w:line="276"/>
        <w:jc w:val="both"/>
      </w:pPr>
      <w:r>
        <w:rPr>
          <w:b/>
          <w:bCs/>
          <w:i w:val="false"/>
          <w:iCs w:val="false"/>
        </w:rPr>
        <w:t xml:space="preserve">Quotation (verified). </w:t>
      </w:r>
      <w:r>
        <w:rPr>
          <w:b w:val="false"/>
          <w:bCs w:val="false"/>
          <w:i w:val="false"/>
          <w:iCs w:val="false"/>
        </w:rPr>
        <w:t xml:space="preserve">Hidayatullah J. said:</w:t>
      </w:r>
    </w:p>
    <w:p>
      <w:pPr>
        <w:spacing w:after="160" w:before="60" w:line="264"/>
        <w:ind w:left="567" w:right="283"/>
        <w:jc w:val="both"/>
      </w:pPr>
      <w:r>
        <w:rPr>
          <w:i/>
          <w:iCs/>
        </w:rPr>
        <w:t xml:space="preserve">"Income-tax is a levy on income. No doubt, the Income-tax Act takes into account two points of time at which the liability to tax is attracted, viz., the accrual of the income or its receipt; but the substance of the matter is the income. If income does not result at all, there cannot be a tax, even though in book-keeping, an entry is made about a ‘hypothetical income’ which does not materialise."</w:t>
      </w:r>
    </w:p>
    <w:p>
      <w:pPr>
        <w:spacing w:after="140" w:line="276"/>
        <w:jc w:val="both"/>
      </w:pPr>
      <w:r>
        <w:rPr>
          <w:b/>
          <w:bCs/>
          <w:i w:val="false"/>
          <w:iCs w:val="false"/>
        </w:rPr>
        <w:t xml:space="preserve">Principle. </w:t>
      </w:r>
      <w:r>
        <w:rPr>
          <w:b w:val="false"/>
          <w:bCs w:val="false"/>
          <w:i w:val="false"/>
          <w:iCs w:val="false"/>
        </w:rPr>
        <w:t xml:space="preserve">Tax is charged on real income. An entry in the books cannot create income where in substance none has accrued or been received.</w:t>
      </w:r>
    </w:p>
    <w:p>
      <w:pPr>
        <w:pStyle w:val="Heading2"/>
      </w:pPr>
      <w:r>
        <w:t xml:space="preserve">3.3 Application and diversion of income</w:t>
      </w:r>
    </w:p>
    <w:p>
      <w:pPr>
        <w:spacing w:after="140" w:line="276"/>
        <w:jc w:val="both"/>
      </w:pPr>
      <w:r>
        <w:t xml:space="preserve">The two concepts answer a single question: did the amount ever become the assessee’s income?</w:t>
      </w:r>
    </w:p>
    <w:p>
      <w:pPr>
        <w:spacing w:after="140" w:line="276"/>
        <w:jc w:val="both"/>
      </w:pPr>
      <w:r>
        <w:rPr>
          <w:b/>
          <w:bCs/>
          <w:i w:val="false"/>
          <w:iCs w:val="false"/>
        </w:rPr>
        <w:t xml:space="preserve">Application of income </w:t>
      </w:r>
      <w:r>
        <w:rPr>
          <w:b w:val="false"/>
          <w:bCs w:val="false"/>
          <w:i w:val="false"/>
          <w:iCs w:val="false"/>
        </w:rPr>
        <w:t xml:space="preserve">means that income has already accrued to the assessee in the legal sense and is then spent by him to meet an obligation. It is taxable in his hands, even if he never physically handles the money and even if it is paid directly to the other person.</w:t>
      </w:r>
    </w:p>
    <w:p>
      <w:pPr>
        <w:spacing w:after="140" w:line="276"/>
        <w:jc w:val="both"/>
      </w:pPr>
      <w:r>
        <w:rPr>
          <w:b/>
          <w:bCs/>
          <w:i w:val="false"/>
          <w:iCs w:val="false"/>
        </w:rPr>
        <w:t xml:space="preserve">Diversion of income </w:t>
      </w:r>
      <w:r>
        <w:rPr>
          <w:b w:val="false"/>
          <w:bCs w:val="false"/>
          <w:i w:val="false"/>
          <w:iCs w:val="false"/>
        </w:rPr>
        <w:t xml:space="preserve">means that another person has an overriding title which takes the amount away before it becomes the assessee’s income. It was never his income, so there is nothing to tax in his hands.</w:t>
      </w:r>
    </w:p>
    <w:p>
      <w:pPr>
        <w:spacing w:after="140" w:line="276"/>
        <w:jc w:val="both"/>
      </w:pPr>
      <w:r>
        <w:t xml:space="preserve">The decisive question is not the timing of payment or whether cash passed through the assessee’s hands, but the nature of the obligation. The court identifies the source of the obligation, whether it arises from contract or from status, examines the legal relationship that creates it, and then asks whether that relationship gave someone a superior title to the income at source. An obligation arising merely from personal or family status usually results in application rather than diversion, because it does not fasten a charge on the income itself.</w:t>
      </w:r>
    </w:p>
    <w:p>
      <w:pPr>
        <w:pStyle w:val="Heading3"/>
      </w:pPr>
      <w:r>
        <w:t xml:space="preserve">CIT, Bombay City II v. Sitaldas Tirathdas (1961) 41 ITR 367 (SC)</w:t>
      </w:r>
    </w:p>
    <w:p>
      <w:pPr>
        <w:spacing w:after="140" w:line="276"/>
        <w:jc w:val="both"/>
      </w:pPr>
      <w:r>
        <w:rPr>
          <w:b/>
          <w:bCs/>
          <w:i w:val="false"/>
          <w:iCs w:val="false"/>
        </w:rPr>
        <w:t xml:space="preserve">Facts. </w:t>
      </w:r>
      <w:r>
        <w:rPr>
          <w:b w:val="false"/>
          <w:bCs w:val="false"/>
          <w:i w:val="false"/>
          <w:iCs w:val="false"/>
        </w:rPr>
        <w:t xml:space="preserve">The assessee’s wife and children obtained a decree for maintenance, and he paid maintenance accordingly. The decree created no charge on his property or on any particular income. He claimed the maintenance as a deduction on the ground that it was diverted income.</w:t>
      </w:r>
    </w:p>
    <w:p>
      <w:pPr>
        <w:spacing w:after="140" w:line="276"/>
        <w:jc w:val="both"/>
      </w:pPr>
      <w:r>
        <w:rPr>
          <w:b/>
          <w:bCs/>
          <w:i w:val="false"/>
          <w:iCs w:val="false"/>
        </w:rPr>
        <w:t xml:space="preserve">Held. </w:t>
      </w:r>
      <w:r>
        <w:rPr>
          <w:b w:val="false"/>
          <w:bCs w:val="false"/>
          <w:i w:val="false"/>
          <w:iCs w:val="false"/>
        </w:rPr>
        <w:t xml:space="preserve">Not deductible. The payments were an application of income which had already accrued to him.</w:t>
      </w:r>
    </w:p>
    <w:p>
      <w:pPr>
        <w:spacing w:after="140" w:line="276"/>
        <w:jc w:val="both"/>
      </w:pPr>
      <w:r>
        <w:rPr>
          <w:b/>
          <w:bCs/>
          <w:i w:val="false"/>
          <w:iCs w:val="false"/>
        </w:rPr>
        <w:t xml:space="preserve">Quotation (verified). </w:t>
      </w:r>
      <w:r>
        <w:rPr>
          <w:b w:val="false"/>
          <w:bCs w:val="false"/>
          <w:i w:val="false"/>
          <w:iCs w:val="false"/>
        </w:rPr>
        <w:t xml:space="preserve">Hidayatullah J. stated the test as follows:</w:t>
      </w:r>
    </w:p>
    <w:p>
      <w:pPr>
        <w:spacing w:after="160" w:before="60" w:line="264"/>
        <w:ind w:left="567" w:right="283"/>
        <w:jc w:val="both"/>
      </w:pPr>
      <w:r>
        <w:rPr>
          <w:i/>
          <w:iCs/>
        </w:rPr>
        <w:t xml:space="preserve">"In our opinion, the true test is whether the amount sought to be deducted, in truth, never reached the assessee as his income. Obligations, no doubt, there are in every case, but it is the nature of the obligation which is the decisive fact. There is a difference between an amount which a person is obliged to apply out of his income and an amount which by the nature of the obligation cannot be said to be a part of the income of the assessee. Where by the obligation income is diverted before it reaches the assessee, it is deductible; but where the income is required to be applied to discharge an obligation after such income reaches the assessee, it is not deductible."</w:t>
      </w:r>
    </w:p>
    <w:p>
      <w:pPr>
        <w:spacing w:after="140" w:line="276"/>
        <w:jc w:val="both"/>
      </w:pPr>
      <w:r>
        <w:rPr>
          <w:b/>
          <w:bCs/>
          <w:i w:val="false"/>
          <w:iCs w:val="false"/>
        </w:rPr>
        <w:t xml:space="preserve">Relevance. </w:t>
      </w:r>
      <w:r>
        <w:rPr>
          <w:b w:val="false"/>
          <w:bCs w:val="false"/>
          <w:i w:val="false"/>
          <w:iCs w:val="false"/>
        </w:rPr>
        <w:t xml:space="preserve">This passage is the standard statement of the distinction and should be reproduced accurately.</w:t>
      </w:r>
    </w:p>
    <w:p>
      <w:pPr>
        <w:pStyle w:val="Heading3"/>
      </w:pPr>
      <w:r>
        <w:t xml:space="preserve">CIT v. Sunil J. Kinariwala (2003) 259 ITR 10 (SC)</w:t>
      </w:r>
    </w:p>
    <w:p>
      <w:pPr>
        <w:spacing w:after="140" w:line="276"/>
        <w:jc w:val="both"/>
      </w:pPr>
      <w:r>
        <w:rPr>
          <w:b/>
          <w:bCs/>
          <w:i w:val="false"/>
          <w:iCs w:val="false"/>
        </w:rPr>
        <w:t xml:space="preserve">Facts. </w:t>
      </w:r>
      <w:r>
        <w:rPr>
          <w:b w:val="false"/>
          <w:bCs w:val="false"/>
          <w:i w:val="false"/>
          <w:iCs w:val="false"/>
        </w:rPr>
        <w:t xml:space="preserve">A partner in a firm assigned part of his share in the profits of the firm to a trust and claimed that the assigned share was diverted and not his income.</w:t>
      </w:r>
    </w:p>
    <w:p>
      <w:pPr>
        <w:spacing w:after="140" w:line="276"/>
        <w:jc w:val="both"/>
      </w:pPr>
      <w:r>
        <w:rPr>
          <w:b/>
          <w:bCs/>
          <w:i w:val="false"/>
          <w:iCs w:val="false"/>
        </w:rPr>
        <w:t xml:space="preserve">Held. </w:t>
      </w:r>
      <w:r>
        <w:rPr>
          <w:b w:val="false"/>
          <w:bCs w:val="false"/>
          <w:i w:val="false"/>
          <w:iCs w:val="false"/>
        </w:rPr>
        <w:t xml:space="preserve">It was an application of income and remained taxable in the partner’s hands.</w:t>
      </w:r>
    </w:p>
    <w:p>
      <w:pPr>
        <w:spacing w:after="140" w:line="276"/>
        <w:jc w:val="both"/>
      </w:pPr>
      <w:r>
        <w:rPr>
          <w:b/>
          <w:bCs/>
          <w:i w:val="false"/>
          <w:iCs w:val="false"/>
        </w:rPr>
        <w:t xml:space="preserve">Principle. </w:t>
      </w:r>
      <w:r>
        <w:rPr>
          <w:b w:val="false"/>
          <w:bCs w:val="false"/>
          <w:i w:val="false"/>
          <w:iCs w:val="false"/>
        </w:rPr>
        <w:t xml:space="preserve">The court examined the legal relationship under the law of partnership. The trust acquired only a right to receive a share of the profit from the partner; it did not become a partner and acquired no title to the firm’s profits at source. The profit therefore accrued first to the partner. The case shows the method to be followed: identify the relationship, determine what rights it actually creates, and then ask whether an overriding title existed before the income reached the assessee.</w:t>
      </w:r>
    </w:p>
    <w:p>
      <w:pPr>
        <w:pStyle w:val="Heading2"/>
      </w:pPr>
      <w:r>
        <w:t xml:space="preserve">3.4 Doctrine of mutuality</w:t>
      </w:r>
    </w:p>
    <w:p>
      <w:pPr>
        <w:spacing w:after="140" w:line="276"/>
        <w:jc w:val="both"/>
      </w:pPr>
      <w:r>
        <w:t xml:space="preserve">The doctrine rests on the simple proposition that no one can make a profit out of dealing with himself. Where a group of persons contributes to a common fund for a common purpose and any surplus comes back only to the same persons in the same capacity, the surplus is not income and is not taxable. It is treated as a return of the contributors’ own money. Mutual insurance associations and housing societies are typical examples.</w:t>
      </w:r>
    </w:p>
    <w:p>
      <w:pPr>
        <w:spacing w:after="140" w:line="276"/>
        <w:jc w:val="both"/>
      </w:pPr>
      <w:r>
        <w:t xml:space="preserve">The preconditions are:</w:t>
      </w:r>
    </w:p>
    <w:p>
      <w:pPr>
        <w:pStyle w:val="ListParagraph"/>
        <w:numPr>
          <w:ilvl w:val="0"/>
          <w:numId w:val="2"/>
        </w:numPr>
        <w:spacing w:after="70" w:line="276"/>
        <w:jc w:val="both"/>
      </w:pPr>
      <w:r>
        <w:t xml:space="preserve">complete identity between the contributors to the fund and the participators in the surplus, so that all who contribute are entitled to participate and all who participate have contributed; the legal form of the concern, whether a club, society or company, is irrelevant;</w:t>
      </w:r>
    </w:p>
    <w:p>
      <w:pPr>
        <w:pStyle w:val="ListParagraph"/>
        <w:numPr>
          <w:ilvl w:val="0"/>
          <w:numId w:val="2"/>
        </w:numPr>
        <w:spacing w:after="70" w:line="276"/>
        <w:jc w:val="both"/>
      </w:pPr>
      <w:r>
        <w:t xml:space="preserve">that the concern acts as an instrument obedient to the mandate of its members, applying the fund only for their common objects; and</w:t>
      </w:r>
    </w:p>
    <w:p>
      <w:pPr>
        <w:pStyle w:val="ListParagraph"/>
        <w:numPr>
          <w:ilvl w:val="0"/>
          <w:numId w:val="2"/>
        </w:numPr>
        <w:spacing w:after="70" w:line="276"/>
        <w:jc w:val="both"/>
      </w:pPr>
      <w:r>
        <w:t xml:space="preserve">no profiteering, meaning that the fund cannot be dealt with commercially so as to earn a profit from the contributors or from outsiders.</w:t>
      </w:r>
    </w:p>
    <w:p>
      <w:pPr>
        <w:spacing w:after="140" w:line="276"/>
        <w:jc w:val="both"/>
      </w:pPr>
      <w:r>
        <w:t xml:space="preserve">If the surplus is not distributable to the members, or if contributors and participators differ, mutuality fails. A members’ club is a mutual undertaking, but where it extends facilities to non-members, mutuality ends to that extent — the concern may thus have mutual and non-mutual compartments.</w:t>
      </w:r>
    </w:p>
    <w:p>
      <w:pPr>
        <w:spacing w:after="140" w:line="276"/>
        <w:jc w:val="both"/>
      </w:pPr>
      <w:r>
        <w:rPr>
          <w:b/>
          <w:bCs/>
          <w:i w:val="false"/>
          <w:iCs w:val="false"/>
        </w:rPr>
        <w:t xml:space="preserve">Styles (Surveyor of Taxes) v. New York Life Insurance Co. (1889) 14 App Cas 381. </w:t>
      </w:r>
      <w:r>
        <w:rPr>
          <w:b w:val="false"/>
          <w:bCs w:val="false"/>
          <w:i w:val="false"/>
          <w:iCs w:val="false"/>
        </w:rPr>
        <w:t xml:space="preserve">Members associated to insure each other’s lives on a mutual basis. They alone owned the common fund and they alone were entitled to the surplus. The part of the surplus arising from their own excess contributions was held not to be assessable profit. The case is the source of the three requirements of identity, obedience to the members’ mandate, and the impossibility of contributors profiting from their own contributions.</w:t>
      </w:r>
    </w:p>
    <w:p>
      <w:pPr>
        <w:pStyle w:val="Heading3"/>
      </w:pPr>
      <w:r>
        <w:t xml:space="preserve">Bangalore Club v. CIT (2013) 5 SCC 509</w:t>
      </w:r>
    </w:p>
    <w:p>
      <w:pPr>
        <w:spacing w:after="140" w:line="276"/>
        <w:jc w:val="both"/>
      </w:pPr>
      <w:r>
        <w:rPr>
          <w:b/>
          <w:bCs/>
          <w:i w:val="false"/>
          <w:iCs w:val="false"/>
        </w:rPr>
        <w:t xml:space="preserve">Facts. </w:t>
      </w:r>
      <w:r>
        <w:rPr>
          <w:b w:val="false"/>
          <w:bCs w:val="false"/>
          <w:i w:val="false"/>
          <w:iCs w:val="false"/>
        </w:rPr>
        <w:t xml:space="preserve">A members’ club placed its surplus funds in fixed deposits with banks, some of which were corporate members of the club, and claimed that the interest was covered by mutuality.</w:t>
      </w:r>
    </w:p>
    <w:p>
      <w:pPr>
        <w:spacing w:after="140" w:line="276"/>
        <w:jc w:val="both"/>
      </w:pPr>
      <w:r>
        <w:rPr>
          <w:b/>
          <w:bCs/>
          <w:i w:val="false"/>
          <w:iCs w:val="false"/>
        </w:rPr>
        <w:t xml:space="preserve">Held. </w:t>
      </w:r>
      <w:r>
        <w:rPr>
          <w:b w:val="false"/>
          <w:bCs w:val="false"/>
          <w:i w:val="false"/>
          <w:iCs w:val="false"/>
        </w:rPr>
        <w:t xml:space="preserve">Mutuality did not apply. The interest was taxable income.</w:t>
      </w:r>
    </w:p>
    <w:p>
      <w:pPr>
        <w:spacing w:after="140" w:line="276"/>
        <w:jc w:val="both"/>
      </w:pPr>
      <w:r>
        <w:rPr>
          <w:b/>
          <w:bCs/>
          <w:i w:val="false"/>
          <w:iCs w:val="false"/>
        </w:rPr>
        <w:t xml:space="preserve">Principle. </w:t>
      </w:r>
      <w:r>
        <w:rPr>
          <w:b w:val="false"/>
          <w:bCs w:val="false"/>
          <w:i w:val="false"/>
          <w:iCs w:val="false"/>
        </w:rPr>
        <w:t xml:space="preserve">The third condition breaks down once the money enters the bank’s commercial stream and is used for its lending business. The funds are then exposed to commercial exploitation and are no longer applied only for the common benefit of the members, and the interest earned is a return from a commercial transaction rather than a surplus of members’ contributions.</w:t>
      </w:r>
    </w:p>
    <w:p>
      <w:pPr>
        <w:spacing w:after="140" w:line="276"/>
        <w:jc w:val="both"/>
      </w:pPr>
      <w:r>
        <w:rPr>
          <w:b/>
          <w:bCs/>
          <w:i w:val="false"/>
          <w:iCs w:val="false"/>
        </w:rPr>
        <w:t xml:space="preserve">Status. </w:t>
      </w:r>
      <w:r>
        <w:rPr>
          <w:b w:val="false"/>
          <w:bCs w:val="false"/>
          <w:i w:val="false"/>
          <w:iCs w:val="false"/>
        </w:rPr>
        <w:t xml:space="preserve">Affirmed in Secunderabad Club v. CIT (2023), where the Supreme Court held that Bangalore Club requires no reconsideration and is a binding precedent, and that interest on such deposits is taxable whether or not the banks are corporate members. Note carefully that the later decision strengthened Bangalore Club; it did not overrule it.</w:t>
      </w:r>
    </w:p>
    <w:p>
      <w:pPr>
        <w:pStyle w:val="Heading2"/>
      </w:pPr>
      <w:r>
        <w:t xml:space="preserve">3.5 Tax year, previous year and assessment year — section 3</w:t>
      </w:r>
    </w:p>
    <w:p>
      <w:pPr>
        <w:spacing w:after="140" w:line="276"/>
        <w:jc w:val="both"/>
      </w:pPr>
      <w:r>
        <w:t xml:space="preserve">Section 3 provides that "tax year" means the twelve-month period of the financial year commencing on 1 April. Where a business or profession is newly set up, or a source of income newly comes into existence during a financial year, the tax year begins on the date of setting up or on the date the source comes into existence and ends with that financial year.</w:t>
      </w:r>
    </w:p>
    <w:p>
      <w:pPr>
        <w:spacing w:after="140" w:line="276"/>
        <w:jc w:val="both"/>
      </w:pPr>
      <w:r>
        <w:t xml:space="preserve">Under the Act of 1961 there were two periods: the "previous year", in which income was earned, and the "assessment year", the following year in which it was assessed and taxed. The Act of 2025 abolishes that distinction and uses a single expression, the tax year, for both earning and assessment. The simplification removes a frequent source of confusion but does not change the underlying rule that income is computed for a twelve-month period and taxed at the rates in force for that period. The first tax year under the new Act is 2026-27.</w:t>
      </w:r>
    </w:p>
    <w:p>
      <w:pPr>
        <w:pStyle w:val="Heading2"/>
      </w:pPr>
      <w:r>
        <w:t xml:space="preserve">3.6 Basis of charge — section 4</w:t>
      </w:r>
    </w:p>
    <w:p>
      <w:pPr>
        <w:spacing w:after="140" w:line="276"/>
        <w:jc w:val="both"/>
      </w:pPr>
      <w:r>
        <w:t xml:space="preserve">Income-tax is charged for every tax year, in accordance with and subject to the provisions of the Act, in respect of the total income of every person, at the rates fixed for that year by the annual Finance Act. The essential points are these.</w:t>
      </w:r>
    </w:p>
    <w:p>
      <w:pPr>
        <w:pStyle w:val="ListParagraph"/>
        <w:numPr>
          <w:ilvl w:val="0"/>
          <w:numId w:val="2"/>
        </w:numPr>
        <w:spacing w:after="70" w:line="276"/>
        <w:jc w:val="both"/>
      </w:pPr>
      <w:r>
        <w:t xml:space="preserve">The charge depends on income, not on assessment. Liability arises as soon as income accrues or is received; assessment merely quantifies and enforces what is already due.</w:t>
      </w:r>
    </w:p>
    <w:p>
      <w:pPr>
        <w:pStyle w:val="ListParagraph"/>
        <w:numPr>
          <w:ilvl w:val="0"/>
          <w:numId w:val="2"/>
        </w:numPr>
        <w:spacing w:after="70" w:line="276"/>
        <w:jc w:val="both"/>
      </w:pPr>
      <w:r>
        <w:t xml:space="preserve">Income tax is an annual tax, computed on the income of a whole tax year, and not monthly or quarterly.</w:t>
      </w:r>
    </w:p>
    <w:p>
      <w:pPr>
        <w:pStyle w:val="ListParagraph"/>
        <w:numPr>
          <w:ilvl w:val="0"/>
          <w:numId w:val="2"/>
        </w:numPr>
        <w:spacing w:after="70" w:line="276"/>
        <w:jc w:val="both"/>
      </w:pPr>
      <w:r>
        <w:t xml:space="preserve">The charge is on the total income of a person, so the person must first be identified and classified.</w:t>
      </w:r>
    </w:p>
    <w:p>
      <w:pPr>
        <w:pStyle w:val="ListParagraph"/>
        <w:numPr>
          <w:ilvl w:val="0"/>
          <w:numId w:val="2"/>
        </w:numPr>
        <w:spacing w:after="70" w:line="276"/>
        <w:jc w:val="both"/>
      </w:pPr>
      <w:r>
        <w:t xml:space="preserve">Section 4 is the principal charging section but not the only one; several provisions impose the charge independently.</w:t>
      </w:r>
    </w:p>
    <w:p>
      <w:pPr>
        <w:pStyle w:val="ListParagraph"/>
        <w:numPr>
          <w:ilvl w:val="0"/>
          <w:numId w:val="2"/>
        </w:numPr>
        <w:spacing w:after="70" w:line="276"/>
        <w:jc w:val="both"/>
      </w:pPr>
      <w:r>
        <w:t xml:space="preserve">Deduction of tax at source and advance tax are not separate charges. They are modes of accelerated recovery of the same liability, adjusted against it on assessment.</w:t>
      </w:r>
    </w:p>
    <w:p>
      <w:pPr>
        <w:pStyle w:val="Heading2"/>
      </w:pPr>
      <w:r>
        <w:t xml:space="preserve">3.7 Person and assessee — sections 2(77) and 2(11)</w:t>
      </w:r>
    </w:p>
    <w:p>
      <w:pPr>
        <w:spacing w:after="140" w:line="276"/>
        <w:jc w:val="both"/>
      </w:pPr>
      <w:r>
        <w:t xml:space="preserve">"Person" includes an individual, a Hindu undivided family, a company, a firm, an association of persons or a body of individuals whether incorporated or not, a local authority, and every artificial juridical person not falling in the preceding categories. It does not matter whether the association, body, local authority or artificial juridical person was formed with the object of deriving income, profits or gains. Classification matters because rates, exemptions and computation rules differ between categories.</w:t>
      </w:r>
    </w:p>
    <w:p>
      <w:pPr>
        <w:spacing w:after="140" w:line="276"/>
        <w:jc w:val="both"/>
      </w:pPr>
      <w:r>
        <w:t xml:space="preserve">"Assessee" means a person by whom any tax or any other sum of money is payable under the Act. It also includes every person in respect of whom any proceeding has been taken under the Act for the assessment of his own income, loss or refund, or for the assessment of the income of another person in respect of which he is assessable; every person deemed to be an assessee; and every person deemed to be an assessee in default. A person may therefore be an assessee even if no tax is finally found payable.</w:t>
      </w:r>
    </w:p>
    <w:p>
      <w:pPr>
        <w:pStyle w:val="Heading2"/>
      </w:pPr>
      <w:r>
        <w:t xml:space="preserve">3.8 Scope of total income — section 5</w:t>
      </w:r>
    </w:p>
    <w:p>
      <w:pPr>
        <w:spacing w:after="140" w:line="276"/>
        <w:jc w:val="both"/>
      </w:pPr>
      <w:r>
        <w:t xml:space="preserve">Section 5 fixes what is included in total income, and the answer depends on residential status.</w:t>
      </w:r>
    </w:p>
    <w:p>
      <w:pPr>
        <w:pStyle w:val="ListParagraph"/>
        <w:numPr>
          <w:ilvl w:val="0"/>
          <w:numId w:val="2"/>
        </w:numPr>
        <w:spacing w:after="70" w:line="276"/>
        <w:jc w:val="both"/>
      </w:pPr>
      <w:r>
        <w:rPr>
          <w:b/>
          <w:bCs/>
          <w:i w:val="false"/>
          <w:iCs w:val="false"/>
        </w:rPr>
        <w:t xml:space="preserve">Resident. </w:t>
      </w:r>
      <w:r>
        <w:rPr>
          <w:b w:val="false"/>
          <w:bCs w:val="false"/>
          <w:i w:val="false"/>
          <w:iCs w:val="false"/>
        </w:rPr>
        <w:t xml:space="preserve">Income received or deemed to be received in India; income which accrues or arises or is deemed to accrue or arise in India; and income which accrues or arises outside India.</w:t>
      </w:r>
    </w:p>
    <w:p>
      <w:pPr>
        <w:pStyle w:val="ListParagraph"/>
        <w:numPr>
          <w:ilvl w:val="0"/>
          <w:numId w:val="2"/>
        </w:numPr>
        <w:spacing w:after="70" w:line="276"/>
        <w:jc w:val="both"/>
      </w:pPr>
      <w:r>
        <w:rPr>
          <w:b/>
          <w:bCs/>
          <w:i w:val="false"/>
          <w:iCs w:val="false"/>
        </w:rPr>
        <w:t xml:space="preserve">Not ordinarily resident. </w:t>
      </w:r>
      <w:r>
        <w:rPr>
          <w:b w:val="false"/>
          <w:bCs w:val="false"/>
          <w:i w:val="false"/>
          <w:iCs w:val="false"/>
        </w:rPr>
        <w:t xml:space="preserve">As for a resident, except that foreign income is included only if it is derived from a business controlled in, or a profession set up in, India.</w:t>
      </w:r>
    </w:p>
    <w:p>
      <w:pPr>
        <w:pStyle w:val="ListParagraph"/>
        <w:numPr>
          <w:ilvl w:val="0"/>
          <w:numId w:val="2"/>
        </w:numPr>
        <w:spacing w:after="70" w:line="276"/>
        <w:jc w:val="both"/>
      </w:pPr>
      <w:r>
        <w:rPr>
          <w:b/>
          <w:bCs/>
          <w:i w:val="false"/>
          <w:iCs w:val="false"/>
        </w:rPr>
        <w:t xml:space="preserve">Non-resident. </w:t>
      </w:r>
      <w:r>
        <w:rPr>
          <w:b w:val="false"/>
          <w:bCs w:val="false"/>
          <w:i w:val="false"/>
          <w:iCs w:val="false"/>
        </w:rPr>
        <w:t xml:space="preserve">Only income received or deemed to be received in India, and income which accrues or arises or is deemed to accrue or arise in India.</w:t>
      </w:r>
    </w:p>
    <w:p>
      <w:pPr>
        <w:spacing w:after="140" w:line="276"/>
        <w:jc w:val="both"/>
      </w:pPr>
      <w:r>
        <w:t xml:space="preserve">Receipt and accrual are separate connecting factors, and either is sufficient. Income accruing or arising outside India is not deemed to be received in India merely because it is taken into account in a balance sheet prepared in India; a real statutory nexus of receipt or accrual is still required.</w:t>
      </w:r>
    </w:p>
    <w:p>
      <w:pPr>
        <w:spacing w:after="140" w:line="276"/>
        <w:jc w:val="both"/>
      </w:pPr>
      <w:r>
        <w:t xml:space="preserve">In short: a resident and ordinarily resident person is taxed on global income, while a person who is not ordinarily resident and a non-resident are taxed only on income having a connection with India.</w:t>
      </w:r>
    </w:p>
    <w:p>
      <w:pPr>
        <w:pStyle w:val="Heading2"/>
      </w:pPr>
      <w:r>
        <w:t xml:space="preserve">3.9 Residence in India — section 6</w:t>
      </w:r>
    </w:p>
    <w:p>
      <w:pPr>
        <w:pStyle w:val="Heading3"/>
      </w:pPr>
      <w:r>
        <w:t xml:space="preserve">Individuals</w:t>
      </w:r>
    </w:p>
    <w:p>
      <w:pPr>
        <w:spacing w:after="140" w:line="276"/>
        <w:jc w:val="both"/>
      </w:pPr>
      <w:r>
        <w:t xml:space="preserve">Under section 6(2) an individual is resident in India in a tax year if he is (a) in India for 182 days or more in that tax year, or (b) in India for 60 days or more in that tax year and has also been in India for 365 days or more in the four preceding tax years. Either limb is sufficient. The test is one of physical presence, and purpose, domicile and citizenship are irrelevant.</w:t>
      </w:r>
    </w:p>
    <w:p>
      <w:pPr>
        <w:spacing w:after="140" w:line="276"/>
        <w:jc w:val="both"/>
      </w:pPr>
      <w:r>
        <w:t xml:space="preserve">The second limb is then modified for internationally mobile Indians.</w:t>
      </w:r>
    </w:p>
    <w:p>
      <w:pPr>
        <w:pStyle w:val="ListParagraph"/>
        <w:numPr>
          <w:ilvl w:val="0"/>
          <w:numId w:val="2"/>
        </w:numPr>
        <w:spacing w:after="70" w:line="276"/>
        <w:jc w:val="both"/>
      </w:pPr>
      <w:r>
        <w:rPr>
          <w:b/>
          <w:bCs/>
          <w:i w:val="false"/>
          <w:iCs w:val="false"/>
        </w:rPr>
        <w:t xml:space="preserve">Section 6(3). </w:t>
      </w:r>
      <w:r>
        <w:rPr>
          <w:b w:val="false"/>
          <w:bCs w:val="false"/>
          <w:i w:val="false"/>
          <w:iCs w:val="false"/>
        </w:rPr>
        <w:t xml:space="preserve">The 60-day limb does not apply to a citizen of India who leaves India in any tax year as a member of the crew of an Indian ship, or for the purpose of employment outside India. Such a person becomes resident only if he stays 182 days or more. "For the purpose of employment" is not limited to the unemployed; a person already in a job who leaves to take up work abroad is covered.</w:t>
      </w:r>
    </w:p>
    <w:p>
      <w:pPr>
        <w:pStyle w:val="ListParagraph"/>
        <w:numPr>
          <w:ilvl w:val="0"/>
          <w:numId w:val="2"/>
        </w:numPr>
        <w:spacing w:after="70" w:line="276"/>
        <w:jc w:val="both"/>
      </w:pPr>
      <w:r>
        <w:rPr>
          <w:b/>
          <w:bCs/>
          <w:i w:val="false"/>
          <w:iCs w:val="false"/>
        </w:rPr>
        <w:t xml:space="preserve">Sections 6(4) and 6(5). </w:t>
      </w:r>
      <w:r>
        <w:rPr>
          <w:b w:val="false"/>
          <w:bCs w:val="false"/>
          <w:i w:val="false"/>
          <w:iCs w:val="false"/>
        </w:rPr>
        <w:t xml:space="preserve">The 60-day limb also does not apply to a citizen of India or a person of Indian origin who, being outside India, comes on a visit to India. For such a visitor, if his total income other than income from foreign sources exceeds fifteen lakh rupees, 120 days is substituted for 60 days in the second limb, while the requirement of 365 days in the preceding four years remains. If his Indian income does not exceed that threshold, only the 182-day test applies.</w:t>
      </w:r>
    </w:p>
    <w:p>
      <w:pPr>
        <w:pStyle w:val="ListParagraph"/>
        <w:numPr>
          <w:ilvl w:val="0"/>
          <w:numId w:val="2"/>
        </w:numPr>
        <w:spacing w:after="70" w:line="276"/>
        <w:jc w:val="both"/>
      </w:pPr>
      <w:r>
        <w:rPr>
          <w:b/>
          <w:bCs/>
          <w:i w:val="false"/>
          <w:iCs w:val="false"/>
        </w:rPr>
        <w:t xml:space="preserve">Section 6(6). </w:t>
      </w:r>
      <w:r>
        <w:rPr>
          <w:b w:val="false"/>
          <w:bCs w:val="false"/>
          <w:i w:val="false"/>
          <w:iCs w:val="false"/>
        </w:rPr>
        <w:t xml:space="preserve">For a citizen who is a member of the crew of a foreign-bound ship, the days of presence are counted by a special rule based on the voyage.</w:t>
      </w:r>
    </w:p>
    <w:p>
      <w:pPr>
        <w:pStyle w:val="ListParagraph"/>
        <w:numPr>
          <w:ilvl w:val="0"/>
          <w:numId w:val="2"/>
        </w:numPr>
        <w:spacing w:after="70" w:line="276"/>
        <w:jc w:val="both"/>
      </w:pPr>
      <w:r>
        <w:rPr>
          <w:b/>
          <w:bCs/>
          <w:i w:val="false"/>
          <w:iCs w:val="false"/>
        </w:rPr>
        <w:t xml:space="preserve">Section 6(7) — deemed resident. </w:t>
      </w:r>
      <w:r>
        <w:rPr>
          <w:b w:val="false"/>
          <w:bCs w:val="false"/>
          <w:i w:val="false"/>
          <w:iCs w:val="false"/>
        </w:rPr>
        <w:t xml:space="preserve">An Indian citizen whose total income other than income from foreign sources exceeds fifteen lakh rupees is deemed resident if he is not liable to tax in any other country by reason of domicile, residence or any other criterion of a similar nature. The object is to prevent a person from being resident nowhere. Section 6(8) provides that this does not apply to persons already governed by the preceding rules.</w:t>
      </w:r>
    </w:p>
    <w:p>
      <w:pPr>
        <w:pStyle w:val="Heading3"/>
      </w:pPr>
      <w:r>
        <w:t xml:space="preserve">Other persons</w:t>
      </w:r>
    </w:p>
    <w:p>
      <w:pPr>
        <w:pStyle w:val="ListParagraph"/>
        <w:numPr>
          <w:ilvl w:val="0"/>
          <w:numId w:val="2"/>
        </w:numPr>
        <w:spacing w:after="70" w:line="276"/>
        <w:jc w:val="both"/>
      </w:pPr>
      <w:r>
        <w:rPr>
          <w:b/>
          <w:bCs/>
          <w:i w:val="false"/>
          <w:iCs w:val="false"/>
        </w:rPr>
        <w:t xml:space="preserve">Hindu undivided family, firm or association of persons — section 6(9). </w:t>
      </w:r>
      <w:r>
        <w:rPr>
          <w:b w:val="false"/>
          <w:bCs w:val="false"/>
          <w:i w:val="false"/>
          <w:iCs w:val="false"/>
        </w:rPr>
        <w:t xml:space="preserve">Resident in India in any tax year unless the control and management of its affairs is situated wholly outside India during that year. Any measure of control within India therefore makes it resident, and the burden of proving the exception lies on the assessee.</w:t>
      </w:r>
    </w:p>
    <w:p>
      <w:pPr>
        <w:pStyle w:val="ListParagraph"/>
        <w:numPr>
          <w:ilvl w:val="0"/>
          <w:numId w:val="2"/>
        </w:numPr>
        <w:spacing w:after="70" w:line="276"/>
        <w:jc w:val="both"/>
      </w:pPr>
      <w:r>
        <w:rPr>
          <w:b/>
          <w:bCs/>
          <w:i w:val="false"/>
          <w:iCs w:val="false"/>
        </w:rPr>
        <w:t xml:space="preserve">Company — section 6(10). </w:t>
      </w:r>
      <w:r>
        <w:rPr>
          <w:b w:val="false"/>
          <w:bCs w:val="false"/>
          <w:i w:val="false"/>
          <w:iCs w:val="false"/>
        </w:rPr>
        <w:t xml:space="preserve">Resident if it is an Indian company, or if its place of effective management is in India. Place of effective management means the place where key management and commercial decisions necessary for the conduct of the business as a whole are in substance made.</w:t>
      </w:r>
    </w:p>
    <w:p>
      <w:pPr>
        <w:pStyle w:val="ListParagraph"/>
        <w:numPr>
          <w:ilvl w:val="0"/>
          <w:numId w:val="2"/>
        </w:numPr>
        <w:spacing w:after="70" w:line="276"/>
        <w:jc w:val="both"/>
      </w:pPr>
      <w:r>
        <w:rPr>
          <w:b/>
          <w:bCs/>
          <w:i w:val="false"/>
          <w:iCs w:val="false"/>
        </w:rPr>
        <w:t xml:space="preserve">Not ordinarily resident — section 6(13). </w:t>
      </w:r>
      <w:r>
        <w:rPr>
          <w:b w:val="false"/>
          <w:bCs w:val="false"/>
          <w:i w:val="false"/>
          <w:iCs w:val="false"/>
        </w:rPr>
        <w:t xml:space="preserve">A person is not ordinarily resident if he is an individual, or a Hindu undivided family whose manager, has been a non-resident in nine out of the ten preceding tax years, or has been in India for 729 days or less in the seven preceding tax years; or if he is a citizen of India or a person of Indian origin whose total income from India exceeds fifteen lakh rupees and who has been in India for 120 days or more but less than 182 days in that tax year; or if he is a deemed resident under section 6(7).</w:t>
      </w:r>
    </w:p>
    <w:p>
      <w:pPr>
        <w:pStyle w:val="ListParagraph"/>
        <w:numPr>
          <w:ilvl w:val="0"/>
          <w:numId w:val="2"/>
        </w:numPr>
        <w:spacing w:after="70" w:line="276"/>
        <w:jc w:val="both"/>
      </w:pPr>
      <w:r>
        <w:rPr>
          <w:b/>
          <w:bCs/>
          <w:i w:val="false"/>
          <w:iCs w:val="false"/>
        </w:rPr>
        <w:t xml:space="preserve">Section 6(12). </w:t>
      </w:r>
      <w:r>
        <w:rPr>
          <w:b w:val="false"/>
          <w:bCs w:val="false"/>
          <w:i w:val="false"/>
          <w:iCs w:val="false"/>
        </w:rPr>
        <w:t xml:space="preserve">A person who is resident in respect of one source of income is resident in respect of all his sources in that year.</w:t>
      </w:r>
    </w:p>
    <w:p>
      <w:pPr>
        <w:pStyle w:val="ListParagraph"/>
        <w:numPr>
          <w:ilvl w:val="0"/>
          <w:numId w:val="2"/>
        </w:numPr>
        <w:spacing w:after="70" w:line="276"/>
        <w:jc w:val="both"/>
      </w:pPr>
      <w:r>
        <w:rPr>
          <w:b/>
          <w:bCs/>
          <w:i w:val="false"/>
          <w:iCs w:val="false"/>
        </w:rPr>
        <w:t xml:space="preserve">Section 6(14). </w:t>
      </w:r>
      <w:r>
        <w:rPr>
          <w:b w:val="false"/>
          <w:bCs w:val="false"/>
          <w:i w:val="false"/>
          <w:iCs w:val="false"/>
        </w:rPr>
        <w:t xml:space="preserve">"Income from foreign sources" means income which accrues or arises outside India, other than income from a business controlled in or a profession set up in India, and which is not deemed to accrue or arise in India.</w:t>
      </w:r>
    </w:p>
    <w:p>
      <w:pPr>
        <w:spacing w:after="140" w:line="276"/>
        <w:jc w:val="both"/>
      </w:pPr>
      <w:r>
        <w:rPr>
          <w:b/>
          <w:bCs/>
          <w:i w:val="false"/>
          <w:iCs w:val="false"/>
        </w:rPr>
        <w:t xml:space="preserve">Order of reading. </w:t>
      </w:r>
      <w:r>
        <w:rPr>
          <w:b w:val="false"/>
          <w:bCs w:val="false"/>
          <w:i w:val="false"/>
          <w:iCs w:val="false"/>
        </w:rPr>
        <w:t xml:space="preserve">Take section 5, then section 6(2), then section 6(13). First ask whether the individual is resident under either limb of section 6(2). Only if he is does the second question arise, namely whether he is ordinarily resident, which section 6(13) answers. If he is not resident at all, the question of ordinary residence does not arise. Finally apply section 5 to see what income is included.</w:t>
      </w:r>
    </w:p>
    <w:p>
      <w:pPr>
        <w:pStyle w:val="Heading3"/>
      </w:pPr>
      <w:r>
        <w:t xml:space="preserve">V.V.R.N.M. Subbayya Chettiar v. CIT, Madras (1951) 19 ITR 168 (SC)</w:t>
      </w:r>
    </w:p>
    <w:p>
      <w:pPr>
        <w:spacing w:after="140" w:line="276"/>
        <w:jc w:val="both"/>
      </w:pPr>
      <w:r>
        <w:rPr>
          <w:b/>
          <w:bCs/>
          <w:i w:val="false"/>
          <w:iCs w:val="false"/>
        </w:rPr>
        <w:t xml:space="preserve">Facts. </w:t>
      </w:r>
      <w:r>
        <w:rPr>
          <w:b w:val="false"/>
          <w:bCs w:val="false"/>
          <w:i w:val="false"/>
          <w:iCs w:val="false"/>
        </w:rPr>
        <w:t xml:space="preserve">A Hindu undivided family was domiciled in Ceylon and its Karta lived permanently in Colombo. The Karta came to British India and stayed for 101 days, during which he performed certain acts concerning the family’s affairs. The family claimed that the control and management of its affairs was situated wholly outside the taxable territories, and that it was therefore not resident.</w:t>
      </w:r>
    </w:p>
    <w:p>
      <w:pPr>
        <w:spacing w:after="140" w:line="276"/>
        <w:jc w:val="both"/>
      </w:pPr>
      <w:r>
        <w:rPr>
          <w:b/>
          <w:bCs/>
          <w:i w:val="false"/>
          <w:iCs w:val="false"/>
        </w:rPr>
        <w:t xml:space="preserve">Issue. </w:t>
      </w:r>
      <w:r>
        <w:rPr>
          <w:b w:val="false"/>
          <w:bCs w:val="false"/>
          <w:i w:val="false"/>
          <w:iCs w:val="false"/>
        </w:rPr>
        <w:t xml:space="preserve">Whether the family had discharged the burden of proving that control and management was wholly outside the taxable territories under the exception in section 4A(b) of the Act of 1922.</w:t>
      </w:r>
    </w:p>
    <w:p>
      <w:pPr>
        <w:spacing w:after="140" w:line="276"/>
        <w:jc w:val="both"/>
      </w:pPr>
      <w:r>
        <w:rPr>
          <w:b/>
          <w:bCs/>
          <w:i w:val="false"/>
          <w:iCs w:val="false"/>
        </w:rPr>
        <w:t xml:space="preserve">Held. </w:t>
      </w:r>
      <w:r>
        <w:rPr>
          <w:b w:val="false"/>
          <w:bCs w:val="false"/>
          <w:i w:val="false"/>
          <w:iCs w:val="false"/>
        </w:rPr>
        <w:t xml:space="preserve">The family was resident. Correspondence and other material evidence that might have shown that the Indian affairs were also controlled from Colombo was not produced, so the burden was not discharged and the normal presumption prevailed.</w:t>
      </w:r>
    </w:p>
    <w:p>
      <w:pPr>
        <w:spacing w:after="140" w:line="276"/>
        <w:jc w:val="both"/>
      </w:pPr>
      <w:r>
        <w:rPr>
          <w:b/>
          <w:bCs/>
          <w:i w:val="false"/>
          <w:iCs w:val="false"/>
        </w:rPr>
        <w:t xml:space="preserve">Quotation (verified). </w:t>
      </w:r>
      <w:r>
        <w:rPr>
          <w:b w:val="false"/>
          <w:bCs w:val="false"/>
          <w:i w:val="false"/>
          <w:iCs w:val="false"/>
        </w:rPr>
        <w:t xml:space="preserve">The Court said:</w:t>
      </w:r>
    </w:p>
    <w:p>
      <w:pPr>
        <w:spacing w:after="160" w:before="60" w:line="264"/>
        <w:ind w:left="567" w:right="283"/>
        <w:jc w:val="both"/>
      </w:pPr>
      <w:r>
        <w:rPr>
          <w:i/>
          <w:iCs/>
        </w:rPr>
        <w:t xml:space="preserve">"There can be no doubt that the onus of proving facts which would bring his case within the exception, which is provided by the latter part of section 4A(b), was on the assessee."</w:t>
      </w:r>
    </w:p>
    <w:p>
      <w:pPr>
        <w:spacing w:after="140" w:line="276"/>
        <w:jc w:val="both"/>
      </w:pPr>
      <w:r>
        <w:rPr>
          <w:b/>
          <w:bCs/>
          <w:i w:val="false"/>
          <w:iCs w:val="false"/>
        </w:rPr>
        <w:t xml:space="preserve">Principle. </w:t>
      </w:r>
      <w:r>
        <w:rPr>
          <w:b w:val="false"/>
          <w:bCs w:val="false"/>
          <w:i w:val="false"/>
          <w:iCs w:val="false"/>
        </w:rPr>
        <w:t xml:space="preserve">A Hindu undivided family is presumed to be resident, and the assessee must prove the exception. "Control and management" means the controlling and directing power, the head and brain of the affairs, and it must be situated with some degree of permanence. The expression "wholly" recognises that there may be more than one centre of control, and acts done in India by the Karta himself, though not conclusive, are relevant and cannot be ignored.</w:t>
      </w:r>
    </w:p>
    <w:p>
      <w:pPr>
        <w:spacing w:after="140" w:line="276"/>
        <w:jc w:val="both"/>
      </w:pPr>
      <w:r>
        <w:rPr>
          <w:b/>
          <w:bCs/>
          <w:i w:val="false"/>
          <w:iCs w:val="false"/>
        </w:rPr>
        <w:t xml:space="preserve">Relevance. </w:t>
      </w:r>
      <w:r>
        <w:rPr>
          <w:b w:val="false"/>
          <w:bCs w:val="false"/>
          <w:i w:val="false"/>
          <w:iCs w:val="false"/>
        </w:rPr>
        <w:t xml:space="preserve">This is the authority on section 6(9), and on the burden of proof where an assessee relies on the "wholly outside India" exception.</w:t>
      </w:r>
    </w:p>
    <w:p>
      <w:pPr>
        <w:pStyle w:val="Heading3"/>
      </w:pPr>
      <w:r>
        <w:t xml:space="preserve">Narottam and Parekh Ltd v. CIT, Bombay City (1954) 25 ITR 40 (Bombay)</w:t>
      </w:r>
    </w:p>
    <w:p>
      <w:pPr>
        <w:spacing w:after="140" w:line="276"/>
        <w:jc w:val="both"/>
      </w:pPr>
      <w:r>
        <w:rPr>
          <w:b/>
          <w:bCs/>
          <w:i w:val="false"/>
          <w:iCs w:val="false"/>
        </w:rPr>
        <w:t xml:space="preserve">Facts and issue. </w:t>
      </w:r>
      <w:r>
        <w:rPr>
          <w:b w:val="false"/>
          <w:bCs w:val="false"/>
          <w:i w:val="false"/>
          <w:iCs w:val="false"/>
        </w:rPr>
        <w:t xml:space="preserve">The residence of a company under section 4A(c) of the Act of 1922, which required the control and management of its affairs to be situated wholly in the taxable territories.</w:t>
      </w:r>
    </w:p>
    <w:p>
      <w:pPr>
        <w:spacing w:after="140" w:line="276"/>
        <w:jc w:val="both"/>
      </w:pPr>
      <w:r>
        <w:rPr>
          <w:b/>
          <w:bCs/>
          <w:i w:val="false"/>
          <w:iCs w:val="false"/>
        </w:rPr>
        <w:t xml:space="preserve">Principle. </w:t>
      </w:r>
      <w:r>
        <w:rPr>
          <w:b w:val="false"/>
          <w:bCs w:val="false"/>
          <w:i w:val="false"/>
          <w:iCs w:val="false"/>
        </w:rPr>
        <w:t xml:space="preserve">"Control and management" is a compendious expression with a definite meaning: it refers to central control and management, not to the carrying on of day-to-day business by servants, employees or agents. The place where the business is done and the income earned is irrelevant; what is material is the place from which the business is controlled and managed. The real test is where the controlling and directing power functions — where the seat of power, the head and brain, is located. It is not the servants and agents who constitute that seat of power, but the authority to which they are subject. A company may, like an individual, have more than one residence, and the question depends on the circumstances of each case.</w:t>
      </w:r>
    </w:p>
    <w:p>
      <w:pPr>
        <w:spacing w:after="140" w:line="276"/>
        <w:jc w:val="both"/>
      </w:pPr>
      <w:r>
        <w:rPr>
          <w:b/>
          <w:bCs/>
          <w:i w:val="false"/>
          <w:iCs w:val="false"/>
        </w:rPr>
        <w:t xml:space="preserve">Distinction drawn in the judgment. </w:t>
      </w:r>
      <w:r>
        <w:rPr>
          <w:b w:val="false"/>
          <w:bCs w:val="false"/>
          <w:i w:val="false"/>
          <w:iCs w:val="false"/>
        </w:rPr>
        <w:t xml:space="preserve">For a Hindu undivided family, firm or association, any measure of control within the taxable territories makes it resident. For a company under the provision then in force, any measure of control outside would prevent it from being resident there. The structural difference between the two formulations is worth noting.</w:t>
      </w:r>
    </w:p>
    <w:p>
      <w:pPr>
        <w:spacing w:after="140" w:line="276"/>
        <w:jc w:val="both"/>
      </w:pPr>
      <w:r>
        <w:rPr>
          <w:b/>
          <w:bCs/>
          <w:i w:val="false"/>
          <w:iCs w:val="false"/>
        </w:rPr>
        <w:t xml:space="preserve">Relevance. </w:t>
      </w:r>
      <w:r>
        <w:rPr>
          <w:b w:val="false"/>
          <w:bCs w:val="false"/>
          <w:i w:val="false"/>
          <w:iCs w:val="false"/>
        </w:rPr>
        <w:t xml:space="preserve">This reasoning is the origin of the place of effective management test now in section 6(10).</w:t>
      </w:r>
    </w:p>
    <w:p>
      <w:pPr>
        <w:pStyle w:val="Heading2"/>
      </w:pPr>
      <w:r>
        <w:t xml:space="preserve">3.10 Income deemed to accrue or arise in India — section 9</w:t>
      </w:r>
    </w:p>
    <w:p>
      <w:pPr>
        <w:spacing w:after="140" w:line="276"/>
        <w:jc w:val="both"/>
      </w:pPr>
      <w:r>
        <w:t xml:space="preserve">Section 9 supplies a territorial nexus where income has not actually accrued or arisen in India. Income is deemed to accrue or arise in India if it accrues or arises, directly or indirectly, through or from a business connection in India, through or from any property in India, through or from any asset or source of income in India, or through the transfer of a capital asset situate in India. Salary earned in India, dividends paid by an Indian company, and interest, royalty and fees for technical services paid by a resident or used in India are also brought within the charge. The provision matters chiefly for non-residents, who are taxable only on income with an Indian connection.</w:t>
      </w:r>
    </w:p>
    <w:p>
      <w:pPr>
        <w:pStyle w:val="Heading3"/>
      </w:pPr>
      <w:r>
        <w:t xml:space="preserve">Vodafone International Holdings B.V. v. Union of India (2012) 6 SCC 613</w:t>
      </w:r>
    </w:p>
    <w:p>
      <w:pPr>
        <w:spacing w:after="140" w:line="276"/>
        <w:jc w:val="both"/>
      </w:pPr>
      <w:r>
        <w:rPr>
          <w:b/>
          <w:bCs/>
          <w:i w:val="false"/>
          <w:iCs w:val="false"/>
        </w:rPr>
        <w:t xml:space="preserve">Facts. </w:t>
      </w:r>
      <w:r>
        <w:rPr>
          <w:b w:val="false"/>
          <w:bCs w:val="false"/>
          <w:i w:val="false"/>
          <w:iCs w:val="false"/>
        </w:rPr>
        <w:t xml:space="preserve">Vodafone, a Netherlands company, purchased from Hutchison the shares of CGP Investments, a Cayman Islands company, and thereby acquired indirect control of an Indian telecom company. Both buyer and seller were non-residents and the share that was sold was situated outside India.</w:t>
      </w:r>
    </w:p>
    <w:p>
      <w:pPr>
        <w:spacing w:after="140" w:line="276"/>
        <w:jc w:val="both"/>
      </w:pPr>
      <w:r>
        <w:rPr>
          <w:b/>
          <w:bCs/>
          <w:i w:val="false"/>
          <w:iCs w:val="false"/>
        </w:rPr>
        <w:t xml:space="preserve">Arguments. </w:t>
      </w:r>
      <w:r>
        <w:rPr>
          <w:b w:val="false"/>
          <w:bCs w:val="false"/>
          <w:i w:val="false"/>
          <w:iCs w:val="false"/>
        </w:rPr>
        <w:t xml:space="preserve">The Revenue contended that the CGP share was an artificial device, that the transaction in substance transferred Indian assets, and that section 9(1)(i) was a "look through" provision permitting the capital gain to be taxed in India. Vodafone contended that it was an offshore sale between two non-residents of a share situated in the Cayman Islands, that nothing in India was transferred, and that it was a legitimate exit from an investment.</w:t>
      </w:r>
    </w:p>
    <w:p>
      <w:pPr>
        <w:spacing w:after="140" w:line="276"/>
        <w:jc w:val="both"/>
      </w:pPr>
      <w:r>
        <w:rPr>
          <w:b/>
          <w:bCs/>
          <w:i w:val="false"/>
          <w:iCs w:val="false"/>
        </w:rPr>
        <w:t xml:space="preserve">Held. </w:t>
      </w:r>
      <w:r>
        <w:rPr>
          <w:b w:val="false"/>
          <w:bCs w:val="false"/>
          <w:i w:val="false"/>
          <w:iCs w:val="false"/>
        </w:rPr>
        <w:t xml:space="preserve">The gain was not taxable in India and no tax was required to be withheld. Section 9(1)(i) is not a look-through provision; the court must "look at" the transaction as a whole rather than dissect it. The situs of the CGP share was outside India, and the holding structure was a genuine investment structure rather than a sham.</w:t>
      </w:r>
    </w:p>
    <w:p>
      <w:pPr>
        <w:spacing w:after="140" w:line="276"/>
        <w:jc w:val="both"/>
      </w:pPr>
      <w:r>
        <w:rPr>
          <w:b/>
          <w:bCs/>
          <w:i w:val="false"/>
          <w:iCs w:val="false"/>
        </w:rPr>
        <w:t xml:space="preserve">What happened next. </w:t>
      </w:r>
      <w:r>
        <w:rPr>
          <w:b w:val="false"/>
          <w:bCs w:val="false"/>
          <w:i w:val="false"/>
          <w:iCs w:val="false"/>
        </w:rPr>
        <w:t xml:space="preserve">The Finance Act, 2012 inserted Explanation 5 to section 9(1)(i) with retrospective effect, clarifying that a share of or interest in a company incorporated outside India is deemed always to have been situated in India if it derives its value substantially, directly or indirectly, from assets located in India. The retrospective operation was widely criticised as damaging tax certainty and India’s attractiveness for investment, and two investment-treaty arbitrations went against the Revenue. The Taxation Laws (Amendment) Act, 2021 accordingly provided that no demand would be raised on the basis of that retrospective amendment for indirect transfers made before 28 May 2012, and that existing demands would be nullified on conditions including withdrawal of litigation and waiver of claims for costs, damages and interest.</w:t>
      </w:r>
    </w:p>
    <w:p>
      <w:pPr>
        <w:spacing w:after="140" w:line="276"/>
        <w:jc w:val="both"/>
      </w:pPr>
      <w:r>
        <w:rPr>
          <w:b/>
          <w:bCs/>
          <w:i w:val="false"/>
          <w:iCs w:val="false"/>
        </w:rPr>
        <w:t xml:space="preserve">Present position. </w:t>
      </w:r>
      <w:r>
        <w:rPr>
          <w:b w:val="false"/>
          <w:bCs w:val="false"/>
          <w:i w:val="false"/>
          <w:iCs w:val="false"/>
        </w:rPr>
        <w:t xml:space="preserve">The indirect transfer rule continues, prospectively, under section 9 of the Act of 2025. The episode is the standard illustration of the interaction between judicial interpretation, retrospective legislation and the policy of tax certainty, and of the difference between a judicial anti-avoidance rule and a general statutory anti-avoidance rule.</w:t>
      </w:r>
    </w:p>
    <w:p>
      <w:pPr>
        <w:pStyle w:val="Heading2"/>
      </w:pPr>
      <w:r>
        <w:t xml:space="preserve">3.11 Agricultural income — section 2(5) [section 2(1A)]</w:t>
      </w:r>
    </w:p>
    <w:p>
      <w:pPr>
        <w:spacing w:after="140" w:line="276"/>
        <w:jc w:val="both"/>
      </w:pPr>
      <w:r>
        <w:t xml:space="preserve">Agricultural income is exempt from central income tax because the power to tax it belongs to the States under Entry 46 of List II. The exemption is therefore constitutional in origin, not a concession, and this is why the definition is construed with some care: what falls outside it is taxable by the Union.</w:t>
      </w:r>
    </w:p>
    <w:p>
      <w:pPr>
        <w:pStyle w:val="Heading3"/>
      </w:pPr>
      <w:r>
        <w:t xml:space="preserve">The statutory definition</w:t>
      </w:r>
    </w:p>
    <w:p>
      <w:pPr>
        <w:spacing w:after="140" w:line="276"/>
        <w:jc w:val="both"/>
      </w:pPr>
      <w:r>
        <w:t xml:space="preserve">Agricultural income means:</w:t>
      </w:r>
    </w:p>
    <w:p>
      <w:pPr>
        <w:pStyle w:val="ListParagraph"/>
        <w:numPr>
          <w:ilvl w:val="0"/>
          <w:numId w:val="2"/>
        </w:numPr>
        <w:spacing w:after="70" w:line="276"/>
        <w:jc w:val="both"/>
      </w:pPr>
      <w:r>
        <w:t xml:space="preserve">(a) any rent or revenue derived from land which is situated in India and is used for agricultural purposes;</w:t>
      </w:r>
    </w:p>
    <w:p>
      <w:pPr>
        <w:pStyle w:val="ListParagraph"/>
        <w:numPr>
          <w:ilvl w:val="0"/>
          <w:numId w:val="2"/>
        </w:numPr>
        <w:spacing w:after="70" w:line="276"/>
        <w:jc w:val="both"/>
      </w:pPr>
      <w:r>
        <w:t xml:space="preserve">(b) any income derived from such land by (i) agriculture, or (ii) the performance by a cultivator or receiver of rent-in-kind of any process ordinarily employed by such a person to render the produce raised or received fit to be taken to market, or (iii) the sale by a cultivator or receiver of rent-in-kind of the produce raised or received, on which no process has been performed other than a process of the kind described in item (ii);</w:t>
      </w:r>
    </w:p>
    <w:p>
      <w:pPr>
        <w:pStyle w:val="ListParagraph"/>
        <w:numPr>
          <w:ilvl w:val="0"/>
          <w:numId w:val="2"/>
        </w:numPr>
        <w:spacing w:after="70" w:line="276"/>
        <w:jc w:val="both"/>
      </w:pPr>
      <w:r>
        <w:t xml:space="preserve">(c) any income derived from a building owned and occupied by the receiver of rent or revenue of such land, or occupied by the cultivator or receiver of rent-in-kind, provided the building is on or in the immediate vicinity of the land, the land is assessed to land revenue or a local rate or is outside the specified urban limits, and the building is required as a dwelling house, store-house or other out-building by reason of the occupier’s connection with the land; and</w:t>
      </w:r>
    </w:p>
    <w:p>
      <w:pPr>
        <w:pStyle w:val="ListParagraph"/>
        <w:numPr>
          <w:ilvl w:val="0"/>
          <w:numId w:val="2"/>
        </w:numPr>
        <w:spacing w:after="70" w:line="276"/>
        <w:jc w:val="both"/>
      </w:pPr>
      <w:r>
        <w:t xml:space="preserve">(d) any income derived from saplings or seedlings grown in a nursery.</w:t>
      </w:r>
    </w:p>
    <w:p>
      <w:pPr>
        <w:spacing w:after="140" w:line="276"/>
        <w:jc w:val="both"/>
      </w:pPr>
      <w:r>
        <w:t xml:space="preserve">The definition expressly excludes income arising from the use of such building or land for any purpose other than agriculture, including letting for residence or for a business or profession, and income arising from the transfer of urban agricultural land.</w:t>
      </w:r>
    </w:p>
    <w:p>
      <w:pPr>
        <w:spacing w:after="140" w:line="276"/>
        <w:jc w:val="both"/>
      </w:pPr>
      <w:r>
        <w:t xml:space="preserve">Three requirements run through the whole definition: the land must be in India, it must be used for agricultural purposes, and the income must be derived from that land.</w:t>
      </w:r>
    </w:p>
    <w:p>
      <w:pPr>
        <w:pStyle w:val="Heading3"/>
      </w:pPr>
      <w:r>
        <w:t xml:space="preserve">Rent or revenue derived from land</w:t>
      </w:r>
    </w:p>
    <w:p>
      <w:pPr>
        <w:spacing w:after="140" w:line="276"/>
        <w:jc w:val="both"/>
      </w:pPr>
      <w:r>
        <w:t xml:space="preserve">"Rent" is a technical expression whose leading characteristic is a payment, in money or in kind, by one person to another in respect of the grant of a right to use land. It need not be monetary, but it must correspond to the grant of a right to use land, and that is what distinguishes it from other payments. "Revenue" is used in the broad sense of return, yield or income, and not in the narrow sense of land revenue.</w:t>
      </w:r>
    </w:p>
    <w:p>
      <w:pPr>
        <w:spacing w:after="140" w:line="276"/>
        <w:jc w:val="both"/>
      </w:pPr>
      <w:r>
        <w:t xml:space="preserve">"Derived from" is not a term of art; it means arising or accruing from. The test is whether land is the immediate and effective source of the income, and not merely a secondary or indirect source. Put simply: is there a direct connection between the income and the land? Substance prevails over form.</w:t>
      </w:r>
    </w:p>
    <w:p>
      <w:pPr>
        <w:spacing w:after="140" w:line="276"/>
        <w:jc w:val="both"/>
      </w:pPr>
      <w:r>
        <w:t xml:space="preserve">Applications of the test:</w:t>
      </w:r>
    </w:p>
    <w:p>
      <w:pPr>
        <w:pStyle w:val="ListParagraph"/>
        <w:numPr>
          <w:ilvl w:val="0"/>
          <w:numId w:val="2"/>
        </w:numPr>
        <w:spacing w:after="70" w:line="276"/>
        <w:jc w:val="both"/>
      </w:pPr>
      <w:r>
        <w:t xml:space="preserve">A life annuity payable to a person who has transferred agricultural land, even if charged on the land, is not agricultural income: the source is the covenant to pay, and the charge is only security.</w:t>
      </w:r>
    </w:p>
    <w:p>
      <w:pPr>
        <w:pStyle w:val="ListParagraph"/>
        <w:numPr>
          <w:ilvl w:val="0"/>
          <w:numId w:val="2"/>
        </w:numPr>
        <w:spacing w:after="70" w:line="276"/>
        <w:jc w:val="both"/>
      </w:pPr>
      <w:r>
        <w:t xml:space="preserve">An amount paid annually in consideration of proprietors relinquishing their claims to land is not agricultural income, for the same reason.</w:t>
      </w:r>
    </w:p>
    <w:p>
      <w:pPr>
        <w:pStyle w:val="ListParagraph"/>
        <w:numPr>
          <w:ilvl w:val="0"/>
          <w:numId w:val="2"/>
        </w:numPr>
        <w:spacing w:after="70" w:line="276"/>
        <w:jc w:val="both"/>
      </w:pPr>
      <w:r>
        <w:t xml:space="preserve">Malikana, an allowance paid by the government under a statutory obligation to a proprietor dispossessed of his land, is not revenue derived from land, because the effective source is the statutory obligation.</w:t>
      </w:r>
    </w:p>
    <w:p>
      <w:pPr>
        <w:pStyle w:val="ListParagraph"/>
        <w:numPr>
          <w:ilvl w:val="0"/>
          <w:numId w:val="2"/>
        </w:numPr>
        <w:spacing w:after="70" w:line="276"/>
        <w:jc w:val="both"/>
      </w:pPr>
      <w:r>
        <w:t xml:space="preserve">Compensation for requisition of land which continues to be used for agricultural purposes is revenue derived from agricultural land.</w:t>
      </w:r>
    </w:p>
    <w:p>
      <w:pPr>
        <w:pStyle w:val="ListParagraph"/>
        <w:numPr>
          <w:ilvl w:val="0"/>
          <w:numId w:val="2"/>
        </w:numPr>
        <w:spacing w:after="70" w:line="276"/>
        <w:jc w:val="both"/>
      </w:pPr>
      <w:r>
        <w:t xml:space="preserve">Interest on arrears of rent of agricultural land is not agricultural income, being neither rent nor revenue derived from land: CIT v. Kamakshya Narain Singh (1948) 16 ITR 325 (PC).</w:t>
      </w:r>
    </w:p>
    <w:p>
      <w:pPr>
        <w:pStyle w:val="ListParagraph"/>
        <w:numPr>
          <w:ilvl w:val="0"/>
          <w:numId w:val="2"/>
        </w:numPr>
        <w:spacing w:after="70" w:line="276"/>
        <w:jc w:val="both"/>
      </w:pPr>
      <w:r>
        <w:t xml:space="preserve">Salami or premium paid for the grant of a tenancy is normally capital in character, so the question of exemption does not arise.</w:t>
      </w:r>
    </w:p>
    <w:p>
      <w:pPr>
        <w:pStyle w:val="ListParagraph"/>
        <w:numPr>
          <w:ilvl w:val="0"/>
          <w:numId w:val="2"/>
        </w:numPr>
        <w:spacing w:after="70" w:line="276"/>
        <w:jc w:val="both"/>
      </w:pPr>
      <w:r>
        <w:t xml:space="preserve">Under a mustajiri lease, which creates an interest in land and under which the proprietor gives up his right to collect rents in return for a fixed annual payment, the fixed payment is rent reserved by the proprietor and is agricultural income if the other conditions are met. The interest in land created by the lease is the legal foundation for that treatment.</w:t>
      </w:r>
    </w:p>
    <w:p>
      <w:pPr>
        <w:pStyle w:val="Heading3"/>
      </w:pPr>
      <w:r>
        <w:t xml:space="preserve">Premier Construction Co. Ltd v. CIT (1948) 16 ITR 380 (Privy Council)</w:t>
      </w:r>
    </w:p>
    <w:p>
      <w:pPr>
        <w:spacing w:after="140" w:line="276"/>
        <w:jc w:val="both"/>
      </w:pPr>
      <w:r>
        <w:rPr>
          <w:b/>
          <w:bCs/>
          <w:i w:val="false"/>
          <w:iCs w:val="false"/>
        </w:rPr>
        <w:t xml:space="preserve">Facts. </w:t>
      </w:r>
      <w:r>
        <w:rPr>
          <w:b w:val="false"/>
          <w:bCs w:val="false"/>
          <w:i w:val="false"/>
          <w:iCs w:val="false"/>
        </w:rPr>
        <w:t xml:space="preserve">The assessees were managing agents of a company and were remunerated by a commission of ten per cent per annum of the company’s net profits, subject to a minimum of ten thousand rupees a year. One of the company’s sources of income was the manufacture of sugar, partly from sugarcane grown on its own farms, and that part of the company’s income had been treated as agricultural income and exempted in its hands. The agents claimed that a proportionate part of their commission was likewise agricultural income.</w:t>
      </w:r>
    </w:p>
    <w:p>
      <w:pPr>
        <w:spacing w:after="140" w:line="276"/>
        <w:jc w:val="both"/>
      </w:pPr>
      <w:r>
        <w:rPr>
          <w:b/>
          <w:bCs/>
          <w:i w:val="false"/>
          <w:iCs w:val="false"/>
        </w:rPr>
        <w:t xml:space="preserve">Held. </w:t>
      </w:r>
      <w:r>
        <w:rPr>
          <w:b w:val="false"/>
          <w:bCs w:val="false"/>
          <w:i w:val="false"/>
          <w:iCs w:val="false"/>
        </w:rPr>
        <w:t xml:space="preserve">The commission was not agricultural income. It was taxable in full.</w:t>
      </w:r>
    </w:p>
    <w:p>
      <w:pPr>
        <w:spacing w:after="140" w:line="276"/>
        <w:jc w:val="both"/>
      </w:pPr>
      <w:r>
        <w:rPr>
          <w:b/>
          <w:bCs/>
          <w:i w:val="false"/>
          <w:iCs w:val="false"/>
        </w:rPr>
        <w:t xml:space="preserve">Principle. </w:t>
      </w:r>
      <w:r>
        <w:rPr>
          <w:b w:val="false"/>
          <w:bCs w:val="false"/>
          <w:i w:val="false"/>
          <w:iCs w:val="false"/>
        </w:rPr>
        <w:t xml:space="preserve">Income is not agricultural merely because it is computed by reference to agricultural income, or because it arises indirectly out of agricultural operations. The managing agents received remuneration for services rendered in managing the affairs of the company, one part of whose business happened to be agriculture. The company’s assets were not vested in them, they could not sue for the rents in their own name, and they were entitled to the minimum remuneration whether or not there were any profits at all. The effective source of their income was the agency contract, not the land, and the agricultural income in the company’s hands was not divided between the company and the agents in any stated proportion.</w:t>
      </w:r>
    </w:p>
    <w:p>
      <w:pPr>
        <w:spacing w:after="140" w:line="276"/>
        <w:jc w:val="both"/>
      </w:pPr>
      <w:r>
        <w:rPr>
          <w:b/>
          <w:bCs/>
          <w:i w:val="false"/>
          <w:iCs w:val="false"/>
        </w:rPr>
        <w:t xml:space="preserve">Note on citation. </w:t>
      </w:r>
      <w:r>
        <w:rPr>
          <w:b w:val="false"/>
          <w:bCs w:val="false"/>
          <w:i w:val="false"/>
          <w:iCs w:val="false"/>
        </w:rPr>
        <w:t xml:space="preserve">The session plan cites the earlier Bombay High Court stage of the same litigation. The leading authority on this proposition is the Privy Council decision of 1948.</w:t>
      </w:r>
    </w:p>
    <w:p>
      <w:pPr>
        <w:pStyle w:val="Heading3"/>
      </w:pPr>
      <w:r>
        <w:t xml:space="preserve">Bacha F. Guzdar v. CIT, Bombay (1955) 27 ITR 1 (SC)</w:t>
      </w:r>
    </w:p>
    <w:p>
      <w:pPr>
        <w:spacing w:after="140" w:line="276"/>
        <w:jc w:val="both"/>
      </w:pPr>
      <w:r>
        <w:rPr>
          <w:b/>
          <w:bCs/>
          <w:i w:val="false"/>
          <w:iCs w:val="false"/>
        </w:rPr>
        <w:t xml:space="preserve">Facts. </w:t>
      </w:r>
      <w:r>
        <w:rPr>
          <w:b w:val="false"/>
          <w:bCs w:val="false"/>
          <w:i w:val="false"/>
          <w:iCs w:val="false"/>
        </w:rPr>
        <w:t xml:space="preserve">The assessee held shares in tea companies. Sixty per cent of the income of a tea company is treated as agricultural income and is exempt in the company’s hands. She claimed that sixty per cent of her dividend was correspondingly exempt.</w:t>
      </w:r>
    </w:p>
    <w:p>
      <w:pPr>
        <w:spacing w:after="140" w:line="276"/>
        <w:jc w:val="both"/>
      </w:pPr>
      <w:r>
        <w:rPr>
          <w:b/>
          <w:bCs/>
          <w:i w:val="false"/>
          <w:iCs w:val="false"/>
        </w:rPr>
        <w:t xml:space="preserve">Held. </w:t>
      </w:r>
      <w:r>
        <w:rPr>
          <w:b w:val="false"/>
          <w:bCs w:val="false"/>
          <w:i w:val="false"/>
          <w:iCs w:val="false"/>
        </w:rPr>
        <w:t xml:space="preserve">The whole dividend was taxable.</w:t>
      </w:r>
    </w:p>
    <w:p>
      <w:pPr>
        <w:spacing w:after="140" w:line="276"/>
        <w:jc w:val="both"/>
      </w:pPr>
      <w:r>
        <w:rPr>
          <w:b/>
          <w:bCs/>
          <w:i w:val="false"/>
          <w:iCs w:val="false"/>
        </w:rPr>
        <w:t xml:space="preserve">Principle. </w:t>
      </w:r>
      <w:r>
        <w:rPr>
          <w:b w:val="false"/>
          <w:bCs w:val="false"/>
          <w:i w:val="false"/>
          <w:iCs w:val="false"/>
        </w:rPr>
        <w:t xml:space="preserve">Agricultural income must have a direct and proximate connection with the land; the exemption is for a person who derives income from the land itself. A company and its shareholders are distinct legal persons. A dividend flows from the shareholding and from the company’s decision to distribute profits, not from the land, and the character of income in the company’s hands does not pass to the shareholder. The case is the standard illustration of the direct-connection test and of the separate legal personality of a company in tax law.</w:t>
      </w:r>
    </w:p>
    <w:p>
      <w:pPr>
        <w:pStyle w:val="Heading3"/>
      </w:pPr>
      <w:r>
        <w:t xml:space="preserve">CIT v. Maddi Venkatasubbayya (1951) 20 ITR 151 (Madras)</w:t>
      </w:r>
    </w:p>
    <w:p>
      <w:pPr>
        <w:spacing w:after="140" w:line="276"/>
        <w:jc w:val="both"/>
      </w:pPr>
      <w:r>
        <w:rPr>
          <w:b/>
          <w:bCs/>
          <w:i w:val="false"/>
          <w:iCs w:val="false"/>
        </w:rPr>
        <w:t xml:space="preserve">Facts. </w:t>
      </w:r>
      <w:r>
        <w:rPr>
          <w:b w:val="false"/>
          <w:bCs w:val="false"/>
          <w:i w:val="false"/>
          <w:iCs w:val="false"/>
        </w:rPr>
        <w:t xml:space="preserve">The assessees purchased standing tobacco crops and tobacco from growers, redried and processed it, and sold it.</w:t>
      </w:r>
    </w:p>
    <w:p>
      <w:pPr>
        <w:spacing w:after="140" w:line="276"/>
        <w:jc w:val="both"/>
      </w:pPr>
      <w:r>
        <w:rPr>
          <w:b/>
          <w:bCs/>
          <w:i w:val="false"/>
          <w:iCs w:val="false"/>
        </w:rPr>
        <w:t xml:space="preserve">Held. </w:t>
      </w:r>
      <w:r>
        <w:rPr>
          <w:b w:val="false"/>
          <w:bCs w:val="false"/>
          <w:i w:val="false"/>
          <w:iCs w:val="false"/>
        </w:rPr>
        <w:t xml:space="preserve">The profit was business income and not agricultural income.</w:t>
      </w:r>
    </w:p>
    <w:p>
      <w:pPr>
        <w:spacing w:after="140" w:line="276"/>
        <w:jc w:val="both"/>
      </w:pPr>
      <w:r>
        <w:rPr>
          <w:b/>
          <w:bCs/>
          <w:i w:val="false"/>
          <w:iCs w:val="false"/>
        </w:rPr>
        <w:t xml:space="preserve">Principle. </w:t>
      </w:r>
      <w:r>
        <w:rPr>
          <w:b w:val="false"/>
          <w:bCs w:val="false"/>
          <w:i w:val="false"/>
          <w:iCs w:val="false"/>
        </w:rPr>
        <w:t xml:space="preserve">The market-process limb of the definition is available only to a cultivator or a receiver of rent-in-kind, and only in respect of produce raised or received by him. A trader who buys another person’s produce and processes it for sale is carrying on a business, however agricultural the commodity may be.</w:t>
      </w:r>
    </w:p>
    <w:p>
      <w:pPr>
        <w:pStyle w:val="Heading3"/>
      </w:pPr>
      <w:r>
        <w:t xml:space="preserve">Land used for agricultural purposes: the meaning of agriculture</w:t>
      </w:r>
    </w:p>
    <w:p>
      <w:pPr>
        <w:spacing w:after="140" w:line="276"/>
        <w:jc w:val="both"/>
      </w:pPr>
      <w:r>
        <w:t xml:space="preserve">The land must actually be used for agricultural purposes in the relevant year. Neither the purpose stated in a lease nor the use made of the land at the time of leasing determines the question. Mustafa Ali Khan v. CIT (1948) 16 ITR 330 (PC) laid down two propositions: the meaning of "agriculture" in other statutes is irrelevant to the interpretation of tax law, and some measure of cultivation, involving the expenditure of human skill and labour upon the land, is essential to constitute agriculture. The inquiry is functional and factual: what was actually done on the land during the year.</w:t>
      </w:r>
    </w:p>
    <w:p>
      <w:pPr>
        <w:pStyle w:val="Heading3"/>
      </w:pPr>
      <w:r>
        <w:t xml:space="preserve">CIT, West Bengal v. Raja Benoy Kumar Sahas Roy (1957) 32 ITR 466 (SC)</w:t>
      </w:r>
    </w:p>
    <w:p>
      <w:pPr>
        <w:spacing w:after="140" w:line="276"/>
        <w:jc w:val="both"/>
      </w:pPr>
      <w:r>
        <w:rPr>
          <w:b/>
          <w:bCs/>
          <w:i w:val="false"/>
          <w:iCs w:val="false"/>
        </w:rPr>
        <w:t xml:space="preserve">Facts. </w:t>
      </w:r>
      <w:r>
        <w:rPr>
          <w:b w:val="false"/>
          <w:bCs w:val="false"/>
          <w:i w:val="false"/>
          <w:iCs w:val="false"/>
        </w:rPr>
        <w:t xml:space="preserve">The assessee owned a large forest of sal and piyasal trees of spontaneous growth, about a century and a half old. He carried out forestry operations such as pruning, weeding, clearing and protection against fire and trespass, and sold timber. Parts of the forest that had become denuded had been replanted and subsequent operations carried out there.</w:t>
      </w:r>
    </w:p>
    <w:p>
      <w:pPr>
        <w:spacing w:after="140" w:line="276"/>
        <w:jc w:val="both"/>
      </w:pPr>
      <w:r>
        <w:rPr>
          <w:b/>
          <w:bCs/>
          <w:i w:val="false"/>
          <w:iCs w:val="false"/>
        </w:rPr>
        <w:t xml:space="preserve">Issue. </w:t>
      </w:r>
      <w:r>
        <w:rPr>
          <w:b w:val="false"/>
          <w:bCs w:val="false"/>
          <w:i w:val="false"/>
          <w:iCs w:val="false"/>
        </w:rPr>
        <w:t xml:space="preserve">What "agriculture" means, and whether income from such a forest is agricultural income.</w:t>
      </w:r>
    </w:p>
    <w:p>
      <w:pPr>
        <w:spacing w:after="140" w:line="276"/>
        <w:jc w:val="both"/>
      </w:pPr>
      <w:r>
        <w:rPr>
          <w:b/>
          <w:bCs/>
          <w:i w:val="false"/>
          <w:iCs w:val="false"/>
        </w:rPr>
        <w:t xml:space="preserve">Held. </w:t>
      </w:r>
      <w:r>
        <w:rPr>
          <w:b w:val="false"/>
          <w:bCs w:val="false"/>
          <w:i w:val="false"/>
          <w:iCs w:val="false"/>
        </w:rPr>
        <w:t xml:space="preserve">Income from trees of spontaneous growth was not agricultural income; income from the replanted portions was agricultural income.</w:t>
      </w:r>
    </w:p>
    <w:p>
      <w:pPr>
        <w:spacing w:after="140" w:line="276"/>
        <w:jc w:val="both"/>
      </w:pPr>
      <w:r>
        <w:rPr>
          <w:b/>
          <w:bCs/>
          <w:i w:val="false"/>
          <w:iCs w:val="false"/>
        </w:rPr>
        <w:t xml:space="preserve">Principle — the two-tier test. </w:t>
      </w:r>
      <w:r>
        <w:rPr>
          <w:b w:val="false"/>
          <w:bCs w:val="false"/>
          <w:i w:val="false"/>
          <w:iCs w:val="false"/>
        </w:rPr>
        <w:t xml:space="preserve">Agriculture involves two classes of operations. Basic operations are those performed on the land itself before germination — tilling the land, sowing, planting and similar work — which require the expenditure of human skill and labour upon the land. Subsequent operations are those performed after germination to foster and preserve growth and to make the produce fit for market — weeding, pruning, tending, watering, harvesting. Basic operations are a necessary condition: subsequent operations alone are not agriculture. Subsequent operations qualify only when performed in conjunction with basic operations, as part of one integrated agricultural activity.</w:t>
      </w:r>
    </w:p>
    <w:p>
      <w:pPr>
        <w:spacing w:after="140" w:line="276"/>
        <w:jc w:val="both"/>
      </w:pPr>
      <w:r>
        <w:rPr>
          <w:b/>
          <w:bCs/>
          <w:i w:val="false"/>
          <w:iCs w:val="false"/>
        </w:rPr>
        <w:t xml:space="preserve">Consequences. </w:t>
      </w:r>
      <w:r>
        <w:rPr>
          <w:b w:val="false"/>
          <w:bCs w:val="false"/>
          <w:i w:val="false"/>
          <w:iCs w:val="false"/>
        </w:rPr>
        <w:t xml:space="preserve">Income from the produce of spontaneous growth — forest trees, wild grass, reeds — is not agricultural income, and neither is income from conservation or improvement operations on such growth, because basic operations are absent. Conversely, agriculture is not confined to food grains: it extends to all commercial crops and other products of the land, and to activities such as leasing land for grazing animals required for agricultural pursuits, wherever the basic-operations test is satisfied. This decision is the foundation of the whole subject.</w:t>
      </w:r>
    </w:p>
    <w:p>
      <w:pPr>
        <w:pStyle w:val="Heading3"/>
      </w:pPr>
      <w:r>
        <w:t xml:space="preserve">Process ordinarily employed to render produce fit to be taken to market</w:t>
      </w:r>
    </w:p>
    <w:p>
      <w:pPr>
        <w:spacing w:after="140" w:line="276"/>
        <w:jc w:val="both"/>
      </w:pPr>
      <w:r>
        <w:t xml:space="preserve">The second limb of clause (b) extends the exemption to processing, but within strict limits. The requirements are that the process be performed by the cultivator or receiver of rent-in-kind; that it be a process ordinarily employed by such persons for that produce; that it be necessary because the produce has no market in the condition in which it is raised; and that the produce must not lose its original character.</w:t>
      </w:r>
    </w:p>
    <w:p>
      <w:pPr>
        <w:spacing w:after="140" w:line="276"/>
        <w:jc w:val="both"/>
      </w:pPr>
      <w:r>
        <w:rPr>
          <w:b/>
          <w:bCs/>
          <w:i w:val="false"/>
          <w:iCs w:val="false"/>
        </w:rPr>
        <w:t xml:space="preserve">Sakarlal Balabhai &amp; Co. v. CIT, Gujarat (1968) 69 ITR 186 (Gujarat). </w:t>
      </w:r>
      <w:r>
        <w:rPr>
          <w:b w:val="false"/>
          <w:bCs w:val="false"/>
          <w:i w:val="false"/>
          <w:iCs w:val="false"/>
        </w:rPr>
        <w:t xml:space="preserve">If there is no market for the produce as grown, and it can be sold only after a process is performed on it, the cultivator must perform that process in order to sell at all, since otherwise the produce would be unmarketable and raising it would be futile. In such a case, although the agricultural operations cease when the produce is raised and removed from the soil, the performance of the process is regarded as a continuation of the agricultural operations. But where the produce is already marketable, a process undertaken merely to obtain a better price does not qualify. (The class notes give the party name as "Sakarlal Narandal"; the correct name is Sakarlal Balabhai.)</w:t>
      </w:r>
    </w:p>
    <w:p>
      <w:pPr>
        <w:spacing w:after="140" w:line="276"/>
        <w:jc w:val="both"/>
      </w:pPr>
      <w:r>
        <w:rPr>
          <w:b/>
          <w:bCs/>
          <w:i w:val="false"/>
          <w:iCs w:val="false"/>
        </w:rPr>
        <w:t xml:space="preserve">K. Lakshmanan &amp; Co. v. CIT (1999) 239 ITR 597 (SC). </w:t>
      </w:r>
      <w:r>
        <w:rPr>
          <w:b w:val="false"/>
          <w:bCs w:val="false"/>
          <w:i w:val="false"/>
          <w:iCs w:val="false"/>
        </w:rPr>
        <w:t xml:space="preserve">The assessee grew mulberry leaves on its land, fed them to silkworms, and sold the silk cocoons. Held: the income from the cocoons was not agricultural income. Even though a process may be needed to make produce marketable, the provision does not contemplate the sale of an item or commodity different from what is cultivated and processed. The produce of the land was mulberry leaves; cocoons are a different commodity, and the rearing of silkworms is not agriculture.</w:t>
      </w:r>
    </w:p>
    <w:p>
      <w:pPr>
        <w:spacing w:after="140" w:line="276"/>
        <w:jc w:val="both"/>
      </w:pPr>
      <w:r>
        <w:t xml:space="preserve">Three limits are therefore applied together: there must be no market for the produce in its raw state; produce that is already marketable needs no qualifying process; and even a necessary and ordinary process must leave the produce’s original character intact.</w:t>
      </w:r>
    </w:p>
    <w:p>
      <w:pPr>
        <w:spacing w:after="140" w:line="276"/>
        <w:jc w:val="both"/>
      </w:pPr>
      <w:r>
        <w:rPr>
          <w:b/>
          <w:bCs/>
          <w:i w:val="false"/>
          <w:iCs w:val="false"/>
        </w:rPr>
        <w:t xml:space="preserve">Defining the market. </w:t>
      </w:r>
      <w:r>
        <w:rPr>
          <w:b w:val="false"/>
          <w:bCs w:val="false"/>
          <w:i w:val="false"/>
          <w:iCs w:val="false"/>
        </w:rPr>
        <w:t xml:space="preserve">The relevant market is a market in India, and its extent is a question of fact. Perishable produce has a narrower market because it cannot travel; durable produce has a wider one. Market boundaries also change over time with transport, storage and demand. There is no abstract test.</w:t>
      </w:r>
    </w:p>
    <w:p>
      <w:pPr>
        <w:spacing w:after="140" w:line="276"/>
        <w:jc w:val="both"/>
      </w:pPr>
      <w:r>
        <w:t xml:space="preserve">Further authorities on processing and apportionment are CIT, Poona v. H.G. Date (1971) 82 ITR 71 (Bombay) and CIT v. B. Gupta (Tea) Pvt Ltd (1969) 74 ITR 337 (Calcutta). For composite tea income the statutory rule apportions sixty per cent as agricultural income and forty per cent as business income.</w:t>
      </w:r>
    </w:p>
    <w:p>
      <w:pPr>
        <w:spacing w:after="140" w:line="276"/>
        <w:jc w:val="both"/>
      </w:pPr>
      <w:r>
        <w:rPr>
          <w:b/>
          <w:bCs/>
          <w:i w:val="false"/>
          <w:iCs w:val="false"/>
        </w:rPr>
        <w:t xml:space="preserve">B. Nagi Reddi v. CIT (2002) 258 ITR 719 (Madras). </w:t>
      </w:r>
      <w:r>
        <w:rPr>
          <w:b w:val="false"/>
          <w:bCs w:val="false"/>
          <w:i w:val="false"/>
          <w:iCs w:val="false"/>
        </w:rPr>
        <w:t xml:space="preserve">Receipts for allowing film units to use the assessee’s land and garden were not agricultural income, because they did not arise from agricultural operations on the land. Only income genuinely derived from agriculture qualifies.</w:t>
      </w:r>
    </w:p>
    <w:p>
      <w:pPr>
        <w:spacing w:after="140" w:line="276"/>
        <w:jc w:val="both"/>
      </w:pPr>
      <w:r>
        <w:rPr>
          <w:b/>
          <w:bCs/>
          <w:i w:val="false"/>
          <w:iCs w:val="false"/>
        </w:rPr>
        <w:t xml:space="preserve">DCIT v. Inventaa Industries Pvt Ltd (2018), ITAT Hyderabad, Special Bench. </w:t>
      </w:r>
      <w:r>
        <w:rPr>
          <w:b w:val="false"/>
          <w:bCs w:val="false"/>
          <w:i w:val="false"/>
          <w:iCs w:val="false"/>
        </w:rPr>
        <w:t xml:space="preserve">White button mushrooms were cultivated in controlled conditions, in trays of prepared compost rather than in open soil. Held: the income was agricultural income. The word "land" does not require the produce to be grown on the surface of the land; what matters is that basic operations involving human skill and labour are performed on soil to produce a product of agriculture. The prepared compost was treated as soil. This is a tribunal decision and is persuasive rather than binding.</w:t>
      </w:r>
    </w:p>
    <w:p>
      <w:pPr>
        <w:pStyle w:val="Heading3"/>
      </w:pPr>
      <w:r>
        <w:t xml:space="preserve">Partial integration of agricultural income</w:t>
      </w:r>
    </w:p>
    <w:p>
      <w:pPr>
        <w:spacing w:after="140" w:line="276"/>
        <w:jc w:val="both"/>
      </w:pPr>
      <w:r>
        <w:t xml:space="preserve">Agricultural income is exempt, but it is not ignored when fixing the rate of tax. Where a person has both agricultural and non-agricultural income, and the non-agricultural income exceeds the basic exemption limit while the net agricultural income exceeds five thousand rupees, the two are aggregated for the limited purpose of determining the rate. Tax is computed on the aggregate, and then reduced by the tax computed on the agricultural income plus the exemption limit.</w:t>
      </w:r>
    </w:p>
    <w:p>
      <w:pPr>
        <w:spacing w:after="140" w:line="276"/>
        <w:jc w:val="both"/>
      </w:pPr>
      <w:r>
        <w:t xml:space="preserve">The effect is that the taxpayer pays at a higher average rate on his taxable income, while the agricultural income itself is not taxed. So a person with salary of twenty-five lakh rupees and agricultural income of seven lakh rupees is not taxed on the seven lakh, but the rate applied to his salary is worked out as though his income were thirty-two lakh. The mechanism is provided each year by the Finance Act, and it is constitutionally sound because the Union is taxing only non-agricultural income, using agricultural income merely as a measure of capacity to pay.</w:t>
      </w:r>
    </w:p>
    <w:p>
      <w:pPr>
        <w:pStyle w:val="Heading2"/>
      </w:pPr>
      <w:r>
        <w:t xml:space="preserve">3.12 Exemptions and deductions — section 11 and the Schedules [section 10]</w:t>
      </w:r>
    </w:p>
    <w:p>
      <w:pPr>
        <w:spacing w:after="140" w:line="276"/>
        <w:jc w:val="both"/>
      </w:pPr>
      <w:r>
        <w:t xml:space="preserve">The basic rule is simple: if a receipt is income and is not exempt, it is taxable.</w:t>
      </w:r>
    </w:p>
    <w:p>
      <w:pPr>
        <w:spacing w:after="140" w:line="276"/>
        <w:jc w:val="both"/>
      </w:pPr>
      <w:r>
        <w:rPr>
          <w:b/>
          <w:bCs/>
          <w:i w:val="false"/>
          <w:iCs w:val="false"/>
        </w:rPr>
        <w:t xml:space="preserve">Exemption and deduction distinguished. </w:t>
      </w:r>
      <w:r>
        <w:rPr>
          <w:b w:val="false"/>
          <w:bCs w:val="false"/>
          <w:i w:val="false"/>
          <w:iCs w:val="false"/>
        </w:rPr>
        <w:t xml:space="preserve">An exempt income is not included in total income at all. A deduction operates differently: the income first enters total income and is then reduced by the permitted amount. The distinction matters for computing gross total income, for the set-off of losses, for aggregation, and for the many provisions whose limits are calculated on total income.</w:t>
      </w:r>
    </w:p>
    <w:p>
      <w:pPr>
        <w:spacing w:after="140" w:line="276"/>
        <w:jc w:val="both"/>
      </w:pPr>
      <w:r>
        <w:rPr>
          <w:b/>
          <w:bCs/>
          <w:i w:val="false"/>
          <w:iCs w:val="false"/>
        </w:rPr>
        <w:t xml:space="preserve">Two classes of exemption. </w:t>
      </w:r>
      <w:r>
        <w:rPr>
          <w:b w:val="false"/>
          <w:bCs w:val="false"/>
          <w:i w:val="false"/>
          <w:iCs w:val="false"/>
        </w:rPr>
        <w:t xml:space="preserve">Some exemptions depend on the nature of the income and are available to any assessee — agricultural income is the obvious example. Others depend on the character or status of the assessee and are available only to those who satisfy the statutory conditions. An exemption may also be total or partial.</w:t>
      </w:r>
    </w:p>
    <w:p>
      <w:pPr>
        <w:spacing w:after="140" w:line="276"/>
        <w:jc w:val="both"/>
      </w:pPr>
      <w:r>
        <w:t xml:space="preserve">Section 11 provides that the incomes specified in Schedules II to VII are not to be included in total income. Section 12 deals with the income of political parties and electoral trusts. Section 14 [section 14A] is the counterpart rule: expenditure incurred in relation to income which does not form part of total income is not deductible, and a loss from an exempt source cannot be set off against taxable income. Exemption therefore cuts both ways.</w:t>
      </w:r>
    </w:p>
    <w:p>
      <w:pPr>
        <w:spacing w:after="140" w:line="276"/>
        <w:jc w:val="both"/>
      </w:pPr>
      <w:r>
        <w:t xml:space="preserve">Examples of exemptions relevant to this course, found in the Schedules, include: sums received by a member of a Hindu undivided family out of the family income; a partner’s share in the income of the firm; payments from the National Pension System Trust within the prescribed limits; the daily allowances of Members of Parliament and of State Legislatures; house rent allowance; leave travel concession; and prescribed special allowances. Provident fund and approved superannuation fund items appear in Schedule II. A scholarship granted to meet the cost of education is exempt.</w:t>
      </w:r>
    </w:p>
    <w:p>
      <w:pPr>
        <w:spacing w:after="140" w:line="276"/>
        <w:jc w:val="both"/>
      </w:pPr>
      <w:r>
        <w:t xml:space="preserve">House rent allowance illustrates how conditions work. It is exempt only to the extent prescribed, and only where rent is actually paid for residential accommodation; an employee who receives the allowance but incurs no rent gets no exemption.</w:t>
      </w:r>
    </w:p>
    <w:p>
      <w:pPr>
        <w:spacing w:after="140" w:line="276"/>
        <w:jc w:val="both"/>
      </w:pPr>
      <w:r>
        <w:rPr>
          <w:b/>
          <w:bCs/>
          <w:i w:val="false"/>
          <w:iCs w:val="false"/>
        </w:rPr>
        <w:t xml:space="preserve">Caution. </w:t>
      </w:r>
      <w:r>
        <w:rPr>
          <w:b w:val="false"/>
          <w:bCs w:val="false"/>
          <w:i w:val="false"/>
          <w:iCs w:val="false"/>
        </w:rPr>
        <w:t xml:space="preserve">Many exemptions and deductions are restricted or unavailable under the default tax regime. An answer should state which regime it assumes.</w:t>
      </w:r>
    </w:p>
    <w:p>
      <w:pPr>
        <w:pStyle w:val="Heading1"/>
      </w:pPr>
      <w:r>
        <w:t xml:space="preserve">Unit IV — Income under the Head of Salary</w:t>
      </w:r>
    </w:p>
    <w:p>
      <w:pPr>
        <w:pStyle w:val="Heading2"/>
      </w:pPr>
      <w:r>
        <w:t xml:space="preserve">4.1 Heads of income, total income and deemed income — sections 13 and 14</w:t>
      </w:r>
    </w:p>
    <w:p>
      <w:pPr>
        <w:spacing w:after="140" w:line="276"/>
        <w:jc w:val="both"/>
      </w:pPr>
      <w:r>
        <w:t xml:space="preserve">Section 13 provides that, save as otherwise provided in the Act, all income shall, for the purposes of the charge of income-tax and the computation of total income, be classified under five heads: (a) Salaries; (b) Income from house property; (c) Profits and gains of business or profession; (d) Capital gains; and (e) Income from other sources.</w:t>
      </w:r>
    </w:p>
    <w:p>
      <w:pPr>
        <w:spacing w:after="140" w:line="276"/>
        <w:jc w:val="both"/>
      </w:pPr>
      <w:r>
        <w:t xml:space="preserve">Classification is not a formality. The heads are mutually exclusive, and each has its own charging provision, computation rules and permitted deductions. Income which falls specifically under one head is computed under that head alone, and a deduction available under one head cannot be claimed under another. The head is determined by the legal character of the source and of the relationship from which the income arises, not by the name the parties give the receipt or by its economic flavour.</w:t>
      </w:r>
    </w:p>
    <w:p>
      <w:pPr>
        <w:spacing w:after="140" w:line="276"/>
        <w:jc w:val="both"/>
      </w:pPr>
      <w:r>
        <w:t xml:space="preserve">Total income is the aggregate of the income computed under the five heads, after the set-off of losses and after the deductions the Act permits. Deemed income refers to amounts which the Act treats as income although they might not be income in the ordinary sense — the notional annual value of a self-occupied second house, or the income of a deemed owner of house property, are examples within this syllabus.</w:t>
      </w:r>
    </w:p>
    <w:p>
      <w:pPr>
        <w:spacing w:after="140" w:line="276"/>
        <w:jc w:val="both"/>
      </w:pPr>
      <w:r>
        <w:t xml:space="preserve">Section 14 [section 14A] provides that expenditure incurred in relation to income which does not form part of total income is not allowed, and losses of such a source cannot be set off against chargeable income.</w:t>
      </w:r>
    </w:p>
    <w:p>
      <w:pPr>
        <w:pStyle w:val="Heading2"/>
      </w:pPr>
      <w:r>
        <w:t xml:space="preserve">4.2 Meaning and chargeability of salary — section 15</w:t>
      </w:r>
    </w:p>
    <w:p>
      <w:pPr>
        <w:spacing w:after="140" w:line="276"/>
        <w:jc w:val="both"/>
      </w:pPr>
      <w:r>
        <w:t xml:space="preserve">Section 15 charges the following under the head "Salaries": (a) any salary due from an employer to the assessee in the tax year, whether paid or not; (b) any salary paid or allowed to him in the tax year, by or on behalf of an employer, though not due or before it became due; and (c) any arrears of salary paid or allowed to him in the tax year, if not charged to tax in an earlier year.</w:t>
      </w:r>
    </w:p>
    <w:p>
      <w:pPr>
        <w:spacing w:after="140" w:line="276"/>
        <w:jc w:val="both"/>
      </w:pPr>
      <w:r>
        <w:t xml:space="preserve">Section 15(2) provides that "employer" includes a former employer. Section 15(3) provides that salary paid in advance and already included in total income is not included again when it becomes due. Section 15(4) provides that any salary, bonus, commission or remuneration, by whatever name called, due to or received by a partner from his firm is not salary for this purpose; it is assessed as business income.</w:t>
      </w:r>
    </w:p>
    <w:p>
      <w:pPr>
        <w:spacing w:after="140" w:line="276"/>
        <w:jc w:val="both"/>
      </w:pPr>
      <w:r>
        <w:t xml:space="preserve">The practical rule is that salary is taxed on the earlier of becoming due or being received. That is why the date on which salary becomes due, fixed by the contract of employment or the service rules, is decisive in computation problems; a change of employment during the year, with a different due date, has to be worked through month by month.</w:t>
      </w:r>
    </w:p>
    <w:p>
      <w:pPr>
        <w:pStyle w:val="Heading3"/>
      </w:pPr>
      <w:r>
        <w:t xml:space="preserve">CIT, Kerala v. L.W. Russel (1964) 53 ITR 91 (SC)</w:t>
      </w:r>
    </w:p>
    <w:p>
      <w:pPr>
        <w:spacing w:after="140" w:line="276"/>
        <w:jc w:val="both"/>
      </w:pPr>
      <w:r>
        <w:rPr>
          <w:b/>
          <w:bCs/>
          <w:i w:val="false"/>
          <w:iCs w:val="false"/>
        </w:rPr>
        <w:t xml:space="preserve">Facts. </w:t>
      </w:r>
      <w:r>
        <w:rPr>
          <w:b w:val="false"/>
          <w:bCs w:val="false"/>
          <w:i w:val="false"/>
          <w:iCs w:val="false"/>
        </w:rPr>
        <w:t xml:space="preserve">The employer made compulsory contributions to a scheme under which the employee, or his dependants, would receive benefits on his attaining the age of superannuation or on earlier death. Until then the employee had no present right to the money.</w:t>
      </w:r>
    </w:p>
    <w:p>
      <w:pPr>
        <w:spacing w:after="140" w:line="276"/>
        <w:jc w:val="both"/>
      </w:pPr>
      <w:r>
        <w:rPr>
          <w:b/>
          <w:bCs/>
          <w:i w:val="false"/>
          <w:iCs w:val="false"/>
        </w:rPr>
        <w:t xml:space="preserve">Issue. </w:t>
      </w:r>
      <w:r>
        <w:rPr>
          <w:b w:val="false"/>
          <w:bCs w:val="false"/>
          <w:i w:val="false"/>
          <w:iCs w:val="false"/>
        </w:rPr>
        <w:t xml:space="preserve">Whether the employer’s annual contribution was taxable in the employee’s hands as a perquisite at the time it was made.</w:t>
      </w:r>
    </w:p>
    <w:p>
      <w:pPr>
        <w:spacing w:after="140" w:line="276"/>
        <w:jc w:val="both"/>
      </w:pPr>
      <w:r>
        <w:rPr>
          <w:b/>
          <w:bCs/>
          <w:i w:val="false"/>
          <w:iCs w:val="false"/>
        </w:rPr>
        <w:t xml:space="preserve">Held. </w:t>
      </w:r>
      <w:r>
        <w:rPr>
          <w:b w:val="false"/>
          <w:bCs w:val="false"/>
          <w:i w:val="false"/>
          <w:iCs w:val="false"/>
        </w:rPr>
        <w:t xml:space="preserve">It was not taxable at that stage.</w:t>
      </w:r>
    </w:p>
    <w:p>
      <w:pPr>
        <w:spacing w:after="140" w:line="276"/>
        <w:jc w:val="both"/>
      </w:pPr>
      <w:r>
        <w:rPr>
          <w:b/>
          <w:bCs/>
          <w:i w:val="false"/>
          <w:iCs w:val="false"/>
        </w:rPr>
        <w:t xml:space="preserve">Principle. </w:t>
      </w:r>
      <w:r>
        <w:rPr>
          <w:b w:val="false"/>
          <w:bCs w:val="false"/>
          <w:i w:val="false"/>
          <w:iCs w:val="false"/>
        </w:rPr>
        <w:t xml:space="preserve">A benefit is chargeable only when a vested right in it arises. The employee had a mere contingent interest, which might never mature, and a contingency is not a benefit that has accrued or become due. The case is cited both for the meaning of "due" and for the requirement of vesting in the law of perquisites.</w:t>
      </w:r>
    </w:p>
    <w:p>
      <w:pPr>
        <w:spacing w:after="140" w:line="276"/>
        <w:jc w:val="both"/>
      </w:pPr>
      <w:r>
        <w:rPr>
          <w:b/>
          <w:bCs/>
          <w:i w:val="false"/>
          <w:iCs w:val="false"/>
        </w:rPr>
        <w:t xml:space="preserve">Caution. </w:t>
      </w:r>
      <w:r>
        <w:rPr>
          <w:b w:val="false"/>
          <w:bCs w:val="false"/>
          <w:i w:val="false"/>
          <w:iCs w:val="false"/>
        </w:rPr>
        <w:t xml:space="preserve">Its application must be read together with the express language of section 17, which now specifically charges certain employer contributions beyond prescribed limits.</w:t>
      </w:r>
    </w:p>
    <w:p>
      <w:pPr>
        <w:pStyle w:val="Heading2"/>
      </w:pPr>
      <w:r>
        <w:t xml:space="preserve">4.3 Basis of charge: the employer–employee relationship</w:t>
      </w:r>
    </w:p>
    <w:p>
      <w:pPr>
        <w:spacing w:after="140" w:line="276"/>
        <w:jc w:val="both"/>
      </w:pPr>
      <w:r>
        <w:t xml:space="preserve">Salary presupposes a relationship of employer and employee, that is, of master and servant. The following propositions govern.</w:t>
      </w:r>
    </w:p>
    <w:p>
      <w:pPr>
        <w:pStyle w:val="ListParagraph"/>
        <w:numPr>
          <w:ilvl w:val="0"/>
          <w:numId w:val="2"/>
        </w:numPr>
        <w:spacing w:after="70" w:line="276"/>
        <w:jc w:val="both"/>
      </w:pPr>
      <w:r>
        <w:t xml:space="preserve">There must be an employer–employee relationship. A payment made by a person other than the employer is not salary.</w:t>
      </w:r>
    </w:p>
    <w:p>
      <w:pPr>
        <w:pStyle w:val="ListParagraph"/>
        <w:numPr>
          <w:ilvl w:val="0"/>
          <w:numId w:val="2"/>
        </w:numPr>
        <w:spacing w:after="70" w:line="276"/>
        <w:jc w:val="both"/>
      </w:pPr>
      <w:r>
        <w:t xml:space="preserve">The existence of the relationship is a question of fact, to be decided on the whole of the evidence.</w:t>
      </w:r>
    </w:p>
    <w:p>
      <w:pPr>
        <w:pStyle w:val="ListParagraph"/>
        <w:numPr>
          <w:ilvl w:val="0"/>
          <w:numId w:val="2"/>
        </w:numPr>
        <w:spacing w:after="70" w:line="276"/>
        <w:jc w:val="both"/>
      </w:pPr>
      <w:r>
        <w:t xml:space="preserve">Relevant factors include the degree of control and supervision exercised over the person, the nature of the work done, and the discretion he has in doing it.</w:t>
      </w:r>
    </w:p>
    <w:p>
      <w:pPr>
        <w:pStyle w:val="ListParagraph"/>
        <w:numPr>
          <w:ilvl w:val="0"/>
          <w:numId w:val="2"/>
        </w:numPr>
        <w:spacing w:after="70" w:line="276"/>
        <w:jc w:val="both"/>
      </w:pPr>
      <w:r>
        <w:t xml:space="preserve">No single factor is decisive in every case; the totality of the circumstances must be considered.</w:t>
      </w:r>
    </w:p>
    <w:p>
      <w:pPr>
        <w:pStyle w:val="ListParagraph"/>
        <w:numPr>
          <w:ilvl w:val="0"/>
          <w:numId w:val="2"/>
        </w:numPr>
        <w:spacing w:after="70" w:line="276"/>
        <w:jc w:val="both"/>
      </w:pPr>
      <w:r>
        <w:t xml:space="preserve">The legal distinction is between a contract of service, which creates employment and produces salary, and a contract for service, which produces business or professional income.</w:t>
      </w:r>
    </w:p>
    <w:p>
      <w:pPr>
        <w:pStyle w:val="ListParagraph"/>
        <w:numPr>
          <w:ilvl w:val="0"/>
          <w:numId w:val="2"/>
        </w:numPr>
        <w:spacing w:after="70" w:line="276"/>
        <w:jc w:val="both"/>
      </w:pPr>
      <w:r>
        <w:t xml:space="preserve">The salary and allowances of Members of Parliament and of State Legislatures are not salary under this head, because they are not employees. The office is elective and sui generis, and such receipts are taxed as income from other sources.</w:t>
      </w:r>
    </w:p>
    <w:p>
      <w:pPr>
        <w:pStyle w:val="Heading3"/>
      </w:pPr>
      <w:r>
        <w:t xml:space="preserve">Ram Pershad v. CIT, New Delhi (1972) 86 ITR 122 (SC)</w:t>
      </w:r>
    </w:p>
    <w:p>
      <w:pPr>
        <w:spacing w:after="140" w:line="276"/>
        <w:jc w:val="both"/>
      </w:pPr>
      <w:r>
        <w:rPr>
          <w:b/>
          <w:bCs/>
          <w:i w:val="false"/>
          <w:iCs w:val="false"/>
        </w:rPr>
        <w:t xml:space="preserve">Facts. </w:t>
      </w:r>
      <w:r>
        <w:rPr>
          <w:b w:val="false"/>
          <w:bCs w:val="false"/>
          <w:i w:val="false"/>
          <w:iCs w:val="false"/>
        </w:rPr>
        <w:t xml:space="preserve">A managing director of a company was paid fixed remuneration together with ten per cent of the gross profits. The question was whether his remuneration was salary or the income of a person carrying on his own vocation.</w:t>
      </w:r>
    </w:p>
    <w:p>
      <w:pPr>
        <w:spacing w:after="140" w:line="276"/>
        <w:jc w:val="both"/>
      </w:pPr>
      <w:r>
        <w:rPr>
          <w:b/>
          <w:bCs/>
          <w:i w:val="false"/>
          <w:iCs w:val="false"/>
        </w:rPr>
        <w:t xml:space="preserve">Held. </w:t>
      </w:r>
      <w:r>
        <w:rPr>
          <w:b w:val="false"/>
          <w:bCs w:val="false"/>
          <w:i w:val="false"/>
          <w:iCs w:val="false"/>
        </w:rPr>
        <w:t xml:space="preserve">It was salary.</w:t>
      </w:r>
    </w:p>
    <w:p>
      <w:pPr>
        <w:spacing w:after="140" w:line="276"/>
        <w:jc w:val="both"/>
      </w:pPr>
      <w:r>
        <w:rPr>
          <w:b/>
          <w:bCs/>
          <w:i w:val="false"/>
          <w:iCs w:val="false"/>
        </w:rPr>
        <w:t xml:space="preserve">Principle. </w:t>
      </w:r>
      <w:r>
        <w:rPr>
          <w:b w:val="false"/>
          <w:bCs w:val="false"/>
          <w:i w:val="false"/>
          <w:iCs w:val="false"/>
        </w:rPr>
        <w:t xml:space="preserve">A managing director may occupy a dual capacity, as director and as employee. Whether he is an employee depends on the articles of association and the terms of his agreement. If the company retains the power to control and supervise the manner in which he performs his work, the relationship is one of employment under a contract of service. If he is left free to carry out the work in his own way, answerable only for results, the contract is one for service. The test is the extent of control, gathered from the governing documents rather than from the designation used.</w:t>
      </w:r>
    </w:p>
    <w:p>
      <w:pPr>
        <w:pStyle w:val="Heading3"/>
      </w:pPr>
      <w:r>
        <w:t xml:space="preserve">CIT v. Shiv Charan Mathur (2008) 306 ITR 126 (Rajasthan)</w:t>
      </w:r>
    </w:p>
    <w:p>
      <w:pPr>
        <w:spacing w:after="140" w:line="276"/>
        <w:jc w:val="both"/>
      </w:pPr>
      <w:r>
        <w:rPr>
          <w:b/>
          <w:bCs/>
          <w:i w:val="false"/>
          <w:iCs w:val="false"/>
        </w:rPr>
        <w:t xml:space="preserve">Facts and issue. </w:t>
      </w:r>
      <w:r>
        <w:rPr>
          <w:b w:val="false"/>
          <w:bCs w:val="false"/>
          <w:i w:val="false"/>
          <w:iCs w:val="false"/>
        </w:rPr>
        <w:t xml:space="preserve">Whether the salary and allowances received by a Member of a Legislative Assembly, who was also a Minister, were chargeable under the head "Salaries".</w:t>
      </w:r>
    </w:p>
    <w:p>
      <w:pPr>
        <w:spacing w:after="140" w:line="276"/>
        <w:jc w:val="both"/>
      </w:pPr>
      <w:r>
        <w:rPr>
          <w:b/>
          <w:bCs/>
          <w:i w:val="false"/>
          <w:iCs w:val="false"/>
        </w:rPr>
        <w:t xml:space="preserve">Held. </w:t>
      </w:r>
      <w:r>
        <w:rPr>
          <w:b w:val="false"/>
          <w:bCs w:val="false"/>
          <w:i w:val="false"/>
          <w:iCs w:val="false"/>
        </w:rPr>
        <w:t xml:space="preserve">They were not. They are chargeable as income from other sources.</w:t>
      </w:r>
    </w:p>
    <w:p>
      <w:pPr>
        <w:spacing w:after="140" w:line="276"/>
        <w:jc w:val="both"/>
      </w:pPr>
      <w:r>
        <w:rPr>
          <w:b/>
          <w:bCs/>
          <w:i w:val="false"/>
          <w:iCs w:val="false"/>
        </w:rPr>
        <w:t xml:space="preserve">Principle. </w:t>
      </w:r>
      <w:r>
        <w:rPr>
          <w:b w:val="false"/>
          <w:bCs w:val="false"/>
          <w:i w:val="false"/>
          <w:iCs w:val="false"/>
        </w:rPr>
        <w:t xml:space="preserve">A legislator holds an elective constitutional office. There is no employer, and no relationship of master and servant. Since the head of salary depends on that relationship, neither section 15 nor the perquisite provisions that follow it can apply. The consequence is practical as well as theoretical: the deductions and valuation rules peculiar to the salary head are unavailable.</w:t>
      </w:r>
    </w:p>
    <w:p>
      <w:pPr>
        <w:pStyle w:val="Heading2"/>
      </w:pPr>
      <w:r>
        <w:t xml:space="preserve">4.4 Meaning of salary — section 16 [section 17(1)]</w:t>
      </w:r>
    </w:p>
    <w:p>
      <w:pPr>
        <w:spacing w:after="140" w:line="276"/>
        <w:jc w:val="both"/>
      </w:pPr>
      <w:r>
        <w:t xml:space="preserve">For the purposes of this Part, "salary" includes: wages; any annuity or pension; any gratuity; any fees or commission; perquisites; profits in lieu of, or in addition to, any salary or wages; any advance of salary; any payment received by an employee in respect of any period of leave not availed of by him; the annual accretion to the balance at the credit of an employee participating in a recognised provident fund, to the extent chargeable; the aggregate of sums comprised in the transferred balance in such a fund, to the extent chargeable; the contribution made by the Central Government or any other employer to an employee’s account under a notified pension scheme referred to in section 124; and the contribution made by the Central Government to the Agniveer Corpus Fund account of an individual enrolled in the Agnipath Scheme referred to in section 125.</w:t>
      </w:r>
    </w:p>
    <w:p>
      <w:pPr>
        <w:spacing w:after="140" w:line="276"/>
        <w:jc w:val="both"/>
      </w:pPr>
      <w:r>
        <w:t xml:space="preserve">The definition is inclusive, so any receipt that flows from the relationship of employment is normally salary, whatever it is called.</w:t>
      </w:r>
    </w:p>
    <w:p>
      <w:pPr>
        <w:pStyle w:val="Heading2"/>
      </w:pPr>
      <w:r>
        <w:t xml:space="preserve">4.5 Perquisites and allied issues — section 17 [section 17(2)]</w:t>
      </w:r>
    </w:p>
    <w:p>
      <w:pPr>
        <w:spacing w:after="140" w:line="276"/>
        <w:jc w:val="both"/>
      </w:pPr>
      <w:r>
        <w:t xml:space="preserve">A perquisite is a benefit or amenity received by reason of employment, over and above salary in cash. Section 17 provides that "perquisite" includes:</w:t>
      </w:r>
    </w:p>
    <w:p>
      <w:pPr>
        <w:pStyle w:val="ListParagraph"/>
        <w:numPr>
          <w:ilvl w:val="0"/>
          <w:numId w:val="2"/>
        </w:numPr>
        <w:spacing w:after="70" w:line="276"/>
        <w:jc w:val="both"/>
      </w:pPr>
      <w:r>
        <w:t xml:space="preserve">the value of rent-free accommodation provided to the assessee by his employer, computed in the prescribed manner;</w:t>
      </w:r>
    </w:p>
    <w:p>
      <w:pPr>
        <w:pStyle w:val="ListParagraph"/>
        <w:numPr>
          <w:ilvl w:val="0"/>
          <w:numId w:val="2"/>
        </w:numPr>
        <w:spacing w:after="70" w:line="276"/>
        <w:jc w:val="both"/>
      </w:pPr>
      <w:r>
        <w:t xml:space="preserve">the value of accommodation provided by the employer at a concessional rate, computed in the prescribed manner, to the extent it exceeds the rent recoverable from or payable by the assessee;</w:t>
      </w:r>
    </w:p>
    <w:p>
      <w:pPr>
        <w:pStyle w:val="ListParagraph"/>
        <w:numPr>
          <w:ilvl w:val="0"/>
          <w:numId w:val="2"/>
        </w:numPr>
        <w:spacing w:after="70" w:line="276"/>
        <w:jc w:val="both"/>
      </w:pPr>
      <w:r>
        <w:t xml:space="preserve">the value of any benefit or amenity granted or provided free of cost or at a concessional rate to a director, or to an employee having a substantial interest in the company, or to any other employee whose income under the head "Salaries" by way of monetary payment exceeds the prescribed limit;</w:t>
      </w:r>
    </w:p>
    <w:p>
      <w:pPr>
        <w:pStyle w:val="ListParagraph"/>
        <w:numPr>
          <w:ilvl w:val="0"/>
          <w:numId w:val="2"/>
        </w:numPr>
        <w:spacing w:after="70" w:line="276"/>
        <w:jc w:val="both"/>
      </w:pPr>
      <w:r>
        <w:t xml:space="preserve">any sum paid by the employer in respect of an obligation which, but for such payment, would have been payable by the assessee, including his income-tax;</w:t>
      </w:r>
    </w:p>
    <w:p>
      <w:pPr>
        <w:pStyle w:val="ListParagraph"/>
        <w:numPr>
          <w:ilvl w:val="0"/>
          <w:numId w:val="2"/>
        </w:numPr>
        <w:spacing w:after="70" w:line="276"/>
        <w:jc w:val="both"/>
      </w:pPr>
      <w:r>
        <w:t xml:space="preserve">any sum payable by the employer to effect an assurance on the life of the assessee or to effect a contract for an annuity;</w:t>
      </w:r>
    </w:p>
    <w:p>
      <w:pPr>
        <w:pStyle w:val="ListParagraph"/>
        <w:numPr>
          <w:ilvl w:val="0"/>
          <w:numId w:val="2"/>
        </w:numPr>
        <w:spacing w:after="70" w:line="276"/>
        <w:jc w:val="both"/>
      </w:pPr>
      <w:r>
        <w:t xml:space="preserve">the value of specified securities or sweat equity shares allotted or transferred free of cost or at a concessional rate;</w:t>
      </w:r>
    </w:p>
    <w:p>
      <w:pPr>
        <w:pStyle w:val="ListParagraph"/>
        <w:numPr>
          <w:ilvl w:val="0"/>
          <w:numId w:val="2"/>
        </w:numPr>
        <w:spacing w:after="70" w:line="276"/>
        <w:jc w:val="both"/>
      </w:pPr>
      <w:r>
        <w:t xml:space="preserve">the employer’s contribution to an approved superannuation fund beyond the prescribed limit; and</w:t>
      </w:r>
    </w:p>
    <w:p>
      <w:pPr>
        <w:pStyle w:val="ListParagraph"/>
        <w:numPr>
          <w:ilvl w:val="0"/>
          <w:numId w:val="2"/>
        </w:numPr>
        <w:spacing w:after="70" w:line="276"/>
        <w:jc w:val="both"/>
      </w:pPr>
      <w:r>
        <w:t xml:space="preserve">the value of such other fringe benefits or amenities as may be prescribed.</w:t>
      </w:r>
    </w:p>
    <w:p>
      <w:pPr>
        <w:spacing w:after="140" w:line="276"/>
        <w:jc w:val="both"/>
      </w:pPr>
      <w:r>
        <w:t xml:space="preserve">Two features should be noted. First, valuation is governed by prescribed rules and not by the employee’s or the employer’s estimate of worth. Second, specified items, notably prescribed medical treatment and travel concessions, are excluded from the charge.</w:t>
      </w:r>
    </w:p>
    <w:p>
      <w:pPr>
        <w:spacing w:after="140" w:line="276"/>
        <w:jc w:val="both"/>
      </w:pPr>
      <w:r>
        <w:rPr>
          <w:b/>
          <w:bCs/>
          <w:i w:val="false"/>
          <w:iCs w:val="false"/>
        </w:rPr>
        <w:t xml:space="preserve">CIT (TDS) v. Director, Delhi Public School (2011). </w:t>
      </w:r>
      <w:r>
        <w:rPr>
          <w:b w:val="false"/>
          <w:bCs w:val="false"/>
          <w:i w:val="false"/>
          <w:iCs w:val="false"/>
        </w:rPr>
        <w:t xml:space="preserve">A school provided free or concessional education to the children of its employees. Under the valuation rules the taxable perquisite is the cost of comparable education in a similar institution in the locality, and the proviso exempts the value where it does not exceed one thousand rupees per month per child. The perquisite is therefore only the excess over that amount, and the employer’s obligation to deduct tax at source follows that computation.</w:t>
      </w:r>
    </w:p>
    <w:p>
      <w:pPr>
        <w:spacing w:after="140" w:line="276"/>
        <w:jc w:val="both"/>
      </w:pPr>
      <w:r>
        <w:rPr>
          <w:b/>
          <w:bCs/>
          <w:i w:val="false"/>
          <w:iCs w:val="false"/>
        </w:rPr>
        <w:t xml:space="preserve">CIT-26 v. Shankar Krishnan (2012) 349 ITR 316 (Bombay). </w:t>
      </w:r>
      <w:r>
        <w:rPr>
          <w:b w:val="false"/>
          <w:bCs w:val="false"/>
          <w:i w:val="false"/>
          <w:iCs w:val="false"/>
        </w:rPr>
        <w:t xml:space="preserve">Rent-free accommodation must be valued in accordance with the statutory rules applied to salary as defined for that purpose, and not by reference to the market rent of the premises. Where the rules prescribe a percentage of salary, that is the measure, however valuable the flat may be.</w:t>
      </w:r>
    </w:p>
    <w:p>
      <w:pPr>
        <w:pStyle w:val="Heading3"/>
      </w:pPr>
      <w:r>
        <w:t xml:space="preserve">ITC Ltd v. CIT (TDS) (2016) 384 ITR 14 (SC)</w:t>
      </w:r>
    </w:p>
    <w:p>
      <w:pPr>
        <w:spacing w:after="140" w:line="276"/>
        <w:jc w:val="both"/>
      </w:pPr>
      <w:r>
        <w:rPr>
          <w:b/>
          <w:bCs/>
          <w:i w:val="false"/>
          <w:iCs w:val="false"/>
        </w:rPr>
        <w:t xml:space="preserve">Facts. </w:t>
      </w:r>
      <w:r>
        <w:rPr>
          <w:b w:val="false"/>
          <w:bCs w:val="false"/>
          <w:i w:val="false"/>
          <w:iCs w:val="false"/>
        </w:rPr>
        <w:t xml:space="preserve">Hotels collected tips from customers, including amounts added to credit card bills, and distributed them to their employees without deducting tax at source. The Revenue treated the hotels as assessees in default under section 192.</w:t>
      </w:r>
    </w:p>
    <w:p>
      <w:pPr>
        <w:spacing w:after="140" w:line="276"/>
        <w:jc w:val="both"/>
      </w:pPr>
      <w:r>
        <w:rPr>
          <w:b/>
          <w:bCs/>
          <w:i w:val="false"/>
          <w:iCs w:val="false"/>
        </w:rPr>
        <w:t xml:space="preserve">Held. </w:t>
      </w:r>
      <w:r>
        <w:rPr>
          <w:b w:val="false"/>
          <w:bCs w:val="false"/>
          <w:i w:val="false"/>
          <w:iCs w:val="false"/>
        </w:rPr>
        <w:t xml:space="preserve">Tips are not salary, section 192 did not apply, and the employers were not in default.</w:t>
      </w:r>
    </w:p>
    <w:p>
      <w:pPr>
        <w:spacing w:after="140" w:line="276"/>
        <w:jc w:val="both"/>
      </w:pPr>
      <w:r>
        <w:rPr>
          <w:b/>
          <w:bCs/>
          <w:i w:val="false"/>
          <w:iCs w:val="false"/>
        </w:rPr>
        <w:t xml:space="preserve">Principle. </w:t>
      </w:r>
      <w:r>
        <w:rPr>
          <w:b w:val="false"/>
          <w:bCs w:val="false"/>
          <w:i w:val="false"/>
          <w:iCs w:val="false"/>
        </w:rPr>
        <w:t xml:space="preserve">Section 192 obliges an employer to deduct tax from income paid by it under the head "Salaries". Tips are voluntary payments made by customers, not by the employer, and the employer merely receives them in a fiduciary capacity and passes them on. The employee has no vested right to them under his contract of employment, and there is no reference to them in the terms of employment. They are therefore not salary, though they remain taxable in the employees’ hands as income from other sources.</w:t>
      </w:r>
    </w:p>
    <w:p>
      <w:pPr>
        <w:spacing w:after="140" w:line="276"/>
        <w:jc w:val="both"/>
      </w:pPr>
      <w:r>
        <w:rPr>
          <w:b/>
          <w:bCs/>
          <w:i w:val="false"/>
          <w:iCs w:val="false"/>
        </w:rPr>
        <w:t xml:space="preserve">Relevance. </w:t>
      </w:r>
      <w:r>
        <w:rPr>
          <w:b w:val="false"/>
          <w:bCs w:val="false"/>
          <w:i w:val="false"/>
          <w:iCs w:val="false"/>
        </w:rPr>
        <w:t xml:space="preserve">The case shows that a payment connected with employment is not salary unless it flows from the employer and from the contract of employment. It is a useful contrast with the rule that anything received by virtue of employment is salary.</w:t>
      </w:r>
    </w:p>
    <w:p>
      <w:pPr>
        <w:pStyle w:val="Heading2"/>
      </w:pPr>
      <w:r>
        <w:t xml:space="preserve">4.6 Profits in lieu of salary — section 18 [section 17(3)]</w:t>
      </w:r>
    </w:p>
    <w:p>
      <w:pPr>
        <w:spacing w:after="140" w:line="276"/>
        <w:jc w:val="both"/>
      </w:pPr>
      <w:r>
        <w:t xml:space="preserve">This head covers compensation received in connection with the termination of employment or the modification of its terms, payments from a provident or other fund to the extent not exempt, sums received under a keyman insurance policy, and amounts received from a person before joining employment or after ceasing to be employed. The object is to prevent an employment-related payment from escaping tax merely because it is described as compensation or an ex gratia payment rather than as salary.</w:t>
      </w:r>
    </w:p>
    <w:p>
      <w:pPr>
        <w:pStyle w:val="Heading2"/>
      </w:pPr>
      <w:r>
        <w:t xml:space="preserve">4.7 Permissible deductions and exemptions from salary — section 19</w:t>
      </w:r>
    </w:p>
    <w:p>
      <w:pPr>
        <w:spacing w:after="140" w:line="276"/>
        <w:jc w:val="both"/>
      </w:pPr>
      <w:r>
        <w:t xml:space="preserve">The salary head is deliberately narrow: only the deductions the Act allows may be claimed, and expenditure incurred to earn salary is not otherwise deductible. Section 19 permits:</w:t>
      </w:r>
    </w:p>
    <w:p>
      <w:pPr>
        <w:pStyle w:val="ListParagraph"/>
        <w:numPr>
          <w:ilvl w:val="0"/>
          <w:numId w:val="2"/>
        </w:numPr>
        <w:spacing w:after="70" w:line="276"/>
        <w:jc w:val="both"/>
      </w:pPr>
      <w:r>
        <w:rPr>
          <w:b/>
          <w:bCs/>
          <w:i w:val="false"/>
          <w:iCs w:val="false"/>
        </w:rPr>
        <w:t xml:space="preserve">Standard deduction. </w:t>
      </w:r>
      <w:r>
        <w:rPr>
          <w:b w:val="false"/>
          <w:bCs w:val="false"/>
          <w:i w:val="false"/>
          <w:iCs w:val="false"/>
        </w:rPr>
        <w:t xml:space="preserve">Seventy-five thousand rupees under the default regime, and fifty thousand rupees under the old regime, from salary income. No proof of expenditure is required.</w:t>
      </w:r>
    </w:p>
    <w:p>
      <w:pPr>
        <w:pStyle w:val="ListParagraph"/>
        <w:numPr>
          <w:ilvl w:val="0"/>
          <w:numId w:val="2"/>
        </w:numPr>
        <w:spacing w:after="70" w:line="276"/>
        <w:jc w:val="both"/>
      </w:pPr>
      <w:r>
        <w:rPr>
          <w:b/>
          <w:bCs/>
          <w:i w:val="false"/>
          <w:iCs w:val="false"/>
        </w:rPr>
        <w:t xml:space="preserve">Entertainment allowance. </w:t>
      </w:r>
      <w:r>
        <w:rPr>
          <w:b w:val="false"/>
          <w:bCs w:val="false"/>
          <w:i w:val="false"/>
          <w:iCs w:val="false"/>
        </w:rPr>
        <w:t xml:space="preserve">A deduction within prescribed limits, available only to Government employees.</w:t>
      </w:r>
    </w:p>
    <w:p>
      <w:pPr>
        <w:pStyle w:val="ListParagraph"/>
        <w:numPr>
          <w:ilvl w:val="0"/>
          <w:numId w:val="2"/>
        </w:numPr>
        <w:spacing w:after="70" w:line="276"/>
        <w:jc w:val="both"/>
      </w:pPr>
      <w:r>
        <w:rPr>
          <w:b/>
          <w:bCs/>
          <w:i w:val="false"/>
          <w:iCs w:val="false"/>
        </w:rPr>
        <w:t xml:space="preserve">Professional or employment tax. </w:t>
      </w:r>
      <w:r>
        <w:rPr>
          <w:b w:val="false"/>
          <w:bCs w:val="false"/>
          <w:i w:val="false"/>
          <w:iCs w:val="false"/>
        </w:rPr>
        <w:t xml:space="preserve">A deduction for the tax on employment actually paid.</w:t>
      </w:r>
    </w:p>
    <w:p>
      <w:pPr>
        <w:spacing w:after="140" w:line="276"/>
        <w:jc w:val="both"/>
      </w:pPr>
      <w:r>
        <w:t xml:space="preserve">Relief for retirement receipts — gratuity, commuted pension, leave encashment, retrenchment compensation and compensation on voluntary retirement — is given by statutory formula subject to monetary ceilings, which the Act of 2025 carries forward from section 10 of the Act of 1961 into section 19 read with the Schedules. House rent allowance, leave travel concession and specified allowances operate as exemptions under the Schedules. Most of these reliefs are restricted under the default regime.</w:t>
      </w:r>
    </w:p>
    <w:p>
      <w:pPr>
        <w:pStyle w:val="Heading2"/>
      </w:pPr>
      <w:r>
        <w:t xml:space="preserve">4.8 Allied issues in the computation of salary</w:t>
      </w:r>
    </w:p>
    <w:p>
      <w:pPr>
        <w:spacing w:after="140" w:line="276"/>
        <w:jc w:val="both"/>
      </w:pPr>
      <w:r>
        <w:rPr>
          <w:b/>
          <w:bCs/>
          <w:i w:val="false"/>
          <w:iCs w:val="false"/>
        </w:rPr>
        <w:t xml:space="preserve">Advance salary and a loan against salary. </w:t>
      </w:r>
      <w:r>
        <w:rPr>
          <w:b w:val="false"/>
          <w:bCs w:val="false"/>
          <w:i w:val="false"/>
          <w:iCs w:val="false"/>
        </w:rPr>
        <w:t xml:space="preserve">Advance salary is salary paid before it falls due and is taxable on receipt under section 15(1)(b), with section 15(3) preventing a second charge when it becomes due. A loan taken against future salary is different: it is a debt which must be repaid, and it is not taxable on receipt merely because salary secures it. Only the salary itself is taxed as it becomes due.</w:t>
      </w:r>
    </w:p>
    <w:p>
      <w:pPr>
        <w:spacing w:after="140" w:line="276"/>
        <w:jc w:val="both"/>
      </w:pPr>
      <w:r>
        <w:rPr>
          <w:b/>
          <w:bCs/>
          <w:i w:val="false"/>
          <w:iCs w:val="false"/>
        </w:rPr>
        <w:t xml:space="preserve">Leave encashment. </w:t>
      </w:r>
      <w:r>
        <w:rPr>
          <w:b w:val="false"/>
          <w:bCs w:val="false"/>
          <w:i w:val="false"/>
          <w:iCs w:val="false"/>
        </w:rPr>
        <w:t xml:space="preserve">Payment for leave not availed of during the continuance of service is treated at par with salary and is fully taxable. Encashment received at retirement attracts statutory relief within limits.</w:t>
      </w:r>
    </w:p>
    <w:p>
      <w:pPr>
        <w:spacing w:after="140" w:line="276"/>
        <w:jc w:val="both"/>
      </w:pPr>
      <w:r>
        <w:rPr>
          <w:b/>
          <w:bCs/>
          <w:i w:val="false"/>
          <w:iCs w:val="false"/>
        </w:rPr>
        <w:t xml:space="preserve">There is no such thing as tax-free salary. </w:t>
      </w:r>
      <w:r>
        <w:rPr>
          <w:b w:val="false"/>
          <w:bCs w:val="false"/>
          <w:i w:val="false"/>
          <w:iCs w:val="false"/>
        </w:rPr>
        <w:t xml:space="preserve">If an employee’s tax is borne by the employer, that payment discharges an obligation of the employee and is itself a benefit, which is added to salary. Because the tax paid on the added amount is also a benefit, the figure has to be grossed up. Illustration: salary in hand twenty lakh rupees, tax of two lakh borne by the employer, and tax of twenty thousand on that two lakh, giving total salary of twenty-two lakh twenty thousand rupees. Emil Webber v. CIT (1993) 200 ITR 483 (SC) held that tax paid by another person on the assessee’s behalf is the assessee’s income.</w:t>
      </w:r>
    </w:p>
    <w:p>
      <w:pPr>
        <w:spacing w:after="140" w:line="276"/>
        <w:jc w:val="both"/>
      </w:pPr>
      <w:r>
        <w:rPr>
          <w:b/>
          <w:bCs/>
          <w:i w:val="false"/>
          <w:iCs w:val="false"/>
        </w:rPr>
        <w:t xml:space="preserve">Commission. </w:t>
      </w:r>
      <w:r>
        <w:rPr>
          <w:b w:val="false"/>
          <w:bCs w:val="false"/>
          <w:i w:val="false"/>
          <w:iCs w:val="false"/>
        </w:rPr>
        <w:t xml:space="preserve">Where the contract of employment provides for commission calculated as a fixed percentage of turnover, the commission is salary and not a separate business receipt: Gestetner Duplicators Pvt Ltd v. CIT (1979) 117 ITR 1 (SC). Remuneration may be measured by time, by the work done, or partly by each, and still remain salary.</w:t>
      </w:r>
    </w:p>
    <w:p>
      <w:pPr>
        <w:pStyle w:val="Heading1"/>
      </w:pPr>
      <w:r>
        <w:t xml:space="preserve">Unit V — Income from House Property</w:t>
      </w:r>
    </w:p>
    <w:p>
      <w:pPr>
        <w:pStyle w:val="Heading2"/>
      </w:pPr>
      <w:r>
        <w:t xml:space="preserve">5.1 Rationale of the charge</w:t>
      </w:r>
    </w:p>
    <w:p>
      <w:pPr>
        <w:spacing w:after="140" w:line="276"/>
        <w:jc w:val="both"/>
      </w:pPr>
      <w:r>
        <w:t xml:space="preserve">This head does not tax what the owner actually receives; it taxes the annual value of the property, that is, its capacity to earn. The reasons are worth understanding, because they explain almost every rule that follows.</w:t>
      </w:r>
    </w:p>
    <w:p>
      <w:pPr>
        <w:pStyle w:val="ListParagraph"/>
        <w:numPr>
          <w:ilvl w:val="0"/>
          <w:numId w:val="2"/>
        </w:numPr>
        <w:spacing w:after="70" w:line="276"/>
        <w:jc w:val="both"/>
      </w:pPr>
      <w:r>
        <w:t xml:space="preserve">The property itself, rather than any activity of the owner, is treated as the source. Income is attributed to ownership of the building.</w:t>
      </w:r>
    </w:p>
    <w:p>
      <w:pPr>
        <w:pStyle w:val="ListParagraph"/>
        <w:numPr>
          <w:ilvl w:val="0"/>
          <w:numId w:val="2"/>
        </w:numPr>
        <w:spacing w:after="70" w:line="276"/>
        <w:jc w:val="both"/>
      </w:pPr>
      <w:r>
        <w:t xml:space="preserve">Taxing earning capacity prevents avoidance. An owner who keeps a lettable property idle, or lets it cheaply to a relative, is in the same position as one who lets it at a fair rent.</w:t>
      </w:r>
    </w:p>
    <w:p>
      <w:pPr>
        <w:pStyle w:val="ListParagraph"/>
        <w:numPr>
          <w:ilvl w:val="0"/>
          <w:numId w:val="2"/>
        </w:numPr>
        <w:spacing w:after="70" w:line="276"/>
        <w:jc w:val="both"/>
      </w:pPr>
      <w:r>
        <w:t xml:space="preserve">Annual value is an objective and administratively convenient measure, capable of being determined from municipal valuation, rent control standards and comparable rents, without examining the owner’s accounts.</w:t>
      </w:r>
    </w:p>
    <w:p>
      <w:pPr>
        <w:pStyle w:val="ListParagraph"/>
        <w:numPr>
          <w:ilvl w:val="0"/>
          <w:numId w:val="2"/>
        </w:numPr>
        <w:spacing w:after="70" w:line="276"/>
        <w:jc w:val="both"/>
      </w:pPr>
      <w:r>
        <w:t xml:space="preserve">In exchange for this notional basis, the law allows a flat deduction of thirty per cent for repairs and maintenance without requiring proof of expenditure, and a deduction for interest on capital borrowed for the property. The computation is thus deliberately standardised on both sides.</w:t>
      </w:r>
    </w:p>
    <w:p>
      <w:pPr>
        <w:pStyle w:val="Heading2"/>
      </w:pPr>
      <w:r>
        <w:t xml:space="preserve">5.2 Chargeability — section 20 [section 22]</w:t>
      </w:r>
    </w:p>
    <w:p>
      <w:pPr>
        <w:spacing w:after="140" w:line="276"/>
        <w:jc w:val="both"/>
      </w:pPr>
      <w:r>
        <w:t xml:space="preserve">Section 20(1) provides that the annual value of property consisting of any buildings or lands appurtenant thereto, owned by the assessee, shall be chargeable to income-tax under the head "Income from house property". Section 20(2) provides that this shall not apply to such portions of the property as the assessee may occupy for the purposes of his business or profession, the profits of which are chargeable to income-tax.</w:t>
      </w:r>
    </w:p>
    <w:p>
      <w:pPr>
        <w:spacing w:after="140" w:line="276"/>
        <w:jc w:val="both"/>
      </w:pPr>
      <w:r>
        <w:t xml:space="preserve">Three conditions must therefore be satisfied: there must be a building, or land appurtenant to a building; the assessee must be the owner; and the property must not be occupied by him for his own business or profession whose profits are taxed. Income from vacant land by itself is not charged under this head and falls under business or other sources.</w:t>
      </w:r>
    </w:p>
    <w:p>
      <w:pPr>
        <w:spacing w:after="140" w:line="276"/>
        <w:jc w:val="both"/>
      </w:pPr>
      <w:r>
        <w:t xml:space="preserve">Land appurtenant means land attached to and enjoyed with the building as part of the same unit — a courtyard, garden, lawn, backyard, parking area or approach road, together with rights enjoyed along with the building.</w:t>
      </w:r>
    </w:p>
    <w:p>
      <w:pPr>
        <w:spacing w:after="140" w:line="276"/>
        <w:jc w:val="both"/>
      </w:pPr>
      <w:r>
        <w:rPr>
          <w:b/>
          <w:bCs/>
          <w:i w:val="false"/>
          <w:iCs w:val="false"/>
        </w:rPr>
        <w:t xml:space="preserve">CIT v. Zaibunnisa Begum (1985) 151 ITR 320 (Andhra Pradesh). </w:t>
      </w:r>
      <w:r>
        <w:rPr>
          <w:b w:val="false"/>
          <w:bCs w:val="false"/>
          <w:i w:val="false"/>
          <w:iCs w:val="false"/>
        </w:rPr>
        <w:t xml:space="preserve">Land is appurtenant only if it is enjoyed with the building and treated as one indivisible unit with it. Mere contiguity is not sufficient, so adjoining land does not become appurtenant simply because it belongs to the same owner. Where the land is put to independent agricultural or horticultural use, it has a separate productive character and is not appurtenant. The test is functional, not merely spatial.</w:t>
      </w:r>
    </w:p>
    <w:p>
      <w:pPr>
        <w:pStyle w:val="Heading2"/>
      </w:pPr>
      <w:r>
        <w:t xml:space="preserve">5.3 The heads are mutually exclusive</w:t>
      </w:r>
    </w:p>
    <w:p>
      <w:pPr>
        <w:pStyle w:val="Heading3"/>
      </w:pPr>
      <w:r>
        <w:t xml:space="preserve">East India Housing and Land Development Trust Ltd v. CIT (1961) 42 ITR 49 (SC)</w:t>
      </w:r>
    </w:p>
    <w:p>
      <w:pPr>
        <w:spacing w:after="140" w:line="276"/>
        <w:jc w:val="both"/>
      </w:pPr>
      <w:r>
        <w:rPr>
          <w:b/>
          <w:bCs/>
          <w:i w:val="false"/>
          <w:iCs w:val="false"/>
        </w:rPr>
        <w:t xml:space="preserve">Facts. </w:t>
      </w:r>
      <w:r>
        <w:rPr>
          <w:b w:val="false"/>
          <w:bCs w:val="false"/>
          <w:i w:val="false"/>
          <w:iCs w:val="false"/>
        </w:rPr>
        <w:t xml:space="preserve">The company was incorporated to buy and develop land. It constructed shops and stalls in a market on its land and let them out, and claimed the rent as business income, its business being the development and exploitation of property.</w:t>
      </w:r>
    </w:p>
    <w:p>
      <w:pPr>
        <w:spacing w:after="140" w:line="276"/>
        <w:jc w:val="both"/>
      </w:pPr>
      <w:r>
        <w:rPr>
          <w:b/>
          <w:bCs/>
          <w:i w:val="false"/>
          <w:iCs w:val="false"/>
        </w:rPr>
        <w:t xml:space="preserve">Held. </w:t>
      </w:r>
      <w:r>
        <w:rPr>
          <w:b w:val="false"/>
          <w:bCs w:val="false"/>
          <w:i w:val="false"/>
          <w:iCs w:val="false"/>
        </w:rPr>
        <w:t xml:space="preserve">The rental income was chargeable as income from house property.</w:t>
      </w:r>
    </w:p>
    <w:p>
      <w:pPr>
        <w:spacing w:after="140" w:line="276"/>
        <w:jc w:val="both"/>
      </w:pPr>
      <w:r>
        <w:rPr>
          <w:b/>
          <w:bCs/>
          <w:i w:val="false"/>
          <w:iCs w:val="false"/>
        </w:rPr>
        <w:t xml:space="preserve">Principle. </w:t>
      </w:r>
      <w:r>
        <w:rPr>
          <w:b w:val="false"/>
          <w:bCs w:val="false"/>
          <w:i w:val="false"/>
          <w:iCs w:val="false"/>
        </w:rPr>
        <w:t xml:space="preserve">The heads of income are specific and mutually exclusive. Where income falls squarely within the description of a particular head, it must be computed under that head, whatever the nature of the assessee’s business and however the income is treated in its accounts. The character of the income, not the character of the assessee, decides the head.</w:t>
      </w:r>
    </w:p>
    <w:p>
      <w:pPr>
        <w:spacing w:after="140" w:line="276"/>
        <w:jc w:val="both"/>
      </w:pPr>
      <w:r>
        <w:rPr>
          <w:b/>
          <w:bCs/>
          <w:i w:val="false"/>
          <w:iCs w:val="false"/>
        </w:rPr>
        <w:t xml:space="preserve">Narrow exception. </w:t>
      </w:r>
      <w:r>
        <w:rPr>
          <w:b w:val="false"/>
          <w:bCs w:val="false"/>
          <w:i w:val="false"/>
          <w:iCs w:val="false"/>
        </w:rPr>
        <w:t xml:space="preserve">Where letting out property is itself the entire business of the company under its objects, the rent is business income: Chennai Properties and Investments Ltd v. CIT (2015) 373 ITR 673 (SC), followed in Rayala Corporation Pvt Ltd v. ACIT (2016) 386 ITR 500 (SC). East India Housing remains the general rule; these cases are the exception where letting is the substantive business and not merely an exploitation of an asset.</w:t>
      </w:r>
    </w:p>
    <w:p>
      <w:pPr>
        <w:spacing w:after="140" w:line="276"/>
        <w:jc w:val="both"/>
      </w:pPr>
      <w:r>
        <w:rPr>
          <w:b/>
          <w:bCs/>
          <w:i w:val="false"/>
          <w:iCs w:val="false"/>
        </w:rPr>
        <w:t xml:space="preserve">Composite letting. </w:t>
      </w:r>
      <w:r>
        <w:rPr>
          <w:b w:val="false"/>
          <w:bCs w:val="false"/>
          <w:i w:val="false"/>
          <w:iCs w:val="false"/>
        </w:rPr>
        <w:t xml:space="preserve">Where a building is let inseparably together with plant, machinery or furniture, so that the two lettings cannot be separated, the income is not assessed under this head but as business income or income from other sources: Sultan Brothers Pvt Ltd v. CIT (1964) 51 ITR 353 (SC). Whether a letting amounts to a business is a question of fact.</w:t>
      </w:r>
    </w:p>
    <w:p>
      <w:pPr>
        <w:pStyle w:val="Heading2"/>
      </w:pPr>
      <w:r>
        <w:t xml:space="preserve">5.4 Ownership and deemed ownership</w:t>
      </w:r>
    </w:p>
    <w:p>
      <w:pPr>
        <w:spacing w:after="140" w:line="276"/>
        <w:jc w:val="both"/>
      </w:pPr>
      <w:r>
        <w:t xml:space="preserve">The charge falls on the owner, but ownership here is not tested by title deeds alone. What the courts look for is the person who is entitled to the income of the property in his own right.</w:t>
      </w:r>
    </w:p>
    <w:p>
      <w:pPr>
        <w:pStyle w:val="Heading3"/>
      </w:pPr>
      <w:r>
        <w:t xml:space="preserve">CIT v. Podar Cement Pvt Ltd (1997) 226 ITR 625 (SC)</w:t>
      </w:r>
    </w:p>
    <w:p>
      <w:pPr>
        <w:spacing w:after="140" w:line="276"/>
        <w:jc w:val="both"/>
      </w:pPr>
      <w:r>
        <w:rPr>
          <w:b/>
          <w:bCs/>
          <w:i w:val="false"/>
          <w:iCs w:val="false"/>
        </w:rPr>
        <w:t xml:space="preserve">Facts. </w:t>
      </w:r>
      <w:r>
        <w:rPr>
          <w:b w:val="false"/>
          <w:bCs w:val="false"/>
          <w:i w:val="false"/>
          <w:iCs w:val="false"/>
        </w:rPr>
        <w:t xml:space="preserve">The assessees had paid the full purchase price of flats and had been given possession, and were receiving the rent, but no conveyance had been registered in their favour. The Revenue argued that without a registered document they were not owners and could not be assessed under this head.</w:t>
      </w:r>
    </w:p>
    <w:p>
      <w:pPr>
        <w:spacing w:after="140" w:line="276"/>
        <w:jc w:val="both"/>
      </w:pPr>
      <w:r>
        <w:rPr>
          <w:b/>
          <w:bCs/>
          <w:i w:val="false"/>
          <w:iCs w:val="false"/>
        </w:rPr>
        <w:t xml:space="preserve">Held. </w:t>
      </w:r>
      <w:r>
        <w:rPr>
          <w:b w:val="false"/>
          <w:bCs w:val="false"/>
          <w:i w:val="false"/>
          <w:iCs w:val="false"/>
        </w:rPr>
        <w:t xml:space="preserve">They were the owners for the purposes of the charge.</w:t>
      </w:r>
    </w:p>
    <w:p>
      <w:pPr>
        <w:spacing w:after="140" w:line="276"/>
        <w:jc w:val="both"/>
      </w:pPr>
      <w:r>
        <w:rPr>
          <w:b/>
          <w:bCs/>
          <w:i w:val="false"/>
          <w:iCs w:val="false"/>
        </w:rPr>
        <w:t xml:space="preserve">Principle. </w:t>
      </w:r>
      <w:r>
        <w:rPr>
          <w:b w:val="false"/>
          <w:bCs w:val="false"/>
          <w:i w:val="false"/>
          <w:iCs w:val="false"/>
        </w:rPr>
        <w:t xml:space="preserve">For this head, "owner" means the person who is entitled to receive income from the property in his own right. Registration of a conveyance is not a condition of ownership for tax purposes. A person who has paid the consideration, taken possession and enjoys the property as owner is the owner, even though the formal title has not been transferred. The provision is concerned with who in reality enjoys the income of the property. The decision has been consistently followed and remains good law.</w:t>
      </w:r>
    </w:p>
    <w:p>
      <w:pPr>
        <w:pStyle w:val="Heading3"/>
      </w:pPr>
      <w:r>
        <w:t xml:space="preserve">R.B. Jodha Mal Kuthiala v. CIT (1971) 82 ITR 570 (SC)</w:t>
      </w:r>
    </w:p>
    <w:p>
      <w:pPr>
        <w:spacing w:after="140" w:line="276"/>
        <w:jc w:val="both"/>
      </w:pPr>
      <w:r>
        <w:rPr>
          <w:b/>
          <w:bCs/>
          <w:i w:val="false"/>
          <w:iCs w:val="false"/>
        </w:rPr>
        <w:t xml:space="preserve">Facts. </w:t>
      </w:r>
      <w:r>
        <w:rPr>
          <w:b w:val="false"/>
          <w:bCs w:val="false"/>
          <w:i w:val="false"/>
          <w:iCs w:val="false"/>
        </w:rPr>
        <w:t xml:space="preserve">The assessee’s property in Lahore vested in the Custodian of Evacuee Property in Pakistan after Partition. The assessee could neither occupy the property nor receive its income, though he remained the title-holder.</w:t>
      </w:r>
    </w:p>
    <w:p>
      <w:pPr>
        <w:spacing w:after="140" w:line="276"/>
        <w:jc w:val="both"/>
      </w:pPr>
      <w:r>
        <w:rPr>
          <w:b/>
          <w:bCs/>
          <w:i w:val="false"/>
          <w:iCs w:val="false"/>
        </w:rPr>
        <w:t xml:space="preserve">Held. </w:t>
      </w:r>
      <w:r>
        <w:rPr>
          <w:b w:val="false"/>
          <w:bCs w:val="false"/>
          <w:i w:val="false"/>
          <w:iCs w:val="false"/>
        </w:rPr>
        <w:t xml:space="preserve">He was not the owner for the purpose of the charge, and the annual value could not be assessed in his hands.</w:t>
      </w:r>
    </w:p>
    <w:p>
      <w:pPr>
        <w:spacing w:after="140" w:line="276"/>
        <w:jc w:val="both"/>
      </w:pPr>
      <w:r>
        <w:rPr>
          <w:b/>
          <w:bCs/>
          <w:i w:val="false"/>
          <w:iCs w:val="false"/>
        </w:rPr>
        <w:t xml:space="preserve">Principle. </w:t>
      </w:r>
      <w:r>
        <w:rPr>
          <w:b w:val="false"/>
          <w:bCs w:val="false"/>
          <w:i w:val="false"/>
          <w:iCs w:val="false"/>
        </w:rPr>
        <w:t xml:space="preserve">The owner is the person who can exercise the rights of the owner in his own right, and not on behalf of the owner. Where the entire bundle of rights of ownership has passed to another, the person left with a paper title is not taxable on the property’s annual value.</w:t>
      </w:r>
    </w:p>
    <w:p>
      <w:pPr>
        <w:spacing w:after="140" w:line="276"/>
        <w:jc w:val="both"/>
      </w:pPr>
      <w:r>
        <w:rPr>
          <w:b/>
          <w:bCs/>
          <w:i w:val="false"/>
          <w:iCs w:val="false"/>
        </w:rPr>
        <w:t xml:space="preserve">Relationship with Podar Cement. </w:t>
      </w:r>
      <w:r>
        <w:rPr>
          <w:b w:val="false"/>
          <w:bCs w:val="false"/>
          <w:i w:val="false"/>
          <w:iCs w:val="false"/>
        </w:rPr>
        <w:t xml:space="preserve">The two decisions are consistent and complementary. Both reject a formal test of title in favour of asking who actually enjoys the rights and income of ownership. Podar Cement expressly relied on Jodha Mal. Read together: a person without registered title may be the owner, and a person with registered title may not be.</w:t>
      </w:r>
    </w:p>
    <w:p>
      <w:pPr>
        <w:spacing w:after="140" w:line="276"/>
        <w:jc w:val="both"/>
      </w:pPr>
      <w:r>
        <w:rPr>
          <w:b/>
          <w:bCs/>
          <w:i w:val="false"/>
          <w:iCs w:val="false"/>
        </w:rPr>
        <w:t xml:space="preserve">CIT, West Bengal v. Biman Behari Shaw, Shebait (1968) 68 ITR 815 (Calcutta). </w:t>
      </w:r>
      <w:r>
        <w:rPr>
          <w:b w:val="false"/>
          <w:bCs w:val="false"/>
          <w:i w:val="false"/>
          <w:iCs w:val="false"/>
        </w:rPr>
        <w:t xml:space="preserve">The case concerns property dedicated to a deity and held by a shebait. The question is in what capacity and in whose hands the income of the debutter property is assessable, the shebait being a manager of the deity’s property rather than its beneficial owner. The exact holding should be read from the judgment before it is relied upon in an answer.</w:t>
      </w:r>
    </w:p>
    <w:p>
      <w:pPr>
        <w:spacing w:after="140" w:line="276"/>
        <w:jc w:val="both"/>
      </w:pPr>
      <w:r>
        <w:rPr>
          <w:b/>
          <w:bCs/>
          <w:i w:val="false"/>
          <w:iCs w:val="false"/>
        </w:rPr>
        <w:t xml:space="preserve">Maneklal Agarwal v. DCIT (2017) 397 ITR 1 (SC). </w:t>
      </w:r>
      <w:r>
        <w:rPr>
          <w:b w:val="false"/>
          <w:bCs w:val="false"/>
          <w:i w:val="false"/>
          <w:iCs w:val="false"/>
        </w:rPr>
        <w:t xml:space="preserve">Properties were held in the names of other persons but were in substance the assessee’s, and were let at a low rent to persons connected with him. The annual letting value was rightly assessed in the assessee’s hands. Substance prevails over the form in which title and tenancy are arranged.</w:t>
      </w:r>
    </w:p>
    <w:p>
      <w:pPr>
        <w:spacing w:after="140" w:line="276"/>
        <w:jc w:val="both"/>
      </w:pPr>
      <w:r>
        <w:rPr>
          <w:b/>
          <w:bCs/>
          <w:i w:val="false"/>
          <w:iCs w:val="false"/>
        </w:rPr>
        <w:t xml:space="preserve">Deemed owner — section 25 [section 27]. </w:t>
      </w:r>
      <w:r>
        <w:rPr>
          <w:b w:val="false"/>
          <w:bCs w:val="false"/>
          <w:i w:val="false"/>
          <w:iCs w:val="false"/>
        </w:rPr>
        <w:t xml:space="preserve">The Act treats certain persons as owners although they are not the legal owners, in order to prevent avoidance by placing title elsewhere. These are: an individual who transfers property to his or her spouse otherwise than for adequate consideration, except in connection with an agreement to live apart, or to a minor child otherwise than for adequate consideration, a married daughter being excepted; the holder of an impartible estate; a member of a co-operative society, company or other association of persons to whom a building or part of it is allotted or leased under a house building scheme of the society or company; a person who has taken or retained possession of property in part performance of a contract of the nature referred to in section 53A of the Transfer of Property Act, 1882; and a person who acquires rights in a building by way of a lease for a term of not less than twelve years.</w:t>
      </w:r>
    </w:p>
    <w:p>
      <w:pPr>
        <w:spacing w:after="140" w:line="276"/>
        <w:jc w:val="both"/>
      </w:pPr>
      <w:r>
        <w:rPr>
          <w:b/>
          <w:bCs/>
          <w:i w:val="false"/>
          <w:iCs w:val="false"/>
        </w:rPr>
        <w:t xml:space="preserve">Co-owners — section 24 [section 26]. </w:t>
      </w:r>
      <w:r>
        <w:rPr>
          <w:b w:val="false"/>
          <w:bCs w:val="false"/>
          <w:i w:val="false"/>
          <w:iCs w:val="false"/>
        </w:rPr>
        <w:t xml:space="preserve">Where property is owned by two or more persons and their respective shares are definite and ascertainable, each is assessed separately in respect of his share, and not as an association of persons.</w:t>
      </w:r>
    </w:p>
    <w:p>
      <w:pPr>
        <w:pStyle w:val="Heading2"/>
      </w:pPr>
      <w:r>
        <w:t xml:space="preserve">5.5 Determination of annual value — section 21 [section 23]</w:t>
      </w:r>
    </w:p>
    <w:p>
      <w:pPr>
        <w:spacing w:after="140" w:line="276"/>
        <w:jc w:val="both"/>
      </w:pPr>
      <w:r>
        <w:rPr>
          <w:b/>
          <w:bCs/>
          <w:i w:val="false"/>
          <w:iCs w:val="false"/>
        </w:rPr>
        <w:t xml:space="preserve">Sub-section (1) — the basic rule. </w:t>
      </w:r>
      <w:r>
        <w:rPr>
          <w:b w:val="false"/>
          <w:bCs w:val="false"/>
          <w:i w:val="false"/>
          <w:iCs w:val="false"/>
        </w:rPr>
        <w:t xml:space="preserve">The annual value is deemed to be the higher of (a) the sum for which the property might reasonably be expected to let from year to year, that is the expected rent, or (b) the actual rent received or receivable by the owner, if the property or any part of it is let.</w:t>
      </w:r>
    </w:p>
    <w:p>
      <w:pPr>
        <w:spacing w:after="140" w:line="276"/>
        <w:jc w:val="both"/>
      </w:pPr>
      <w:r>
        <w:t xml:space="preserve">Expected rent is determined from the fair or market rent of comparable property, the municipal valuation, and the standard rent under rent control legislation where such legislation applies to the property. Taking the higher of the two figures prevents an artificially low contractual rent from fixing the tax.</w:t>
      </w:r>
    </w:p>
    <w:p>
      <w:pPr>
        <w:spacing w:after="140" w:line="276"/>
        <w:jc w:val="both"/>
      </w:pPr>
      <w:r>
        <w:rPr>
          <w:b/>
          <w:bCs/>
          <w:i w:val="false"/>
          <w:iCs w:val="false"/>
        </w:rPr>
        <w:t xml:space="preserve">Sub-section (2) — vacancy. </w:t>
      </w:r>
      <w:r>
        <w:rPr>
          <w:b w:val="false"/>
          <w:bCs w:val="false"/>
          <w:i w:val="false"/>
          <w:iCs w:val="false"/>
        </w:rPr>
        <w:t xml:space="preserve">If the property or any part of it is let and was vacant for the whole or any part of the tax year, and owing to that vacancy the actual rent received or receivable is less than the expected rent, the annual value is deemed to be the amount so received or receivable. The reduction is allowed only where the shortfall is caused by the vacancy.</w:t>
      </w:r>
    </w:p>
    <w:p>
      <w:pPr>
        <w:spacing w:after="140" w:line="276"/>
        <w:jc w:val="both"/>
      </w:pPr>
      <w:r>
        <w:rPr>
          <w:b/>
          <w:bCs/>
          <w:i w:val="false"/>
          <w:iCs w:val="false"/>
        </w:rPr>
        <w:t xml:space="preserve">Sub-section (3) — local taxes. </w:t>
      </w:r>
      <w:r>
        <w:rPr>
          <w:b w:val="false"/>
          <w:bCs w:val="false"/>
          <w:i w:val="false"/>
          <w:iCs w:val="false"/>
        </w:rPr>
        <w:t xml:space="preserve">The annual value is reduced by the taxes, including service taxes, levied by a local authority in respect of the property, which are actually paid during the tax year by the owner, irrespective of the year in which they became payable. Three conditions therefore apply: the taxes must be levied by a local authority, they must actually be paid, and they must be paid by the owner. The deduction is on a payment basis, not an accrual basis.</w:t>
      </w:r>
    </w:p>
    <w:p>
      <w:pPr>
        <w:spacing w:after="140" w:line="276"/>
        <w:jc w:val="both"/>
      </w:pPr>
      <w:r>
        <w:rPr>
          <w:b/>
          <w:bCs/>
          <w:i w:val="false"/>
          <w:iCs w:val="false"/>
        </w:rPr>
        <w:t xml:space="preserve">Sub-section (4) — unrealised rent. </w:t>
      </w:r>
      <w:r>
        <w:rPr>
          <w:b w:val="false"/>
          <w:bCs w:val="false"/>
          <w:i w:val="false"/>
          <w:iCs w:val="false"/>
        </w:rPr>
        <w:t xml:space="preserve">Rent which cannot be realised by the owner is not included in computing the actual rent received or receivable, subject to the prescribed conditions.</w:t>
      </w:r>
    </w:p>
    <w:p>
      <w:pPr>
        <w:spacing w:after="140" w:line="276"/>
        <w:jc w:val="both"/>
      </w:pPr>
      <w:r>
        <w:rPr>
          <w:b/>
          <w:bCs/>
          <w:i w:val="false"/>
          <w:iCs w:val="false"/>
        </w:rPr>
        <w:t xml:space="preserve">Sub-section (5) — stock-in-trade. </w:t>
      </w:r>
      <w:r>
        <w:rPr>
          <w:b w:val="false"/>
          <w:bCs w:val="false"/>
          <w:i w:val="false"/>
          <w:iCs w:val="false"/>
        </w:rPr>
        <w:t xml:space="preserve">Where property is held as stock-in-trade and is not let, wholly or partly, at any time during the tax year, its annual value is nil for up to two years from the end of the financial year in which the certificate of completion of construction was obtained from the competent authority. Illustration: a builder completes a building of a hundred flats and sells ninety; the ten unsold flats have a nil annual value for the two-year period. After that period section 21(1) applies, and the builder is charged on the expected rent even though the flats remain unsold and unlet.</w:t>
      </w:r>
    </w:p>
    <w:p>
      <w:pPr>
        <w:spacing w:after="140" w:line="276"/>
        <w:jc w:val="both"/>
      </w:pPr>
      <w:r>
        <w:rPr>
          <w:b/>
          <w:bCs/>
          <w:i w:val="false"/>
          <w:iCs w:val="false"/>
        </w:rPr>
        <w:t xml:space="preserve">Sub-section (6) — self-occupied and unoccupiable houses. </w:t>
      </w:r>
      <w:r>
        <w:rPr>
          <w:b w:val="false"/>
          <w:bCs w:val="false"/>
          <w:i w:val="false"/>
          <w:iCs w:val="false"/>
        </w:rPr>
        <w:t xml:space="preserve">The annual value of a house or any part of it is taken as nil if the owner occupies it for his own residence, or if he cannot actually occupy it for any reason, for example because his employment requires him to live elsewhere.</w:t>
      </w:r>
    </w:p>
    <w:p>
      <w:pPr>
        <w:spacing w:after="140" w:line="276"/>
        <w:jc w:val="both"/>
      </w:pPr>
      <w:r>
        <w:rPr>
          <w:b/>
          <w:bCs/>
          <w:i w:val="false"/>
          <w:iCs w:val="false"/>
        </w:rPr>
        <w:t xml:space="preserve">Sub-section (7) — limits on that relief. </w:t>
      </w:r>
      <w:r>
        <w:rPr>
          <w:b w:val="false"/>
          <w:bCs w:val="false"/>
          <w:i w:val="false"/>
          <w:iCs w:val="false"/>
        </w:rPr>
        <w:t xml:space="preserve">The nil valuation applies in respect of only two such houses, as specified by the assessee. Any further house is treated as let out and charged on its expected rent. The relief also does not apply to a house or part of a house which is actually let during the year or in respect of which the owner derives any other benefit.</w:t>
      </w:r>
    </w:p>
    <w:p>
      <w:pPr>
        <w:pStyle w:val="Heading2"/>
      </w:pPr>
      <w:r>
        <w:t xml:space="preserve">5.6 Deductions — section 22 [section 24]</w:t>
      </w:r>
    </w:p>
    <w:p>
      <w:pPr>
        <w:spacing w:after="140" w:line="276"/>
        <w:jc w:val="both"/>
      </w:pPr>
      <w:r>
        <w:t xml:space="preserve">Only the deductions specified in section 22 may be claimed from the annual value. Expenditure on the property beyond these heads, however genuine, is not allowed.</w:t>
      </w:r>
    </w:p>
    <w:p>
      <w:pPr>
        <w:pStyle w:val="ListParagraph"/>
        <w:numPr>
          <w:ilvl w:val="0"/>
          <w:numId w:val="2"/>
        </w:numPr>
        <w:spacing w:after="70" w:line="276"/>
        <w:jc w:val="both"/>
      </w:pPr>
      <w:r>
        <w:rPr>
          <w:b/>
          <w:bCs/>
          <w:i w:val="false"/>
          <w:iCs w:val="false"/>
        </w:rPr>
        <w:t xml:space="preserve">Thirty per cent of the annual value. </w:t>
      </w:r>
      <w:r>
        <w:rPr>
          <w:b w:val="false"/>
          <w:bCs w:val="false"/>
          <w:i w:val="false"/>
          <w:iCs w:val="false"/>
        </w:rPr>
        <w:t xml:space="preserve">A flat allowance towards repairs, collection charges and maintenance. It is given whether or not any expenditure is actually incurred, and nothing more can be claimed even if actual expenditure is greater. It is computed on the annual value as reduced by local taxes.</w:t>
      </w:r>
    </w:p>
    <w:p>
      <w:pPr>
        <w:pStyle w:val="ListParagraph"/>
        <w:numPr>
          <w:ilvl w:val="0"/>
          <w:numId w:val="2"/>
        </w:numPr>
        <w:spacing w:after="70" w:line="276"/>
        <w:jc w:val="both"/>
      </w:pPr>
      <w:r>
        <w:rPr>
          <w:b/>
          <w:bCs/>
          <w:i w:val="false"/>
          <w:iCs w:val="false"/>
        </w:rPr>
        <w:t xml:space="preserve">Interest on borrowed capital. </w:t>
      </w:r>
      <w:r>
        <w:rPr>
          <w:b w:val="false"/>
          <w:bCs w:val="false"/>
          <w:i w:val="false"/>
          <w:iCs w:val="false"/>
        </w:rPr>
        <w:t xml:space="preserve">The amount of any interest payable on capital borrowed for acquiring, constructing, repairing, renewing or reconstructing the property. Interest is allowed on an accrual basis, so it is deductible even if it has not actually been paid during the year.</w:t>
      </w:r>
    </w:p>
    <w:p>
      <w:pPr>
        <w:pStyle w:val="ListParagraph"/>
        <w:numPr>
          <w:ilvl w:val="0"/>
          <w:numId w:val="2"/>
        </w:numPr>
        <w:spacing w:after="70" w:line="276"/>
        <w:jc w:val="both"/>
      </w:pPr>
      <w:r>
        <w:rPr>
          <w:b/>
          <w:bCs/>
          <w:i w:val="false"/>
          <w:iCs w:val="false"/>
        </w:rPr>
        <w:t xml:space="preserve">Pre-construction interest. </w:t>
      </w:r>
      <w:r>
        <w:rPr>
          <w:b w:val="false"/>
          <w:bCs w:val="false"/>
          <w:i w:val="false"/>
          <w:iCs w:val="false"/>
        </w:rPr>
        <w:t xml:space="preserve">Where the capital was borrowed during any period before the tax year in which the property was acquired or constructed, the interest for that earlier period is allowed in five equal instalments, beginning with the tax year of acquisition or construction and continuing in each of the four immediately succeeding tax years.</w:t>
      </w:r>
    </w:p>
    <w:p>
      <w:pPr>
        <w:spacing w:after="140" w:line="276"/>
        <w:jc w:val="both"/>
      </w:pPr>
      <w:r>
        <w:rPr>
          <w:b/>
          <w:bCs/>
          <w:i w:val="false"/>
          <w:iCs w:val="false"/>
        </w:rPr>
        <w:t xml:space="preserve">Illustration. </w:t>
      </w:r>
      <w:r>
        <w:rPr>
          <w:b w:val="false"/>
          <w:bCs w:val="false"/>
          <w:i w:val="false"/>
          <w:iCs w:val="false"/>
        </w:rPr>
        <w:t xml:space="preserve">A loan of one crore rupees is taken on 1 April 2023 for the construction of a house, which is completed on 1 April 2026. Interest for the pre-construction period totals twenty-five lakh rupees. One-fifth, that is five lakh rupees, is deductible in each of five tax years, in addition to the interest for the current year. The rule spreads the deduction over time; it does not reduce the total amount deductible.</w:t>
      </w:r>
    </w:p>
    <w:p>
      <w:pPr>
        <w:spacing w:after="140" w:line="276"/>
        <w:jc w:val="both"/>
      </w:pPr>
      <w:r>
        <w:t xml:space="preserve">For a self-occupied house whose annual value is nil, interest remains deductible subject to the statutory ceiling of two lakh rupees, reduced to thirty thousand rupees where the prescribed conditions as to the purpose of the loan, the date of borrowing or the period of completion are not satisfied. These ceilings are restricted under the default regime.</w:t>
      </w:r>
    </w:p>
    <w:p>
      <w:pPr>
        <w:spacing w:after="140" w:line="276"/>
        <w:jc w:val="both"/>
      </w:pPr>
      <w:r>
        <w:rPr>
          <w:b/>
          <w:bCs/>
          <w:i w:val="false"/>
          <w:iCs w:val="false"/>
        </w:rPr>
        <w:t xml:space="preserve">Arrears and unrealised rent — section 23 [section 25A]. </w:t>
      </w:r>
      <w:r>
        <w:rPr>
          <w:b w:val="false"/>
          <w:bCs w:val="false"/>
          <w:i w:val="false"/>
          <w:iCs w:val="false"/>
        </w:rPr>
        <w:t xml:space="preserve">Arrears of rent and unrealised rent which are subsequently realised are chargeable in the tax year of receipt, whether or not the assessee still owns the property, after a deduction of thirty per cent of that amount.</w:t>
      </w:r>
    </w:p>
    <w:p>
      <w:pPr>
        <w:pStyle w:val="Heading2"/>
      </w:pPr>
      <w:r>
        <w:t xml:space="preserve">5.7 Computation at a glance</w:t>
      </w:r>
    </w:p>
    <w:p>
      <w:pPr>
        <w:pStyle w:val="ListParagraph"/>
        <w:numPr>
          <w:ilvl w:val="0"/>
          <w:numId w:val="2"/>
        </w:numPr>
        <w:spacing w:after="70" w:line="276"/>
        <w:jc w:val="both"/>
      </w:pPr>
      <w:r>
        <w:t xml:space="preserve">Gross annual value: the higher of expected rent and actual rent, subject to the vacancy rule.</w:t>
      </w:r>
    </w:p>
    <w:p>
      <w:pPr>
        <w:pStyle w:val="ListParagraph"/>
        <w:numPr>
          <w:ilvl w:val="0"/>
          <w:numId w:val="2"/>
        </w:numPr>
        <w:spacing w:after="70" w:line="276"/>
        <w:jc w:val="both"/>
      </w:pPr>
      <w:r>
        <w:t xml:space="preserve">Less: taxes levied by a local authority and actually paid by the owner during the year.</w:t>
      </w:r>
    </w:p>
    <w:p>
      <w:pPr>
        <w:pStyle w:val="ListParagraph"/>
        <w:numPr>
          <w:ilvl w:val="0"/>
          <w:numId w:val="2"/>
        </w:numPr>
        <w:spacing w:after="70" w:line="276"/>
        <w:jc w:val="both"/>
      </w:pPr>
      <w:r>
        <w:t xml:space="preserve">Equals: annual value.</w:t>
      </w:r>
    </w:p>
    <w:p>
      <w:pPr>
        <w:pStyle w:val="ListParagraph"/>
        <w:numPr>
          <w:ilvl w:val="0"/>
          <w:numId w:val="2"/>
        </w:numPr>
        <w:spacing w:after="70" w:line="276"/>
        <w:jc w:val="both"/>
      </w:pPr>
      <w:r>
        <w:t xml:space="preserve">Less: thirty per cent of the annual value.</w:t>
      </w:r>
    </w:p>
    <w:p>
      <w:pPr>
        <w:pStyle w:val="ListParagraph"/>
        <w:numPr>
          <w:ilvl w:val="0"/>
          <w:numId w:val="2"/>
        </w:numPr>
        <w:spacing w:after="70" w:line="276"/>
        <w:jc w:val="both"/>
      </w:pPr>
      <w:r>
        <w:t xml:space="preserve">Less: interest on capital borrowed, including one-fifth of the pre-construction interest.</w:t>
      </w:r>
    </w:p>
    <w:p>
      <w:pPr>
        <w:pStyle w:val="ListParagraph"/>
        <w:numPr>
          <w:ilvl w:val="0"/>
          <w:numId w:val="2"/>
        </w:numPr>
        <w:spacing w:after="70" w:line="276"/>
        <w:jc w:val="both"/>
      </w:pPr>
      <w:r>
        <w:t xml:space="preserve">Equals: income from house property, which may be a loss where interest exceeds the net annual value.</w:t>
      </w:r>
    </w:p>
    <w:p>
      <w:r>
        <w:br w:type="page"/>
      </w:r>
    </w:p>
    <w:p>
      <w:pPr>
        <w:pStyle w:val="Heading1"/>
      </w:pPr>
      <w:r>
        <w:t xml:space="preserve">Table of Cases</w:t>
      </w:r>
    </w:p>
    <w:p>
      <w:pPr>
        <w:spacing w:after="140" w:line="276"/>
        <w:jc w:val="both"/>
      </w:pPr>
      <w:r>
        <w:t xml:space="preserve">Cases are arranged alphabetically, with the topic under which each is discussed in these notes.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420"/>
      </w:tblGrid>
      <w:tr>
        <w:trPr>
          <w:tblHeader/>
        </w:trPr>
        <w:tc>
          <w:tcPr>
            <w:tcW w:type="dxa" w:w="4400"/>
            <w:shd w:fill="DCE6F1" w:color="auto" w:val="clear"/>
            <w:tcMar>
              <w:top w:type="dxa" w:w="50"/>
              <w:left w:type="dxa" w:w="100"/>
              <w:bottom w:type="dxa" w:w="50"/>
              <w:right w:type="dxa" w:w="100"/>
            </w:tcMar>
          </w:tcPr>
          <w:p>
            <w:pPr>
              <w:spacing w:after="0" w:line="230"/>
            </w:pPr>
            <w:r>
              <w:rPr>
                <w:b/>
                <w:bCs/>
                <w:i w:val="false"/>
                <w:iCs w:val="false"/>
                <w:sz w:val="19"/>
                <w:szCs w:val="19"/>
              </w:rPr>
              <w:t xml:space="preserve">Case</w:t>
            </w:r>
          </w:p>
        </w:tc>
        <w:tc>
          <w:tcPr>
            <w:tcW w:type="dxa" w:w="2200"/>
            <w:shd w:fill="DCE6F1" w:color="auto" w:val="clear"/>
            <w:tcMar>
              <w:top w:type="dxa" w:w="50"/>
              <w:left w:type="dxa" w:w="100"/>
              <w:bottom w:type="dxa" w:w="50"/>
              <w:right w:type="dxa" w:w="100"/>
            </w:tcMar>
          </w:tcPr>
          <w:p>
            <w:pPr>
              <w:spacing w:after="0" w:line="230"/>
            </w:pPr>
            <w:r>
              <w:rPr>
                <w:b/>
                <w:bCs/>
                <w:i w:val="false"/>
                <w:iCs w:val="false"/>
                <w:sz w:val="19"/>
                <w:szCs w:val="19"/>
              </w:rPr>
              <w:t xml:space="preserve">Citation</w:t>
            </w:r>
          </w:p>
        </w:tc>
        <w:tc>
          <w:tcPr>
            <w:tcW w:type="dxa" w:w="2420"/>
            <w:shd w:fill="DCE6F1" w:color="auto" w:val="clear"/>
            <w:tcMar>
              <w:top w:type="dxa" w:w="50"/>
              <w:left w:type="dxa" w:w="100"/>
              <w:bottom w:type="dxa" w:w="50"/>
              <w:right w:type="dxa" w:w="100"/>
            </w:tcMar>
          </w:tcPr>
          <w:p>
            <w:pPr>
              <w:spacing w:after="0" w:line="230"/>
            </w:pPr>
            <w:r>
              <w:rPr>
                <w:b/>
                <w:bCs/>
                <w:i w:val="false"/>
                <w:iCs w:val="false"/>
                <w:sz w:val="19"/>
                <w:szCs w:val="19"/>
              </w:rPr>
              <w:t xml:space="preserve">Topic in these notes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A.V. Fernandez v. State of Kerala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AIR 1957 SC 657</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Interpretation; hardship irrelevant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Bacha F. Guzdar v. CIT, Bombay</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(1955) 27 ITR 1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 dividend</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Bangalore Club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(2013) 5 SCC 509</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Doctrine of mutuality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B. Nagi Reddi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(2002) 258 ITR 719 (Mad)</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Cape Brandy Syndicate v. IRC</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[1921] 1 KB 64</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Strict interpretation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Chennai Properties &amp; Investments Ltd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(2015) 373 ITR 673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Letting as business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B. Gupta (Tea) Pvt Ltd</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(1969) 74 ITR 337 (Cal)</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K. Thangamani</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(2009) 309 ITR 15 (Mad)</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Illegal income is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Kamakshya Narain Singh</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(1948) 16 ITR 325 (PC)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Interest on arrears of rent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Maddi Venkatasubbayya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(1951) 20 ITR 151 (Mad)</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 trading</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Podar Cement Pvt Ltd</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(1997) 226 ITR 625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Meaning of "owner"</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Shiv Charan Mathur</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(2008) 306 ITR 126 (Raj)</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MLA; no employment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Sunil J. Kinariwala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(2003) 259 ITR 10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Application of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Vatika Township Pvt Ltd</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(2015) 1 SCC 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Retrospective taxation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v. Zaibunnisa Begum</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(1985) 151 ITR 320 (AP)</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Land appurtenant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(TDS) v. Director, Delhi Public School</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(2011) 202 Taxman 318 (P&amp;H)</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Perquisite; free education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Bombay City I v. Shoorji Vallabhdas &amp; Co.</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(1962) 46 ITR 144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Real v. hypothetical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Bombay City II v. Sitaldas Tirathdas</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(1961) 41 ITR 367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Application v. diversion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Kerala v. L.W. Russel</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(1964) 53 ITR 91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Salary "due"; vested right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Madras v. G.R. Karthikeyan</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(1993) 201 ITR 866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Concept of income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Poona v. H.G. Date</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(1971) 82 ITR 71 (Bom)</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 process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West Bengal v. Biman Behari Shaw, Shebait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(1968) 68 ITR 815 (Cal)</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Ownership; debutter property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 West Bengal v. Raja Benoy Kumar Sahas Roy</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(1957) 32 ITR 466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Meaning of agriculture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CIT-26 v. Shankar Krishnan</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(2012) 349 ITR 316 (Bom)</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Rent-free accommodation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Commissioner of Customs v. Dilip Kumar &amp; Co.</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(2018) 9 SCC 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Exemptions construed strictly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Commissioner, HRE Madras v. Sri Lakshmindra Thirtha Swamiar (Shirur Mutt)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AIR 1954 SC 282</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Tax v. fee; Article 27</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DCIT v. Inventaa Industries Pvt Ltd</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(2018) ITAT Hyd (SB)</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Agricultural income; mushrooms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Delhi Race Club Ltd v. Union of India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(2012) 8 SCC 680</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Tax, fee and cess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East India Housing &amp; Land Development Trust Ltd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(1961) 42 ITR 49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Heads mutually exclusive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East India Tobacco Co. v. State of A.P.</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AIR 1962 SC 1733</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Article 14; classification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Emil Webber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(1993) 200 ITR 483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Tax borne by employer</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Gestetner Duplicators Pvt Ltd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(1979) 117 ITR 1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Commission as salary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ITC Ltd v. CIT (TDS)</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(2016) 384 ITR 14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Tips are not salary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K. Lakshmanan &amp; Co.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(1999) 239 ITR 597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Produce must not change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Khandige Sham Bhat v. Agricultural ITO</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AIR 1963 SC 591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Article 14; taxation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Knowlton v. Moore</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178 U.S. 41 (1900)</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Transfer tax as indirect tax</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Maneklal Agarwal v. DCIT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(2017) 397 ITR 1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Annual letting value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McDowell &amp; Co. Ltd v. CTO</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(1985) 3 SCC 230</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Avoidance; colourable device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Mustafa Ali Khan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(1948) 16 ITR 330 (PC)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Cultivation essential</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Narottam &amp; Parekh Ltd v. CIT, Bombay City</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(1954) 25 ITR 40 (Bom)</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Control and management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Premier Construction Co. Ltd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(1948) 16 ITR 380 (PC)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Indirect derivation from land</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R.B. Jodha Mal Kuthiala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(1971) 82 ITR 570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Ownership; evacuee property</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R.K. Garg v. Union of India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(1981) 4 SCC 675</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Economic laws; latitude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Ram Pershad v. CIT, New Delhi</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(1972) 86 ITR 122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Contract of / for service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Rayala Corporation Pvt Ltd v. ACIT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(2016) 386 ITR 500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Letting as business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Sakarlal Balabhai &amp; Co. v. CIT, Gujarat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(1968) 69 ITR 186 (Guj)</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Process to reach market</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Secunderabad Club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(2023)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Mutuality; Bangalore Club affirmed</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Sreenivasa General Traders v. State of A.P.</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(1983) 4 SCC 353</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Fee; broad correlation</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State of West Bengal v. Kesoram Industries Ltd</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(2004) 10 SCC 201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Tax v. fee</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Styles v. New York Life Insurance Co.</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(1889) 14 App Cas 381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Mutuality; surplus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Sultan Brothers Pvt Ltd v. CIT</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(1964) 51 ITR 353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Composite letting</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Union of India v. Azadi Bachao Andolan</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(2004) 10 SCC 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Legitimate tax planning</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Union of India v. H.S. Dhillon</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AIR 1972 SC 1061</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Residuary power to tax</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V.V.R.N.M. Subbayya Chettiar v. CIT, Madras</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(1951) 19 ITR 168 (SC)</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Residence of HUF; onus</w:t>
            </w:r>
          </w:p>
        </w:tc>
      </w:tr>
      <w:tr>
        <w:trPr>
          <w:tblHeader w:val="false"/>
        </w:trPr>
        <w:tc>
          <w:tcPr>
            <w:tcW w:type="dxa" w:w="4400"/>
            <w:tcMar>
              <w:top w:type="dxa" w:w="50"/>
              <w:left w:type="dxa" w:w="100"/>
              <w:bottom w:type="dxa" w:w="50"/>
              <w:right w:type="dxa" w:w="100"/>
            </w:tcMar>
          </w:tcPr>
          <w:p>
            <w:pPr>
              <w:spacing w:after="0" w:line="230"/>
            </w:pPr>
            <w:r>
              <w:rPr>
                <w:b w:val="false"/>
                <w:bCs w:val="false"/>
                <w:i/>
                <w:iCs/>
                <w:sz w:val="19"/>
                <w:szCs w:val="19"/>
              </w:rPr>
              <w:t xml:space="preserve">Vodafone International Holdings B.V. v. Union of India</w:t>
            </w:r>
          </w:p>
        </w:tc>
        <w:tc>
          <w:tcPr>
            <w:tcW w:type="dxa" w:w="2200"/>
            <w:tcMar>
              <w:top w:type="dxa" w:w="50"/>
              <w:left w:type="dxa" w:w="100"/>
              <w:bottom w:type="dxa" w:w="50"/>
              <w:right w:type="dxa" w:w="100"/>
            </w:tcMar>
          </w:tcPr>
          <w:p>
            <w:pPr>
              <w:spacing w:after="0" w:line="230"/>
            </w:pPr>
            <w:r>
              <w:rPr>
                <w:b w:val="false"/>
                <w:bCs w:val="false"/>
                <w:i w:val="false"/>
                <w:iCs w:val="false"/>
                <w:sz w:val="19"/>
                <w:szCs w:val="19"/>
              </w:rPr>
              <w:t xml:space="preserve">(2012) 6 SCC 613</w:t>
            </w:r>
          </w:p>
        </w:tc>
        <w:tc>
          <w:tcPr>
            <w:tcW w:type="dxa" w:w="2420"/>
            <w:tcMar>
              <w:top w:type="dxa" w:w="50"/>
              <w:left w:type="dxa" w:w="100"/>
              <w:bottom w:type="dxa" w:w="50"/>
              <w:right w:type="dxa" w:w="100"/>
            </w:tcMar>
          </w:tcPr>
          <w:p>
            <w:pPr>
              <w:spacing w:after="0" w:line="230"/>
            </w:pPr>
            <w:r>
              <w:rPr>
                <w:b w:val="false"/>
                <w:bCs w:val="false"/>
                <w:i w:val="false"/>
                <w:iCs w:val="false"/>
                <w:sz w:val="19"/>
                <w:szCs w:val="19"/>
              </w:rPr>
              <w:t xml:space="preserve">Section 9; indirect transfer</w:t>
            </w:r>
          </w:p>
        </w:tc>
      </w:tr>
    </w:tbl>
    <w:p>
      <w:pPr>
        <w:spacing w:after="200"/>
      </w:pPr>
    </w:p>
    <w:p>
      <w:pPr>
        <w:pStyle w:val="Heading1"/>
      </w:pPr>
      <w:r>
        <w:t xml:space="preserve">Table of Statutes and Provisions</w:t>
      </w:r>
    </w:p>
    <w:p>
      <w:pPr>
        <w:pStyle w:val="Heading2"/>
      </w:pPr>
      <w:r>
        <w:t xml:space="preserve">Constitution of India</w:t>
      </w:r>
    </w:p>
    <w:p>
      <w:pPr>
        <w:spacing w:after="140" w:line="276"/>
        <w:jc w:val="both"/>
      </w:pPr>
      <w:r>
        <w:t xml:space="preserve">Articles 14, 19(1)(g), 19(6), 27, 110, 245, 246, 246A, 248, 265, 268, 269, 269A, 270, 271, 275, 279, 279A, 280, 281, 282, 292, 293 and 300A. Seventh Schedule: List I Entries 82 to 92B and Entry 97; List II Entries 45 to 63, particularly Entry 46; List III Entry 44. The Constitution (One Hundred and First Amendment) Act, 2016.</w:t>
      </w:r>
    </w:p>
    <w:p>
      <w:pPr>
        <w:pStyle w:val="Heading2"/>
      </w:pPr>
      <w:r>
        <w:t xml:space="preserve">Income-tax Act, 2025 (Act 30 of 2025)</w:t>
      </w:r>
    </w:p>
    <w:p>
      <w:pPr>
        <w:spacing w:after="140" w:line="276"/>
        <w:jc w:val="both"/>
      </w:pPr>
      <w:r>
        <w:t xml:space="preserve">Sections 2(5), 2(11), 2(49), 2(77), 3, 4, 5, 6, 9, 11, 12, 13, 14, 15, 16, 17, 18, 19, 20, 21, 22, 23, 24, 25, 124, 125 and 178 to 184. Schedules II and III.</w:t>
      </w:r>
    </w:p>
    <w:p>
      <w:pPr>
        <w:pStyle w:val="Heading2"/>
      </w:pPr>
      <w:r>
        <w:t xml:space="preserve">Income-tax Act, 1961 (for correspondence)</w:t>
      </w:r>
    </w:p>
    <w:p>
      <w:pPr>
        <w:spacing w:after="140" w:line="276"/>
        <w:jc w:val="both"/>
      </w:pPr>
      <w:r>
        <w:t xml:space="preserve">Sections 2(1A), 2(7), 2(24), 2(31), 3, 4, 5, 6, 9, 10, 14, 14A, 15, 16, 17, 22 to 27, and 95 to 102.</w:t>
      </w:r>
    </w:p>
    <w:p>
      <w:pPr>
        <w:pStyle w:val="Heading2"/>
      </w:pPr>
      <w:r>
        <w:t xml:space="preserve">Other legislation and rules</w:t>
      </w:r>
    </w:p>
    <w:p>
      <w:pPr>
        <w:pStyle w:val="ListParagraph"/>
        <w:numPr>
          <w:ilvl w:val="0"/>
          <w:numId w:val="2"/>
        </w:numPr>
        <w:spacing w:after="70" w:line="276"/>
        <w:jc w:val="both"/>
      </w:pPr>
      <w:r>
        <w:t xml:space="preserve">The annual Finance Act — rates of tax, and the partial integration of agricultural income.</w:t>
      </w:r>
    </w:p>
    <w:p>
      <w:pPr>
        <w:pStyle w:val="ListParagraph"/>
        <w:numPr>
          <w:ilvl w:val="0"/>
          <w:numId w:val="2"/>
        </w:numPr>
        <w:spacing w:after="70" w:line="276"/>
        <w:jc w:val="both"/>
      </w:pPr>
      <w:r>
        <w:t xml:space="preserve">Income Tax Act, 1922, sections 4A(b) and 4A(c) — the provisions construed in Subbayya Chettiar and Narottam and Parekh.</w:t>
      </w:r>
    </w:p>
    <w:p>
      <w:pPr>
        <w:pStyle w:val="ListParagraph"/>
        <w:numPr>
          <w:ilvl w:val="0"/>
          <w:numId w:val="2"/>
        </w:numPr>
        <w:spacing w:after="70" w:line="276"/>
        <w:jc w:val="both"/>
      </w:pPr>
      <w:r>
        <w:t xml:space="preserve">Taxation Laws (Amendment) Act, 2021 — withdrawal of retrospective demands on indirect transfers.</w:t>
      </w:r>
    </w:p>
    <w:p>
      <w:pPr>
        <w:pStyle w:val="ListParagraph"/>
        <w:numPr>
          <w:ilvl w:val="0"/>
          <w:numId w:val="2"/>
        </w:numPr>
        <w:spacing w:after="70" w:line="276"/>
        <w:jc w:val="both"/>
      </w:pPr>
      <w:r>
        <w:t xml:space="preserve">Transfer of Property Act, 1882, section 53A — deemed ownership of house property.</w:t>
      </w:r>
    </w:p>
    <w:p>
      <w:pPr>
        <w:pStyle w:val="ListParagraph"/>
        <w:numPr>
          <w:ilvl w:val="0"/>
          <w:numId w:val="2"/>
        </w:numPr>
        <w:spacing w:after="70" w:line="276"/>
        <w:jc w:val="both"/>
      </w:pPr>
      <w:r>
        <w:t xml:space="preserve">Indian Partnership Act, 1932 — relevant to Sunil J. Kinariwala.</w:t>
      </w:r>
    </w:p>
    <w:p>
      <w:pPr>
        <w:pStyle w:val="ListParagraph"/>
        <w:numPr>
          <w:ilvl w:val="0"/>
          <w:numId w:val="2"/>
        </w:numPr>
        <w:spacing w:after="70" w:line="276"/>
        <w:jc w:val="both"/>
      </w:pPr>
      <w:r>
        <w:t xml:space="preserve">Income-tax Rules — valuation of perquisites, apportionment of composite tea income, and the monetary threshold for GAAR.</w:t>
      </w:r>
    </w:p>
    <w:p>
      <w:pPr>
        <w:pStyle w:val="Heading1"/>
      </w:pPr>
      <w:r>
        <w:t xml:space="preserve">Points Requiring Verification</w:t>
      </w:r>
    </w:p>
    <w:p>
      <w:pPr>
        <w:spacing w:after="140" w:line="276"/>
        <w:jc w:val="both"/>
      </w:pPr>
      <w:r>
        <w:t xml:space="preserve">The following points could not be confirmed from a primary or authoritative source. They are recorded so that they are not cited as settled law without being read first.</w:t>
      </w:r>
    </w:p>
    <w:p>
      <w:pPr>
        <w:pStyle w:val="ListParagraph"/>
        <w:numPr>
          <w:ilvl w:val="0"/>
          <w:numId w:val="2"/>
        </w:numPr>
        <w:spacing w:after="70" w:line="276"/>
        <w:jc w:val="both"/>
      </w:pPr>
      <w:r>
        <w:t xml:space="preserve">Five cases in the session plan are available only through their MANU citations and could not be independently verified: Jayanti Botanical Gardens v. Income Tax Officer (MANU/IL/0076/2021); Principal Commissioner of Income Tax-1 v. British Agro Products (India) Pvt Ltd (MANU/TN/2102/2025); Jayaram Rangan v. Assistant Commissioner of Income Tax (MANU/IX/0179/2022); Milan Arvindbhai Patel v. Assistant Commissioner of Income Tax (MANU/GJ/0807/2023); and CIT v. Delhi Cloth and General Mills Co. Ltd (MANU/PH/0103/1955). Read them on MANU before relying on them.</w:t>
      </w:r>
    </w:p>
    <w:p>
      <w:pPr>
        <w:pStyle w:val="ListParagraph"/>
        <w:numPr>
          <w:ilvl w:val="0"/>
          <w:numId w:val="2"/>
        </w:numPr>
        <w:spacing w:after="70" w:line="276"/>
        <w:jc w:val="both"/>
      </w:pPr>
      <w:r>
        <w:t xml:space="preserve">The three propositions attributed in class to the "Dooars Tea case" could not be matched to a confirmed case name. For the apportionment of composite tea income, rely on the statutory rule and on Karimtharuvi Tea Estate Ltd v. State of Kerala instead.</w:t>
      </w:r>
    </w:p>
    <w:p>
      <w:pPr>
        <w:pStyle w:val="ListParagraph"/>
        <w:numPr>
          <w:ilvl w:val="0"/>
          <w:numId w:val="2"/>
        </w:numPr>
        <w:spacing w:after="70" w:line="276"/>
        <w:jc w:val="both"/>
      </w:pPr>
      <w:r>
        <w:t xml:space="preserve">The exact clause of the Act of 2025 that carries the urban agricultural land limits, the monetary threshold in section 17 for the benefit-or-amenity clause, and the section noted in class as section 530 dealing with Finance Act rates, should each be checked against the bare Act.</w:t>
      </w:r>
    </w:p>
    <w:p>
      <w:pPr>
        <w:pStyle w:val="ListParagraph"/>
        <w:numPr>
          <w:ilvl w:val="0"/>
          <w:numId w:val="2"/>
        </w:numPr>
        <w:spacing w:after="70" w:line="276"/>
        <w:jc w:val="both"/>
      </w:pPr>
      <w:r>
        <w:t xml:space="preserve">The precise wording and paragraph numbers of the passages quoted in class from Sakarlal Balabhai and from Narottam and Parekh should be checked against the reports before being quoted verbatim.</w:t>
      </w:r>
    </w:p>
    <w:p>
      <w:pPr>
        <w:pStyle w:val="ListParagraph"/>
        <w:numPr>
          <w:ilvl w:val="0"/>
          <w:numId w:val="2"/>
        </w:numPr>
        <w:spacing w:after="70" w:line="276"/>
        <w:jc w:val="both"/>
      </w:pPr>
      <w:r>
        <w:t xml:space="preserve">In G.R. Karthikeyan the prize of twenty-two thousand rupees is verified; the rally distance of 6,500 kilometres recorded in class is not, and should not be quoted.</w:t>
      </w:r>
    </w:p>
    <w:p>
      <w:pPr>
        <w:pStyle w:val="Heading1"/>
      </w:pPr>
      <w:r>
        <w:t xml:space="preserve">Corrections to the Class Notes</w:t>
      </w:r>
    </w:p>
    <w:p>
      <w:pPr>
        <w:pStyle w:val="ListParagraph"/>
        <w:numPr>
          <w:ilvl w:val="0"/>
          <w:numId w:val="2"/>
        </w:numPr>
        <w:spacing w:after="70" w:line="276"/>
        <w:jc w:val="both"/>
      </w:pPr>
      <w:r>
        <w:t xml:space="preserve">Income tax in India was introduced in 1860, not 1857; 1857 is the date of the revolt which occasioned it.</w:t>
      </w:r>
    </w:p>
    <w:p>
      <w:pPr>
        <w:pStyle w:val="ListParagraph"/>
        <w:numPr>
          <w:ilvl w:val="0"/>
          <w:numId w:val="2"/>
        </w:numPr>
        <w:spacing w:after="70" w:line="276"/>
        <w:jc w:val="both"/>
      </w:pPr>
      <w:r>
        <w:t xml:space="preserve">The taxation entries in List II of the Seventh Schedule run from Entry 45 to Entry 63, not to Entry 68.</w:t>
      </w:r>
    </w:p>
    <w:p>
      <w:pPr>
        <w:pStyle w:val="ListParagraph"/>
        <w:numPr>
          <w:ilvl w:val="0"/>
          <w:numId w:val="2"/>
        </w:numPr>
        <w:spacing w:after="70" w:line="276"/>
        <w:jc w:val="both"/>
      </w:pPr>
      <w:r>
        <w:t xml:space="preserve">Octroi and entry tax (Entry 52) and Entry 55 were entries in List II, the State List, and were omitted by the 101st Amendment. They were not Union entries.</w:t>
      </w:r>
    </w:p>
    <w:p>
      <w:pPr>
        <w:pStyle w:val="ListParagraph"/>
        <w:numPr>
          <w:ilvl w:val="0"/>
          <w:numId w:val="2"/>
        </w:numPr>
        <w:spacing w:after="70" w:line="276"/>
        <w:jc w:val="both"/>
      </w:pPr>
      <w:r>
        <w:t xml:space="preserve">The correct party name is Sakarlal Balabhai &amp; Co., not "Sakarlal Narandal".</w:t>
      </w:r>
    </w:p>
    <w:p>
      <w:pPr>
        <w:pStyle w:val="ListParagraph"/>
        <w:numPr>
          <w:ilvl w:val="0"/>
          <w:numId w:val="2"/>
        </w:numPr>
        <w:spacing w:after="70" w:line="276"/>
        <w:jc w:val="both"/>
      </w:pPr>
      <w:r>
        <w:t xml:space="preserve">The leading decision in Premier Construction is that of the Privy Council, reported at (1948) 16 ITR 380. The 1944 Bombay High Court decision is an earlier stage of the same litigation.</w:t>
      </w:r>
    </w:p>
    <w:p>
      <w:pPr>
        <w:pStyle w:val="ListParagraph"/>
        <w:numPr>
          <w:ilvl w:val="0"/>
          <w:numId w:val="2"/>
        </w:numPr>
        <w:spacing w:after="70" w:line="276"/>
        <w:jc w:val="both"/>
      </w:pPr>
      <w:r>
        <w:t xml:space="preserve">Under the Act of 2025, section 13 contains the heads of income and section 14 is the provision on expenditure relating to exempt income. Deemed ownership of house property is carried into sections 21 and 25.</w:t>
      </w:r>
    </w:p>
    <w:p>
      <w:pPr>
        <w:pStyle w:val="ListParagraph"/>
        <w:numPr>
          <w:ilvl w:val="0"/>
          <w:numId w:val="2"/>
        </w:numPr>
        <w:spacing w:after="70" w:line="276"/>
        <w:jc w:val="both"/>
      </w:pPr>
      <w:r>
        <w:t xml:space="preserve">Secunderabad Club (2023) affirmed Bangalore Club; it did not overrule or dilute it.</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Principles of Taxation Law (IP61015)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400"/>
    </w:pPr>
    <w:rPr>
      <w:rFonts w:ascii="Calibri" w:cs="Calibri" w:eastAsia="Calibri" w:hAnsi="Calibri"/>
      <w:b/>
      <w:bCs/>
      <w:color w:val="17365D"/>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1F4E79"/>
      <w:sz w:val="26"/>
      <w:szCs w:val="26"/>
    </w:rPr>
  </w:style>
  <w:style w:type="paragraph" w:styleId="Heading3">
    <w:name w:val="Heading 3"/>
    <w:basedOn w:val="Normal"/>
    <w:next w:val="Normal"/>
    <w:qFormat/>
    <w:pPr>
      <w:keepNext/>
      <w:spacing w:after="90" w:before="220"/>
    </w:pPr>
    <w:rPr>
      <w:rFonts w:ascii="Calibri" w:cs="Calibri" w:eastAsia="Calibri" w:hAnsi="Calibri"/>
      <w:b/>
      <w:bCs/>
      <w:color w:val="2E5B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2026-09-17T18:55:02.011Z</dcterms:created>
  <dcterms:modified xsi:type="dcterms:W3CDTF">2026-09-17T18:55:02.011Z</dcterms:modified>
</cp:coreProperties>
</file>

<file path=docProps/custom.xml><?xml version="1.0" encoding="utf-8"?>
<Properties xmlns="http://schemas.openxmlformats.org/officeDocument/2006/custom-properties" xmlns:vt="http://schemas.openxmlformats.org/officeDocument/2006/docPropsVTypes"/>
</file>