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after="120" w:line="240"/>
        <w:jc w:val="center"/>
      </w:pPr>
      <w:r>
        <w:rPr>
          <w:rFonts w:ascii="Times New Roman" w:cs="Times New Roman" w:eastAsia="Times New Roman" w:hAnsi="Times New Roman"/>
          <w:b/>
          <w:bCs/>
          <w:i w:val="false"/>
          <w:iCs w:val="false"/>
          <w:sz w:val="32"/>
          <w:szCs w:val="32"/>
        </w:rPr>
        <w:t xml:space="preserve">STANDARD-ESSENTIAL PATENTS AND</w:t>
      </w:r>
    </w:p>
    <w:p>
      <w:pPr>
        <w:spacing w:after="260" w:line="240"/>
        <w:jc w:val="center"/>
      </w:pPr>
      <w:r>
        <w:rPr>
          <w:rFonts w:ascii="Times New Roman" w:cs="Times New Roman" w:eastAsia="Times New Roman" w:hAnsi="Times New Roman"/>
          <w:b/>
          <w:bCs/>
          <w:i w:val="false"/>
          <w:iCs w:val="false"/>
          <w:sz w:val="32"/>
          <w:szCs w:val="32"/>
        </w:rPr>
        <w:t xml:space="preserve">INNOVATION GOVERNANCE</w:t>
      </w:r>
    </w:p>
    <w:p>
      <w:pPr>
        <w:spacing w:after="240" w:line="240"/>
        <w:jc w:val="center"/>
      </w:pPr>
      <w:r>
        <w:rPr>
          <w:rFonts w:ascii="Times New Roman" w:cs="Times New Roman" w:eastAsia="Times New Roman" w:hAnsi="Times New Roman"/>
          <w:b w:val="false"/>
          <w:bCs w:val="false"/>
          <w:i/>
          <w:iCs/>
          <w:sz w:val="28"/>
          <w:szCs w:val="28"/>
        </w:rPr>
        <w:t xml:space="preserve">Licensing, Standardisation and the Public Interest</w:t>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val="false"/>
          <w:bCs w:val="false"/>
          <w:i w:val="false"/>
          <w:iCs w:val="false"/>
          <w:sz w:val="24"/>
          <w:szCs w:val="24"/>
        </w:rPr>
        <w:t xml:space="preserve">A dissertation submitted in partial fulfilment</w:t>
      </w:r>
    </w:p>
    <w:p>
      <w:pPr>
        <w:spacing w:after="60" w:line="240"/>
        <w:jc w:val="center"/>
      </w:pPr>
      <w:r>
        <w:rPr>
          <w:rFonts w:ascii="Times New Roman" w:cs="Times New Roman" w:eastAsia="Times New Roman" w:hAnsi="Times New Roman"/>
          <w:b w:val="false"/>
          <w:bCs w:val="false"/>
          <w:i w:val="false"/>
          <w:iCs w:val="false"/>
          <w:sz w:val="24"/>
          <w:szCs w:val="24"/>
        </w:rPr>
        <w:t xml:space="preserve">of the requirements for the degree of</w:t>
      </w:r>
    </w:p>
    <w:p>
      <w:pPr>
        <w:spacing w:after="240" w:line="240"/>
        <w:jc w:val="center"/>
      </w:pPr>
      <w:r>
        <w:rPr>
          <w:rFonts w:ascii="Times New Roman" w:cs="Times New Roman" w:eastAsia="Times New Roman" w:hAnsi="Times New Roman"/>
          <w:b w:val="false"/>
          <w:bCs w:val="false"/>
          <w:i w:val="false"/>
          <w:iCs w:val="false"/>
          <w:sz w:val="24"/>
          <w:szCs w:val="24"/>
        </w:rPr>
        <w:t xml:space="preserve">Master of Laws</w:t>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bCs/>
          <w:i w:val="false"/>
          <w:iCs w:val="false"/>
          <w:sz w:val="24"/>
          <w:szCs w:val="24"/>
        </w:rPr>
        <w:t xml:space="preserve">Candidate: </w:t>
      </w:r>
      <w:r>
        <w:rPr>
          <w:rFonts w:ascii="Times New Roman" w:cs="Times New Roman" w:eastAsia="Times New Roman" w:hAnsi="Times New Roman"/>
          <w:b w:val="false"/>
          <w:bCs w:val="false"/>
          <w:i w:val="false"/>
          <w:iCs w:val="false"/>
          <w:sz w:val="24"/>
          <w:szCs w:val="24"/>
        </w:rPr>
        <w:t xml:space="preserve">[to be inserted]</w:t>
      </w:r>
    </w:p>
    <w:p>
      <w:pPr>
        <w:spacing w:after="60" w:line="240"/>
        <w:jc w:val="center"/>
      </w:pPr>
      <w:r>
        <w:rPr>
          <w:rFonts w:ascii="Times New Roman" w:cs="Times New Roman" w:eastAsia="Times New Roman" w:hAnsi="Times New Roman"/>
          <w:b/>
          <w:bCs/>
          <w:i w:val="false"/>
          <w:iCs w:val="false"/>
          <w:sz w:val="24"/>
          <w:szCs w:val="24"/>
        </w:rPr>
        <w:t xml:space="preserve">Supervisor: </w:t>
      </w:r>
      <w:r>
        <w:rPr>
          <w:rFonts w:ascii="Times New Roman" w:cs="Times New Roman" w:eastAsia="Times New Roman" w:hAnsi="Times New Roman"/>
          <w:b w:val="false"/>
          <w:bCs w:val="false"/>
          <w:i w:val="false"/>
          <w:iCs w:val="false"/>
          <w:sz w:val="24"/>
          <w:szCs w:val="24"/>
        </w:rPr>
        <w:t xml:space="preserve">[to be inserted]</w:t>
      </w:r>
    </w:p>
    <w:p>
      <w:pPr>
        <w:spacing w:after="60" w:line="240"/>
        <w:jc w:val="center"/>
      </w:pPr>
      <w:r>
        <w:rPr>
          <w:rFonts w:ascii="Times New Roman" w:cs="Times New Roman" w:eastAsia="Times New Roman" w:hAnsi="Times New Roman"/>
          <w:b/>
          <w:bCs/>
          <w:i w:val="false"/>
          <w:iCs w:val="false"/>
          <w:sz w:val="24"/>
          <w:szCs w:val="24"/>
        </w:rPr>
        <w:t xml:space="preserve">Institution: </w:t>
      </w:r>
      <w:r>
        <w:rPr>
          <w:rFonts w:ascii="Times New Roman" w:cs="Times New Roman" w:eastAsia="Times New Roman" w:hAnsi="Times New Roman"/>
          <w:b w:val="false"/>
          <w:bCs w:val="false"/>
          <w:i w:val="false"/>
          <w:iCs w:val="false"/>
          <w:sz w:val="24"/>
          <w:szCs w:val="24"/>
        </w:rPr>
        <w:t xml:space="preserve">[to be inserted]</w:t>
      </w:r>
    </w:p>
    <w:p>
      <w:pPr>
        <w:spacing w:after="60" w:line="240"/>
        <w:jc w:val="center"/>
      </w:pPr>
      <w:r>
        <w:rPr>
          <w:rFonts w:ascii="Times New Roman" w:cs="Times New Roman" w:eastAsia="Times New Roman" w:hAnsi="Times New Roman"/>
          <w:b/>
          <w:bCs/>
          <w:i w:val="false"/>
          <w:iCs w:val="false"/>
          <w:sz w:val="24"/>
          <w:szCs w:val="24"/>
        </w:rPr>
        <w:t xml:space="preserve">Word count, Chapters 1 to 8: </w:t>
      </w:r>
      <w:r>
        <w:rPr>
          <w:rFonts w:ascii="Times New Roman" w:cs="Times New Roman" w:eastAsia="Times New Roman" w:hAnsi="Times New Roman"/>
          <w:b w:val="false"/>
          <w:bCs w:val="false"/>
          <w:i w:val="false"/>
          <w:iCs w:val="false"/>
          <w:sz w:val="24"/>
          <w:szCs w:val="24"/>
        </w:rPr>
        <w:t xml:space="preserve">48,885 words</w:t>
      </w:r>
    </w:p>
    <w:p>
      <w:pPr>
        <w:spacing w:after="60" w:line="240"/>
        <w:jc w:val="center"/>
      </w:pPr>
      <w:r>
        <w:rPr>
          <w:rFonts w:ascii="Times New Roman" w:cs="Times New Roman" w:eastAsia="Times New Roman" w:hAnsi="Times New Roman"/>
          <w:b/>
          <w:bCs/>
          <w:i w:val="false"/>
          <w:iCs w:val="false"/>
          <w:sz w:val="24"/>
          <w:szCs w:val="24"/>
        </w:rPr>
        <w:t xml:space="preserve">Research cutoff date: </w:t>
      </w:r>
      <w:r>
        <w:rPr>
          <w:rFonts w:ascii="Times New Roman" w:cs="Times New Roman" w:eastAsia="Times New Roman" w:hAnsi="Times New Roman"/>
          <w:b w:val="false"/>
          <w:bCs w:val="false"/>
          <w:i w:val="false"/>
          <w:iCs w:val="false"/>
          <w:sz w:val="24"/>
          <w:szCs w:val="24"/>
        </w:rPr>
        <w:t xml:space="preserve">16 September 2026</w:t>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line="240"/>
      </w:pPr>
      <w:r>
        <w:rPr>
          <w:rFonts w:ascii="Times New Roman" w:cs="Times New Roman" w:eastAsia="Times New Roman" w:hAnsi="Times New Roman"/>
          <w:b w:val="false"/>
          <w:bCs w:val="false"/>
          <w:i w:val="false"/>
          <w:iCs w:val="false"/>
          <w:sz w:val="24"/>
          <w:szCs w:val="24"/>
        </w:rPr>
        <w:t xml:space="preserve"/>
      </w:r>
    </w:p>
    <w:p>
      <w:pPr>
        <w:spacing w:after="60" w:line="240"/>
        <w:jc w:val="center"/>
      </w:pPr>
      <w:r>
        <w:rPr>
          <w:rFonts w:ascii="Times New Roman" w:cs="Times New Roman" w:eastAsia="Times New Roman" w:hAnsi="Times New Roman"/>
          <w:b w:val="false"/>
          <w:bCs w:val="false"/>
          <w:i/>
          <w:iCs/>
          <w:sz w:val="20"/>
          <w:szCs w:val="20"/>
        </w:rPr>
        <w:t xml:space="preserve">This dissertation is a research draft. It requires human verification of every</w:t>
      </w:r>
    </w:p>
    <w:p>
      <w:pPr>
        <w:spacing w:after="60" w:line="240"/>
        <w:jc w:val="center"/>
      </w:pPr>
      <w:r>
        <w:rPr>
          <w:rFonts w:ascii="Times New Roman" w:cs="Times New Roman" w:eastAsia="Times New Roman" w:hAnsi="Times New Roman"/>
          <w:b w:val="false"/>
          <w:bCs w:val="false"/>
          <w:i/>
          <w:iCs/>
          <w:sz w:val="20"/>
          <w:szCs w:val="20"/>
        </w:rPr>
        <w:t xml:space="preserve">authority against the primary source before submission. See Appendices E and F.</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Declaration and Statement on the Use of Generative Artificial Intelligence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section contains draft wording only. It must be reviewed, amended to reflect the candidate's actual circumstances, and brought into conformity with the requirements of the awarding institution before submission. The candidate is responsible for ensuring that the declaration made is truthful and complete.</w:t>
      </w:r>
    </w:p>
    <w:p>
      <w:pPr>
        <w:pStyle w:val="Heading2"/>
        <w:spacing w:after="150" w:before="300" w:line="240"/>
      </w:pPr>
      <w:r>
        <w:rPr>
          <w:rFonts w:ascii="Times New Roman" w:cs="Times New Roman" w:eastAsia="Times New Roman" w:hAnsi="Times New Roman"/>
          <w:b/>
          <w:bCs/>
          <w:i w:val="false"/>
          <w:iCs w:val="false"/>
          <w:sz w:val="25"/>
          <w:szCs w:val="25"/>
        </w:rPr>
        <w:t xml:space="preserve">Draft declaration of authorship</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 declare that this dissertation is submitted in partial fulfilment of the requirements for the degree stated on the title page. The analysis, argument, structure and conclusions presented here have been developed for this project. All sources relied upon are acknowledged in the footnotes and bibliography. This work has not been submitted for any other award.</w:t>
      </w:r>
    </w:p>
    <w:p>
      <w:pPr>
        <w:pStyle w:val="Heading2"/>
        <w:spacing w:after="150" w:before="300" w:line="240"/>
      </w:pPr>
      <w:r>
        <w:rPr>
          <w:rFonts w:ascii="Times New Roman" w:cs="Times New Roman" w:eastAsia="Times New Roman" w:hAnsi="Times New Roman"/>
          <w:b/>
          <w:bCs/>
          <w:i w:val="false"/>
          <w:iCs w:val="false"/>
          <w:sz w:val="25"/>
          <w:szCs w:val="25"/>
        </w:rPr>
        <w:t xml:space="preserve">Draft statement on the use of generative artificial intelligence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Generative artificial intelligence was used in the preparation of this dissertation. The assistance provided consisted of: literature and authority searching; retrieval and summarisation of published judgments, legislation, standard-development-organisation policy instruments, official reports and academic scholarship; verification of citation metadata against publishers' records and official repositories; structural planning of chapters; drafting and redrafting of analytical prose; and editorial review for consistency of terminology and citation format.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following were not produced by artificial intelligence and are not claimed: interviews, surveys, fieldwork, original econometric or statistical analysis, patent landscaping, independent essentiality assessment, or access to confidential licence agreements. No such research was conducted for this dissertation, and no such research is reported in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candidate has reviewed the substance of the argument and accepts responsibility for it. Every authority cited requires independent verification against the primary source before submission. Appendix E records the verification status of the sources relied upon, identifies those for which full primary text was not directly accessed during research, and lists the authorities whose appellate or current status remained unresolved at the research cutoff date. Appendix F sets out the human-review obligations that attach to this draft.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candidate should confirm whether this form of assistance is permitted by the awarding institution's academic-integrity regulations, and should amend or supplement this statement as those regulations require.</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Abstract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Standard-essential patents sit at the intersection of patent law, contract, competition law and private standardisation. They govern the technologies on which contemporary digital infrastructure depends, including the fourth- and fifth-generation cellular standards, wireless local-area networking and video compression. This dissertation asks how the legal and institutional governance of standard-essential patent licensing should reconcile incentives for technological contribution with interoperability, competition, downstream innovation, access to standardised technology and the public interest, with particular attention to India and to selected comparator jurisdictions.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dissertation argues that standard-essential patents operate within a hybrid transnational innovation-governance regime. Within that regime, patent law, contract, competition law, judicial remedies, private standard-development organisations, licensing markets and national courts jointly allocate technological and economic power. Because the commitment to license on fair, reasonable and non-discriminatory terms is structurally underdeterminate, identifying a range of acceptable outcomes and a standard of conduct rather than a unique royalty, and because enforcement remains territorially fragmented, legitimate governance of standard-essential patents cannot rest on bilateral bargaining or judicial rate-setting alone.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methodology is doctrinal, functionally comparative, institutional and normative, with a bounded use of law-and-economics concepts. The dissertation traces the obligation to license on fair, reasonable and non-discriminatory terms from its contractual source in the intellectual-property-rights policy of the European Telecommunications Standards Institute through the divergent enforcement architectures of the Court of Justice of the European Union, the courts of England and Wales, the German Federal Court of Justice, the Unified Patent Court, the United States federal courts and the courts of the People's Republic of China. It shows that jurisdictions increasingly compete to determine global royalty rates, generating conflicts of jurisdiction, anti-suit litigation and strain on principles of international comity. It then examines India, where the litigation between Telefonaktiebolaget LM Ericsson and successive domestic implementers, the damages award against Lava International, the appellate reversal of the Philips digital-versatile-disc decision, the unresolved boundary between the Patents Act 1970 and the Competition Act 2002, and the public-interest architecture of sections 83 and 84 of the Patents Act together define a distinctive governance problem.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original contribution is a layered framework for evaluating the legitimacy and effectiveness of standard-essential-patent governance across nine institutional layers, and for guiding calibrated reform in India. The dissertation concludes that legitimate governance requires transparent standardisation, reliable essentiality information, disciplined negotiation, context-sensitive valuation, proportionate remedies, accessible dispute resolution, competition oversight and express public-interest safeguards, implemented with sensitivity to sector and jurisdiction rather than through a single global rule.</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Keywords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Standard-essential patents; fair, reasonable and non-discriminatory licensing; innovation governance; standardisation; competition law; global rate-setting; injunctions and remedies; Indian patent law; public interest; transnational private regulation.</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Acknowledgements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page is reserved for the candidate's acknowledgements and has been left for completion on human review.</w:t>
      </w:r>
    </w:p>
    <w:p>
      <w:r>
        <w:br w:type="page"/>
      </w:r>
    </w:p>
    <w:p>
      <w:pPr>
        <w:pStyle w:val="Heading1"/>
        <w:spacing w:after="260" w:line="240"/>
      </w:pPr>
      <w:r>
        <w:rPr>
          <w:rFonts w:ascii="Times New Roman" w:cs="Times New Roman" w:eastAsia="Times New Roman" w:hAnsi="Times New Roman"/>
          <w:b/>
          <w:bCs/>
          <w:i w:val="false"/>
          <w:iCs w:val="false"/>
          <w:sz w:val="28"/>
          <w:szCs w:val="28"/>
        </w:rPr>
        <w:t xml:space="preserve">Table of Contents</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Declaration and Statement on the Use of Generative Artificial Intelligence</w:t>
      </w:r>
      <w:r>
        <w:rPr>
          <w:rFonts w:ascii="Times New Roman" w:cs="Times New Roman" w:eastAsia="Times New Roman" w:hAnsi="Times New Roman"/>
          <w:b/>
          <w:bCs/>
          <w:sz w:val="24"/>
          <w:szCs w:val="24"/>
        </w:rPr>
        <w:tab/>
        <w:t xml:space="preserve">ii</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b/>
          <w:bCs/>
          <w:sz w:val="24"/>
          <w:szCs w:val="24"/>
        </w:rPr>
        <w:tab/>
        <w:t xml:space="preserve">iv</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bCs/>
          <w:sz w:val="24"/>
          <w:szCs w:val="24"/>
        </w:rPr>
        <w:tab/>
        <w:t xml:space="preserve">vi</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Acknowledgements</w:t>
      </w:r>
      <w:r>
        <w:rPr>
          <w:rFonts w:ascii="Times New Roman" w:cs="Times New Roman" w:eastAsia="Times New Roman" w:hAnsi="Times New Roman"/>
          <w:b/>
          <w:bCs/>
          <w:sz w:val="24"/>
          <w:szCs w:val="24"/>
        </w:rPr>
        <w:tab/>
        <w:t xml:space="preserve">vii</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List of Abbreviations</w:t>
      </w:r>
      <w:r>
        <w:rPr>
          <w:rFonts w:ascii="Times New Roman" w:cs="Times New Roman" w:eastAsia="Times New Roman" w:hAnsi="Times New Roman"/>
          <w:b/>
          <w:bCs/>
          <w:sz w:val="24"/>
          <w:szCs w:val="24"/>
        </w:rPr>
        <w:tab/>
        <w:t xml:space="preserve">xi</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Table of Cases</w:t>
      </w:r>
      <w:r>
        <w:rPr>
          <w:rFonts w:ascii="Times New Roman" w:cs="Times New Roman" w:eastAsia="Times New Roman" w:hAnsi="Times New Roman"/>
          <w:b/>
          <w:bCs/>
          <w:sz w:val="24"/>
          <w:szCs w:val="24"/>
        </w:rPr>
        <w:tab/>
        <w:t xml:space="preserve">xii</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Table of Legislation, Treaties and Official Instruments</w:t>
      </w:r>
      <w:r>
        <w:rPr>
          <w:rFonts w:ascii="Times New Roman" w:cs="Times New Roman" w:eastAsia="Times New Roman" w:hAnsi="Times New Roman"/>
          <w:b/>
          <w:bCs/>
          <w:sz w:val="24"/>
          <w:szCs w:val="24"/>
        </w:rPr>
        <w:tab/>
        <w:t xml:space="preserve">xiv</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1: Introduction and Research Methodology</w:t>
      </w:r>
      <w:r>
        <w:rPr>
          <w:rFonts w:ascii="Times New Roman" w:cs="Times New Roman" w:eastAsia="Times New Roman" w:hAnsi="Times New Roman"/>
          <w:b/>
          <w:bCs/>
          <w:sz w:val="24"/>
          <w:szCs w:val="24"/>
        </w:rPr>
        <w:tab/>
        <w:t xml:space="preserve">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1.1 The research problem</w:t>
      </w:r>
      <w:r>
        <w:rPr>
          <w:rFonts w:ascii="Times New Roman" w:cs="Times New Roman" w:eastAsia="Times New Roman" w:hAnsi="Times New Roman"/>
          <w:b w:val="false"/>
          <w:bCs w:val="false"/>
          <w:sz w:val="24"/>
          <w:szCs w:val="24"/>
        </w:rPr>
        <w:tab/>
        <w:t xml:space="preserve">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1.2 Significance of the inquiry</w:t>
      </w:r>
      <w:r>
        <w:rPr>
          <w:rFonts w:ascii="Times New Roman" w:cs="Times New Roman" w:eastAsia="Times New Roman" w:hAnsi="Times New Roman"/>
          <w:b w:val="false"/>
          <w:bCs w:val="false"/>
          <w:sz w:val="24"/>
          <w:szCs w:val="24"/>
        </w:rPr>
        <w:tab/>
        <w:t xml:space="preserve">2</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1.3 The central research question</w:t>
      </w:r>
      <w:r>
        <w:rPr>
          <w:rFonts w:ascii="Times New Roman" w:cs="Times New Roman" w:eastAsia="Times New Roman" w:hAnsi="Times New Roman"/>
          <w:b w:val="false"/>
          <w:bCs w:val="false"/>
          <w:sz w:val="24"/>
          <w:szCs w:val="24"/>
        </w:rPr>
        <w:tab/>
        <w:t xml:space="preserve">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1.4 Sub-questions</w:t>
      </w:r>
      <w:r>
        <w:rPr>
          <w:rFonts w:ascii="Times New Roman" w:cs="Times New Roman" w:eastAsia="Times New Roman" w:hAnsi="Times New Roman"/>
          <w:b w:val="false"/>
          <w:bCs w:val="false"/>
          <w:sz w:val="24"/>
          <w:szCs w:val="24"/>
        </w:rPr>
        <w:tab/>
        <w:t xml:space="preserve">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1.5 Working thesis</w:t>
      </w:r>
      <w:r>
        <w:rPr>
          <w:rFonts w:ascii="Times New Roman" w:cs="Times New Roman" w:eastAsia="Times New Roman" w:hAnsi="Times New Roman"/>
          <w:b w:val="false"/>
          <w:bCs w:val="false"/>
          <w:sz w:val="24"/>
          <w:szCs w:val="24"/>
        </w:rPr>
        <w:tab/>
        <w:t xml:space="preserve">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1.6 Original contribution</w:t>
      </w:r>
      <w:r>
        <w:rPr>
          <w:rFonts w:ascii="Times New Roman" w:cs="Times New Roman" w:eastAsia="Times New Roman" w:hAnsi="Times New Roman"/>
          <w:b w:val="false"/>
          <w:bCs w:val="false"/>
          <w:sz w:val="24"/>
          <w:szCs w:val="24"/>
        </w:rPr>
        <w:tab/>
        <w:t xml:space="preserve">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1.7 Scope</w:t>
      </w:r>
      <w:r>
        <w:rPr>
          <w:rFonts w:ascii="Times New Roman" w:cs="Times New Roman" w:eastAsia="Times New Roman" w:hAnsi="Times New Roman"/>
          <w:b w:val="false"/>
          <w:bCs w:val="false"/>
          <w:sz w:val="24"/>
          <w:szCs w:val="24"/>
        </w:rPr>
        <w:tab/>
        <w:t xml:space="preserve">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1.8 Methodology</w:t>
      </w:r>
      <w:r>
        <w:rPr>
          <w:rFonts w:ascii="Times New Roman" w:cs="Times New Roman" w:eastAsia="Times New Roman" w:hAnsi="Times New Roman"/>
          <w:b w:val="false"/>
          <w:bCs w:val="false"/>
          <w:sz w:val="24"/>
          <w:szCs w:val="24"/>
        </w:rPr>
        <w:tab/>
        <w:t xml:space="preserve">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1.9 Research design and workflow</w:t>
      </w:r>
      <w:r>
        <w:rPr>
          <w:rFonts w:ascii="Times New Roman" w:cs="Times New Roman" w:eastAsia="Times New Roman" w:hAnsi="Times New Roman"/>
          <w:b w:val="false"/>
          <w:bCs w:val="false"/>
          <w:sz w:val="24"/>
          <w:szCs w:val="24"/>
        </w:rPr>
        <w:tab/>
        <w:t xml:space="preserve">12</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1.10 Limitations</w:t>
      </w:r>
      <w:r>
        <w:rPr>
          <w:rFonts w:ascii="Times New Roman" w:cs="Times New Roman" w:eastAsia="Times New Roman" w:hAnsi="Times New Roman"/>
          <w:b w:val="false"/>
          <w:bCs w:val="false"/>
          <w:sz w:val="24"/>
          <w:szCs w:val="24"/>
        </w:rPr>
        <w:tab/>
        <w:t xml:space="preserve">12</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1.11 Structure of the dissertation</w:t>
      </w:r>
      <w:r>
        <w:rPr>
          <w:rFonts w:ascii="Times New Roman" w:cs="Times New Roman" w:eastAsia="Times New Roman" w:hAnsi="Times New Roman"/>
          <w:b w:val="false"/>
          <w:bCs w:val="false"/>
          <w:sz w:val="24"/>
          <w:szCs w:val="24"/>
        </w:rPr>
        <w:tab/>
        <w:t xml:space="preserve">14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1.12 Terminology, conventions and a note on contested labels</w:t>
      </w:r>
      <w:r>
        <w:rPr>
          <w:rFonts w:ascii="Times New Roman" w:cs="Times New Roman" w:eastAsia="Times New Roman" w:hAnsi="Times New Roman"/>
          <w:b w:val="false"/>
          <w:bCs w:val="false"/>
          <w:sz w:val="24"/>
          <w:szCs w:val="24"/>
        </w:rPr>
        <w:tab/>
        <w:t xml:space="preserve">16</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2: Standards, Standard-Essential Patents and Innovation Governance</w:t>
      </w:r>
      <w:r>
        <w:rPr>
          <w:rFonts w:ascii="Times New Roman" w:cs="Times New Roman" w:eastAsia="Times New Roman" w:hAnsi="Times New Roman"/>
          <w:b/>
          <w:bCs/>
          <w:sz w:val="24"/>
          <w:szCs w:val="24"/>
        </w:rPr>
        <w:tab/>
        <w:t xml:space="preserve">17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2.1 The function of technical standards</w:t>
      </w:r>
      <w:r>
        <w:rPr>
          <w:rFonts w:ascii="Times New Roman" w:cs="Times New Roman" w:eastAsia="Times New Roman" w:hAnsi="Times New Roman"/>
          <w:b w:val="false"/>
          <w:bCs w:val="false"/>
          <w:sz w:val="24"/>
          <w:szCs w:val="24"/>
        </w:rPr>
        <w:tab/>
        <w:t xml:space="preserve">17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2.2 Interoperability as a public good and as a source of private advantage</w:t>
      </w:r>
      <w:r>
        <w:rPr>
          <w:rFonts w:ascii="Times New Roman" w:cs="Times New Roman" w:eastAsia="Times New Roman" w:hAnsi="Times New Roman"/>
          <w:b w:val="false"/>
          <w:bCs w:val="false"/>
          <w:sz w:val="24"/>
          <w:szCs w:val="24"/>
        </w:rPr>
        <w:tab/>
        <w:t xml:space="preserve">18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2.2A Taxonomies of standardisation and why they carry legal consequences</w:t>
      </w:r>
      <w:r>
        <w:rPr>
          <w:rFonts w:ascii="Times New Roman" w:cs="Times New Roman" w:eastAsia="Times New Roman" w:hAnsi="Times New Roman"/>
          <w:b w:val="false"/>
          <w:bCs w:val="false"/>
          <w:sz w:val="24"/>
          <w:szCs w:val="24"/>
        </w:rPr>
        <w:tab/>
        <w:t xml:space="preserve">19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2.3 Network effects, lock-in and path dependence</w:t>
      </w:r>
      <w:r>
        <w:rPr>
          <w:rFonts w:ascii="Times New Roman" w:cs="Times New Roman" w:eastAsia="Times New Roman" w:hAnsi="Times New Roman"/>
          <w:b w:val="false"/>
          <w:bCs w:val="false"/>
          <w:sz w:val="24"/>
          <w:szCs w:val="24"/>
        </w:rPr>
        <w:tab/>
        <w:t xml:space="preserve">21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2.4 Cumulative and sequential innovation</w:t>
      </w:r>
      <w:r>
        <w:rPr>
          <w:rFonts w:ascii="Times New Roman" w:cs="Times New Roman" w:eastAsia="Times New Roman" w:hAnsi="Times New Roman"/>
          <w:b w:val="false"/>
          <w:bCs w:val="false"/>
          <w:sz w:val="24"/>
          <w:szCs w:val="24"/>
        </w:rPr>
        <w:tab/>
        <w:t xml:space="preserve">23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2.5 From ordinary patents to standard-essential patents</w:t>
      </w:r>
      <w:r>
        <w:rPr>
          <w:rFonts w:ascii="Times New Roman" w:cs="Times New Roman" w:eastAsia="Times New Roman" w:hAnsi="Times New Roman"/>
          <w:b w:val="false"/>
          <w:bCs w:val="false"/>
          <w:sz w:val="24"/>
          <w:szCs w:val="24"/>
        </w:rPr>
        <w:tab/>
        <w:t xml:space="preserve">24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2.6 The evolution of the licensing commitment</w:t>
      </w:r>
      <w:r>
        <w:rPr>
          <w:rFonts w:ascii="Times New Roman" w:cs="Times New Roman" w:eastAsia="Times New Roman" w:hAnsi="Times New Roman"/>
          <w:b w:val="false"/>
          <w:bCs w:val="false"/>
          <w:sz w:val="24"/>
          <w:szCs w:val="24"/>
        </w:rPr>
        <w:tab/>
        <w:t xml:space="preserve">27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2.7 Standard-essential patents as transnational private regulation</w:t>
      </w:r>
      <w:r>
        <w:rPr>
          <w:rFonts w:ascii="Times New Roman" w:cs="Times New Roman" w:eastAsia="Times New Roman" w:hAnsi="Times New Roman"/>
          <w:b w:val="false"/>
          <w:bCs w:val="false"/>
          <w:sz w:val="24"/>
          <w:szCs w:val="24"/>
        </w:rPr>
        <w:tab/>
        <w:t xml:space="preserve">29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2.8 The public interest: specification of criteria</w:t>
      </w:r>
      <w:r>
        <w:rPr>
          <w:rFonts w:ascii="Times New Roman" w:cs="Times New Roman" w:eastAsia="Times New Roman" w:hAnsi="Times New Roman"/>
          <w:b w:val="false"/>
          <w:bCs w:val="false"/>
          <w:sz w:val="24"/>
          <w:szCs w:val="24"/>
        </w:rPr>
        <w:tab/>
        <w:t xml:space="preserve">30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2.9 The literature: principal positions and their strongest forms</w:t>
      </w:r>
      <w:r>
        <w:rPr>
          <w:rFonts w:ascii="Times New Roman" w:cs="Times New Roman" w:eastAsia="Times New Roman" w:hAnsi="Times New Roman"/>
          <w:b w:val="false"/>
          <w:bCs w:val="false"/>
          <w:sz w:val="24"/>
          <w:szCs w:val="24"/>
        </w:rPr>
        <w:tab/>
        <w:t xml:space="preserve">33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2.10 Conclusion</w:t>
      </w:r>
      <w:r>
        <w:rPr>
          <w:rFonts w:ascii="Times New Roman" w:cs="Times New Roman" w:eastAsia="Times New Roman" w:hAnsi="Times New Roman"/>
          <w:b w:val="false"/>
          <w:bCs w:val="false"/>
          <w:sz w:val="24"/>
          <w:szCs w:val="24"/>
        </w:rPr>
        <w:tab/>
        <w:t xml:space="preserve">37</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3: Standard-Development Organisations and the Legal Architecture of FRAND</w:t>
      </w:r>
      <w:r>
        <w:rPr>
          <w:rFonts w:ascii="Times New Roman" w:cs="Times New Roman" w:eastAsia="Times New Roman" w:hAnsi="Times New Roman"/>
          <w:b/>
          <w:bCs/>
          <w:sz w:val="24"/>
          <w:szCs w:val="24"/>
        </w:rPr>
        <w:tab/>
        <w:t xml:space="preserve">38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3.1 Introduction</w:t>
      </w:r>
      <w:r>
        <w:rPr>
          <w:rFonts w:ascii="Times New Roman" w:cs="Times New Roman" w:eastAsia="Times New Roman" w:hAnsi="Times New Roman"/>
          <w:b w:val="false"/>
          <w:bCs w:val="false"/>
          <w:sz w:val="24"/>
          <w:szCs w:val="24"/>
        </w:rPr>
        <w:tab/>
        <w:t xml:space="preserve">38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3.2 The ETSI IPR Policy as the paradigmatic instrument</w:t>
      </w:r>
      <w:r>
        <w:rPr>
          <w:rFonts w:ascii="Times New Roman" w:cs="Times New Roman" w:eastAsia="Times New Roman" w:hAnsi="Times New Roman"/>
          <w:b w:val="false"/>
          <w:bCs w:val="false"/>
          <w:sz w:val="24"/>
          <w:szCs w:val="24"/>
        </w:rPr>
        <w:tab/>
        <w:t xml:space="preserve">38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3.3 Disclosure, patent ambush and the transparency deficit</w:t>
      </w:r>
      <w:r>
        <w:rPr>
          <w:rFonts w:ascii="Times New Roman" w:cs="Times New Roman" w:eastAsia="Times New Roman" w:hAnsi="Times New Roman"/>
          <w:b w:val="false"/>
          <w:bCs w:val="false"/>
          <w:sz w:val="24"/>
          <w:szCs w:val="24"/>
        </w:rPr>
        <w:tab/>
        <w:t xml:space="preserve">41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3.4 The juridical foundation of the obligation</w:t>
      </w:r>
      <w:r>
        <w:rPr>
          <w:rFonts w:ascii="Times New Roman" w:cs="Times New Roman" w:eastAsia="Times New Roman" w:hAnsi="Times New Roman"/>
          <w:b w:val="false"/>
          <w:bCs w:val="false"/>
          <w:sz w:val="24"/>
          <w:szCs w:val="24"/>
        </w:rPr>
        <w:tab/>
        <w:t xml:space="preserve">44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3.5 The content of the obligation</w:t>
      </w:r>
      <w:r>
        <w:rPr>
          <w:rFonts w:ascii="Times New Roman" w:cs="Times New Roman" w:eastAsia="Times New Roman" w:hAnsi="Times New Roman"/>
          <w:b w:val="false"/>
          <w:bCs w:val="false"/>
          <w:sz w:val="24"/>
          <w:szCs w:val="24"/>
        </w:rPr>
        <w:tab/>
        <w:t xml:space="preserve">47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3.6 Comparative institutional design: the more prescriptive alternative</w:t>
      </w:r>
      <w:r>
        <w:rPr>
          <w:rFonts w:ascii="Times New Roman" w:cs="Times New Roman" w:eastAsia="Times New Roman" w:hAnsi="Times New Roman"/>
          <w:b w:val="false"/>
          <w:bCs w:val="false"/>
          <w:sz w:val="24"/>
          <w:szCs w:val="24"/>
        </w:rPr>
        <w:tab/>
        <w:t xml:space="preserve">51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3.6A The common policy of the international bodies and the significance of institutional variety</w:t>
      </w:r>
      <w:r>
        <w:rPr>
          <w:rFonts w:ascii="Times New Roman" w:cs="Times New Roman" w:eastAsia="Times New Roman" w:hAnsi="Times New Roman"/>
          <w:b w:val="false"/>
          <w:bCs w:val="false"/>
          <w:sz w:val="24"/>
          <w:szCs w:val="24"/>
        </w:rPr>
        <w:tab/>
        <w:t xml:space="preserve">53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3.6B Transfers, successors and the durability of the commitment</w:t>
      </w:r>
      <w:r>
        <w:rPr>
          <w:rFonts w:ascii="Times New Roman" w:cs="Times New Roman" w:eastAsia="Times New Roman" w:hAnsi="Times New Roman"/>
          <w:b w:val="false"/>
          <w:bCs w:val="false"/>
          <w:sz w:val="24"/>
          <w:szCs w:val="24"/>
        </w:rPr>
        <w:tab/>
        <w:t xml:space="preserve">55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3.7 Assessing the legitimacy of standardisation governance</w:t>
      </w:r>
      <w:r>
        <w:rPr>
          <w:rFonts w:ascii="Times New Roman" w:cs="Times New Roman" w:eastAsia="Times New Roman" w:hAnsi="Times New Roman"/>
          <w:b w:val="false"/>
          <w:bCs w:val="false"/>
          <w:sz w:val="24"/>
          <w:szCs w:val="24"/>
        </w:rPr>
        <w:tab/>
        <w:t xml:space="preserve">57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3.8 Conclusion</w:t>
      </w:r>
      <w:r>
        <w:rPr>
          <w:rFonts w:ascii="Times New Roman" w:cs="Times New Roman" w:eastAsia="Times New Roman" w:hAnsi="Times New Roman"/>
          <w:b w:val="false"/>
          <w:bCs w:val="false"/>
          <w:sz w:val="24"/>
          <w:szCs w:val="24"/>
        </w:rPr>
        <w:tab/>
        <w:t xml:space="preserve">58</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4: Licensing Architecture and Royalty Valuation</w:t>
      </w:r>
      <w:r>
        <w:rPr>
          <w:rFonts w:ascii="Times New Roman" w:cs="Times New Roman" w:eastAsia="Times New Roman" w:hAnsi="Times New Roman"/>
          <w:b/>
          <w:bCs/>
          <w:sz w:val="24"/>
          <w:szCs w:val="24"/>
        </w:rPr>
        <w:tab/>
        <w:t xml:space="preserve">60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4.1 Introduction</w:t>
      </w:r>
      <w:r>
        <w:rPr>
          <w:rFonts w:ascii="Times New Roman" w:cs="Times New Roman" w:eastAsia="Times New Roman" w:hAnsi="Times New Roman"/>
          <w:b w:val="false"/>
          <w:bCs w:val="false"/>
          <w:sz w:val="24"/>
          <w:szCs w:val="24"/>
        </w:rPr>
        <w:tab/>
        <w:t xml:space="preserve">60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4.2 The forms of licensing</w:t>
      </w:r>
      <w:r>
        <w:rPr>
          <w:rFonts w:ascii="Times New Roman" w:cs="Times New Roman" w:eastAsia="Times New Roman" w:hAnsi="Times New Roman"/>
          <w:b w:val="false"/>
          <w:bCs w:val="false"/>
          <w:sz w:val="24"/>
          <w:szCs w:val="24"/>
        </w:rPr>
        <w:tab/>
        <w:t xml:space="preserve">60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4.3 The level of the supply chain: the central architectural dispute</w:t>
      </w:r>
      <w:r>
        <w:rPr>
          <w:rFonts w:ascii="Times New Roman" w:cs="Times New Roman" w:eastAsia="Times New Roman" w:hAnsi="Times New Roman"/>
          <w:b w:val="false"/>
          <w:bCs w:val="false"/>
          <w:sz w:val="24"/>
          <w:szCs w:val="24"/>
        </w:rPr>
        <w:tab/>
        <w:t xml:space="preserve">64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4.4 Exhaustion and pass-through</w:t>
      </w:r>
      <w:r>
        <w:rPr>
          <w:rFonts w:ascii="Times New Roman" w:cs="Times New Roman" w:eastAsia="Times New Roman" w:hAnsi="Times New Roman"/>
          <w:b w:val="false"/>
          <w:bCs w:val="false"/>
          <w:sz w:val="24"/>
          <w:szCs w:val="24"/>
        </w:rPr>
        <w:tab/>
        <w:t xml:space="preserve">67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4.5 Valuation: the general problem</w:t>
      </w:r>
      <w:r>
        <w:rPr>
          <w:rFonts w:ascii="Times New Roman" w:cs="Times New Roman" w:eastAsia="Times New Roman" w:hAnsi="Times New Roman"/>
          <w:b w:val="false"/>
          <w:bCs w:val="false"/>
          <w:sz w:val="24"/>
          <w:szCs w:val="24"/>
        </w:rPr>
        <w:tab/>
        <w:t xml:space="preserve">68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4.6 Comparable-licence analysis</w:t>
      </w:r>
      <w:r>
        <w:rPr>
          <w:rFonts w:ascii="Times New Roman" w:cs="Times New Roman" w:eastAsia="Times New Roman" w:hAnsi="Times New Roman"/>
          <w:b w:val="false"/>
          <w:bCs w:val="false"/>
          <w:sz w:val="24"/>
          <w:szCs w:val="24"/>
        </w:rPr>
        <w:tab/>
        <w:t xml:space="preserve">69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4.7 Top-down analysis</w:t>
      </w:r>
      <w:r>
        <w:rPr>
          <w:rFonts w:ascii="Times New Roman" w:cs="Times New Roman" w:eastAsia="Times New Roman" w:hAnsi="Times New Roman"/>
          <w:b w:val="false"/>
          <w:bCs w:val="false"/>
          <w:sz w:val="24"/>
          <w:szCs w:val="24"/>
        </w:rPr>
        <w:tab/>
        <w:t xml:space="preserve">71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4.8 Royalty base, apportionment and other parameters</w:t>
      </w:r>
      <w:r>
        <w:rPr>
          <w:rFonts w:ascii="Times New Roman" w:cs="Times New Roman" w:eastAsia="Times New Roman" w:hAnsi="Times New Roman"/>
          <w:b w:val="false"/>
          <w:bCs w:val="false"/>
          <w:sz w:val="24"/>
          <w:szCs w:val="24"/>
        </w:rPr>
        <w:tab/>
        <w:t xml:space="preserve">73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4.9 Hold-up, hold-out and royalty stacking: the empirical controversy</w:t>
      </w:r>
      <w:r>
        <w:rPr>
          <w:rFonts w:ascii="Times New Roman" w:cs="Times New Roman" w:eastAsia="Times New Roman" w:hAnsi="Times New Roman"/>
          <w:b w:val="false"/>
          <w:bCs w:val="false"/>
          <w:sz w:val="24"/>
          <w:szCs w:val="24"/>
        </w:rPr>
        <w:tab/>
        <w:t xml:space="preserve">74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4.10 Sectoral transferability: connected vehicles, the internet of things and beyond</w:t>
      </w:r>
      <w:r>
        <w:rPr>
          <w:rFonts w:ascii="Times New Roman" w:cs="Times New Roman" w:eastAsia="Times New Roman" w:hAnsi="Times New Roman"/>
          <w:b w:val="false"/>
          <w:bCs w:val="false"/>
          <w:sz w:val="24"/>
          <w:szCs w:val="24"/>
        </w:rPr>
        <w:tab/>
        <w:t xml:space="preserve">79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4.11 Conclusion</w:t>
      </w:r>
      <w:r>
        <w:rPr>
          <w:rFonts w:ascii="Times New Roman" w:cs="Times New Roman" w:eastAsia="Times New Roman" w:hAnsi="Times New Roman"/>
          <w:b w:val="false"/>
          <w:bCs w:val="false"/>
          <w:sz w:val="24"/>
          <w:szCs w:val="24"/>
        </w:rPr>
        <w:tab/>
        <w:t xml:space="preserve">83</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5: Enforcement, Remedies and Competition Law</w:t>
      </w:r>
      <w:r>
        <w:rPr>
          <w:rFonts w:ascii="Times New Roman" w:cs="Times New Roman" w:eastAsia="Times New Roman" w:hAnsi="Times New Roman"/>
          <w:b/>
          <w:bCs/>
          <w:sz w:val="24"/>
          <w:szCs w:val="24"/>
        </w:rPr>
        <w:tab/>
        <w:t xml:space="preserve">85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5.1 Introduction</w:t>
      </w:r>
      <w:r>
        <w:rPr>
          <w:rFonts w:ascii="Times New Roman" w:cs="Times New Roman" w:eastAsia="Times New Roman" w:hAnsi="Times New Roman"/>
          <w:b w:val="false"/>
          <w:bCs w:val="false"/>
          <w:sz w:val="24"/>
          <w:szCs w:val="24"/>
        </w:rPr>
        <w:tab/>
        <w:t xml:space="preserve">85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5.2 The centrality of the injunction</w:t>
      </w:r>
      <w:r>
        <w:rPr>
          <w:rFonts w:ascii="Times New Roman" w:cs="Times New Roman" w:eastAsia="Times New Roman" w:hAnsi="Times New Roman"/>
          <w:b w:val="false"/>
          <w:bCs w:val="false"/>
          <w:sz w:val="24"/>
          <w:szCs w:val="24"/>
        </w:rPr>
        <w:tab/>
        <w:t xml:space="preserve">85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5.3 The framework established by the Court of Justice</w:t>
      </w:r>
      <w:r>
        <w:rPr>
          <w:rFonts w:ascii="Times New Roman" w:cs="Times New Roman" w:eastAsia="Times New Roman" w:hAnsi="Times New Roman"/>
          <w:b w:val="false"/>
          <w:bCs w:val="false"/>
          <w:sz w:val="24"/>
          <w:szCs w:val="24"/>
        </w:rPr>
        <w:tab/>
        <w:t xml:space="preserve">86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5.4 The German construction: willingness and its forfeiture</w:t>
      </w:r>
      <w:r>
        <w:rPr>
          <w:rFonts w:ascii="Times New Roman" w:cs="Times New Roman" w:eastAsia="Times New Roman" w:hAnsi="Times New Roman"/>
          <w:b w:val="false"/>
          <w:bCs w:val="false"/>
          <w:sz w:val="24"/>
          <w:szCs w:val="24"/>
        </w:rPr>
        <w:tab/>
        <w:t xml:space="preserve">87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5.5 The Unified Patent Court</w:t>
      </w:r>
      <w:r>
        <w:rPr>
          <w:rFonts w:ascii="Times New Roman" w:cs="Times New Roman" w:eastAsia="Times New Roman" w:hAnsi="Times New Roman"/>
          <w:b w:val="false"/>
          <w:bCs w:val="false"/>
          <w:sz w:val="24"/>
          <w:szCs w:val="24"/>
        </w:rPr>
        <w:tab/>
        <w:t xml:space="preserve">89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5.6 The English approach: global licences, willingness and the interim licence</w:t>
      </w:r>
      <w:r>
        <w:rPr>
          <w:rFonts w:ascii="Times New Roman" w:cs="Times New Roman" w:eastAsia="Times New Roman" w:hAnsi="Times New Roman"/>
          <w:b w:val="false"/>
          <w:bCs w:val="false"/>
          <w:sz w:val="24"/>
          <w:szCs w:val="24"/>
        </w:rPr>
        <w:tab/>
        <w:t xml:space="preserve">90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5.7 Monetary remedies, interim payment and access to justice</w:t>
      </w:r>
      <w:r>
        <w:rPr>
          <w:rFonts w:ascii="Times New Roman" w:cs="Times New Roman" w:eastAsia="Times New Roman" w:hAnsi="Times New Roman"/>
          <w:b w:val="false"/>
          <w:bCs w:val="false"/>
          <w:sz w:val="24"/>
          <w:szCs w:val="24"/>
        </w:rPr>
        <w:tab/>
        <w:t xml:space="preserve">93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5.8 Competition law: role and limits</w:t>
      </w:r>
      <w:r>
        <w:rPr>
          <w:rFonts w:ascii="Times New Roman" w:cs="Times New Roman" w:eastAsia="Times New Roman" w:hAnsi="Times New Roman"/>
          <w:b w:val="false"/>
          <w:bCs w:val="false"/>
          <w:sz w:val="24"/>
          <w:szCs w:val="24"/>
        </w:rPr>
        <w:tab/>
        <w:t xml:space="preserve">95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5.8A Proportionality, equitable discretion and the shape of remedial control</w:t>
      </w:r>
      <w:r>
        <w:rPr>
          <w:rFonts w:ascii="Times New Roman" w:cs="Times New Roman" w:eastAsia="Times New Roman" w:hAnsi="Times New Roman"/>
          <w:b w:val="false"/>
          <w:bCs w:val="false"/>
          <w:sz w:val="24"/>
          <w:szCs w:val="24"/>
        </w:rPr>
        <w:tab/>
        <w:t xml:space="preserve">97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5.8B Arbitration, mediation and expert determination</w:t>
      </w:r>
      <w:r>
        <w:rPr>
          <w:rFonts w:ascii="Times New Roman" w:cs="Times New Roman" w:eastAsia="Times New Roman" w:hAnsi="Times New Roman"/>
          <w:b w:val="false"/>
          <w:bCs w:val="false"/>
          <w:sz w:val="24"/>
          <w:szCs w:val="24"/>
        </w:rPr>
        <w:tab/>
        <w:t xml:space="preserve">99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5.9 Public-interest assessment of the remedial framework</w:t>
      </w:r>
      <w:r>
        <w:rPr>
          <w:rFonts w:ascii="Times New Roman" w:cs="Times New Roman" w:eastAsia="Times New Roman" w:hAnsi="Times New Roman"/>
          <w:b w:val="false"/>
          <w:bCs w:val="false"/>
          <w:sz w:val="24"/>
          <w:szCs w:val="24"/>
        </w:rPr>
        <w:tab/>
        <w:t xml:space="preserve">101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5.10 Conclusion</w:t>
      </w:r>
      <w:r>
        <w:rPr>
          <w:rFonts w:ascii="Times New Roman" w:cs="Times New Roman" w:eastAsia="Times New Roman" w:hAnsi="Times New Roman"/>
          <w:b w:val="false"/>
          <w:bCs w:val="false"/>
          <w:sz w:val="24"/>
          <w:szCs w:val="24"/>
        </w:rPr>
        <w:tab/>
        <w:t xml:space="preserve">102</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6: Comparative Jurisprudence and Transnational Rate-Setting</w:t>
      </w:r>
      <w:r>
        <w:rPr>
          <w:rFonts w:ascii="Times New Roman" w:cs="Times New Roman" w:eastAsia="Times New Roman" w:hAnsi="Times New Roman"/>
          <w:b/>
          <w:bCs/>
          <w:sz w:val="24"/>
          <w:szCs w:val="24"/>
        </w:rPr>
        <w:tab/>
        <w:t xml:space="preserve">104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6.1 Method and organisation</w:t>
      </w:r>
      <w:r>
        <w:rPr>
          <w:rFonts w:ascii="Times New Roman" w:cs="Times New Roman" w:eastAsia="Times New Roman" w:hAnsi="Times New Roman"/>
          <w:b w:val="false"/>
          <w:bCs w:val="false"/>
          <w:sz w:val="24"/>
          <w:szCs w:val="24"/>
        </w:rPr>
        <w:tab/>
        <w:t xml:space="preserve">104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6.2 The juridical source of the obligation</w:t>
      </w:r>
      <w:r>
        <w:rPr>
          <w:rFonts w:ascii="Times New Roman" w:cs="Times New Roman" w:eastAsia="Times New Roman" w:hAnsi="Times New Roman"/>
          <w:b w:val="false"/>
          <w:bCs w:val="false"/>
          <w:sz w:val="24"/>
          <w:szCs w:val="24"/>
        </w:rPr>
        <w:tab/>
        <w:t xml:space="preserve">105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6.3 Injunctions and the assessment of willingness</w:t>
      </w:r>
      <w:r>
        <w:rPr>
          <w:rFonts w:ascii="Times New Roman" w:cs="Times New Roman" w:eastAsia="Times New Roman" w:hAnsi="Times New Roman"/>
          <w:b w:val="false"/>
          <w:bCs w:val="false"/>
          <w:sz w:val="24"/>
          <w:szCs w:val="24"/>
        </w:rPr>
        <w:tab/>
        <w:t xml:space="preserve">106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6.4 Global rate-setting and the competition between fora</w:t>
      </w:r>
      <w:r>
        <w:rPr>
          <w:rFonts w:ascii="Times New Roman" w:cs="Times New Roman" w:eastAsia="Times New Roman" w:hAnsi="Times New Roman"/>
          <w:b w:val="false"/>
          <w:bCs w:val="false"/>
          <w:sz w:val="24"/>
          <w:szCs w:val="24"/>
        </w:rPr>
        <w:tab/>
        <w:t xml:space="preserve">108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6.5 Foreign patents, comity and anti-suit relief</w:t>
      </w:r>
      <w:r>
        <w:rPr>
          <w:rFonts w:ascii="Times New Roman" w:cs="Times New Roman" w:eastAsia="Times New Roman" w:hAnsi="Times New Roman"/>
          <w:b w:val="false"/>
          <w:bCs w:val="false"/>
          <w:sz w:val="24"/>
          <w:szCs w:val="24"/>
        </w:rPr>
        <w:tab/>
        <w:t xml:space="preserve">111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6.6 Valuation: convergence of method, divergence of outcome</w:t>
      </w:r>
      <w:r>
        <w:rPr>
          <w:rFonts w:ascii="Times New Roman" w:cs="Times New Roman" w:eastAsia="Times New Roman" w:hAnsi="Times New Roman"/>
          <w:b w:val="false"/>
          <w:bCs w:val="false"/>
          <w:sz w:val="24"/>
          <w:szCs w:val="24"/>
        </w:rPr>
        <w:tab/>
        <w:t xml:space="preserve">113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6.7 The role of competition law</w:t>
      </w:r>
      <w:r>
        <w:rPr>
          <w:rFonts w:ascii="Times New Roman" w:cs="Times New Roman" w:eastAsia="Times New Roman" w:hAnsi="Times New Roman"/>
          <w:b w:val="false"/>
          <w:bCs w:val="false"/>
          <w:sz w:val="24"/>
          <w:szCs w:val="24"/>
        </w:rPr>
        <w:tab/>
        <w:t xml:space="preserve">114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6.8 Confidentiality and comparable licences</w:t>
      </w:r>
      <w:r>
        <w:rPr>
          <w:rFonts w:ascii="Times New Roman" w:cs="Times New Roman" w:eastAsia="Times New Roman" w:hAnsi="Times New Roman"/>
          <w:b w:val="false"/>
          <w:bCs w:val="false"/>
          <w:sz w:val="24"/>
          <w:szCs w:val="24"/>
        </w:rPr>
        <w:tab/>
        <w:t xml:space="preserve">115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6.9 The public interest in comparative perspective</w:t>
      </w:r>
      <w:r>
        <w:rPr>
          <w:rFonts w:ascii="Times New Roman" w:cs="Times New Roman" w:eastAsia="Times New Roman" w:hAnsi="Times New Roman"/>
          <w:b w:val="false"/>
          <w:bCs w:val="false"/>
          <w:sz w:val="24"/>
          <w:szCs w:val="24"/>
        </w:rPr>
        <w:tab/>
        <w:t xml:space="preserve">116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6.9A The comparison in summary</w:t>
      </w:r>
      <w:r>
        <w:rPr>
          <w:rFonts w:ascii="Times New Roman" w:cs="Times New Roman" w:eastAsia="Times New Roman" w:hAnsi="Times New Roman"/>
          <w:b w:val="false"/>
          <w:bCs w:val="false"/>
          <w:sz w:val="24"/>
          <w:szCs w:val="24"/>
        </w:rPr>
        <w:tab/>
        <w:t xml:space="preserve">117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6.9B What the comparison establishes and what it does not</w:t>
      </w:r>
      <w:r>
        <w:rPr>
          <w:rFonts w:ascii="Times New Roman" w:cs="Times New Roman" w:eastAsia="Times New Roman" w:hAnsi="Times New Roman"/>
          <w:b w:val="false"/>
          <w:bCs w:val="false"/>
          <w:sz w:val="24"/>
          <w:szCs w:val="24"/>
        </w:rPr>
        <w:tab/>
        <w:t xml:space="preserve">119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6.10 The international framework and the limits of harmonisation</w:t>
      </w:r>
      <w:r>
        <w:rPr>
          <w:rFonts w:ascii="Times New Roman" w:cs="Times New Roman" w:eastAsia="Times New Roman" w:hAnsi="Times New Roman"/>
          <w:b w:val="false"/>
          <w:bCs w:val="false"/>
          <w:sz w:val="24"/>
          <w:szCs w:val="24"/>
        </w:rPr>
        <w:tab/>
        <w:t xml:space="preserve">121</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6.11 Conclusion</w:t>
      </w:r>
      <w:r>
        <w:rPr>
          <w:rFonts w:ascii="Times New Roman" w:cs="Times New Roman" w:eastAsia="Times New Roman" w:hAnsi="Times New Roman"/>
          <w:b w:val="false"/>
          <w:bCs w:val="false"/>
          <w:sz w:val="24"/>
          <w:szCs w:val="24"/>
        </w:rPr>
        <w:tab/>
        <w:t xml:space="preserve">125</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7: India, Development and a Layered Public-Interest Governance Framework</w:t>
      </w:r>
      <w:r>
        <w:rPr>
          <w:rFonts w:ascii="Times New Roman" w:cs="Times New Roman" w:eastAsia="Times New Roman" w:hAnsi="Times New Roman"/>
          <w:b/>
          <w:bCs/>
          <w:sz w:val="24"/>
          <w:szCs w:val="24"/>
        </w:rPr>
        <w:tab/>
        <w:t xml:space="preserve">126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7.1 India's structural position</w:t>
      </w:r>
      <w:r>
        <w:rPr>
          <w:rFonts w:ascii="Times New Roman" w:cs="Times New Roman" w:eastAsia="Times New Roman" w:hAnsi="Times New Roman"/>
          <w:b w:val="false"/>
          <w:bCs w:val="false"/>
          <w:sz w:val="24"/>
          <w:szCs w:val="24"/>
        </w:rPr>
        <w:tab/>
        <w:t xml:space="preserve">126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7.2 The transferability question</w:t>
      </w:r>
      <w:r>
        <w:rPr>
          <w:rFonts w:ascii="Times New Roman" w:cs="Times New Roman" w:eastAsia="Times New Roman" w:hAnsi="Times New Roman"/>
          <w:b w:val="false"/>
          <w:bCs w:val="false"/>
          <w:sz w:val="24"/>
          <w:szCs w:val="24"/>
        </w:rPr>
        <w:tab/>
        <w:t xml:space="preserve">126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7.3 The statutory architecture: a patent code with express public-interest principles</w:t>
      </w:r>
      <w:r>
        <w:rPr>
          <w:rFonts w:ascii="Times New Roman" w:cs="Times New Roman" w:eastAsia="Times New Roman" w:hAnsi="Times New Roman"/>
          <w:b w:val="false"/>
          <w:bCs w:val="false"/>
          <w:sz w:val="24"/>
          <w:szCs w:val="24"/>
        </w:rPr>
        <w:tab/>
        <w:t xml:space="preserve">128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7.4 The Indian jurisprudence</w:t>
      </w:r>
      <w:r>
        <w:rPr>
          <w:rFonts w:ascii="Times New Roman" w:cs="Times New Roman" w:eastAsia="Times New Roman" w:hAnsi="Times New Roman"/>
          <w:b w:val="false"/>
          <w:bCs w:val="false"/>
          <w:sz w:val="24"/>
          <w:szCs w:val="24"/>
        </w:rPr>
        <w:tab/>
        <w:t xml:space="preserve">130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7.5 The institutional question: the boundary between the patent and competition regimes</w:t>
      </w:r>
      <w:r>
        <w:rPr>
          <w:rFonts w:ascii="Times New Roman" w:cs="Times New Roman" w:eastAsia="Times New Roman" w:hAnsi="Times New Roman"/>
          <w:b w:val="false"/>
          <w:bCs w:val="false"/>
          <w:sz w:val="24"/>
          <w:szCs w:val="24"/>
        </w:rPr>
        <w:tab/>
        <w:t xml:space="preserve">134</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7.6 The developmental critique</w:t>
      </w:r>
      <w:r>
        <w:rPr>
          <w:rFonts w:ascii="Times New Roman" w:cs="Times New Roman" w:eastAsia="Times New Roman" w:hAnsi="Times New Roman"/>
          <w:b w:val="false"/>
          <w:bCs w:val="false"/>
          <w:sz w:val="24"/>
          <w:szCs w:val="24"/>
        </w:rPr>
        <w:tab/>
        <w:t xml:space="preserve">137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7.7 The Layered SEP Innovation-Governance Framework</w:t>
      </w:r>
      <w:r>
        <w:rPr>
          <w:rFonts w:ascii="Times New Roman" w:cs="Times New Roman" w:eastAsia="Times New Roman" w:hAnsi="Times New Roman"/>
          <w:b w:val="false"/>
          <w:bCs w:val="false"/>
          <w:sz w:val="24"/>
          <w:szCs w:val="24"/>
        </w:rPr>
        <w:tab/>
        <w:t xml:space="preserve">140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7.8 Counterarguments to the framework</w:t>
      </w:r>
      <w:r>
        <w:rPr>
          <w:rFonts w:ascii="Times New Roman" w:cs="Times New Roman" w:eastAsia="Times New Roman" w:hAnsi="Times New Roman"/>
          <w:b w:val="false"/>
          <w:bCs w:val="false"/>
          <w:sz w:val="24"/>
          <w:szCs w:val="24"/>
        </w:rPr>
        <w:tab/>
        <w:t xml:space="preserve">147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7.8A Sequencing, feasibility and the couplings between layers</w:t>
      </w:r>
      <w:r>
        <w:rPr>
          <w:rFonts w:ascii="Times New Roman" w:cs="Times New Roman" w:eastAsia="Times New Roman" w:hAnsi="Times New Roman"/>
          <w:b w:val="false"/>
          <w:bCs w:val="false"/>
          <w:sz w:val="24"/>
          <w:szCs w:val="24"/>
        </w:rPr>
        <w:tab/>
        <w:t xml:space="preserve">153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7.9 Conclusion</w:t>
      </w:r>
      <w:r>
        <w:rPr>
          <w:rFonts w:ascii="Times New Roman" w:cs="Times New Roman" w:eastAsia="Times New Roman" w:hAnsi="Times New Roman"/>
          <w:b w:val="false"/>
          <w:bCs w:val="false"/>
          <w:sz w:val="24"/>
          <w:szCs w:val="24"/>
        </w:rPr>
        <w:tab/>
        <w:t xml:space="preserve">156</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Chapter 8: Conclusion</w:t>
      </w:r>
      <w:r>
        <w:rPr>
          <w:rFonts w:ascii="Times New Roman" w:cs="Times New Roman" w:eastAsia="Times New Roman" w:hAnsi="Times New Roman"/>
          <w:b/>
          <w:bCs/>
          <w:sz w:val="24"/>
          <w:szCs w:val="24"/>
        </w:rPr>
        <w:tab/>
        <w:t xml:space="preserve">157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8.1 The answer to the research question</w:t>
      </w:r>
      <w:r>
        <w:rPr>
          <w:rFonts w:ascii="Times New Roman" w:cs="Times New Roman" w:eastAsia="Times New Roman" w:hAnsi="Times New Roman"/>
          <w:b w:val="false"/>
          <w:bCs w:val="false"/>
          <w:sz w:val="24"/>
          <w:szCs w:val="24"/>
        </w:rPr>
        <w:tab/>
        <w:t xml:space="preserve">157</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8.2 The thesis, tested</w:t>
      </w:r>
      <w:r>
        <w:rPr>
          <w:rFonts w:ascii="Times New Roman" w:cs="Times New Roman" w:eastAsia="Times New Roman" w:hAnsi="Times New Roman"/>
          <w:b w:val="false"/>
          <w:bCs w:val="false"/>
          <w:sz w:val="24"/>
          <w:szCs w:val="24"/>
        </w:rPr>
        <w:tab/>
        <w:t xml:space="preserve">158</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8.3 Qualifications</w:t>
      </w:r>
      <w:r>
        <w:rPr>
          <w:rFonts w:ascii="Times New Roman" w:cs="Times New Roman" w:eastAsia="Times New Roman" w:hAnsi="Times New Roman"/>
          <w:b w:val="false"/>
          <w:bCs w:val="false"/>
          <w:sz w:val="24"/>
          <w:szCs w:val="24"/>
        </w:rPr>
        <w:tab/>
        <w:t xml:space="preserve">159</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8.4 Principal findings</w:t>
      </w:r>
      <w:r>
        <w:rPr>
          <w:rFonts w:ascii="Times New Roman" w:cs="Times New Roman" w:eastAsia="Times New Roman" w:hAnsi="Times New Roman"/>
          <w:b w:val="false"/>
          <w:bCs w:val="false"/>
          <w:sz w:val="24"/>
          <w:szCs w:val="24"/>
        </w:rPr>
        <w:tab/>
        <w:t xml:space="preserve">160</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8.5 The contribution and its limits</w:t>
      </w:r>
      <w:r>
        <w:rPr>
          <w:rFonts w:ascii="Times New Roman" w:cs="Times New Roman" w:eastAsia="Times New Roman" w:hAnsi="Times New Roman"/>
          <w:b w:val="false"/>
          <w:bCs w:val="false"/>
          <w:sz w:val="24"/>
          <w:szCs w:val="24"/>
        </w:rPr>
        <w:tab/>
        <w:t xml:space="preserve">162</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8.6 Reform implications</w:t>
      </w:r>
      <w:r>
        <w:rPr>
          <w:rFonts w:ascii="Times New Roman" w:cs="Times New Roman" w:eastAsia="Times New Roman" w:hAnsi="Times New Roman"/>
          <w:b w:val="false"/>
          <w:bCs w:val="false"/>
          <w:sz w:val="24"/>
          <w:szCs w:val="24"/>
        </w:rPr>
        <w:tab/>
        <w:t xml:space="preserve">162</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8.6A What would falsify the thesis</w:t>
      </w:r>
      <w:r>
        <w:rPr>
          <w:rFonts w:ascii="Times New Roman" w:cs="Times New Roman" w:eastAsia="Times New Roman" w:hAnsi="Times New Roman"/>
          <w:b w:val="false"/>
          <w:bCs w:val="false"/>
          <w:sz w:val="24"/>
          <w:szCs w:val="24"/>
        </w:rPr>
        <w:tab/>
        <w:t xml:space="preserve">163</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8.7 Limitations of the dissertation</w:t>
      </w:r>
      <w:r>
        <w:rPr>
          <w:rFonts w:ascii="Times New Roman" w:cs="Times New Roman" w:eastAsia="Times New Roman" w:hAnsi="Times New Roman"/>
          <w:b w:val="false"/>
          <w:bCs w:val="false"/>
          <w:sz w:val="24"/>
          <w:szCs w:val="24"/>
        </w:rPr>
        <w:tab/>
        <w:t xml:space="preserve">165</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8.8 Future research</w:t>
      </w:r>
      <w:r>
        <w:rPr>
          <w:rFonts w:ascii="Times New Roman" w:cs="Times New Roman" w:eastAsia="Times New Roman" w:hAnsi="Times New Roman"/>
          <w:b w:val="false"/>
          <w:bCs w:val="false"/>
          <w:sz w:val="24"/>
          <w:szCs w:val="24"/>
        </w:rPr>
        <w:tab/>
        <w:t xml:space="preserve">166</w:t>
      </w:r>
    </w:p>
    <w:p>
      <w:pPr>
        <w:tabs>
          <w:tab w:val="right" w:pos="8146" w:leader="dot"/>
        </w:tabs>
        <w:spacing w:after="40" w:before="0" w:line="240"/>
        <w:ind w:left="480" w:right="160" w:hanging="0"/>
      </w:pPr>
      <w:r>
        <w:rPr>
          <w:rFonts w:ascii="Times New Roman" w:cs="Times New Roman" w:eastAsia="Times New Roman" w:hAnsi="Times New Roman"/>
          <w:b w:val="false"/>
          <w:bCs w:val="false"/>
          <w:i w:val="false"/>
          <w:iCs w:val="false"/>
          <w:sz w:val="24"/>
          <w:szCs w:val="24"/>
        </w:rPr>
        <w:t xml:space="preserve">8.9 Closing observation</w:t>
      </w:r>
      <w:r>
        <w:rPr>
          <w:rFonts w:ascii="Times New Roman" w:cs="Times New Roman" w:eastAsia="Times New Roman" w:hAnsi="Times New Roman"/>
          <w:b w:val="false"/>
          <w:bCs w:val="false"/>
          <w:sz w:val="24"/>
          <w:szCs w:val="24"/>
        </w:rPr>
        <w:tab/>
        <w:t xml:space="preserve">166</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Bibliography</w:t>
      </w:r>
      <w:r>
        <w:rPr>
          <w:rFonts w:ascii="Times New Roman" w:cs="Times New Roman" w:eastAsia="Times New Roman" w:hAnsi="Times New Roman"/>
          <w:b/>
          <w:bCs/>
          <w:sz w:val="24"/>
          <w:szCs w:val="24"/>
        </w:rPr>
        <w:tab/>
        <w:t xml:space="preserve">168</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A: Source Ledger</w:t>
      </w:r>
      <w:r>
        <w:rPr>
          <w:rFonts w:ascii="Times New Roman" w:cs="Times New Roman" w:eastAsia="Times New Roman" w:hAnsi="Times New Roman"/>
          <w:b/>
          <w:bCs/>
          <w:sz w:val="24"/>
          <w:szCs w:val="24"/>
        </w:rPr>
        <w:tab/>
        <w:t xml:space="preserve">172</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B: Case Matrix</w:t>
      </w:r>
      <w:r>
        <w:rPr>
          <w:rFonts w:ascii="Times New Roman" w:cs="Times New Roman" w:eastAsia="Times New Roman" w:hAnsi="Times New Roman"/>
          <w:b/>
          <w:bCs/>
          <w:sz w:val="24"/>
          <w:szCs w:val="24"/>
        </w:rPr>
        <w:tab/>
        <w:t xml:space="preserve">175</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C: The Layered SEP Innovation-Governance Framework</w:t>
      </w:r>
      <w:r>
        <w:rPr>
          <w:rFonts w:ascii="Times New Roman" w:cs="Times New Roman" w:eastAsia="Times New Roman" w:hAnsi="Times New Roman"/>
          <w:b/>
          <w:bCs/>
          <w:sz w:val="24"/>
          <w:szCs w:val="24"/>
        </w:rPr>
        <w:tab/>
        <w:t xml:space="preserve">176</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D: Note on Citation Conventions Adopted</w:t>
      </w:r>
      <w:r>
        <w:rPr>
          <w:rFonts w:ascii="Times New Roman" w:cs="Times New Roman" w:eastAsia="Times New Roman" w:hAnsi="Times New Roman"/>
          <w:b/>
          <w:bCs/>
          <w:sz w:val="24"/>
          <w:szCs w:val="24"/>
        </w:rPr>
        <w:tab/>
        <w:t xml:space="preserve">178</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E: Source-Verification Report</w:t>
      </w:r>
      <w:r>
        <w:rPr>
          <w:rFonts w:ascii="Times New Roman" w:cs="Times New Roman" w:eastAsia="Times New Roman" w:hAnsi="Times New Roman"/>
          <w:b/>
          <w:bCs/>
          <w:sz w:val="24"/>
          <w:szCs w:val="24"/>
        </w:rPr>
        <w:tab/>
        <w:t xml:space="preserve">179</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F: Human-Review Notice</w:t>
      </w:r>
      <w:r>
        <w:rPr>
          <w:rFonts w:ascii="Times New Roman" w:cs="Times New Roman" w:eastAsia="Times New Roman" w:hAnsi="Times New Roman"/>
          <w:b/>
          <w:bCs/>
          <w:sz w:val="24"/>
          <w:szCs w:val="24"/>
        </w:rPr>
        <w:tab/>
        <w:t xml:space="preserve">182</w:t>
      </w:r>
    </w:p>
    <w:p>
      <w:pPr>
        <w:tabs>
          <w:tab w:val="right" w:pos="8146" w:leader="dot"/>
        </w:tabs>
        <w:spacing w:after="100" w:before="120" w:line="240"/>
        <w:ind w:left="0" w:right="160" w:hanging="0"/>
      </w:pPr>
      <w:r>
        <w:rPr>
          <w:rFonts w:ascii="Times New Roman" w:cs="Times New Roman" w:eastAsia="Times New Roman" w:hAnsi="Times New Roman"/>
          <w:b/>
          <w:bCs/>
          <w:i w:val="false"/>
          <w:iCs w:val="false"/>
          <w:sz w:val="24"/>
          <w:szCs w:val="24"/>
        </w:rPr>
        <w:t xml:space="preserve">Appendix G: Glossary of Terms as Used in This Dissertation</w:t>
      </w:r>
      <w:r>
        <w:rPr>
          <w:rFonts w:ascii="Times New Roman" w:cs="Times New Roman" w:eastAsia="Times New Roman" w:hAnsi="Times New Roman"/>
          <w:b/>
          <w:bCs/>
          <w:sz w:val="24"/>
          <w:szCs w:val="24"/>
        </w:rPr>
        <w:tab/>
        <w:t xml:space="preserve">184</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List of Abbreviations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3GPP</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Third Generation Partnership Project</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BGH</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Bundesgerichtshof (German Federal Court of Justice)</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CCI</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Competition Commission of India</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CJEU</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 of Justice of the European Union</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EWCA</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England and Wales Court of Appeal</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EWHC</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England and Wales High Court</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European Telecommunications Standards Institute</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FRAND</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Fair, Reasonable and Non-Discriminatory</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FTC</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Federal Trade Commission (United States)</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IEEE-SA</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Institute of Electrical and Electronics Engineers Standards Association</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IoT</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Internet of Things</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IPAB</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Intellectual Property Appellate Board (India)</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IPD</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Intellectual Property Division, High Court of Delhi</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LOA</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Letter of Assurance</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SDO</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Standard-Development Organisation</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SEP</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Standard-Essential Patent</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SPC</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Supreme People’s Court (People’s Republic of China)</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SSPPU</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Smallest Saleable Patent-Practising Unit</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TFEU</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Treaty on the Functioning of the European Union</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TRIPS</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Agreement on Trade-Related Aspects of Intellectual Property Rights</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UKSC</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United Kingdom Supreme Court</w:t>
            </w:r>
          </w:p>
        </w:tc>
      </w:tr>
      <w:tr>
        <w:trPr>
          <w:cantSplit/>
        </w:trPr>
        <w:tc>
          <w:tcPr>
            <w:tcW w:type="dxa" w:w="16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UPC</w:t>
            </w:r>
          </w:p>
        </w:tc>
        <w:tc>
          <w:tcPr>
            <w:tcW w:type="dxa" w:w="6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Unified Patent Court</w:t>
            </w:r>
          </w:p>
        </w:tc>
      </w:tr>
    </w:tbl>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Table of Cases</w:t>
      </w:r>
    </w:p>
    <w:p>
      <w:pPr>
        <w:pStyle w:val="Heading2"/>
        <w:spacing w:after="150" w:before="300" w:line="240"/>
      </w:pPr>
      <w:r>
        <w:rPr>
          <w:rFonts w:ascii="Times New Roman" w:cs="Times New Roman" w:eastAsia="Times New Roman" w:hAnsi="Times New Roman"/>
          <w:b/>
          <w:bCs/>
          <w:i w:val="false"/>
          <w:iCs w:val="false"/>
          <w:sz w:val="25"/>
          <w:szCs w:val="25"/>
        </w:rPr>
        <w:t xml:space="preserve">Court of Justice of the European Union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Technologies Co Ltd v ZTE Corp (Case C-170/13) EU:C:2015:477</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3.4.2, 5.3, 6.2, 6.7</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United Kingdom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InterDigital Technology Corp v Lenovo Group Ltd [2023] EWHC 1583 (Pat)</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4.6.2, 6.6</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InterDigital Technology Corp v Lenovo Group Ltd [2024] EWCA Civ 743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4.6.2, 6.6</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Optis Cellular Technology LLC v Apple Retail UK Ltd [2025] EWCA Civ 552</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4.6.2, 5.6.2, 6.5.3, 6.6</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Holdings Corp v Xiaomi Technology UK Ltd [2024] EWCA Civ 1143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5.6.3, 7.7.5</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Unwired Planet International Ltd v Huawei Technologies Co Ltd [2017] EWHC 711 (Pat)</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3.5.3, 5.4</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Unwired Planet International Ltd v Huawei Technologies (UK) Co Ltd [2020] UKSC 37</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3.5.1, 4.2.3, 5.6.1, 6.4.1</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Germany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Sisvel v Haier, BGH, KZR 36/17, 5 May 2020</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5.4, 6.3.2</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Sisvel v Haier II, BGH, KZR 35/17, 24 November 2020</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5.4</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Unified Patent Court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Technologies Co Ltd v Netgear Inc, CFI, Munich Local Division, UPC_CFI_9/2023, 18 December 2024</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5.5, 6.5.2</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Holdings Corp v Guangdong OPPO Mobile Telecommunications Corp Ltd, CFI, Mannheim Local Division, UPC_CFI_210/2023, 22 November 2024</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5.5, 6.3.2</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United States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eBay Inc v MercExchange LLC 547 US 388 (2006)</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5.8.3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Federal Trade Commission v Qualcomm Inc 411 F Supp 3d 658 (ND Cal 2019)</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5.8.3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Federal Trade Commission v Qualcomm Inc 969 F.3d 974 (9th Cir 2020)</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3.4.2, 5.8.3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Microsoft Corp v Motorola Inc 696 F.3d 872 (9th Cir 2012)</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5.8.3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Microsoft Corp v Motorola Inc 795 F.3d 1024 (9th Cir 2015)</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5.8.3</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People's Republic of China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OPPO v Nokia, Chongqing First Intermediate People’s Court, (2021) Yu 01 Min Chu No 1232, December 2023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6.4.2, 6.9, 7.6.3</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India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K.K. Bansal v Koninklijke Philips Electronics NV (Delhi HC, Division Bench, RFA(OS)(COMM) 17 and 18 of 2018, 18 May 2026)</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4.4.2, 7.4.3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Koninklijke Philips Electronics NV v Rajesh Bansal (Delhi HC, single judge, 12 July 2018)</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7.4.3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Lava International Ltd v Telefonaktiebolaget LM Ericsson 2024:DHC:2698</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7.4.2, 7.6.1</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Telefonaktiebolaget LM Ericsson (PUBL) v CCI (Delhi HC, single judge, 30 March 2016)</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7.5.1</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Telefonaktiebolaget LM Ericsson (PUBL) v CCI (Delhi HC, Division Bench, 13 July 2023)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7.5.1</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Telefonaktiebolaget LM Ericsson (PUBL) v Intex Technologies (India) Ltd (Delhi HC, Division Bench, 2023)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7.4.1</w:t>
            </w:r>
          </w:p>
        </w:tc>
      </w:tr>
    </w:tbl>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Table of Legislation, Treaties and Official Instruments</w:t>
      </w:r>
    </w:p>
    <w:p>
      <w:pPr>
        <w:pStyle w:val="Heading2"/>
        <w:spacing w:after="150" w:before="300" w:line="240"/>
      </w:pPr>
      <w:r>
        <w:rPr>
          <w:rFonts w:ascii="Times New Roman" w:cs="Times New Roman" w:eastAsia="Times New Roman" w:hAnsi="Times New Roman"/>
          <w:b/>
          <w:bCs/>
          <w:i w:val="false"/>
          <w:iCs w:val="false"/>
          <w:sz w:val="25"/>
          <w:szCs w:val="25"/>
        </w:rPr>
        <w:t xml:space="preserve">India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Instrument</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Competition Act 2002, ss 3, 4, 60, 62; as amended by the Competition (Amendment) Act 2023 (Act No 9 of 2023)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7.5.2</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Indian Evidence Act 1872, s 45</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7.4.3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Patents Act 1970, ss 83, 84, 90, 107A(b), 140</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4.4.2, 7.3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Tribunals Reforms Act 2021</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7.5.4</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High Court of Delhi Intellectual Property Division Rules 2022</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7.5.4</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High Court of Delhi Rules Governing Patent Suits 2022, r 3(A)(ix)</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7.4.3, 7.5.4</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European Union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Instrument</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Treaty on the Functioning of the European Union, art 102</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3.4.2, 5.3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Proposal for a Regulation on standard essential patents, COM(2023) 232 final (withdrawn)</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8.7</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Commission Communication COM(2017) 712 final</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2.5.2</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United States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Instrument</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Sherman Act, 15 USC ss 1 to 2</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5.8.3</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International instruments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Instrument</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Agreement on Trade-Related Aspects of Intellectual Property Rights, arts 7, 8, 30, 31, 40</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1.7</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Standard-development-organisation instruments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500"/>
        <w:gridCol w:w="1900"/>
      </w:tblGrid>
      <w:tr>
        <w:trPr>
          <w:cantSplit/>
          <w:tblHeader/>
        </w:trPr>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Instrument</w:t>
            </w:r>
          </w:p>
        </w:tc>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Discussed at</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 Rules of Procedure, Annex 6 (Intellectual Property Rights Policy), cll 4.1, 6.1</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3.2, 3.3</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 Guide on Intellectual Property Rights</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2.5.2, 3.2</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IEEE-SA Standards Board Bylaws, cl 6 (Patent Policy), 2015 revision</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3.6</w:t>
            </w:r>
          </w:p>
        </w:tc>
      </w:tr>
      <w:tr>
        <w:trPr>
          <w:cantSplit/>
        </w:trPr>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IEEE-SA Standards Board Bylaws, cl 6 (Patent Policy), revision effective 1 January 2023</w:t>
            </w:r>
          </w:p>
        </w:tc>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3.6</w:t>
            </w:r>
          </w:p>
        </w:tc>
      </w:tr>
    </w:tbl>
    <w:p>
      <w:r>
        <w:br w:type="page"/>
      </w:r>
    </w:p>
    <w:p>
      <w:pPr>
        <w:sectPr>
          <w:footerReference w:type="default" r:id="rId7"/>
          <w:footerReference w:type="first" r:id="rId8"/>
          <w:pgSz w:w="11906" w:h="16838" w:orient="portrait"/>
          <w:pgMar w:top="1440" w:right="1440" w:bottom="1440" w:left="2160" w:header="708" w:footer="708" w:gutter="0"/>
          <w:pgNumType w:start="1" w:fmt="lowerRoman"/>
          <w:titlePg/>
          <w:docGrid w:linePitch="360"/>
        </w:sectPr>
      </w:pPr>
    </w:p>
    <w:p>
      <w:pPr>
        <w:pStyle w:val="Heading1"/>
        <w:spacing w:after="280" w:before="0" w:line="240"/>
      </w:pPr>
      <w:r>
        <w:rPr>
          <w:rFonts w:ascii="Times New Roman" w:cs="Times New Roman" w:eastAsia="Times New Roman" w:hAnsi="Times New Roman"/>
          <w:b/>
          <w:bCs/>
          <w:i w:val="false"/>
          <w:iCs w:val="false"/>
          <w:sz w:val="28"/>
          <w:szCs w:val="28"/>
        </w:rPr>
        <w:t xml:space="preserve">Chapter 1: Introduction and Research Methodology</w:t>
      </w:r>
    </w:p>
    <w:p>
      <w:pPr>
        <w:pStyle w:val="Heading2"/>
        <w:spacing w:after="150" w:before="300" w:line="240"/>
      </w:pPr>
      <w:r>
        <w:rPr>
          <w:rFonts w:ascii="Times New Roman" w:cs="Times New Roman" w:eastAsia="Times New Roman" w:hAnsi="Times New Roman"/>
          <w:b/>
          <w:bCs/>
          <w:i w:val="false"/>
          <w:iCs w:val="false"/>
          <w:sz w:val="25"/>
          <w:szCs w:val="25"/>
        </w:rPr>
        <w:t xml:space="preserve">1.1 The research problem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Modern connectivity rests on interoperability, and interoperability rests on technical standards. A fifth-generation handset manufactured by one undertaking must communicate with a base station manufactured by another and a baseband processor supplied by a third, because each implements a common specification developed through the Third Generation Partnership Project and published through standard-development organisations, principally the European Telecommunications Standards Institute.</w:t>
      </w:r>
      <w:r>
        <w:rPr>
          <w:rStyle w:val="FootnoteReference"/>
        </w:rPr>
        <w:footnoteReference w:id="1"/>
      </w:r>
      <w:r>
        <w:rPr>
          <w:rFonts w:ascii="Times New Roman" w:cs="Times New Roman" w:eastAsia="Times New Roman" w:hAnsi="Times New Roman"/>
          <w:b w:val="false"/>
          <w:bCs w:val="false"/>
          <w:i w:val="false"/>
          <w:iCs w:val="false"/>
          <w:sz w:val="24"/>
          <w:szCs w:val="24"/>
        </w:rPr>
        <w:t xml:space="preserve"> Where the patented technologies embedded in such a specification cannot be designed around by an undertaking wishing to produce a compliant product, those patents become standard-essential patents. The commercial and legal consequence is immediate and asymmetric. An implementer that wishes to enter the market cannot avoid the patent, and the proprietor acquires a degree of leverage that it would not possess but for the collective decision to adopt the standard. To discipline that leverage, standard-development organisations require proprietors of essential patents to undertake to license on fair, reasonable and non-discriminatory terms. That undertaking is the fulcrum of the entire field.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difficulty, and the source of nearly every dispute examined in this dissertation, is that the undertaking is structurally underdeterminate. It does not specify a royalty rate, a royalty base, a geographic scope, a duration, or a protocol for negotiation. It delegates those questions in the first instance to bilateral bargaining between commercial parties of unequal information and unequal resources, and in the second instance to national courts and competition authorities which answer them differently from one another. The result is a governance regime that is simultaneously private, in that it originates in the internal rules of voluntary membership organisations and is given effect through licence contracts; public, in that its enforcement depends upon patent statutes, competition legislation and the remedial discretion of courts; and transnational, in that the portfolios at stake are global and the disputes they generate are litigated in parallel across a dozen jurisdictions at once.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Within that regime the same portfolio may be valued at materially different rates depending upon the forum seised of the dispute. The same course of conduct by an implementer, such as declining to commit in advance to whatever terms a court may subsequently determine, may render it an unwilling licensee liable to be enjoined in one jurisdiction while leaving it protected in another. The same request for an injunction may be an ordinary exercise of a property right in one system and an abuse of a dominant position in another. These divergences are not marginal technicalities of private law. They determine which undertakings capture the value generated by collaborative standardisation, whether new entrants and small and medium-sized enterprises can obtain access to the technologies they require in order to compete, and whether consumers in developing economies such as India pay more or less for the connectivity on which participation in a digital economy now depends.</w:t>
      </w:r>
    </w:p>
    <w:p>
      <w:pPr>
        <w:pStyle w:val="Heading2"/>
        <w:spacing w:after="150" w:before="300" w:line="240"/>
      </w:pPr>
      <w:r>
        <w:rPr>
          <w:rFonts w:ascii="Times New Roman" w:cs="Times New Roman" w:eastAsia="Times New Roman" w:hAnsi="Times New Roman"/>
          <w:b/>
          <w:bCs/>
          <w:i w:val="false"/>
          <w:iCs w:val="false"/>
          <w:sz w:val="25"/>
          <w:szCs w:val="25"/>
        </w:rPr>
        <w:t xml:space="preserve">1.2 Significance of the inquiry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significance of the inquiry is economic, institutional and distributive.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economic because standard-essential-patent licensing allocates very substantial sums across the cellular value chain, and because the sectoral reach of that allocation is expanding. Licensing practices forged in disputes between vertically integrated telecommunications undertakings and handset manufacturers are now being applied to connected vehicles, to industrial and consumer devices connected through the internet of things, to smart metering and smart manufacturing, and to safety-critical systems with commercial lifecycles measured in decades rather than in product seasons. Whether rules designed for a concentrated industry with a small number of sophisticated repeat players transfer effectively to fragmented multi-tier supply chains populated by undertakings with no patent expertise is among the most consequential open questions in the field, and it is addressed directly in Chapters 4 and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institutional because the governance of standard-essential patents has become a live test of the capacity of national legal systems to regulate a genuinely transnational phenomenon. Courts in England, Germany, China and, most recently, the Unified Patent Court have each asserted competence to determine the terms of worldwide portfolio licences. Each assertion is defensible on its own premises. Taken together they generate a race to seise jurisdiction, an escalating armoury of anti-suit and anti-anti-suit relief, and a situation in which the effective global royalty may be determined by whichever court moves fastest rather than by any principled allocation of adjudicative authority. No international mechanism exists to resolve that competition.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distributive because the rules at stake allocate value between proprietors and implementers, between undertakings in technology-exporting and technology-importing economies, and between well-resourced litigants and those who cannot afford to test a portfolio in court. For India the question is particularly acute. India is simultaneously one of the largest implementer markets in the world, a growing contributor to standardisation, the home of a domestic manufacturing sector that successive governments have sought to expand, and a jurisdiction whose patent statute contains express public-interest principles absent from the patent law of any comparator examined here.</w:t>
      </w:r>
      <w:r>
        <w:rPr>
          <w:rStyle w:val="FootnoteReference"/>
        </w:rPr>
        <w:footnoteReference w:id="2"/>
      </w:r>
      <w:r>
        <w:rPr>
          <w:rFonts w:ascii="Times New Roman" w:cs="Times New Roman" w:eastAsia="Times New Roman" w:hAnsi="Times New Roman"/>
          <w:b w:val="false"/>
          <w:bCs w:val="false"/>
          <w:i w:val="false"/>
          <w:iCs w:val="false"/>
          <w:sz w:val="24"/>
          <w:szCs w:val="24"/>
        </w:rPr>
        <w:t xml:space="preserve"> India is therefore both a recipient of transnational norms developed elsewhere and a jurisdiction with its own developmental mandate that those norms may not serve. The recent appellate reversal of India's first post-trial standard-essential-patent judgment, the first substantial damages award in a cellular case, the unresolved contest between the patent regulator and the competition regulator, and the maturation of a specialist intellectual-property division within the Delhi High Court make the present moment an opportune one for normative and institutional evaluation.</w:t>
      </w:r>
    </w:p>
    <w:p>
      <w:pPr>
        <w:pStyle w:val="Heading2"/>
        <w:spacing w:after="150" w:before="300" w:line="240"/>
      </w:pPr>
      <w:r>
        <w:rPr>
          <w:rFonts w:ascii="Times New Roman" w:cs="Times New Roman" w:eastAsia="Times New Roman" w:hAnsi="Times New Roman"/>
          <w:b/>
          <w:bCs/>
          <w:i w:val="false"/>
          <w:iCs w:val="false"/>
          <w:sz w:val="25"/>
          <w:szCs w:val="25"/>
        </w:rPr>
        <w:t xml:space="preserve">1.3 The central research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principal research question is as follows. How should the legal and institutional governance of standard-essential patent licensing reconcile incentives for technological contribution with interoperability, competition, downstream innovation, access to standardised technologies and the public interest, particularly in India and selected comparative jurisdictions?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question is framed as a normative and institutional one rather than as a request for a single correct royalty. That framing is deliberate and is defended in Chapter 2. A substantial part of the scholarly and judicial effort expended on standard-essential patents over the past fifteen years has been directed towards identifying the methodology that will yield the fair, reasonable and non-discriminatory rate, on the implicit assumption that such a rate exists and is discoverable. The comparative evidence assembled in Chapter 6 suggests that this assumption is mistaken, or at least that it is unhelpful. Courts applying broadly convergent methodologies to substantially similar portfolios have reached outcomes differing by an order of magnitude. That pattern is better explained by the underdeterminacy of the underlying obligation than by the incompetence of the tribunals. If the obligation identifies a range rather than a point, the governance question is not which number is correct but which institutions, procedures and safeguards produce outcomes within an acceptable range through a process that the affected parties and the wider public have reason to accept as legitimate.</w:t>
      </w:r>
    </w:p>
    <w:p>
      <w:pPr>
        <w:pStyle w:val="Heading2"/>
        <w:spacing w:after="150" w:before="300" w:line="240"/>
      </w:pPr>
      <w:r>
        <w:rPr>
          <w:rFonts w:ascii="Times New Roman" w:cs="Times New Roman" w:eastAsia="Times New Roman" w:hAnsi="Times New Roman"/>
          <w:b/>
          <w:bCs/>
          <w:i w:val="false"/>
          <w:iCs w:val="false"/>
          <w:sz w:val="25"/>
          <w:szCs w:val="25"/>
        </w:rPr>
        <w:t xml:space="preserve">1.4 Sub-questions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Six subsidiary questions structure the inquiry and correspond broadly to the substantive chapters.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the legal and institutional character of the commitment to license on fair, reasonable and non-discriminatory terms. What is its juridical source; who may enforce it; what does each of its limbs require; and does it impose substantive constraints on outcome, procedural constraints on conduct, or both?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concerns governance within standard-development organisations. How adequate are the disclosure obligations those organisations impose; what are the consequences of the systematic divergence between declared and actual essentiality; and should such organisations prescribe more detailed licensing rules than they presently do?</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concerns licensing architecture and royalty valuation. At which level of a supply chain should licences be granted; how should portfolios, pools and collective platforms be treated; what valuation methodologies are available; and what are the assumptions and limitations of each?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concerns enforcement. When should an injunction be available against an implementer of a standard; how should willingness to take a licence be assessed on each side; what role should competition law play; and how should conflicts between national courts asserting global competence be managed?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fifth concerns the position of India and of developing economies more generally. How has Indian law responded; what institutional arrangements does it possess; and what developmental considerations bear on the design of its rules?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sixth concerns institutional design. What would a legitimate and workable public-interest governance framework look like, and what reforms does it recommend?</w:t>
      </w:r>
    </w:p>
    <w:p>
      <w:pPr>
        <w:pStyle w:val="Heading2"/>
        <w:spacing w:after="150" w:before="300" w:line="240"/>
      </w:pPr>
      <w:r>
        <w:rPr>
          <w:rFonts w:ascii="Times New Roman" w:cs="Times New Roman" w:eastAsia="Times New Roman" w:hAnsi="Times New Roman"/>
          <w:b/>
          <w:bCs/>
          <w:i w:val="false"/>
          <w:iCs w:val="false"/>
          <w:sz w:val="25"/>
          <w:szCs w:val="25"/>
        </w:rPr>
        <w:t xml:space="preserve">1.5 Working thesis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dissertation begins from the following working thesis, which it tests against the authorities and qualifies where the evidence requires.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Standard-essential patents operate within a hybrid transnational innovation-governance regime in which patent law, contract, competition law, remedies, private standard-development organisations, licensing markets and national courts jointly allocate technological and economic power. Because the obligation to license on fair, reasonable and non-discriminatory terms is structurally underdeterminate, and because national enforcement is territorially fragmented, legitimate governance of standard-essential patents cannot depend exclusively on bilateral bargaining or on judicial royalty determination. It requires a layered framework combining transparent standardisation, reliable essentiality information, disciplined negotiation, context-sensitive valuation, proportionate remedies, accessible dispute resolution, competition oversight and the express protection of public-interest concerns.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dissertation defends a clear conclusion. It does not rest in the position that a balance must be struck between competing interests, which is true of every contested field of regulation and therefore tells the reader nothing. The thesis is, however, qualified in three specific respects identified in Chapter 8: that jurisdictions may legitimately pursue different institutional approaches reflecting different distributive priorities; that a uniform global rule would be neither achievable nor desirable; and that sector-specific treatment is justified where the structure of a supply chain differs materially from that of the industry in which the governing rules were developed.</w:t>
      </w:r>
    </w:p>
    <w:p>
      <w:pPr>
        <w:pStyle w:val="Heading2"/>
        <w:spacing w:after="150" w:before="300" w:line="240"/>
      </w:pPr>
      <w:r>
        <w:rPr>
          <w:rFonts w:ascii="Times New Roman" w:cs="Times New Roman" w:eastAsia="Times New Roman" w:hAnsi="Times New Roman"/>
          <w:b/>
          <w:bCs/>
          <w:i w:val="false"/>
          <w:iCs w:val="false"/>
          <w:sz w:val="25"/>
          <w:szCs w:val="25"/>
        </w:rPr>
        <w:t xml:space="preserve">1.6 Original contribution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original contribution is a layered framework for the evaluation of standard-essential-patent governance, developed in Chapter 7 and applied to India. The framework distinguishes nine institutional layers: governance within standard-development organisations; patent disclosure and essentiality transparency; licensing architecture; conduct in negotiation; royalty valuation; injunctions and other remedies; competition-law supervision; transnational dispute resolution; and public-interest and development safeguards. For each layer it specifies an evaluative criterion, identifies the institution or institutions competent to act, and proposes a calibrated reform for India.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 claim of complete novelty is made. Each component draws on existing scholarship, judicial reasoning or institutional practice, and much of the diagnostic work has been done by others. What the framework contributes is threefold. It disaggregates a field that is routinely discussed as though it presented a single question, namely what rate is fair, reasonable and non-discriminatory, into distinct institutional problems with distinct competent decision-makers. It makes explicit the trade-offs at each layer, so that a reform which improves outcomes at one layer while degrading them at another is visible as such rather than presented as an unqualified improvement. And it applies the resulting structure to a jurisdiction whose statutory public-interest architecture makes it an unusually instructive site for evaluation, and which has to date received disproportionately little attention in a literature dominated by European and North American material.</w:t>
      </w:r>
    </w:p>
    <w:p>
      <w:pPr>
        <w:pStyle w:val="Heading2"/>
        <w:spacing w:after="150" w:before="300" w:line="240"/>
      </w:pPr>
      <w:r>
        <w:rPr>
          <w:rFonts w:ascii="Times New Roman" w:cs="Times New Roman" w:eastAsia="Times New Roman" w:hAnsi="Times New Roman"/>
          <w:b/>
          <w:bCs/>
          <w:i w:val="false"/>
          <w:iCs w:val="false"/>
          <w:sz w:val="25"/>
          <w:szCs w:val="25"/>
        </w:rPr>
        <w:t xml:space="preserve">1.7 Scope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following matters are treated as core. Innovation-governance theory as it applies to collaborative standardisation. The institutions of standardisation, principally the European Telecommunications Standards Institute and, comparatively, the Institute of Electrical and Electronics Engineers Standards Association. The juridical nature and content of the obligation to license on fair, reasonable and non-discriminatory terms. Licensing architecture across supply chains. Royalty valuation methodology. Injunctions and other remedies. The application of competition law. Comparative jurisprudence in the United Kingdom, the European Union, Germany, the United States and China. Indian patent and competition law and the Indian case law. The specification and application of public-interest criteria. Institutional reform.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following are treated as supporting context, addressed where they bear on the central argument but not developed for their own sake. The Agreement on Trade-Related Aspects of Intellectual Property Rights and the prospects for international harmonisation. Patent pools and collective licensing platforms. Sixth-generation cellular development, considered only at the level of concrete institutional arrangements. The interaction between standardisation and open-source licensing. Public procurement, cybersecurity standards and environmental standards.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following are excluded or sharply limited. Extended technical exposition of the engineering content of the standards. Claim-by-claim construction of individual patents. Original patent landscaping. Reliance on unverified licence data. Speculative econometric modelling. Any claim to interview, survey or fieldwork evidence. Comprehensive treatment of every jurisdiction in which standard-essential patents are litigated; Japan, South Korea and other systems are referred to only where a development is directly material. Extended historical narrative that does not advance the argument.</w:t>
      </w:r>
    </w:p>
    <w:p>
      <w:pPr>
        <w:pStyle w:val="Heading2"/>
        <w:spacing w:after="150" w:before="300" w:line="240"/>
      </w:pPr>
      <w:r>
        <w:rPr>
          <w:rFonts w:ascii="Times New Roman" w:cs="Times New Roman" w:eastAsia="Times New Roman" w:hAnsi="Times New Roman"/>
          <w:b/>
          <w:bCs/>
          <w:i w:val="false"/>
          <w:iCs w:val="false"/>
          <w:sz w:val="25"/>
          <w:szCs w:val="25"/>
        </w:rPr>
        <w:t xml:space="preserve">1.8 Methodology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Five methods are combined. Their integration, rather than any one of them, is what the research question requires, because the question is simultaneously about what the law is, how systems differ, which institutions should decide, what incentives result, and what ought to be done.</w:t>
      </w:r>
    </w:p>
    <w:p>
      <w:pPr>
        <w:pStyle w:val="Heading3"/>
        <w:spacing w:after="150" w:before="300" w:line="240"/>
      </w:pPr>
      <w:r>
        <w:rPr>
          <w:rFonts w:ascii="Times New Roman" w:cs="Times New Roman" w:eastAsia="Times New Roman" w:hAnsi="Times New Roman"/>
          <w:b/>
          <w:bCs/>
          <w:i/>
          <w:iCs/>
          <w:sz w:val="24"/>
          <w:szCs w:val="24"/>
        </w:rPr>
        <w:t xml:space="preserve">1.8.1 Doctrinal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doctrinal component identifies and interprets the applicable law: patent legislation and the case law construing it; the law of contract, which supplies the juridical foundation of the licensing commitment; competition and antitrust legislation; the law governing equitable and statutory remedies; civil procedure, including the treatment of confidential material and the conduct of rate-determination proceedings; private international law, including questions of jurisdiction and the recognition of foreign judgments; international intellectual-property law; and the constitutional and procedural instruments of standard-development organisations, which are contractual rather than legislative in character but regulatory in effect.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disciplines are observed throughout. First, propositions about existing law are supported by primary authority wherever such authority is reasonably available, and secondary scholarship is used to interpret and criticise the law rather than to establish its content. Second, the analysis distinguishes rigorously between categories that are frequently conflated in this field: between a party's submission and a judicial finding; between a settlement and a precedent; between an interim order and a final determination; between the opinion of an Advocate General and the judgment of the Court; between a first-instance ruling and the ultimate resolution of a dispute; between an institutional recommendation and binding law; and between the internal policy of a standard-development organisation and legislation. The field is unusually prone to each of these errors, in part because much of the accessible commentary is produced by parties with an interest in the outcome.</w:t>
      </w:r>
    </w:p>
    <w:p>
      <w:pPr>
        <w:pStyle w:val="Heading3"/>
        <w:spacing w:after="150" w:before="300" w:line="240"/>
      </w:pPr>
      <w:r>
        <w:rPr>
          <w:rFonts w:ascii="Times New Roman" w:cs="Times New Roman" w:eastAsia="Times New Roman" w:hAnsi="Times New Roman"/>
          <w:b/>
          <w:bCs/>
          <w:i/>
          <w:iCs/>
          <w:sz w:val="24"/>
          <w:szCs w:val="24"/>
        </w:rPr>
        <w:t xml:space="preserve">1.8.2 Functional comparative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comparative component is functional rather than descriptive. It does not proceed jurisdiction by jurisdiction, offering an account of each system in turn, because that method obscures precisely what a comparison should reveal. It proceeds instead by identifying the recurring functional problems that every system must solve and examining how each system solves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Nine such problems organise Chapter 6. What is the juridical source of the licensing obligation? On what conditions may an injunction be granted? How is willingness to take or grant a licence assessed, and against what evidentiary standard? May a court determine the terms of a worldwide portfolio licence, and if so on what jurisdictional basis? How are foreign patents treated when a domestic court prices a global portfolio? Which valuation methodologies are accepted, and what weight is given to each? What role does competition law play, and is it primary or residual? How are confidentiality and comparable licences handled procedurally? And how, if at all, is the public interest taken into account?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method has a further advantage in the present context. Because the governing obligation originates in a single contractual instrument governed by a single national law, the divergence between systems cannot be attributed to differences in the obligation itself. It must be attributed to differences in remedial tradition, institutional structure, procedural culture and underlying policy preference. Functional comparison isolates those variables.</w:t>
      </w:r>
    </w:p>
    <w:p>
      <w:pPr>
        <w:pStyle w:val="Heading3"/>
        <w:spacing w:after="150" w:before="300" w:line="240"/>
      </w:pPr>
      <w:r>
        <w:rPr>
          <w:rFonts w:ascii="Times New Roman" w:cs="Times New Roman" w:eastAsia="Times New Roman" w:hAnsi="Times New Roman"/>
          <w:b/>
          <w:bCs/>
          <w:i/>
          <w:iCs/>
          <w:sz w:val="24"/>
          <w:szCs w:val="24"/>
        </w:rPr>
        <w:t xml:space="preserve">1.8.3 Institutional-governance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institutional component examines the allocation of decision-making authority among proprietors, implementers, standard-development organisations, courts, competition authorities, sectoral regulators, patent pools, licensing platforms, arbitral institutions and international organisations. It evaluates each along dimensions drawn from the literature on regulatory legitimacy: the expertise available to the decision-maker; its accountability and to whom; the transparency of its procedures; the procedural fairness afforded to affected parties, including those not represented before it; its susceptibility to capture by well-resourced interests; its capacity to coordinate with other decision-makers addressing the same problem; and its practical capacity to enforce its determinations.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component is indispensable because the most intractable problems in the field are not doctrinal but allocative. The question is not only what the law should be but which institution should decide, and the answer differs layer by layer. Essentiality assessment is a technical exercise poorly suited to adversarial litigation and well suited to administrative or expert determination. Valuation requires either market evidence or expert economic analysis, and courts have developed real competence in evaluating it. The design of negotiation protocols is well suited to standard-development organisations, which can prescribe them ex ante for their members, and poorly suited to courts, which encounter them only ex post and only in cases where they have already broken down. Conflicts between national courts asserting global competence cannot be resolved by any national court, and require either international coordination or displacement to a neutral forum.</w:t>
      </w:r>
    </w:p>
    <w:p>
      <w:pPr>
        <w:pStyle w:val="Heading3"/>
        <w:spacing w:after="150" w:before="300" w:line="240"/>
      </w:pPr>
      <w:r>
        <w:rPr>
          <w:rFonts w:ascii="Times New Roman" w:cs="Times New Roman" w:eastAsia="Times New Roman" w:hAnsi="Times New Roman"/>
          <w:b/>
          <w:bCs/>
          <w:i/>
          <w:iCs/>
          <w:sz w:val="24"/>
          <w:szCs w:val="24"/>
        </w:rPr>
        <w:t xml:space="preserve">1.8.4 Law-and-economics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Economic reasoning is used in a bounded and explicitly qualified way. The concepts deployed include network effects, switching costs, technological lock-in and path dependence; transaction costs and the economics of information asymmetry; cumulative and sequential innovation; bargaining power and the effect of outside options; hold-up and hold-out; royalty stacking; the treatment of complementary assets; dynamic as distinct from static competition; and the distinction between ex ante and ex post valuation.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boundary observed is that no economic theory is treated as an established empirical fact. This discipline is not a formality. The two theories that have done the most work in shaping law and policy in this field, hold-up and hold-out, are each supported by a coherent formal model and each contested empirically by serious scholars with divergent institutional affiliations. Chapter 4 examines that controversy at length and concludes that both describe genuine risks whose systematic magnitude is unproven. A governance framework that legislates on the assumption that one risk dominates will misallocate value if the assumption is wrong, and the evidence does not presently permit confidence either way. The framework proposed in Chapter 7 is accordingly designed to be symmetrical as between the two risks, which is a direct methodological consequence of taking the empirical uncertainty seriously rather than resolving it by assumption.</w:t>
      </w:r>
    </w:p>
    <w:p>
      <w:pPr>
        <w:pStyle w:val="Heading3"/>
        <w:spacing w:after="150" w:before="300" w:line="240"/>
      </w:pPr>
      <w:r>
        <w:rPr>
          <w:rFonts w:ascii="Times New Roman" w:cs="Times New Roman" w:eastAsia="Times New Roman" w:hAnsi="Times New Roman"/>
          <w:b/>
          <w:bCs/>
          <w:i/>
          <w:iCs/>
          <w:sz w:val="24"/>
          <w:szCs w:val="24"/>
        </w:rPr>
        <w:t xml:space="preserve">1.8.5 Normative public-interest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normative component evaluates competing governance arrangements against criteria specified in Chapter 2 and applied throughout. The specification is essential. Public interest is invoked constantly in this field and defined almost never, with the consequence that it operates as a rhetorical intensifier available to every party. Proprietors invoke it to argue that royalties must be sufficient to sustain research and development, implementers to argue that royalties must be low enough to permit competitive entry, and each characterises the other's position as rent-seeking. Both arguments are, at the appropriate level of generality, correct. An undefined public interest cannot adjudicate between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approach taken is to disaggregate the concept into identifiable criteria, to acknowledge expressly that those criteria conflict, and to require of any evaluation that it state which criteria it privileges and which it subordinates. The analysis asks, of each arrangement considered, who benefits, who bears the cost, what incentives are created at the margin, and what unintended consequences may follow. It declines to equate the public interest with the lowest attainable royalty, with the maximisation of proprietor revenue, with access unaccompanied by compensation, with an automatic entitlement to injunctive relief, or with the protection of any single stakeholder constituency.</w:t>
      </w:r>
    </w:p>
    <w:p>
      <w:pPr>
        <w:pStyle w:val="Heading2"/>
        <w:spacing w:after="150" w:before="300" w:line="240"/>
      </w:pPr>
      <w:r>
        <w:rPr>
          <w:rFonts w:ascii="Times New Roman" w:cs="Times New Roman" w:eastAsia="Times New Roman" w:hAnsi="Times New Roman"/>
          <w:b/>
          <w:bCs/>
          <w:i w:val="false"/>
          <w:iCs w:val="false"/>
          <w:sz w:val="25"/>
          <w:szCs w:val="25"/>
        </w:rPr>
        <w:t xml:space="preserve">1.9 Research design and workflow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research proceeded in eight stages. An assumptions register, refined research question, thesis map and chapter logic were prepared at the outset and revised as the research developed. Sources were then collected, with priority given to official primary authorities, the current instruments of standard-development organisations, legislation in force, judgments, regulatory decisions and peer-reviewed scholarship. Each source was then verified and recorded in a ledger capturing full citation, source type, jurisdiction, official status, extent of full-text access, the proposition supported, the available pinpoint, current legal status, any material funding or affiliation, methodological limitations and chapter relevance. Central cases were separately recorded in a matrix capturing complete case name, court, date, citation, procedural posture, material facts, issues, holding, reasoning, remedy, subsequent treatment and relevance. A literature review then identified the principal schools of thought and the strongest form of each competing position. Arguments were mapped chapter by chapter, identifying for each the proposition to be established, the supporting evidence, the strongest counterargument, the response and the necessary qualification. Substantive chapters were drafted before the introduction and conclusion. Finally, the audits described in Appendix E were conducted.</w:t>
      </w:r>
    </w:p>
    <w:p>
      <w:pPr>
        <w:pStyle w:val="Heading2"/>
        <w:spacing w:after="150" w:before="300" w:line="240"/>
      </w:pPr>
      <w:r>
        <w:rPr>
          <w:rFonts w:ascii="Times New Roman" w:cs="Times New Roman" w:eastAsia="Times New Roman" w:hAnsi="Times New Roman"/>
          <w:b/>
          <w:bCs/>
          <w:i w:val="false"/>
          <w:iCs w:val="false"/>
          <w:sz w:val="25"/>
          <w:szCs w:val="25"/>
        </w:rPr>
        <w:t xml:space="preserve">1.10 Limitations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limitations require statement at the outset.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empirical. Many of the propositions most frequently asserted in this field cannot presently be established to an acceptable standard. The proportion of declared patents that are genuinely essential, the aggregate royalty burden borne by a representative device, the incidence and magnitude of hold-up and hold-out, and the effect of licensing practices on downstream innovation are all contested, and the studies addressing them differ in sample, method, assumptions and institutional affiliation. The principal obstacle is structural rather than remediable by better scholarship: the licence agreements that would settle several of these questions are confidential, and the essentiality determinations that would settle others have never been made on a representative scale. Where the evidence is inconclusive this dissertation says so and narrows its claims accordingly. That is a limitation on the strength of the conclusions available, not a defect in their reasoning, and it is itself a finding with governance implications developed in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one of currency. Several of the authorities on which the analysis depends are recent and their appellate trajectories incomplete. The Unified Patent Court began to issue substantive decisions on these questions only in late 2024, and its jurisprudence is nascent. The Indian contest over the boundary between the patent and competition regimes was pending before the Supreme Court of India at the research cutoff date. The appellate status of the principal Indian damages award requires confirmation. Appendix E identifies each such authority. The analysis states current status in exact terms and does not assume the outcome of any pending proceeding.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concerns access. Research was conducted through official repositories, court websites, legislative databases, publishers' records and academic repositories. For a number of judgments the full primary text could not be opened during the research period, and the propositions attributed to them are supported only to the extent that corroborated material bears them. Where a pinpoint paragraph reference has not been confirmed against the primary text it has been omitted rather than approximated. This convention produces footnotes that are in places less precise than the citation system would ordinarily require, and that consequence has been accepted in preference to the alternative. Appendix E records where it applies.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is one of scope. The dissertation examines six jurisdictions in a field litigated in many more, and it examines cellular telecommunications in detail while treating other standardised technologies comparatively briefly. The selection is defended in section 1.7, but it means that the conclusions are offered as conclusions about the systems examined and about the structural features they share, not as claims about a global consensus. The dissertation is at pains throughout to avoid the common error of presenting the approach of one national court as though it represented international practice.</w:t>
      </w:r>
    </w:p>
    <w:p>
      <w:pPr>
        <w:pStyle w:val="Heading2"/>
        <w:spacing w:after="150" w:before="300" w:line="240"/>
      </w:pPr>
      <w:r>
        <w:rPr>
          <w:rFonts w:ascii="Times New Roman" w:cs="Times New Roman" w:eastAsia="Times New Roman" w:hAnsi="Times New Roman"/>
          <w:b/>
          <w:bCs/>
          <w:i w:val="false"/>
          <w:iCs w:val="false"/>
          <w:sz w:val="25"/>
          <w:szCs w:val="25"/>
        </w:rPr>
        <w:t xml:space="preserve">1.11 Structure of the dissertation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2 develops the conceptual foundations: the function of technical standards, the economic mechanisms that convert standardisation into durable advantage, the distinction between declared and actual essentiality, the evolution of the licensing commitment, and the character of the field as transnational private regulation operating under public supervision. It specifies the public-interest criteria used throughout.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3 examines the institutions of standardisation and the legal architecture of the licensing obligation: the intellectual-property-rights policy of the European Telecommunications Standards Institute and its operative provisions; disclosure obligations and the problem of patent ambush; the transparency deficit arising from over-declaration; the competing juridical foundations of the obligation; the content of each of its limbs; and the comparative lesson of the more prescriptive policy adopted and subsequently relaxed by the Institute of Electrical and Electronics Engineers Standards Association.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4 addresses licensing architecture and valuation: the forms licensing takes; the contested question of the level in a supply chain at which licences should be granted; patent exhaustion; the principal valuation methodologies and their assumptions; and the empirical controversy surrounding hold-up, hold-out and royalty stacking.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5 addresses enforcement: the centrality of the injunction; the procedural framework established by the Court of Justice; the German construction of the willing-licensee requirement; the emerging practice of the Unified Patent Court; the English innovations of the global licence and the interim licence; monetary remedies and access to justice; and the proper role of competition law.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6 conducts the functional comparison and examines the rise of transnational rate-setting, the resulting competition between fora, and the strain placed on international comity.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7 turns to India: its statutory public-interest architecture; its case law; the contest between its patent and competition regimes; its institutional capacity; the developmental critique; and the layered framework, which is there specified in full and applied.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Chapter 8 answers the research question, states the qualifications to which the thesis is subject, identifies the contribution and its limits, and frames the further research that the analysis indicates.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Public-interest analysis is integrated into each substantive chapter rather than reserved for a single chapter, in accordance with the position taken in Chapter 2 that the public interest is not a separate topic within this field but a criterion of evaluation applicable to every question it raises.</w:t>
      </w:r>
    </w:p>
    <w:p>
      <w:r>
        <w:br w:type="page"/>
      </w:r>
    </w:p>
    <w:p>
      <w:pPr>
        <w:pStyle w:val="Heading2"/>
        <w:spacing w:after="150" w:before="300" w:line="240"/>
      </w:pPr>
      <w:r>
        <w:rPr>
          <w:rFonts w:ascii="Times New Roman" w:cs="Times New Roman" w:eastAsia="Times New Roman" w:hAnsi="Times New Roman"/>
          <w:b/>
          <w:bCs/>
          <w:i w:val="false"/>
          <w:iCs w:val="false"/>
          <w:sz w:val="25"/>
          <w:szCs w:val="25"/>
        </w:rPr>
        <w:t xml:space="preserve">1.12 Terminology, conventions and a note on contested labels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conventions govern the use of language in this dissertation, and they are recorded here because several of the disagreements examined in later chapters are traceable to terminological variation rather than to disagreement of substance. A glossary recording the sense in which contested terms are used appears at Appendix 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the word essential. In ordinary usage it connotes importance; in this field it connotes only unavoidability. A patent is essential if compliance with a specification necessarily infringes it, irrespective of whether the technology it claims is technically significant or commercially valuable. The consequence, developed at Chapter 2.5.1, is that a patent may be essential and unimportant, or important and inessential, and that the number of essential patents in a portfolio is not a measure of its worth. The connotation of importance is persistent and should be resisted throughout.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concerns the labels proprietor and implementer, which this dissertation uses to describe positions in a transaction rather than categories of undertaking. The distinction matters because the cumulative structure of standardised technology, examined at Chapter 2.4, means that most substantial participants occupy both positions simultaneously in respect of the same standard, and that their stated positions on the questions examined here have shifted with their commercial circumstances. Argument which proceeds as though the two labels identified stable and opposed interest groups misdescribes the industry, and a governance framework built on that misdescription would be calibrated for a conflict that does not exist in the form supposed. Where this dissertation refers to proprietor interests or implementer interests, it refers to the interests attaching to a position, not to the interests of any identifiable group of undertakings.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concerns the language in which the policy debate is conducted. A considerable part of the vocabulary of this field originated in advocacy, and terms including hold-up, hold-out, royalty stacking, patent ambush and efficient infringement carry evaluative freight that their apparent descriptiveness conceals. Each denotes a phenomenon whose existence is theoretically credible and whose magnitude is contested, as Chapter 4.9 examines at length. This dissertation uses the terms because there are no neutral alternatives in circulation, but it uses them to name hypotheses rather than to assert findings, and it does not adopt the evaluative implication that the coinage was designed to carry. Where a proposition about the frequency or magnitude of any of these phenomena is advanced, the evidence for it and the affiliation of the source are stated.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smaller conventions may be noted. Jurisdictions are referred to by the institutions whose decisions are under examination rather than by the shorthand of national names where the shorthand would be inaccurate: references to the Union position concern the position established by the Court of Justice, which is not the same as the position adopted by any member state applying it. And the expression the FRAND rate, though current in practice, is not used in this dissertation other than in reporting the usage of others, for the reason given at Chapter 3.5.4 and demonstrated at Chapter 6.6: there is no unique compliant rate for a portfolio, and a phrase which presupposes one prejudges the principal analytical question.</w:t>
      </w:r>
    </w:p>
    <w:p>
      <w:pPr>
        <w:pStyle w:val="Heading1"/>
        <w:spacing w:after="280" w:before="0" w:line="240"/>
      </w:pPr>
      <w:r>
        <w:rPr>
          <w:rFonts w:ascii="Times New Roman" w:cs="Times New Roman" w:eastAsia="Times New Roman" w:hAnsi="Times New Roman"/>
          <w:b/>
          <w:bCs/>
          <w:i w:val="false"/>
          <w:iCs w:val="false"/>
          <w:sz w:val="28"/>
          <w:szCs w:val="28"/>
        </w:rPr>
        <w:t xml:space="preserve">Chapter 2: Standards, Standard-Essential Patents and Innovation Governance</w:t>
      </w:r>
    </w:p>
    <w:p>
      <w:pPr>
        <w:pStyle w:val="Heading2"/>
        <w:spacing w:after="150" w:before="300" w:line="240"/>
      </w:pPr>
      <w:r>
        <w:rPr>
          <w:rFonts w:ascii="Times New Roman" w:cs="Times New Roman" w:eastAsia="Times New Roman" w:hAnsi="Times New Roman"/>
          <w:b/>
          <w:bCs/>
          <w:i w:val="false"/>
          <w:iCs w:val="false"/>
          <w:sz w:val="25"/>
          <w:szCs w:val="25"/>
        </w:rPr>
        <w:t xml:space="preserve">2.1 The function of technical standards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Technical standards solve coordination problems that markets left to themselves solve badly or not at all. Where the value of a product to each user increases with the number of other users of compatible products, individual undertakings acting rationally may nonetheless collectively fail to converge on a common specification, or may converge only after a costly period of incompatible competition. Standardisation substitutes deliberate coordination for that process. Its effect is to shift the locus of competition: undertakings cease to compete over which specification will prevail and compete instead over the quality, cost and features of products implementing an agreed specification.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Standards are conventionally classified by the mechanism of their emergence. A de facto standard emerges from market adoption without formal agreement, as where a single proprietary implementation achieves sufficient penetration that others must interoperate with it. A consortium standard is agreed among a defined group of undertakings, often rapidly and often without the procedural formality of a recognised standards body. A formal or de jure standard is developed within a recognised standard-development organisation according to published procedures, and may in some sectors be given legal effect by incorporation into regulation. Cellular telecommunications standards belong to the third category. They are developed collaboratively through the Third Generation Partnership Project, a partnership of regional standards bodies, and published through those bodies, of which the European Telecommunications Standards Institute is for present purposes the most significant because it is to that body that the overwhelming majority of declarations concerning cellular essential patents are made.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distinction matters for the analysis that follows in two respects. First, the formal process is the one to which enforceable licensing commitments attach, because it is participation in a standard-development organisation that generates the contractual undertaking examined in Chapter 3. An undertaking whose technology becomes a de facto standard through market success incurs no equivalent obligation, and the law's response to the resulting market power, if any, must be found in competition law alone. Second, the formal process is the one that raises questions of procedural legitimacy, because it involves a deliberate collective decision, taken by identifiable participants according to identifiable rules, that confers advantage on some and withholds it from others.</w:t>
      </w:r>
    </w:p>
    <w:p>
      <w:pPr>
        <w:pStyle w:val="Heading2"/>
        <w:spacing w:after="150" w:before="300" w:line="240"/>
      </w:pPr>
      <w:r>
        <w:rPr>
          <w:rFonts w:ascii="Times New Roman" w:cs="Times New Roman" w:eastAsia="Times New Roman" w:hAnsi="Times New Roman"/>
          <w:b/>
          <w:bCs/>
          <w:i w:val="false"/>
          <w:iCs w:val="false"/>
          <w:sz w:val="25"/>
          <w:szCs w:val="25"/>
        </w:rPr>
        <w:t xml:space="preserve">2.2 Interoperability as a public good and as a source of private advantage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Interoperability is most usefully understood as having a dual character, and much of the confusion in the policy debate follows from attending to one aspect and ignoring the other.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Considered as an outcome, interoperability has the characteristics of a public good. Its benefits are widely diffused and are enjoyed by parties who contributed nothing to its creation: consumers who can replace a handset without replacing a network subscription, entrants who can supply a component into an established architecture, and public authorities who can procure equipment from multiple suppliers. These benefits are difficult to appropriate, which is the standard reason for expecting them to be undersupplied by unilateral private action and the standard justification for collective provision.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Considered as a mechanism, however, interoperability is achieved by selecting particular technologies and excluding others, and that selection confers private advantage. The undertaking whose technology is selected acquires a position that no subsequent competitive process will dislodge for the life of the standard, because the entire point of the exercise is that the specification be stable. Standardisation therefore creates a public good by an act that simultaneously distributes private rents.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normative consequence is that the appropriate response to standard-conferred advantage is neither its elimination nor its unconditional protection. Eliminating it would remove the incentive to contribute technology to the collaborative process, with the result that undertakings would either withhold their best technology or decline to participate, and the standard would be correspondingly poorer. Protecting it unconditionally would permit the appropriation of value created not by the contributor's inventive effort but by the collective decision of the participants and the subsequent investment of implementers. The licensing commitment examined in Chapter 3 is the institutional device by which participants attempt to occupy the ground between those extremes, and the recurring analytical question throughout this dissertation is whether it does so adequately.</w:t>
      </w:r>
    </w:p>
    <w:p>
      <w:pPr>
        <w:pStyle w:val="Heading2"/>
        <w:spacing w:after="150" w:before="300" w:line="240"/>
      </w:pPr>
      <w:r>
        <w:rPr>
          <w:rFonts w:ascii="Times New Roman" w:cs="Times New Roman" w:eastAsia="Times New Roman" w:hAnsi="Times New Roman"/>
          <w:b/>
          <w:bCs/>
          <w:i w:val="false"/>
          <w:iCs w:val="false"/>
          <w:sz w:val="25"/>
          <w:szCs w:val="25"/>
        </w:rPr>
        <w:t xml:space="preserve">2.2A Taxonomies of standardisation and why they carry legal consequences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Standards are conventionally classified by the process that produces them, and the classification is not merely descriptive. It determines whether a licensing commitment exists at all, which instrument governs its content, and which institution has anything to say about the terms on which the technology may be used.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de facto standard emerges from market adoption without collective agreement. A proprietary technology becomes ubiquitous, and its ubiquity makes it a reference point against which other products are designed. Because no undertaking has been given to any standards body, there is ordinarily no commitment to license on fair, reasonable and non-discriminatory terms attached to the patents reading on such a standard. Whatever discipline exists on the holder's conduct comes from general competition law, and competition law reaches only conduct by an undertaking with the requisite market position. The practical consequence is that the most powerful position in the standardisation landscape is occupied not by the holder of many declared essential patents but by the holder of a technology that became standard without ever passing through a standards organisation, because such a holder has accepted no constraint whatever.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formal or de jure standard is developed through a recognised standard-development organisation operating under published procedures, with defined membership, voting arrangements, disclosure obligations and a licensing policy. Cellular standards are of this kind. The technical work is conducted in the Third Generation Partnership Project, and the resulting specifications are published as deliverables by organisational partners. Because participation is conditioned on the organisation's intellectual-property policy, the licensing commitment arises from the participant's own undertaking, which is why the analysis in Chapter 3 begins with the construction of that undertaking rather than with any statutory provision.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consortium standard occupies an intermediate position. A group of undertakings, often smaller and more homogeneous than the membership of a formal organisation, agrees a specification outside the recognised standards system. Consortium arrangements may carry licensing commitments, and where they do, the commitments may differ materially in scope and enforceability from those given to formal bodies. They may also be accompanied by collective licensing arrangements of the kind examined at Chapter 4.2.5, which supply by private agreement some of the machinery that formal organisations decline to provide.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further distinctions are worth recording because they are sometimes conflated with the foregoing. The first is between the standard and the specification: a standard is the agreed technical solution, while the specification is the document in which it is recorded, and essentiality is assessed against the mandatory requirements of the latter. The second is between a standard and a certification or conformance regime. A product may be technically compliant with a specification without being certified as compliant, and certification marks are frequently controlled by bodies distinct from the standards organisation. Certification can function as a practical gatekeeper independent of patent rights, and although it lies outside the scope of this dissertation it should be noted that a governance analysis confined to patents does not exhaust the ways in which access to a standardised market may be controlled.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dissertation is concerned almost exclusively with formal standards, for two reasons that should be stated rather than assumed. The first is that the commitment to license on fair, reasonable and non-discriminatory terms, which is the dissertation's subject, is a creature of formal standardisation. The second is that formal standardisation raises the governance questions that make the field analytically interesting: a private association exercising a regulatory function over a global market, with membership rules determining who participates in the making of the rules and a licensing policy determining the terms on which the resulting technology may be used by those who did not.</w:t>
      </w:r>
    </w:p>
    <w:p>
      <w:pPr>
        <w:pStyle w:val="Heading2"/>
        <w:spacing w:after="150" w:before="300" w:line="240"/>
      </w:pPr>
      <w:r>
        <w:rPr>
          <w:rFonts w:ascii="Times New Roman" w:cs="Times New Roman" w:eastAsia="Times New Roman" w:hAnsi="Times New Roman"/>
          <w:b/>
          <w:bCs/>
          <w:i w:val="false"/>
          <w:iCs w:val="false"/>
          <w:sz w:val="25"/>
          <w:szCs w:val="25"/>
        </w:rPr>
        <w:t xml:space="preserve">2.3 Network effects, lock-in and path dependence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related economic mechanisms convert standardisation into durable advantage, and it is worth distinguishing them because they operate differently and have different remedial implications.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Network effects, in the direct sense, arise where the utility of a product to a user depends on the number of other users with whom that user can interact. Indirect network effects arise where utility depends on the availability of complementary products and services, which is itself a function of the installed base. Cellular standards exhibit both. A handset implementing a standard that no network supports is worthless, and a network supporting a standard that no handset implements is equally so. The consequence is that adoption is self-reinforcing: each additional adoption increases the return to further adoption, so that once a standard achieves sufficient penetration its position becomes effectively unassailable.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Switching costs and lock-in are the mechanism by which that position is maintained against subsequently superior alternatives. By the time a standard is widely deployed, participants throughout the value chain have made investments specific to it: implementers have designed products, tooled production, obtained regulatory approvals and trained personnel; network operators have deployed infrastructure; consumers have purchased devices. Those investments are sunk and largely unrecoverable. Migration to an alternative specification would require them to be incurred again. The result is that the industry rationally persists with an established standard even where a superior alternative exists, because the private return to migration is negative for each participant considered individually even where the collective return would be positive.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Path dependence generalises the point. Choices made at an early stage of a technological trajectory, when information is poor and the stakes appear modest, constrain the options available at later stages when the stakes have become very large. The architecture of a cellular generation constrains the architecture of its successor, because backward compatibility is itself a requirement. Technologies incorporated early therefore acquire an advantage that compounds across generations in a manner unrelated to their continuing technical merit.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These mechanisms are not contested; they are among the better-established results in the economics of network industries. What is contested is the magnitude of the rent they generate and the extent to which proprietors are able to appropriate it, and that is a distinct question examined in Chapter 4. The mechanisms establish that the opportunity for appropriation exists. They do not establish that it is exploited, still less that it is exploited to any particular degree, and the analysis in this dissertation is careful not to elide the two propositions.</w:t>
      </w:r>
    </w:p>
    <w:p>
      <w:pPr>
        <w:pStyle w:val="Heading2"/>
        <w:spacing w:after="150" w:before="300" w:line="240"/>
      </w:pPr>
      <w:r>
        <w:rPr>
          <w:rFonts w:ascii="Times New Roman" w:cs="Times New Roman" w:eastAsia="Times New Roman" w:hAnsi="Times New Roman"/>
          <w:b/>
          <w:bCs/>
          <w:i w:val="false"/>
          <w:iCs w:val="false"/>
          <w:sz w:val="25"/>
          <w:szCs w:val="25"/>
        </w:rPr>
        <w:t xml:space="preserve">2.4 Cumulative and sequential innovation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Cellular technology is cumulative in a strong sense. Each generation builds on the architecture, the interfaces and often the specific techniques of its predecessors, and within each generation successive releases refine and extend what has gone before. Innovation of this kind has a structural feature with direct governance implications: today's implementer is very often tomorrow's contributor, and today's contributor was very often yesterday's implementer.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feature complicates the stakeholder taxonomy on which much of the policy debate relies. The debate is habitually conducted as though there were two classes of undertaking with opposed interests: proprietors who contribute technology and seek to maximise licensing revenue, and implementers who consume technology and seek to minimise licensing cost. The taxonomy is not wholly false, and it captures the position of undertakings at either extreme, including licensing entities that do not manufacture and manufacturers that do not contribute. But the undertakings at the centre of the industry, and of most of the litigation examined in this dissertation, occupy both positions simultaneously. Their interest is not in maximising or minimising royalties but in the ratio between what they pay and what they receive, and in the terms on which cross-licences are struck.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consequences follow. The first is that arguments framed in terms of the interests of proprietors as a class or implementers as a class should be treated with caution, and the affiliation of the party advancing them should be attended to, because such arguments frequently reflect the position of a particular undertaking at a particular moment rather than a structural interest. The second, and more important for the framework developed in Chapter 7, is that the incentive to contribute technology and the incentive to implement it are not in simple opposition. A regime that over-rewards contribution suppresses the downstream implementation on which the next generation's contributors depend for revenue and for the practical knowledge that informs their contributions. A regime that under-rewards contribution degrades the pool of technology available for implementation. The relationship is one of interdependence rather than of straightforward trade-off, and governance arrangements that treat it as a zero-sum allocation between two classes will misconceive it.</w:t>
      </w:r>
    </w:p>
    <w:p>
      <w:pPr>
        <w:pStyle w:val="Heading2"/>
        <w:spacing w:after="150" w:before="300" w:line="240"/>
      </w:pPr>
      <w:r>
        <w:rPr>
          <w:rFonts w:ascii="Times New Roman" w:cs="Times New Roman" w:eastAsia="Times New Roman" w:hAnsi="Times New Roman"/>
          <w:b/>
          <w:bCs/>
          <w:i w:val="false"/>
          <w:iCs w:val="false"/>
          <w:sz w:val="25"/>
          <w:szCs w:val="25"/>
        </w:rPr>
        <w:t xml:space="preserve">2.5 From ordinary patents to standard-essential patents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An ordinary patent confers a right to exclude. Its proprietor may work the invention exclusively, license it selectively on terms of its choosing, or decline to license at all, subject only to such limits as the general law imposes, including compulsory-licensing provisions and the application of competition law in cases of dominance.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standard-essential patent is different in two respects. The first is factual: because the standard cannot be implemented without practising the patent, the class of potential infringers is coextensive with the class of undertakings wishing to participate in the market, and the proprietor's leverage over each of them is correspondingly enhanced. The second is juridical: because the proprietor has, as a condition of the standard's development, undertaken to license on fair, reasonable and non-discriminatory terms, its right to exclude has been qualified by its own voluntary act. The undertaking is not a limitation imposed by external regulation but a promise given in exchange for the advantages of participation, and the enforceability of that promise is the subject of Chapter 3.</w:t>
      </w:r>
    </w:p>
    <w:p>
      <w:pPr>
        <w:pStyle w:val="Heading3"/>
        <w:spacing w:after="150" w:before="300" w:line="240"/>
      </w:pPr>
      <w:r>
        <w:rPr>
          <w:rFonts w:ascii="Times New Roman" w:cs="Times New Roman" w:eastAsia="Times New Roman" w:hAnsi="Times New Roman"/>
          <w:b/>
          <w:bCs/>
          <w:i/>
          <w:iCs/>
          <w:sz w:val="24"/>
          <w:szCs w:val="24"/>
        </w:rPr>
        <w:t xml:space="preserve">2.5.1 Declaration, essentiality and the categories that must be kept distinct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expression standard-essential patent is used loosely in the commentary and, on occasion, in litigation, and the looseness is consequential. Precision requires that several distinct propositions be kept separate.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 patent has been declared is a statement about the conduct of its proprietor. It means that the proprietor has notified a standard-development organisation that the patent may be or may become essential to a specification. It is not a statement about the patent's technical relationship to the standard.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 patent is essential is a statement about that technical relationship: that the standard cannot be implemented in a compliant manner without practising at least one claim. Essentiality in this sense is a technical question requiring the construction of the claims and their comparison against the specification.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 patent is valid is a separate question determined by the law of each territory in which it has been granted, and a patent may be essential and invalid.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 patent is infringed is a further separate question, and one that does not follow automatically from essentiality even where the product is compliant, because compliance may be achieved by implementing optional rather than mandatory features, and because the product may not in fact implement the feature to which the patent relates.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 patent is commercially important is a question distinct from all of the foregoing. A patent may be essential, valid and infringed and yet relate to a feature of marginal value, and conversely a patent of considerable technical significance may relate to a feature that implementers would have adopted in any event.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Finally, that a patent family has been declared is not the same as the declaration of a single patent, since a family may comprise many national patents and applications derived from a common priority, and counts that do not distinguish between patents and families are not comparable.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reason for insisting on these distinctions is not fastidiousness. Several of the most significant errors in this field consist in the elision of one into another. A valuation methodology that counts declarations as though they measured essential technology will over-value portfolios in proportion to their proprietors' declaration practices. A negotiating position that treats a declaration as establishing infringement transfers to the implementer the entire burden of a technical enquiry that the proprietor is better placed to conduct. A judicial finding that a patent is essential does not establish that it is valid, and the appellate decision examined in Chapter 7 turned in part on precisely the insistence that each element be separately proved.</w:t>
      </w:r>
    </w:p>
    <w:p>
      <w:pPr>
        <w:pStyle w:val="Heading3"/>
        <w:spacing w:after="150" w:before="300" w:line="240"/>
      </w:pPr>
      <w:r>
        <w:rPr>
          <w:rFonts w:ascii="Times New Roman" w:cs="Times New Roman" w:eastAsia="Times New Roman" w:hAnsi="Times New Roman"/>
          <w:b/>
          <w:bCs/>
          <w:i/>
          <w:iCs/>
          <w:sz w:val="24"/>
          <w:szCs w:val="24"/>
        </w:rPr>
        <w:t xml:space="preserve">2.5.2 The divergence between declaration and essentiality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Standard-development organisations do not verify the declarations made to them. The European Telecommunications Standards Institute states expressly that the information in its database is as received from the declaring party, that it has not checked the validity of that information nor the relevance of the identified patents and applications to its standards, and that it can neither confirm nor deny that the patents and applications are in fact essential.</w:t>
      </w:r>
      <w:r>
        <w:rPr>
          <w:rStyle w:val="FootnoteReference"/>
        </w:rPr>
        <w:footnoteReference w:id="3"/>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incentives operating on a declaring party are asymmetric in a manner that the design of the system does not correct. Declaration is inexpensive and may be made in respect of applications whose eventual claims are unknown. It carries no sanction if the patent proves not to be essential. It protects the declaring party against the allegation that it concealed a patent until the specification was settled, an allegation whose consequences may be severe. And it augments the patent count on which certain valuation methodologies and many negotiating positions rely. Under-declaration, by contrast, exposes the proprietor to the charge of ambush. The rational course for a proprietor uncertain whether a patent is essential is accordingly to declare it, and the rational course for a proprietor seeking to maximise its apparent portfolio strength is to declare generously.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empirical consequence has been examined in studies commissioned by or relied upon by the European Commission. The Commission's 2017 Communication setting out its approach to standard-essential patents recorded the view that, when strictly assessed, only between ten and fifty per cent of declared patents are truly essential.</w:t>
      </w:r>
      <w:r>
        <w:rPr>
          <w:rStyle w:val="FootnoteReference"/>
        </w:rPr>
        <w:footnoteReference w:id="4"/>
      </w:r>
      <w:r>
        <w:rPr>
          <w:rFonts w:ascii="Times New Roman" w:cs="Times New Roman" w:eastAsia="Times New Roman" w:hAnsi="Times New Roman"/>
          <w:b w:val="false"/>
          <w:bCs w:val="false"/>
          <w:i w:val="false"/>
          <w:iCs w:val="false"/>
          <w:sz w:val="24"/>
          <w:szCs w:val="24"/>
        </w:rPr>
        <w:t xml:space="preserve"> That range is very wide, and its width is itself informative: it reflects genuine methodological disagreement about how essentiality should be assessed, by whom, against which version of a specification, and with what treatment of optional features.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cautions are necessary before this evidence is put to use. The first is that a low essentiality rate among declared patents does not establish that proprietors have acted improperly. Declaration is generally made early, often in respect of applications, and often before the specification has stabilised; a patent that was plausibly essential to a draft may not be essential to the adopted text. The systemic problem is one of institutional design rather than of individual culpability. The second is that the studies differ in method and in the treatment of borderline cases, and their results should not be aggregated as though they were measurements of the same quantity. What can be said with reasonable confidence is the comparatively modest proposition on which the analysis in this dissertation relies: that the number of declarations made in respect of a portfolio is an unreliable proxy for the quantity of essential technology it contains, and that any methodology or negotiating position which treats declarations as such a proxy is correspondingly unreliable.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proposition has consequences that run through the remainder of the dissertation. It undermines the top-down valuation methodology examined in Chapter 4, whose second input is precisely a count of essential patents. It bears on the assessment of negotiating conduct examined in Chapter 5, because an implementer confronted with an assertion resting on declared counts may have legitimate reason to require better information before accepting an offer. It informs the criticism advanced in Chapter 6 of a court that determined global rates by reference to patent counts without qualitative assessment. And it supplies the strongest case for the essentiality-transparency layer of the framework proposed in Chapter 7.</w:t>
      </w:r>
    </w:p>
    <w:p>
      <w:pPr>
        <w:pStyle w:val="Heading2"/>
        <w:spacing w:after="150" w:before="300" w:line="240"/>
      </w:pPr>
      <w:r>
        <w:rPr>
          <w:rFonts w:ascii="Times New Roman" w:cs="Times New Roman" w:eastAsia="Times New Roman" w:hAnsi="Times New Roman"/>
          <w:b/>
          <w:bCs/>
          <w:i w:val="false"/>
          <w:iCs w:val="false"/>
          <w:sz w:val="25"/>
          <w:szCs w:val="25"/>
        </w:rPr>
        <w:t xml:space="preserve">2.6 The evolution of the licensing commitment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commitment to license on fair, reasonable and non-discriminatory terms did not emerge fully formed. It developed from the practice of older standards bodies, which had sought assurances that essential technology would be licensed on reasonable and non-discriminatory terms, and it acquired its present form as the economic stakes in telecommunications standardisation increased and as the participants' exposure to antitrust scrutiny became apparent.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function is best understood as the price of a bargain.</w:t>
      </w:r>
      <w:r>
        <w:rPr>
          <w:rStyle w:val="FootnoteReference"/>
        </w:rPr>
        <w:footnoteReference w:id="5"/>
      </w:r>
      <w:r>
        <w:rPr>
          <w:rFonts w:ascii="Times New Roman" w:cs="Times New Roman" w:eastAsia="Times New Roman" w:hAnsi="Times New Roman"/>
          <w:b w:val="false"/>
          <w:bCs w:val="false"/>
          <w:i w:val="false"/>
          <w:iCs w:val="false"/>
          <w:sz w:val="24"/>
          <w:szCs w:val="24"/>
        </w:rPr>
        <w:t xml:space="preserve"> A proprietor that contributes technology to a formal standard accepts a constraint on the exercise of its exclusive right. In exchange it obtains something of considerable value: the near-certainty that its technology will be implemented throughout an industry rather than in a single product line, and the consequent creation of a licensing market that would not otherwise exist. An implementer, for its part, obtains assured access to the technology it requires, in exchange for an obligation to pay a reward commensurate with the contribution. The standard-development organisation obtains a specification that participants are willing to adopt, and protection against the allegation that its process has facilitated the exercise of market power.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features of that bargain deserve emphasis because they are frequently misstated.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the commitment is an undertaking to offer licences, not a conveyance of rights. It does not of itself grant a licence to anyone, and it does not oblige the proprietor to accept whatever terms an implementer proposes. This is the answer to the recurrent suggestion that an implementer who has requested a licence is thereafter entitled to implement pending agreement. The commitment obliges the proprietor to offer terms within the acceptable range and, on the analysis developed in Chapters 3 and 5, to conduct itself in good faith in negotiation. It does not suspend the patent.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commitment is given to the standard-development organisation and not to any individual implementer, yet it is intended to benefit implementers who are not parties to it and who may not be members of the organisation. The juridical mechanism by which that intention is given effect is the principal subject of section 3.4. It is also the source of a question that has occupied courts in several jurisdictions: if the commitment is a contract, and the implementer is a third party rather than a promisee, what precisely may the implementer enforce, and on what terms?</w:t>
      </w:r>
    </w:p>
    <w:p>
      <w:pPr>
        <w:pStyle w:val="Heading2"/>
        <w:spacing w:after="150" w:before="300" w:line="240"/>
      </w:pPr>
      <w:r>
        <w:rPr>
          <w:rFonts w:ascii="Times New Roman" w:cs="Times New Roman" w:eastAsia="Times New Roman" w:hAnsi="Times New Roman"/>
          <w:b/>
          <w:bCs/>
          <w:i w:val="false"/>
          <w:iCs w:val="false"/>
          <w:sz w:val="25"/>
          <w:szCs w:val="25"/>
        </w:rPr>
        <w:t xml:space="preserve">2.7 Standard-essential patents as transnational private regulation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Standard-development organisations are private associations. Their constitutions are contractual, their membership is voluntary, their procedures are of their own devising and their officers are accountable to their members. They are not organs of any state, and their instruments are not legislation. Yet their rules determine the technical architecture of global infrastructure and allocate very substantial economic value, and they do so across every jurisdiction in which the standard is implemented.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the phenomenon that the literature on transnational private regulation examines: the exercise of regulatory functions, across borders, by bodies that are private in form and whose authority derives from the participation of the regulated rather than from public delegation. The framing is analytically useful here for three reasons.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identifies the correct legitimacy question. The question is not whether standard-development organisations are democratically accountable, since plainly they are not and were never designed to be. It is whether the procedures by which they exercise their regulatory functions are adequate to the consequences of those functions: whether participation is open to those materially affected; whether decision-making is transparent; whether the organisation is resistant to capture by the interests best resourced to participate in it; and whether the private rules it makes are subject to adequate public supervision.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explains the persistence of governance failures that appear straightforwardly remediable. The transparency deficit described in section 2.5.2 has been identified in the literature for decades and remains substantially uncorrected. That persistence is not adequately explained by oversight. It is better explained by the political economy of a membership organisation: essentiality verification is costly, the cost would fall on members, and the members best placed to bear it are in several cases those least advantaged by transparency. A private regulator whose rules require the assent of the regulated will not readily adopt rules that the regulated oppose.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locates the hybrid character of the resulting regime. The commitment is private in origin and given effect through private contracts, but its enforcement depends on public institutions: patent courts that grant or withhold remedies, competition authorities that supervise the conduct of dominant undertakings, and legislatures that define the framework within which both operate. Neither the private nor the public layer is self-sufficient. The private layer generates the obligation but supplies neither a valuation mechanism nor a means of resolving disputes. The public layer supplies both, but does so through institutions whose jurisdiction is territorial and whose approaches diverge.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this hybridity, and the consequent distribution of governance functions across institutions of different character, competence and jurisdiction, that the layered framework in Chapter 7 is designed to make analytically tractable.</w:t>
      </w:r>
    </w:p>
    <w:p>
      <w:pPr>
        <w:pStyle w:val="Heading2"/>
        <w:spacing w:after="150" w:before="300" w:line="240"/>
      </w:pPr>
      <w:r>
        <w:rPr>
          <w:rFonts w:ascii="Times New Roman" w:cs="Times New Roman" w:eastAsia="Times New Roman" w:hAnsi="Times New Roman"/>
          <w:b/>
          <w:bCs/>
          <w:i w:val="false"/>
          <w:iCs w:val="false"/>
          <w:sz w:val="25"/>
          <w:szCs w:val="25"/>
        </w:rPr>
        <w:t xml:space="preserve">2.8 The public interest: specification of criteria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Public interest is invoked in this field with a frequency inversely proportional to the precision with which it is defined. Proprietors invoke it in support of royalties sufficient to sustain research and development and to reward the disclosure of technology to open standards. Implementers invoke it in support of royalties low enough to permit competitive entry and affordable devices. Both are, stated at that level of generality, correct. An undefined public interest cannot adjudicate between them, and its rhetorical availability to every party is a reason for suspicion rather than for deference.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dissertation therefore specifies the criteria it uses. They are set out in five groups, which are used consistently in the substantive chapters and reproduced in tabular form in Appendix C.</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group concerns innovation incentives. Whether the arrangement preserves adequate incentives for upstream research and development. Whether it preserves adequate incentives to contribute technology to open standards rather than retaining it as a proprietary implementation. Whether it preserves adequate incentives for downstream implementation and for innovation in products and services built upon the standard.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group concerns access and competition. Whether the arrangement secures interoperability. Whether it secures access to standardised technology on terms that permit participation. Its effect on static competition, meaning rivalry among existing market participants, and on dynamic competition, meaning rivalry to develop the technologies of the next generation. Its effect on consumer choice, on price and on product availability. Whether it permits entry by small and medium-sized enterprises and by new market participants. Its treatment of domestic manufacturers, particularly in economies whose industrial base is concentrated downstream.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group concerns the operation of the system. Transaction costs, including the costs of search, negotiation, verification and enforcement. Predictability, meaning the capacity of a party to determine its likely exposure in advance of committing investment. Transparency, meaning the availability of the information required to assess exposure and to detect discrimination. Administrability, meaning whether the institutions charged with applying the arrangement are capable of doing so consistently and at acceptable cost.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group concerns procedure and legitimacy. Procedural fairness to affected parties, including those not represented in the proceedings in which their interests are determined. Stakeholder participation in the making of the rules. Access to justice, meaning the practical capacity of an affected party to obtain adjudication of its rights. Institutional legitimacy, meaning whether the body exercising authority has the expertise and the accountability that its function requires. International coordination, meaning the capacity of the arrangement to operate alongside the arrangements of other jurisdictions without generating conflict.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fifth group concerns distribution and development. Technology transfer. Distributional effects between contributors and implementers, between jurisdictions, and between undertakings of differing size and sophistication. Digital inclusion, meaning the affordability of access to standardised technology for populations at the margin of the market. Industrial development, including the capacity of an economy to move from implementation towards contribution.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disciplines govern the use of these criteria.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they conflict, and the conflicts are not resolvable by definition. A royalty that preserves the strongest incentive to contribute will not be the royalty that maximises immediate access, and a procedure that maximises accuracy in valuation will not be the procedure that minimises cost or maximises accessibility to a small enterprise. Where a conflict arises, this dissertation identifies it and states which criterion it privileges and why. It does not resolve conflicts silently by selecting the criterion that supports a preferred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public interest is not equated with any single stakeholder's position. It is not the lowest attainable royalty; a royalty of zero would eliminate the incentive to contribute and would be a public harm. It is not the maximisation of proprietor revenue. It is not access unaccompanied by compensation. It is not an automatic entitlement to injunctive relief, nor an automatic immunity from it. It is not the protection of domestic industry as such, though the position of domestic manufacturers is a relevant criterion within the second and fifth groups.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that the criteria are applied to institutions and procedures as well as to outcomes. This follows from the position taken in section 1.3. If the governing obligation identifies a range rather than a point, an outcome cannot be evaluated simply by asking whether it is the correct one, because more than one outcome is correct. It must be evaluated by asking whether it falls within the acceptable range and whether it was reached by a process that the affected parties and the wider public have reason to accept. Procedural criteria are therefore not subordinate to substantive ones in the evaluation undertaken here; they are, in a field characterised by substantive underdeterminacy, doing a substantial part of the work.</w:t>
      </w:r>
    </w:p>
    <w:p>
      <w:pPr>
        <w:pStyle w:val="Heading2"/>
        <w:spacing w:after="150" w:before="300" w:line="240"/>
      </w:pPr>
      <w:r>
        <w:rPr>
          <w:rFonts w:ascii="Times New Roman" w:cs="Times New Roman" w:eastAsia="Times New Roman" w:hAnsi="Times New Roman"/>
          <w:b/>
          <w:bCs/>
          <w:i w:val="false"/>
          <w:iCs w:val="false"/>
          <w:sz w:val="25"/>
          <w:szCs w:val="25"/>
        </w:rPr>
        <w:t xml:space="preserve">2.9 The literature: principal positions and their strongest forms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scholarship on standard-essential patents is large, contested and unusually marked by the institutional affiliations of its contributors. This section identifies the principal positions and states each in the strongest form its adherents would recognise, because an argument stated weakly cannot be answered and because a good deal of the commentary in this field consists in the refutation of positions nobody holds.</w:t>
      </w:r>
    </w:p>
    <w:p>
      <w:pPr>
        <w:pStyle w:val="Heading3"/>
        <w:spacing w:after="150" w:before="300" w:line="240"/>
      </w:pPr>
      <w:r>
        <w:rPr>
          <w:rFonts w:ascii="Times New Roman" w:cs="Times New Roman" w:eastAsia="Times New Roman" w:hAnsi="Times New Roman"/>
          <w:b/>
          <w:bCs/>
          <w:i/>
          <w:iCs/>
          <w:sz w:val="24"/>
          <w:szCs w:val="24"/>
        </w:rPr>
        <w:t xml:space="preserve">2.9.1 The transfer-and-distortion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position holds that the central problem is the appropriation, by proprietors of essential patents, of value they did not create. Its adherents reason as follows. The exclusive right was granted to reward an inventive contribution. Where a patent is incorporated into a standard, the leverage its proprietor acquires derives not from the contribution but from the collective decision to standardise and from the specification-specific investments subsequently made by implementers. A royalty that reflects that leverage therefore transfers value from implementers to proprietors without any corresponding inventive justification, and the transfer is not merely distributive but distortive: it reduces the return to downstream implementation and product innovation, which in a cumulatively innovative industry reduces the resources available for the next generation of contributions.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Stated in this form the position does not depend on any claim that proprietors behave improperly, and its stronger advocates do not make that claim. It depends on the structural observation developed in section 2.3, which is not seriously contested, together with the normative premise that the function of a patent is to reward contribution rather than to capture whatever the market will bear. The position supports apportionment, component-level licensing, restrictions on injunctive relief, and the exclusion from the royalty base of value attributable to standardisation itself.</w:t>
      </w:r>
    </w:p>
    <w:p>
      <w:pPr>
        <w:pStyle w:val="Heading3"/>
        <w:spacing w:after="150" w:before="300" w:line="240"/>
      </w:pPr>
      <w:r>
        <w:rPr>
          <w:rFonts w:ascii="Times New Roman" w:cs="Times New Roman" w:eastAsia="Times New Roman" w:hAnsi="Times New Roman"/>
          <w:b/>
          <w:bCs/>
          <w:i/>
          <w:iCs/>
          <w:sz w:val="24"/>
          <w:szCs w:val="24"/>
        </w:rPr>
        <w:t xml:space="preserve">2.9.2 The under-reward and dilution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position holds that the central problem is the opposite: that contributors to open standards are systematically under-rewarded, and that the institutional apparatus surrounding the licensing commitment has become a mechanism for depressing returns to upstream research.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strongest form runs as follows. Contribution to an open standard is voluntary and costly. An undertaking that develops a technology has the alternative of retaining it as a proprietary implementation, in which case it captures the entire return and incurs no licensing obligation. It contributes to an open standard only if the expected return from doing so is competitive with that alternative. Every measure that reduces the expected return, whether by restricting remedies, mandating a narrow base, or increasing the cost and delay of enforcement, shifts that comparison. The effect will not be observed as a reduction in royalties on existing standards, because existing commitments are irrevocable; it will be observed, with a lag of a technology generation, as a reduction in the quality of the technology contributed to open standards and an increase in proprietary alternatives. On this view the apparent success of collaborative standardisation is a legacy of a period in which contribution was adequately rewarded, and the measures presently advocated are a claim on that legacy rather than a reform of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position is frequently dismissed as special pleading, and it is advanced by parties with an interest in the outcome. But the mechanism it identifies is real, the counterfactual it invokes is the correct one, and the observation that its predicted effects operate with a generational lag is a reason why the absence of observed effects to date is weak evidence against it. The position supports strong remedies, deference to negotiated outcomes, end-product bases where connectivity enables the product's value, and scepticism towards administrative intervention in valuation.</w:t>
      </w:r>
    </w:p>
    <w:p>
      <w:pPr>
        <w:pStyle w:val="Heading3"/>
        <w:spacing w:after="150" w:before="300" w:line="240"/>
      </w:pPr>
      <w:r>
        <w:rPr>
          <w:rFonts w:ascii="Times New Roman" w:cs="Times New Roman" w:eastAsia="Times New Roman" w:hAnsi="Times New Roman"/>
          <w:b/>
          <w:bCs/>
          <w:i/>
          <w:iCs/>
          <w:sz w:val="24"/>
          <w:szCs w:val="24"/>
        </w:rPr>
        <w:t xml:space="preserve">2.9.3 The institutional-failure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position is less concerned with the direction in which value flows than with the machinery that determines it. Its adherents hold that the substantive disagreement between the first two positions is unresolvable on present evidence, and that the tractable problems are institutional: the absence of essentiality verification, the confidentiality of comparable licences, the inaccessibility of adjudication to smaller parties, the absence of any mechanism for allocating adjudicative authority among courts asserting global competence, and the incapacity of private standards bodies to prescribe or sustain substantive rules.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strongest form of this position makes a methodological claim as well as a practical one. It holds that the persistent attempt to determine the correct royalty is a category error, because the standard is underdeterminate; that the legitimacy of an outcome in such a field is necessarily procedural; and that reform effort directed at the substantive standard is therefore misdirected, whereas reform directed at information, procedure and institutional allocation would improve outcomes on any view of the underlying distributive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dissertation is closest to the third position, and section 1.3 and section 2.8 set out its reasons. Two qualifications should nonetheless be entered against it. Procedural reform is not distributively neutral, and it is not advanced here as though it were: essentiality verification and comparable-licence disclosure would, on the balance of probabilities, reduce royalties relative to the status quo, because they remove informational advantages that presently favour proprietors, and that consequence should be acknowledged rather than concealed behind the language of transparency. And an exclusive focus on procedure risks indefinite deferral of substantive questions that must eventually be answered, of which the royalty base is the clearest example.</w:t>
      </w:r>
    </w:p>
    <w:p>
      <w:pPr>
        <w:pStyle w:val="Heading3"/>
        <w:spacing w:after="150" w:before="300" w:line="240"/>
      </w:pPr>
      <w:r>
        <w:rPr>
          <w:rFonts w:ascii="Times New Roman" w:cs="Times New Roman" w:eastAsia="Times New Roman" w:hAnsi="Times New Roman"/>
          <w:b/>
          <w:bCs/>
          <w:i/>
          <w:iCs/>
          <w:sz w:val="24"/>
          <w:szCs w:val="24"/>
        </w:rPr>
        <w:t xml:space="preserve">2.9.4 The development and access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position approaches the field from the perspective of technology-importing economies and of access to standardised technology as a condition of participation in a digital economy. Its adherents hold that the licensing arrangements examined in this dissertation were developed by and for technologically advanced economies, that they systematically disadvantage implementers without patent portfolios and without the resources to litigate, and that the resulting royalty burden falls, through device prices, on populations at the margin of the market.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strongest form avoids two weak arguments frequently made in its name. It does not argue that royalties should be lower because implementers are poor, which is a claim about distribution dressed as a claim about value. And it does not argue that standardised technology should be available without compensation, which would destroy the incentive to contribute and would harm developing economies as their own contribution capacity grows. It argues instead that several determinants of the royalty which are legitimately relevant to value, including the prices at which products are sold in a market, the applications in which the technology is deployed, and the volumes involved, are neglected by methodologies developed in high-price markets; that the general reading of the non-discrimination limb permits systematic differentials in favour of undertakings with cross-licensing leverage, which developing-economy implementers characteristically lack; and that the practical inaccessibility of adjudication converts a formally balanced doctrine into an effectively one-sided 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Sections 7.6 and 7.7 engage with this position directly and accept a substantial part of it while rejecting express development-based rate differentiation for the reasons given in section 7.6.3.</w:t>
      </w:r>
    </w:p>
    <w:p>
      <w:pPr>
        <w:pStyle w:val="Heading3"/>
        <w:spacing w:after="150" w:before="300" w:line="240"/>
      </w:pPr>
      <w:r>
        <w:rPr>
          <w:rFonts w:ascii="Times New Roman" w:cs="Times New Roman" w:eastAsia="Times New Roman" w:hAnsi="Times New Roman"/>
          <w:b/>
          <w:bCs/>
          <w:i/>
          <w:iCs/>
          <w:sz w:val="24"/>
          <w:szCs w:val="24"/>
        </w:rPr>
        <w:t xml:space="preserve">2.9.5 What the literature does not establish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as important to record what the literature does not establish as what it contends.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does not establish the incidence or magnitude of hold-up. It does not establish the incidence or magnitude of hold-out. It does not establish the aggregate royalty burden borne by a representative device. It does not establish the proportion of declared patents that are essential, beyond a range wide enough to be consistent with very different conclusions. It does not establish the effect of any licensing practice on the rate of downstream innovation. And it does not establish that any jurisdiction's approach produces better outcomes than any other's, because the outcomes that would permit the comparison are confidential and the counterfactuals are unobservable.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4.9 examines the principal empirical controversy in detail. The point to be taken here is that a reader of this literature should be sceptical of any contribution that treats these questions as settled, and that the frequency with which they are so treated is a feature of the field rather than an accident.</w:t>
      </w:r>
    </w:p>
    <w:p>
      <w:pPr>
        <w:pStyle w:val="Heading2"/>
        <w:spacing w:after="150" w:before="300" w:line="240"/>
      </w:pPr>
      <w:r>
        <w:rPr>
          <w:rFonts w:ascii="Times New Roman" w:cs="Times New Roman" w:eastAsia="Times New Roman" w:hAnsi="Times New Roman"/>
          <w:b/>
          <w:bCs/>
          <w:i w:val="false"/>
          <w:iCs w:val="false"/>
          <w:sz w:val="25"/>
          <w:szCs w:val="25"/>
        </w:rPr>
        <w:t xml:space="preserve">2.10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conceptual apparatus assembled in this chapter supports four propositions that the remainder of the dissertation develops.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Standardisation creates a public good by an act that simultaneously distributes private rents, so that the appropriate regulatory response is neither to eliminate standard-conferred advantage nor to protect it unconditionally.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categories habitually collapsed into the expression standard-essential patent must be kept distinct, and in particular the number of declarations made in respect of a portfolio is an unreliable proxy for the quantity of essential technology it contains. That unreliability is a structural feature of a system in which declarations are unverified and the incentives to declare are asymmetric, and it propagates into valuation, negotiation and adjudication.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licensing commitment is an undertaking to offer terms, given to a private association for the benefit of third parties, and its enforcement depends on public institutions whose jurisdiction is territorial. The regime is accordingly hybrid, and its legitimacy is a function of the interaction of its private and public layers rather than of either alone.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public interest is a set of specified and mutually conflicting criteria, applicable to institutions and procedures as well as to outcomes, and not a rhetorical resource available to whichever party invokes it most insistently.</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3: Standard-Development Organisations and the Legal Architecture of FRAND</w:t>
      </w:r>
    </w:p>
    <w:p>
      <w:pPr>
        <w:pStyle w:val="Heading2"/>
        <w:spacing w:after="150" w:before="300" w:line="240"/>
      </w:pPr>
      <w:r>
        <w:rPr>
          <w:rFonts w:ascii="Times New Roman" w:cs="Times New Roman" w:eastAsia="Times New Roman" w:hAnsi="Times New Roman"/>
          <w:b/>
          <w:bCs/>
          <w:i w:val="false"/>
          <w:iCs w:val="false"/>
          <w:sz w:val="25"/>
          <w:szCs w:val="25"/>
        </w:rPr>
        <w:t xml:space="preserve">3.1 Introduction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chapter examines the institutional and juridical foundations of the licensing obligation. It proceeds in four movements. It first examines the instrument in which the obligation is contained and the operative provisions of that instrument. It then examines the disclosure regime that surrounds it and the transparency deficit that regime leaves unaddressed. It then turns to the competing accounts of the obligation's juridical foundation and to the content of each of its limbs. It concludes by drawing the comparative lesson of the more prescriptive policy adopted, and subsequently relaxed, by a different standards body, and by assessing the legitimacy of standard-development-organisation governance against the criteria specified in Chapter 2.</w:t>
      </w:r>
    </w:p>
    <w:p>
      <w:pPr>
        <w:pStyle w:val="Heading2"/>
        <w:spacing w:after="150" w:before="300" w:line="240"/>
      </w:pPr>
      <w:r>
        <w:rPr>
          <w:rFonts w:ascii="Times New Roman" w:cs="Times New Roman" w:eastAsia="Times New Roman" w:hAnsi="Times New Roman"/>
          <w:b/>
          <w:bCs/>
          <w:i w:val="false"/>
          <w:iCs w:val="false"/>
          <w:sz w:val="25"/>
          <w:szCs w:val="25"/>
        </w:rPr>
        <w:t xml:space="preserve">3.2 The ETSI IPR Policy as the paradigmatic instrument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intellectual-property-rights policy of the European Telecommunications Standards Institute is the paradigmatic instrument in this field, for the practical reason given in Chapter 2: it is to that Institute that the great majority of declarations concerning cellular essential patents are made, with the consequence that the obligations of proprietors of cellular essential patents are, in the overwhelming run of cases, obligations arising under that policy. The policy appears as an annex to the Institute's Rules of Procedure, and is supplemented by a Guide on Intellectual Property Rights which is explanatory rather than operative.</w:t>
      </w:r>
      <w:r>
        <w:rPr>
          <w:rStyle w:val="FootnoteReference"/>
        </w:rPr>
        <w:footnoteReference w:id="6"/>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structure of the policy reflects a deliberate compromise between two objectives which its stated purpose acknowledges to be in tension: that standards should be based on the best available technology, which requires that proprietors be willing to contribute, and that the technology so contributed should be available to those who implement the standard. The policy seeks neither to guarantee proprietors any particular return nor to secure implementers access at any particular price. It establishes a procedural and contractual framework and leaves the substance to negotiation.</w:t>
      </w:r>
    </w:p>
    <w:p>
      <w:pPr>
        <w:pStyle w:val="Heading3"/>
        <w:spacing w:after="150" w:before="300" w:line="240"/>
      </w:pPr>
      <w:r>
        <w:rPr>
          <w:rFonts w:ascii="Times New Roman" w:cs="Times New Roman" w:eastAsia="Times New Roman" w:hAnsi="Times New Roman"/>
          <w:b/>
          <w:bCs/>
          <w:i/>
          <w:iCs/>
          <w:sz w:val="24"/>
          <w:szCs w:val="24"/>
        </w:rPr>
        <w:t xml:space="preserve">3.2.1 The operative licensing provision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operative licensing provision requires that, when an essential intellectual-property right is brought to the Institute's attention, the Director-General request the proprietor to give, within a stipulated period, an irrevocable undertaking in writing that it is prepared to grant irrevocable licences on fair, reasonable and non-discriminatory terms and conditions, to an extent which the provision specifies by reference to categories of conduct including the manufacture, sale, lease, repair, use and operation of equipment or methods complying with the standard.</w:t>
      </w:r>
      <w:r>
        <w:rPr>
          <w:rStyle w:val="FootnoteReference"/>
        </w:rPr>
        <w:footnoteReference w:id="7"/>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features of that provision are decisive for everything that follows, and each has been the subject of litigation.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undertaking is irrevocable. A proprietor that has given it cannot withdraw it, and the irrevocability is not defeated by the subsequent transfer of the patent. The policy addresses transfer expressly, requiring that provision be made to ensure that the undertaking binds a transferee. This is what makes the commitment durable in a market in which substantial portfolios change hands, frequently to entities whose business consists in licensing rather than in manufacture. Were the position otherwise, the commitment could be defeated by assignment, and the entire structure would be worthless.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undertaking is an undertaking to be prepared to grant licences. It is not itself a licence and it does not of itself confer any immunity on an implementer. The distinction was noted in Chapter 2 and bears repetition because it is persistently blurred: an implementer who has invoked the commitment is not thereby licensed, and the proprietor's patent remains in force and enforceable subject to the constraints that the commitment and the general law impose on the manner of its enforcement.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undertaking is given to the Institute rather than to any implementer, yet its manifest purpose is to benefit implementers. That structural feature generates the enforceability question addressed in section 3.4.</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undertaking is expressed in the conjoined formula fair, reasonable and non-discriminatory. Whether that formula states one obligation or three, and whether the third limb adds anything to the first two, is the question examined in section 3.5.</w:t>
      </w:r>
    </w:p>
    <w:p>
      <w:pPr>
        <w:pStyle w:val="Heading3"/>
        <w:spacing w:after="150" w:before="300" w:line="240"/>
      </w:pPr>
      <w:r>
        <w:rPr>
          <w:rFonts w:ascii="Times New Roman" w:cs="Times New Roman" w:eastAsia="Times New Roman" w:hAnsi="Times New Roman"/>
          <w:b/>
          <w:bCs/>
          <w:i/>
          <w:iCs/>
          <w:sz w:val="24"/>
          <w:szCs w:val="24"/>
        </w:rPr>
        <w:t xml:space="preserve">3.2.2 Governing law and the significance of that choice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Institute's rules are governed by French law, and the undertaking given under the licensing provision accordingly takes effect as a contract governed by French law. That is not a technicality. It means that the content of the obligation, including such questions as whether it imports a duty of good faith in negotiation and what a third party may enforce, falls in principle to be determined by a single national law, even though the obligation is enforced in courts throughout the world applying their own procedural and remedial rules.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theoretical consequence is that the divergences between jurisdictions documented in Chapter 6 cannot be attributed to differences in the underlying obligation, because the underlying obligation is the same in each case. They must be attributed to differences in remedial tradition, in institutional structure, in procedural culture, and in the underlying policy preferences of the systems concerned. That observation is analytically valuable, because it locates the true source of divergence, and it is also somewhat deflating, because it suggests that harmonisation of the obligation would not by itself produce harmonisation of outcomes.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practical consequence is that courts adjudicating these disputes are applying foreign law to determine the content of the obligation while applying domestic law to determine the remedy. The English courts have undertaken that exercise expressly, treating the undertaking as a contract governed by French law and taking the view that it is enforceable by third parties on the analysis described in section 3.4. Other systems have reached compatible conclusions by different routes, and some have proceeded on the basis of their own law without extensive attention to the governing-law question.</w:t>
      </w:r>
    </w:p>
    <w:p>
      <w:pPr>
        <w:pStyle w:val="Heading2"/>
        <w:spacing w:after="150" w:before="300" w:line="240"/>
      </w:pPr>
      <w:r>
        <w:rPr>
          <w:rFonts w:ascii="Times New Roman" w:cs="Times New Roman" w:eastAsia="Times New Roman" w:hAnsi="Times New Roman"/>
          <w:b/>
          <w:bCs/>
          <w:i w:val="false"/>
          <w:iCs w:val="false"/>
          <w:sz w:val="25"/>
          <w:szCs w:val="25"/>
        </w:rPr>
        <w:t xml:space="preserve">3.3 Disclosure, patent ambush and the transparency deficit</w:t>
      </w:r>
    </w:p>
    <w:p>
      <w:pPr>
        <w:pStyle w:val="Heading3"/>
        <w:spacing w:after="150" w:before="300" w:line="240"/>
      </w:pPr>
      <w:r>
        <w:rPr>
          <w:rFonts w:ascii="Times New Roman" w:cs="Times New Roman" w:eastAsia="Times New Roman" w:hAnsi="Times New Roman"/>
          <w:b/>
          <w:bCs/>
          <w:i/>
          <w:iCs/>
          <w:sz w:val="24"/>
          <w:szCs w:val="24"/>
        </w:rPr>
        <w:t xml:space="preserve">3.3.1 The disclosure obligation and its rationale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policy requires members to use reasonable endeavours, in particular during the development of a standard in which they participate, to inform the Institute in a timely fashion of essential intellectual-property rights of which they become aware.</w:t>
      </w:r>
      <w:r>
        <w:rPr>
          <w:rStyle w:val="FootnoteReference"/>
        </w:rPr>
        <w:footnoteReference w:id="8"/>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rationale is the prevention of patent ambush. Ambush, in its paradigm form, consists in a participant remaining silent about a patent while a specification incorporating the patented technology is developed and adopted, and then asserting the patent once implementers have made the specification-specific investments described in Chapter 2. The harm is not merely that the proprietor obtains a royalty; it is that the participants were deprived of the opportunity to select an alternative technology at the point when selection was still possible and costless. Disclosure preserves that opportunity by ensuring that the existence of claimed essential rights is known while the specification remains open.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features of the obligation as drafted limit its force. It is an obligation of reasonable endeavours rather than an absolute duty, which accommodates the practical reality that a large undertaking may not know the full contents of its own portfolio in relation to a specification under development. And it attaches to rights of which the member becomes aware, which introduces a subjective element into a question that would be more easily administered on an objective basis.</w:t>
      </w:r>
    </w:p>
    <w:p>
      <w:pPr>
        <w:pStyle w:val="Heading3"/>
        <w:spacing w:after="150" w:before="300" w:line="240"/>
      </w:pPr>
      <w:r>
        <w:rPr>
          <w:rFonts w:ascii="Times New Roman" w:cs="Times New Roman" w:eastAsia="Times New Roman" w:hAnsi="Times New Roman"/>
          <w:b/>
          <w:bCs/>
          <w:i/>
          <w:iCs/>
          <w:sz w:val="24"/>
          <w:szCs w:val="24"/>
        </w:rPr>
        <w:t xml:space="preserve">3.3.2 What disclosure does not do</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more consequential limitation is one of design rather than drafting. The disclosure regime addresses the existence of claimed essential rights. It does nothing whatever to establish that they are essential.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declaration is accordingly a statement by a proprietor that a patent may be essential, made without verification by anyone, recorded in a database whose custodian expressly disclaims any view as to its accuracy, and productive of no consequence if it proves to be wrong. The analysis in section 2.5.2 explained why the incentives operating on declaring parties produce systematic over-declaration in those circumstances, and why the resulting divergence between declared and actual essentiality is wide enough to render declaration counts unreliable as a measure of portfolio strength.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a governance failure at the first substantive layer of the framework developed in Chapter 7, and its consequences are cumulative rather than contained.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For implementers, and particularly for small and medium-sized enterprises and new entrants, it converts the assessment of licensing exposure into an exercise of very substantial cost and irreducible uncertainty. An undertaking wishing to know what it must pay to implement a cellular standard confronts a register of declarations from which the essential subset cannot be identified without technical analysis of each declared patent against the specification, an exercise beyond the means of any but the largest undertakings. The practical consequence is that such undertakings cannot evaluate an offer against any independent benchmark and must either accept it or litigate, and litigation is also beyond their means for the reasons developed in section 5.7.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For valuation, it corrupts the input on which the top-down methodology depends. That methodology requires an estimate of the proportion of all essential patents reading on a standard that the portfolio in suit represents, and there is no reliable way to compute that proportion from declarations. Chapter 4 examines the consequences, and Chapter 6 examines a determination in which a court proceeded by counting declared patents without qualitative assessment.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For the assessment of negotiating conduct, it complicates the attribution of unwillingness. An implementer that declines to accept an offer resting on undifferentiated declaration counts, and that requests claim charts or other evidence of essentiality before committing, may be acting reasonably rather than obstructively. Yet the doctrines examined in Chapter 5 place considerable weight on the promptness and unconditionality of the implementer's response, and a standard of willingness that does not accommodate a legitimate demand for information will systematically disadvantage the party that has less of it.</w:t>
      </w:r>
    </w:p>
    <w:p>
      <w:pPr>
        <w:pStyle w:val="Heading3"/>
        <w:spacing w:after="150" w:before="300" w:line="240"/>
      </w:pPr>
      <w:r>
        <w:rPr>
          <w:rFonts w:ascii="Times New Roman" w:cs="Times New Roman" w:eastAsia="Times New Roman" w:hAnsi="Times New Roman"/>
          <w:b/>
          <w:bCs/>
          <w:i/>
          <w:iCs/>
          <w:sz w:val="24"/>
          <w:szCs w:val="24"/>
        </w:rPr>
        <w:t xml:space="preserve">3.3.3 Why the deficit persists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persistence of this deficit despite decades of identification in the literature and in official reports requires explanation, and the explanation is institutional rather than intellectual.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Essentiality assessment is expensive. It requires technically qualified analysis of individual claims against particular releases of a specification, and it must be repeated as specifications evolve. Performed exhaustively across the declarations made in respect of a cellular generation, it would represent a very substantial undertaking.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cost would fall on the standard-development organisation and therefore on its members. Among those members, the undertakings with the largest declared portfolios would bear the largest share of the cost while standing to lose the most from the result, since a rigorous assessment would reduce the apparent size of every large portfolio and would reduce some more than others. A private regulator whose rules require the assent of the regulated is unlikely to adopt, at its members' expense, a measure that reduces its members' apparent assets.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Proposals for sampled rather than exhaustive assessment respond directly to the cost objection, since a statistically adequate sample of a portfolio can support an inference about the proportion of that portfolio which is essential at a small fraction of the cost of exhaustive review. Sampling has its own difficulties, including the selection of the sample, the standard against which essentiality is assessed, the treatment of borderline and optional features, and the status to be accorded to the result. But it substantially answers the objection that transparency is unaffordable, and its non-adoption is accordingly better explained by distributional resistance than by cost. This is the reasoning that supports the essentiality-transparency layer of the framework in Chapter 7 and the recommendation that the function be located outside the membership organisation whose members have an interest in its outcome.</w:t>
      </w:r>
    </w:p>
    <w:p>
      <w:pPr>
        <w:pStyle w:val="Heading2"/>
        <w:spacing w:after="150" w:before="300" w:line="240"/>
      </w:pPr>
      <w:r>
        <w:rPr>
          <w:rFonts w:ascii="Times New Roman" w:cs="Times New Roman" w:eastAsia="Times New Roman" w:hAnsi="Times New Roman"/>
          <w:b/>
          <w:bCs/>
          <w:i w:val="false"/>
          <w:iCs w:val="false"/>
          <w:sz w:val="25"/>
          <w:szCs w:val="25"/>
        </w:rPr>
        <w:t xml:space="preserve">3.4 The juridical foundation of the obligation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Several accounts of the obligation's juridical foundation have been advanced, in the scholarship and in the case law, and the choice among them has practical consequences for who may enforce the obligation, what they may enforce, and what remedy follows from its breach.</w:t>
      </w:r>
    </w:p>
    <w:p>
      <w:pPr>
        <w:pStyle w:val="Heading3"/>
        <w:spacing w:after="150" w:before="300" w:line="240"/>
      </w:pPr>
      <w:r>
        <w:rPr>
          <w:rFonts w:ascii="Times New Roman" w:cs="Times New Roman" w:eastAsia="Times New Roman" w:hAnsi="Times New Roman"/>
          <w:b/>
          <w:bCs/>
          <w:i/>
          <w:iCs/>
          <w:sz w:val="24"/>
          <w:szCs w:val="24"/>
        </w:rPr>
        <w:t xml:space="preserve">3.4.1 The contractual account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dominant account, and the one adopted by the English courts and reflected in the reasoning of the German and Unified Patent Court decisions examined in Chapter 5, is contractual. The undertaking given under the licensing provision is a promise, given to the standard-development organisation, supported by the consideration of participation in the standardisation process and the advantages that participation confers. It is governed by the law applicable to the organisation's rules.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enforceability by implementers who are not promisees is explained on the basis that it is a promise for the benefit of third parties, an institution recognised in the governing law and analogous to the third-party-beneficiary doctrine of common-law systems. An implementer may accordingly sue upon it notwithstanding that it gave no consideration and, indeed, notwithstanding that it may not be a member of the organisation at all.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considerations support this account. It locates the obligation in the proprietor's own voluntary act, which is both its historical origin and the source of its moral force: the proprietor is held to a promise it chose to give in exchange for advantages it chose to accept. It supplies determinate content, because the obligation is to be construed as a contractual term, with the interpretive resources that entails, including the construction of the instrument as a whole and by reference to its stated purpose. And it supplies determinate remedies, because breach of contract carries the ordinary consequences of breach, including the availability of specific relief in an appropriate case and the relevance of the promisor's conduct to the discretionary remedies sought against the promisee.</w:t>
      </w:r>
    </w:p>
    <w:p>
      <w:pPr>
        <w:pStyle w:val="Heading3"/>
        <w:spacing w:after="150" w:before="300" w:line="240"/>
      </w:pPr>
      <w:r>
        <w:rPr>
          <w:rFonts w:ascii="Times New Roman" w:cs="Times New Roman" w:eastAsia="Times New Roman" w:hAnsi="Times New Roman"/>
          <w:b/>
          <w:bCs/>
          <w:i/>
          <w:iCs/>
          <w:sz w:val="24"/>
          <w:szCs w:val="24"/>
        </w:rPr>
        <w:t xml:space="preserve">3.4.2 The competition-law account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An alternative or supplementary account locates the obligation in competition law. On this view, a proprietor of essential patents that occupies a dominant position is subject to the prohibition on the abuse of dominance, and the licensing commitment informs the content of that prohibition: conduct inconsistent with the commitment may constitute abuse, and the commitment thereby acquires an enforceability independent of its contractual character.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Court of Justice proceeded on essentially this footing in establishing the framework examined in section 5.3, holding that a proprietor which has given the commitment may abuse its dominant position by bringing an action for a prohibitory injunction without first complying with specified procedural requirements.</w:t>
      </w:r>
      <w:r>
        <w:rPr>
          <w:rStyle w:val="FootnoteReference"/>
        </w:rPr>
        <w:footnoteReference w:id="9"/>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account has explanatory power in the jurisdictions whose law it reflects, and it has the practical advantage that it engages the enforcement resources of competition authorities and does not depend on the implementer's capacity to litigate a contractual claim. But it has three structural limitations that counsel against treating it as the primary foundation.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requires dominance. A proprietor that is not dominant is not caught, and the assessment of dominance in this field is contested: essentiality does not establish dominance, since dominance is a question of market power in a properly defined market, and the definition of the relevant market where the product is a licence to a technology that cannot be substituted is itself disputed. An account of the obligation that applies only to dominant proprietors leaves the obligations of non-dominant proprietors to be explained on some other basis.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characterises as a public wrong what is in substance a private allocation of value. The question whether a particular royalty is excessive is, on the contractual account, a question about the meaning and application of a promise. On the competition-law account it becomes a question about the abuse of market power, which engages a different standard of proof, a different decision-maker and a different remedial apparatus, and which in several systems has proved a poor fit. The retreat of United States antitrust law from this territory, examined in section 5.8, is instructive: the Ninth Circuit's conclusion that a proprietor was under no antitrust duty to license rival component manufacturers, and that its royalty practices did not impose an anticompetitive surcharge, channelled the dispute back towards contract.</w:t>
      </w:r>
      <w:r>
        <w:rPr>
          <w:rStyle w:val="FootnoteReference"/>
        </w:rPr>
        <w:footnoteReference w:id="10"/>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generates duplication. Where both a patent court and a competition authority have jurisdiction over the same conduct, the risk is not merely of wasted resources but of inconsistent determinations, and of forum-shopping between regulators applying different standards. That is precisely the difficulty that India has confronted, and it is examined in section 7.5.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in this dissertation is accordingly that the contractual account is the sounder primary foundation, and that competition law properly operates as a supervisory overlay addressed to the subset of cases involving dominance and genuine abuse. This is not a denial that competition law has a role. It is a claim about which institution should ordinarily determine the content of the obligation, and about the consequences of getting that allocation wrong.</w:t>
      </w:r>
    </w:p>
    <w:p>
      <w:pPr>
        <w:pStyle w:val="Heading3"/>
        <w:spacing w:after="150" w:before="300" w:line="240"/>
      </w:pPr>
      <w:r>
        <w:rPr>
          <w:rFonts w:ascii="Times New Roman" w:cs="Times New Roman" w:eastAsia="Times New Roman" w:hAnsi="Times New Roman"/>
          <w:b/>
          <w:bCs/>
          <w:i/>
          <w:iCs/>
          <w:sz w:val="24"/>
          <w:szCs w:val="24"/>
        </w:rPr>
        <w:t xml:space="preserve">3.4.3 Other accounts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further accounts appear in the literature and merit brief treatment.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Promissory estoppel or reliance-based accounts ground the obligation in the implementer's reliance on the commitment in making specification-specific investments. They have the attraction of explaining directly why the implementer rather than the organisation is the party injured by breach, and they avoid the doctrinal difficulty of third-party enforcement. Their weakness is that they make the obligation's content depend on the fact and extent of reliance, which varies between implementers and is difficult to prove, and they fit awkwardly with the irrevocability of the commitment and its transmissibility against assignees.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Good-faith accounts ground the obligation in a general duty of good faith in the exercise of rights, whether derived from the governing law of the organisation's rules or from the law of the forum. Such accounts are better understood as supplying content to the contractual obligation than as an independent foundation, and it is in that capacity that good faith does substantial work in the reasoning examined in section 5.6.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Accounts locating the obligation in patent law itself, by treating the commitment as a limitation on the scope of the right or on the remedies available to enforce it, have the advantage of situating the obligation in the same body of law as the right it qualifies. Their difficulty is that patent statutes generally say nothing about the matter, so that the limitation must be derived from the general remedial discretion of the court rather than from the statute, which is a narrower foundation than it appears.</w:t>
      </w:r>
    </w:p>
    <w:p>
      <w:pPr>
        <w:pStyle w:val="Heading2"/>
        <w:spacing w:after="150" w:before="300" w:line="240"/>
      </w:pPr>
      <w:r>
        <w:rPr>
          <w:rFonts w:ascii="Times New Roman" w:cs="Times New Roman" w:eastAsia="Times New Roman" w:hAnsi="Times New Roman"/>
          <w:b/>
          <w:bCs/>
          <w:i w:val="false"/>
          <w:iCs w:val="false"/>
          <w:sz w:val="25"/>
          <w:szCs w:val="25"/>
        </w:rPr>
        <w:t xml:space="preserve">3.5 The content of the obligation</w:t>
      </w:r>
    </w:p>
    <w:p>
      <w:pPr>
        <w:pStyle w:val="Heading3"/>
        <w:spacing w:after="150" w:before="300" w:line="240"/>
      </w:pPr>
      <w:r>
        <w:rPr>
          <w:rFonts w:ascii="Times New Roman" w:cs="Times New Roman" w:eastAsia="Times New Roman" w:hAnsi="Times New Roman"/>
          <w:b/>
          <w:bCs/>
          <w:i/>
          <w:iCs/>
          <w:sz w:val="24"/>
          <w:szCs w:val="24"/>
        </w:rPr>
        <w:t xml:space="preserve">3.5.1 One obligation or three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formula is conjoined, and the question whether it states a single composite obligation or three separate requirements has been addressed most directly in England. The Supreme Court, upholding the approach of the first-instance judge, treated the obligation as a single composite one, with the consequence that terms are to be assessed as a whole against the standard the formula sets rather than tested seriatim against each of its limbs.</w:t>
      </w:r>
      <w:r>
        <w:rPr>
          <w:rStyle w:val="FootnoteReference"/>
        </w:rPr>
        <w:footnoteReference w:id="11"/>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practical significance of that conclusion is considerable and is easily understated. If the limbs were separate requirements, a term might satisfy the requirements of fairness and reasonableness and yet fail for want of non-discrimination, and an implementer could accordingly defeat an otherwise acceptable offer by identifying a more favourable term granted to another licensee. On the composite analysis, differences between licences are relevant to the overall assessment but are not independently dispositive. The composite analysis also coheres better with the commercial reality that licences are negotiated as packages in which rate, base, scope, duration, cross-licensing, release of past infringement and payment terms are interdependent, so that a comparison confined to the royalty rate is liable to mislead.</w:t>
      </w:r>
    </w:p>
    <w:p>
      <w:pPr>
        <w:pStyle w:val="Heading3"/>
        <w:spacing w:after="150" w:before="300" w:line="240"/>
      </w:pPr>
      <w:r>
        <w:rPr>
          <w:rFonts w:ascii="Times New Roman" w:cs="Times New Roman" w:eastAsia="Times New Roman" w:hAnsi="Times New Roman"/>
          <w:b/>
          <w:bCs/>
          <w:i/>
          <w:iCs/>
          <w:sz w:val="24"/>
          <w:szCs w:val="24"/>
        </w:rPr>
        <w:t xml:space="preserve">3.5.2 Fairness and reasonableness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two limbs are, in practice, addressed together, and their content is supplied almost entirely by the valuation exercise examined in Chapter 4 rather than by any independent doctrinal elaboration. A rate is reasonable if it falls within the range that would be arrived at by a willing licensor and a willing licensee negotiating with knowledge of the portfolio and without the distortion of standard-conferred leverage on the one side or the prospect of unremedied infringement on the other.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points of principle deserve emphasis.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the exercise is comparative and evidential rather than deductive. There is no formula from which a reasonable rate can be derived, and the authorities that have attempted the determination have proceeded by evaluating evidence, principally evidence of other licences, and by adjusting it to the circumstances of the case. Chapter 4 examines the methodologies and their assumptions.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underdeterminacy is a feature of the obligation rather than a deficiency in its application. This proposition, which is central to the argument of the dissertation, is supported by the reasoning of the Unified Patent Court in the decisions examined in section 5.5, which conceived the obligation as identifying a range or corridor rather than a point, and it is supported empirically by the divergence of outcomes documented in Chapter 6. It has the important consequence that an offer is not shown to be non-compliant merely by demonstrating that a lower rate would also have been compliant.</w:t>
      </w:r>
    </w:p>
    <w:p>
      <w:pPr>
        <w:pStyle w:val="Heading3"/>
        <w:spacing w:after="150" w:before="300" w:line="240"/>
      </w:pPr>
      <w:r>
        <w:rPr>
          <w:rFonts w:ascii="Times New Roman" w:cs="Times New Roman" w:eastAsia="Times New Roman" w:hAnsi="Times New Roman"/>
          <w:b/>
          <w:bCs/>
          <w:i/>
          <w:iCs/>
          <w:sz w:val="24"/>
          <w:szCs w:val="24"/>
        </w:rPr>
        <w:t xml:space="preserve">3.5.3 Non-discrimination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limb is the least settled and, in the view taken here, the most consequential for the developmental questions examined in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readings are available. On a hard-edged reading, the limb entitles every similarly situated licensee to the same terms, so that a proprietor which has granted more favourable terms to one licensee must extend them to others in a comparable position. On a general reading, the limb requires that terms reflect the market value of the portfolio, assessed without adjustment for the individual characteristics of the licensee, but does not entitle each licensee to the most favourable terms ever granted.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courts adopted the general reading, holding that the limb is general rather than hard-edged.</w:t>
      </w:r>
      <w:r>
        <w:rPr>
          <w:rStyle w:val="FootnoteReference"/>
        </w:rPr>
        <w:footnoteReference w:id="12"/>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for the general reading is practical and substantial. Licences are heterogeneous packages concluded at different times, in different market conditions, with different volumes, different geographic scopes, different treatment of past infringement, and frequently with a cross-licensing element whose value is difficult to quantify. A hard-edged rule would require the identification of the most favourable term across a body of confidential and non-comparable agreements, and would in practice deter proprietors from granting favourable terms in settlement of litigation for fear of establishing a benchmark applicable to the entire market. It would also be extremely difficult to administer, since it requires a determination of which licensees are similarly situated, and that determination reintroduces at a different point the very discretion the rule was intended to eliminate.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against it is that it leaves the limb with comparatively little independent work to do, and that it accommodates a form of discrimination against which the limb might have been expected to protect. If the requirement is that terms reflect the market value of the portfolio, and if the range of terms consistent with market value is wide, then substantially different terms may be offered to different licensees without infringing the limb. Where the licensees in question differ systematically, for example because some possess portfolios of their own with which to cross-license and others do not, or because some are established in jurisdictions in which the proprietor has reason to moderate its demands and others are not, the general reading may permit outcomes that are discriminatory in effect if not in the sense the limb addresses. Chapter 7 develops this concern in relation to implementers in developing economies, which characteristically lack the cross-licensing leverage available to global incumbents.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resolution proposed in this dissertation does not consist in preferring the hard-edged reading, which is unworkable for the reasons given. It consists in recognising that the general reading is administrable only if differences between licences can be detected, and that detection requires disclosure. A non-discrimination limb applied to a body of agreements that no implementer can see is not a protection but a formality. The corresponding recommendation, developed in section 7.7, is that the general reading be retained but paired with procedural disclosure of comparable licences within confidentiality arrangements adequate to protect the legitimate interests of third parties. This is an instance of the general pattern identified in Chapter 1: where a substantive standard is underdeterminate, procedural mechanisms do the work of rendering it legitimate.</w:t>
      </w:r>
    </w:p>
    <w:p>
      <w:pPr>
        <w:pStyle w:val="Heading3"/>
        <w:spacing w:after="150" w:before="300" w:line="240"/>
      </w:pPr>
      <w:r>
        <w:rPr>
          <w:rFonts w:ascii="Times New Roman" w:cs="Times New Roman" w:eastAsia="Times New Roman" w:hAnsi="Times New Roman"/>
          <w:b/>
          <w:bCs/>
          <w:i/>
          <w:iCs/>
          <w:sz w:val="24"/>
          <w:szCs w:val="24"/>
        </w:rPr>
        <w:t xml:space="preserve">3.5.4 Substantive and procedural dimensions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has a substantive dimension, concerning the terms offered, and a procedural dimension, concerning the conduct of the parties in arriving at them. Distinguishing them dissolves a good deal of apparent conflict in the authorities.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substantive dimension comprises the rate, the base, the scope, the duration, the treatment of past infringement and the other terms of the licence, assessed as a composite whole against the standard described above.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procedural dimension comprises the conduct of negotiation: which party must act first, what information must be provided and when, what constitutes an adequate offer and an adequate counter-offer, what security must be provided pending determination, and what conduct evidences unwillingness on either side. Its content was supplied principally by the Court of Justice in the framework examined in section 5.3, and it has been elaborated, and in places recast, by the national and supranational courts examined in Chapter 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utility of the distinction is that the principal divergences between jurisdictions documented in Chapter 6 are procedural rather than substantive. Systems agree, at the level of principle, that a proprietor must offer terms within the acceptable range and that an implementer must pay for what it uses. They disagree about who must do what, in what order, by when, and with what consequence for failure. That is a disagreement about the allocation of procedural burdens, and it is susceptible to resolution by the kind of institutional design proposed in Chapter 7 in a way that a disagreement about substantive value would not be.</w:t>
      </w:r>
    </w:p>
    <w:p>
      <w:pPr>
        <w:pStyle w:val="Heading2"/>
        <w:spacing w:after="150" w:before="300" w:line="240"/>
      </w:pPr>
      <w:r>
        <w:rPr>
          <w:rFonts w:ascii="Times New Roman" w:cs="Times New Roman" w:eastAsia="Times New Roman" w:hAnsi="Times New Roman"/>
          <w:b/>
          <w:bCs/>
          <w:i w:val="false"/>
          <w:iCs w:val="false"/>
          <w:sz w:val="25"/>
          <w:szCs w:val="25"/>
        </w:rPr>
        <w:t xml:space="preserve">3.6 Comparative institutional design: the more prescriptive alternative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intellectual-property-rights policy examined above is deliberately minimal on substance. It establishes a framework and leaves valuation and remedies to negotiation and adjudication. A different standards body has attempted the opposite, and the episode is instructive both for what it demonstrates to be possible and for what it demonstrates about the durability of such attempts.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patent policy of the Institute of Electrical and Electronics Engineers Standards Association was revised in 2015, following a favourable business-review letter from the United States Department of Justice, to adopt an unusually prescriptive position.</w:t>
      </w:r>
      <w:r>
        <w:rPr>
          <w:rStyle w:val="FootnoteReference"/>
        </w:rPr>
        <w:footnoteReference w:id="13"/>
      </w:r>
      <w:r>
        <w:rPr>
          <w:rFonts w:ascii="Times New Roman" w:cs="Times New Roman" w:eastAsia="Times New Roman" w:hAnsi="Times New Roman"/>
          <w:b w:val="false"/>
          <w:bCs w:val="false"/>
          <w:i w:val="false"/>
          <w:iCs w:val="false"/>
          <w:sz w:val="24"/>
          <w:szCs w:val="24"/>
        </w:rPr>
        <w:t xml:space="preserve"> The revision addressed matters that the European instrument leaves open. It defined a reasonable rate by reference to the value contributed by the patented technology excluding any value attributable to inclusion in the standard. It endorsed apportionment and the use of the smallest saleable component practising the patent as the royalty base. It addressed licensing at component level. And it restricted the circumstances in which proprietors could seek injunctive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revision was contested. Proprietors objected that it redistributed value towards implementers under the guise of clarification, and the objection was expressed institutionally as well as rhetorically: a number of proprietors declined to give the assurance the policy contemplated, submitting instead negative declarations, and the Department of Justice subsequently observed that the proportion of negative declarations had risen materially in the period following the revision.</w:t>
      </w:r>
      <w:r>
        <w:rPr>
          <w:rStyle w:val="FootnoteReference"/>
        </w:rPr>
        <w:footnoteReference w:id="14"/>
      </w:r>
      <w:r>
        <w:rPr>
          <w:rFonts w:ascii="Times New Roman" w:cs="Times New Roman" w:eastAsia="Times New Roman" w:hAnsi="Times New Roman"/>
          <w:b w:val="false"/>
          <w:bCs w:val="false"/>
          <w:i w:val="false"/>
          <w:iCs w:val="false"/>
          <w:sz w:val="24"/>
          <w:szCs w:val="24"/>
        </w:rPr>
        <w:t xml:space="preserve"> A further revision, effective from the beginning of 2023, relaxed the policy: the mandatory character of the apportionment and smallest-saleable-unit provisions was removed and the injunction language was softened, restoring a measure of optionality.</w:t>
      </w:r>
      <w:r>
        <w:rPr>
          <w:rStyle w:val="FootnoteReference"/>
        </w:rPr>
        <w:footnoteReference w:id="15"/>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lessons follow, and they are directly relevant to the framework proposed in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standard-development organisations can prescribe substantive licensing rules. The objection that such matters are inherently outside the competence of a private standards body is refuted by the fact that one adopted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such prescription redistributes value, and is understood by the affected parties to do so. A rule requiring apportionment to the smallest saleable component reduces the royalty base and therefore the royalty; a rule restricting injunctive relief reduces the proprietor's leverage. These are not technical clarifications of an existing standard but decisions about the allocation of value, and they will be resisted by those they disadvantage.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and most important, is that such prescription is institutionally fragile. A rule adopted by a membership organisation can be reversed by the same organisation under sustained pressure from members, and the pressure may be exerted not only through internal governance but through the exit option that negative declarations represent. A standards body that prescribes rules its members will not accept succeeds only in reducing the proportion of its standards covered by licensing assurances, which is a worse outcome for implementers than the rule it replaced.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conclusion drawn here is that substantive rule-making by standard-development organisations is a legitimate governance layer but cannot be the load-bearing one. It is well suited to matters on which members' interests are broadly aligned, such as the procedural conduct of negotiation and the quality of disclosure, and poorly suited to matters on which members' interests are directly opposed, such as the royalty base. That allocation is reflected in the framework in Chapter 7, which assigns disclosure and negotiation protocols to the standardisation layer and valuation to adjudication.</w:t>
      </w:r>
    </w:p>
    <w:p>
      <w:pPr>
        <w:pStyle w:val="Heading2"/>
        <w:spacing w:after="150" w:before="300" w:line="240"/>
      </w:pPr>
      <w:r>
        <w:rPr>
          <w:rFonts w:ascii="Times New Roman" w:cs="Times New Roman" w:eastAsia="Times New Roman" w:hAnsi="Times New Roman"/>
          <w:b/>
          <w:bCs/>
          <w:i w:val="false"/>
          <w:iCs w:val="false"/>
          <w:sz w:val="25"/>
          <w:szCs w:val="25"/>
        </w:rPr>
        <w:t xml:space="preserve">3.6A The common policy of the international bodies and the significance of institutional variety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two instruments examined so far occupy opposite ends of a spectrum: one minimal, declining to specify valuation or remedies, and one which attempted specification and substantially retreated. A third model is relevant to the argument, and it is the model adopted by the international standardisation bodies whose patent policy is operated in common.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characteristic features of that model, for present purposes, are three. It secures a licensing commitment through a patent statement or declaration lodged with the body concerned, in which the holder indicates whether it is prepared to license on reasonable and non-discriminatory terms, whether it is prepared to license without compensation, or whether it is not prepared to license on either footing. It declines, as the minimal model declines, to specify the content of reasonable terms, the royalty base, or the availability of remedies, leaving those questions to negotiation between the parties and to the courts. And it declines to assess essentiality, recording the declaration without examination in the same manner as the instrument examined at Chapter 3.3.2.</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aspects of the model repay attention.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the express provision for a holder to state that it is not prepared to license. That option is not a defect in the policy but a recognition of the constraint identified at Chapter 3.6: a standards body cannot compel contribution, and a policy that purported to require a licensing commitment as the price of participation would be met either by non-participation or by the withholding of the relevant technology from the specification. Providing expressly for refusal has the advantage of surfacing the position at the point at which the technical decision is taken, when alternatives may still be available, rather than after the specification has been adopted and the industry has committed. Viewed in that light the option is a transparency mechanism rather than a concession, and it addresses the ambush problem more directly than a disclosure obligation does, because it requires a statement not merely of existence but of intention.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international model demonstrates that the deficiencies identified in this chapter are systemic rather than attributable to the drafting of any particular instrument. Three bodies of very different constitution, operating across different technical domains and different constituencies, have each arrived at a licensing commitment expressed in general terms, each declines to verify essentiality, and none supplies machinery for determining terms or resolving disputes. That convergence is unlikely to be coincidental. It reflects the constraints under which such bodies operate: they depend upon the voluntary participation of the holders of the technology they need, they lack the resources and the mandate for technical examination at portfolio scale, and any attempt to specify substantive terms redistributes value among the members who would have to approve the specification.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conclusion to be drawn is not that the bodies have failed, which would imply that they were capable of succeeding at a task they are not constituted to perform. It is that the functions they do not discharge must be discharged elsewhere, and that a governance framework which locates those functions within the standardisation layer is misallocating them. That conclusion has two consequences carried forward in this dissertation. It supports the position taken at Chapter 3.6 that substantive valuation and remedial questions belong to the public institutions examined in Chapters 5 and 6 rather than to the organisations. And it supports the position taken at Chapter 7.7.3 that essentiality transparency, although informationally a standardisation problem, is institutionally a matter for a body with examination capacity and a public mandate, which in the Indian context points towards the patent office or an accredited independent assessor rather than towards the standardisation community.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final observation concerns institutional variety itself. The existence of several models is sometimes treated as a defect to be remedied by harmonisation of standardisation policy. That treatment is mistaken for the reasons developed at Chapter 6.10.3. The bodies serve different technical domains with different characteristics: the economics of a cellular standard implemented in billions of devices by a concentrated group of manufacturers differ from those of an industrial or safety standard implemented by many firms at low volume. A single policy calibrated to one would be miscalibrated for the others. What is required is not uniformity of policy but comparability of information, so that participants in any domain can ascertain what they are exposed to. That is a considerably more modest objective than harmonisation, and correspondingly more achievable.</w:t>
      </w:r>
    </w:p>
    <w:p>
      <w:pPr>
        <w:pStyle w:val="Heading2"/>
        <w:spacing w:after="150" w:before="300" w:line="240"/>
      </w:pPr>
      <w:r>
        <w:rPr>
          <w:rFonts w:ascii="Times New Roman" w:cs="Times New Roman" w:eastAsia="Times New Roman" w:hAnsi="Times New Roman"/>
          <w:b/>
          <w:bCs/>
          <w:i w:val="false"/>
          <w:iCs w:val="false"/>
          <w:sz w:val="25"/>
          <w:szCs w:val="25"/>
        </w:rPr>
        <w:t xml:space="preserve">3.6B Transfers, successors and the durability of the commitment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Declared portfolios are traded, and traded frequently. Whether the licensing commitment survives transfer therefore determines whether the regime examined in this chapter can be circumvented by the simple expedient of assignment. If it cannot survive, every constraint discussed above is optional at the holder's election, exercisable by sale.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instrument addresses the point in two ways. The undertaking is expressed to be irrevocable, which is difficult to reconcile with the proposition that it lapses on a change of proprietor. And the policy requires that transfers of declared rights be accompanied by arrangements securing the continuation of the undertaking in the hands of the transferee.</w:t>
      </w:r>
      <w:r>
        <w:rPr>
          <w:rStyle w:val="FootnoteReference"/>
        </w:rPr>
        <w:footnoteReference w:id="16"/>
      </w:r>
      <w:r>
        <w:rPr>
          <w:rFonts w:ascii="Times New Roman" w:cs="Times New Roman" w:eastAsia="Times New Roman" w:hAnsi="Times New Roman"/>
          <w:b w:val="false"/>
          <w:bCs w:val="false"/>
          <w:i w:val="false"/>
          <w:iCs w:val="false"/>
          <w:sz w:val="24"/>
          <w:szCs w:val="24"/>
        </w:rPr>
        <w:t xml:space="preserve"> The combined effect is that a purchaser of a declared essential patent should not be able to acquire it free of the encumbrance.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practical difficulties nevertheless persist, and they are of different characters.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the legal route by which the transferee is bound, which is not uniform across jurisdictions and which matters because it determines the implementer's remedy. On a contractual analysis, the transferee may be bound because it has undertaken to be bound as a condition of the transfer, in which case the implementer's rights depend on the terms of a transfer agreement to which it is not party and which it has not seen. Alternatively the encumbrance may be treated as attaching to the right itself, so that the patent passes subject to it in the manner of a property interest. The second analysis is more protective of implementers but harder to reconcile with the ordinary principle that a patent is transferred as it stands; the first is doctrinally more orthodox but leaves the implementer's position dependent on private arrangements it cannot inspect. The dissertation does not attempt to resolve the question, which turns on the law governing the particular transfer, but notes that the uncertainty is itself a governance defect: an obligation whose survival depends on an unseen document is weaker in practice than its irrevocable form suggests.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difficulty is structural and is not addressed by any current policy instrument. A large portfolio held by one proprietor and subject to a single undertaking may, if broken up and sold in parcels to several acquirers, generate several separate negotiations and several separate royalty demands where previously there was one. Each acquirer is individually bound to license on compliant terms, and each may do so. But compliance is assessed portfolio by portfolio, and nothing requires any acquirer to have regard to what the others are charging. The aggregate burden on the implementer may therefore rise, and the aggregate transaction cost certainly does, without any individual acquirer having behaved in a manner open to objection.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a contribution to the stacking problem examined at Chapter 4.9 which originates in portfolio trading rather than in declaration practice, and it deserves separate identification for three reasons. It is generated by an entirely lawful commercial transaction. It cannot be attributed to the conduct of any single party, which means the doctrinal tools directed at individual conduct — willingness, abuse, good faith — have nothing to grip. And it is invisible to the institutions best placed to address it, because a court determining the terms of one licence sees only the portfolio before it and has neither the evidence nor the jurisdiction to consider the cumulative position. Of the reform instruments considered in Chapter 7, only aggregate-royalty transparency at the second layer addresses it at all, and it does so only by making the problem visible rather than by solving it.</w:t>
      </w:r>
    </w:p>
    <w:p>
      <w:pPr>
        <w:pStyle w:val="Heading2"/>
        <w:spacing w:after="150" w:before="300" w:line="240"/>
      </w:pPr>
      <w:r>
        <w:rPr>
          <w:rFonts w:ascii="Times New Roman" w:cs="Times New Roman" w:eastAsia="Times New Roman" w:hAnsi="Times New Roman"/>
          <w:b/>
          <w:bCs/>
          <w:i w:val="false"/>
          <w:iCs w:val="false"/>
          <w:sz w:val="25"/>
          <w:szCs w:val="25"/>
        </w:rPr>
        <w:t xml:space="preserve">3.7 Assessing the legitimacy of standardisation governance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criteria specified in section 2.8 may now be applied to the institutions examined in this chapter. The assessment is mixed, and the pattern of success and failure is itself informative.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participation and the making of rules, the position is reasonably satisfactory as regards those who participate and unsatisfactory as regards those who do not. Standard-development organisations are open to members, and the members include both major contributors and major implementers, so that the two principal constituencies are represented in the making of the rules that govern them. But the rules bind and affect a far wider class: implementers who are not members, component suppliers further down the chain, and ultimately consumers, none of whom is represented. The organisations' procedures were designed to produce technical specifications acceptable to those who would implement them, and they perform that function adequately. They were not designed to allocate economic value among absent parties, and their legitimacy for that purpose is correspondingly weaker.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transparency, the assessment is poor, for the reasons developed in section 3.3. The disclosure regime generates a register whose relationship to the underlying reality is unknown and, on the available evidence, remote. That failure is not incidental but structural, and it propagates into every downstream layer.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accountability and resistance to capture, the assessment is qualified. The episode examined in section 3.6 demonstrates that these organisations are responsive to their members, which is a form of accountability, but it also demonstrates that they are responsive in proportion to members' resources and willingness to exercise the exit option, which is the characteristic mechanism of capture. An organisation that can be induced to reverse a rule by the threat of withheld assurances is not an independent regulator.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provision of dispute-resolution and valuation machinery, the assessment is that these organisations provide none. The instrument examined in section 3.2 creates an obligation and leaves its quantification and enforcement entirely to others. That omission is defensible as a matter of institutional design, since a membership organisation is poorly placed to adjudicate between its own members and would face acute conflicts in doing so. But it means that the private layer of this hybrid regime is radically incomplete, and that the resulting gap is filled by national courts whose approaches diverge in the ways documented in Chapter 6. The competition between fora examined in that chapter is, on this analysis, a direct consequence of a design decision taken at the standardisation layer.</w:t>
      </w:r>
    </w:p>
    <w:p>
      <w:pPr>
        <w:pStyle w:val="Heading2"/>
        <w:spacing w:after="150" w:before="300" w:line="240"/>
      </w:pPr>
      <w:r>
        <w:rPr>
          <w:rFonts w:ascii="Times New Roman" w:cs="Times New Roman" w:eastAsia="Times New Roman" w:hAnsi="Times New Roman"/>
          <w:b/>
          <w:bCs/>
          <w:i w:val="false"/>
          <w:iCs w:val="false"/>
          <w:sz w:val="25"/>
          <w:szCs w:val="25"/>
        </w:rPr>
        <w:t xml:space="preserve">3.8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examined in this chapter is contractual in origin, given to a private association for the benefit of third parties, irrevocable, transmissible against assignees, and governed by a single national law even though enforced worldwide. It is composite rather than tripartite, and it is underdeterminate on substance while capable of considerable precision on procedure. Its non-discrimination limb is administrable on the general reading adopted in England only if differences between licences can be detected, which requires disclosure that is not presently available.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institutions in which the obligation originates perform their technical function adequately and their allocative function poorly. They generate a register of declarations that cannot be relied upon, they provide no mechanism for valuation or dispute resolution, and their capacity to prescribe substantive licensing rules is real but institutionally fragile. The consequence is that the load-bearing work of this governance regime falls upon public institutions, and it is to those institutions that the following chapters turn.</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4: Licensing Architecture and Royalty Valuation</w:t>
      </w:r>
    </w:p>
    <w:p>
      <w:pPr>
        <w:pStyle w:val="Heading2"/>
        <w:spacing w:after="150" w:before="300" w:line="240"/>
      </w:pPr>
      <w:r>
        <w:rPr>
          <w:rFonts w:ascii="Times New Roman" w:cs="Times New Roman" w:eastAsia="Times New Roman" w:hAnsi="Times New Roman"/>
          <w:b/>
          <w:bCs/>
          <w:i w:val="false"/>
          <w:iCs w:val="false"/>
          <w:sz w:val="25"/>
          <w:szCs w:val="25"/>
        </w:rPr>
        <w:t xml:space="preserve">4.1 Introduction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chapter addresses two questions that the obligation examined in Chapter 3 leaves open. The first is architectural: in what form, and at what level of a supply chain, should licences be granted? The second is quantitative: by what methodology should the consideration be determined? The chapter treats them together because they are interdependent. The choice of licensing level largely determines the royalty base, and the choice of base has a greater effect on the amount payable than any plausible disagreement about the rate.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chapter concludes with an extended examination of the empirical controversy surrounding hold-up, hold-out and royalty stacking. That controversy is placed here rather than in the chapter on remedies because it bears on valuation as much as on enforcement, and because the methodological position taken in relation to it, that both risks are real and neither is established as systematically dominant, determines the design of the framework in Chapter 7.</w:t>
      </w:r>
    </w:p>
    <w:p>
      <w:pPr>
        <w:pStyle w:val="Heading2"/>
        <w:spacing w:after="150" w:before="300" w:line="240"/>
      </w:pPr>
      <w:r>
        <w:rPr>
          <w:rFonts w:ascii="Times New Roman" w:cs="Times New Roman" w:eastAsia="Times New Roman" w:hAnsi="Times New Roman"/>
          <w:b/>
          <w:bCs/>
          <w:i w:val="false"/>
          <w:iCs w:val="false"/>
          <w:sz w:val="25"/>
          <w:szCs w:val="25"/>
        </w:rPr>
        <w:t xml:space="preserve">4.2 The forms of licensing</w:t>
      </w:r>
    </w:p>
    <w:p>
      <w:pPr>
        <w:pStyle w:val="Heading3"/>
        <w:spacing w:after="150" w:before="300" w:line="240"/>
      </w:pPr>
      <w:r>
        <w:rPr>
          <w:rFonts w:ascii="Times New Roman" w:cs="Times New Roman" w:eastAsia="Times New Roman" w:hAnsi="Times New Roman"/>
          <w:b/>
          <w:bCs/>
          <w:i/>
          <w:iCs/>
          <w:sz w:val="24"/>
          <w:szCs w:val="24"/>
        </w:rPr>
        <w:t xml:space="preserve">4.2.1 Bilateral licensing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Bilateral licensing between a single proprietor and a single implementer remains the predominant form in cellular telecommunications. Its advantages are flexibility and the capacity to reflect the particular circumstances of the parties, including any cross-licence, the treatment of past infringement and the parties' respective assessments of validity risk. Its disadvantages are the transaction costs it imposes, which are incurred afresh for each pairing of proprietor and implementer, and the informational asymmetry it institutionalises, since the proprietor typically negotiates repeatedly against many counterparties while each counterparty negotiates rarely and without knowledge of the terms obtained by others.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asymmetry is not merely a matter of practice but of structure. A proprietor licensing a portfolio to twenty implementers acquires, in the course of doing so, a detailed understanding of the range of terms the market will bear, the arguments that succeed and fail, and the reservation positions of the principal participants. Each implementer acquires only its own experience. Where the terms of concluded licences are confidential, as they generally are, the asymmetry cannot be corrected by the implementer's own diligence.</w:t>
      </w:r>
    </w:p>
    <w:p>
      <w:pPr>
        <w:pStyle w:val="Heading3"/>
        <w:spacing w:after="150" w:before="300" w:line="240"/>
      </w:pPr>
      <w:r>
        <w:rPr>
          <w:rFonts w:ascii="Times New Roman" w:cs="Times New Roman" w:eastAsia="Times New Roman" w:hAnsi="Times New Roman"/>
          <w:b/>
          <w:bCs/>
          <w:i/>
          <w:iCs/>
          <w:sz w:val="24"/>
          <w:szCs w:val="24"/>
        </w:rPr>
        <w:t xml:space="preserve">4.2.2 Portfolio licensing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Licences in this field are characteristically granted in respect of portfolios rather than individual patents, and in respect of very large portfolios. The practice is defensible and, in the view taken here, generally desirable. An implementer requires the freedom to operate in respect of all the proprietor's essential patents, not some of them, and a licence limited to individually adjudicated patents would leave it exposed to serial assertion. Portfolio licensing also economises very substantially on transaction costs, since the alternative is patent-by-patent negotiation across portfolios that may number in the thousands.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cost is a loss of granularity with consequences for verification. A portfolio licence does not require, and generally does not involve, any determination of which patents within the portfolio are essential, valid or infringed. That is efficient where the parties are content to price the portfolio as a whole on the basis of a shared approximate understanding of its strength. It is problematic where they are not, because the implementer has no practical means of testing the proprietor's characterisation of what it is paying for. The transparency deficit examined in section 3.3 is what converts an efficient practice into a source of disadvantage: portfolio licensing without reliable essentiality information requires the implementer to accept a valuation of an asset whose composition it cannot ascertain.</w:t>
      </w:r>
    </w:p>
    <w:p>
      <w:pPr>
        <w:pStyle w:val="Heading3"/>
        <w:spacing w:after="150" w:before="300" w:line="240"/>
      </w:pPr>
      <w:r>
        <w:rPr>
          <w:rFonts w:ascii="Times New Roman" w:cs="Times New Roman" w:eastAsia="Times New Roman" w:hAnsi="Times New Roman"/>
          <w:b/>
          <w:bCs/>
          <w:i/>
          <w:iCs/>
          <w:sz w:val="24"/>
          <w:szCs w:val="24"/>
        </w:rPr>
        <w:t xml:space="preserve">4.2.3 Global licensing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portfolio licence may be granted in respect of a single territory or worldwide. Worldwide licensing is the commercial norm for undertakings selling into global markets, and the justification is straightforward: an implementer selling in eighty countries requires freedom to operate in each of them, and negotiating eighty licences would be absurd.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difficulty is jurisdictional rather than commercial, and it arises when the parties do not agree. A court seised of an action for infringement of a national patent has jurisdiction over that patent. Whether it may determine the terms of a worldwide licence, and enjoin the implementer from domestic infringement unless it accepts those terms, is a different question, and it is the question on which the divergences examined in Chapter 6 principally turn. The English courts answered it affirmatively, deriving the jurisdiction from the contractual character of the obligation rather than from any extraterritorial patent jurisdiction.</w:t>
      </w:r>
      <w:r>
        <w:rPr>
          <w:rStyle w:val="FootnoteReference"/>
        </w:rPr>
        <w:footnoteReference w:id="17"/>
      </w:r>
      <w:r>
        <w:rPr>
          <w:rFonts w:ascii="Times New Roman" w:cs="Times New Roman" w:eastAsia="Times New Roman" w:hAnsi="Times New Roman"/>
          <w:b w:val="false"/>
          <w:bCs w:val="false"/>
          <w:i w:val="false"/>
          <w:iCs w:val="false"/>
          <w:sz w:val="24"/>
          <w:szCs w:val="24"/>
        </w:rPr>
        <w:t xml:space="preserve"> Courts in China and, latterly, the Unified Patent Court have asserted comparable competence, and the consequence is the competition between fora examined in section 6.4.</w:t>
      </w:r>
    </w:p>
    <w:p>
      <w:pPr>
        <w:pStyle w:val="Heading3"/>
        <w:spacing w:after="150" w:before="300" w:line="240"/>
      </w:pPr>
      <w:r>
        <w:rPr>
          <w:rFonts w:ascii="Times New Roman" w:cs="Times New Roman" w:eastAsia="Times New Roman" w:hAnsi="Times New Roman"/>
          <w:b/>
          <w:bCs/>
          <w:i/>
          <w:iCs/>
          <w:sz w:val="24"/>
          <w:szCs w:val="24"/>
        </w:rPr>
        <w:t xml:space="preserve">4.2.4 Cross-licensing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both parties hold portfolios, licences are frequently concluded as cross-licences with a balancing payment. The practice is efficient and reflects the cumulative character of innovation described in section 2.4. It has, however, two consequences for the analysis in this chapter.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complicates comparison. A cross-licence with a balancing payment does not disclose the rate at which either portfolio was valued, and the derivation of an implied rate requires an assessment of the value of the counter-grant, which is itself contested. Comparable-licence analysis accordingly requires that cross-licences be unpacked before they can be used, and the unpacking is among the most difficult parts of the exercise.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distributes bargaining power unevenly in a manner that bears directly on the non-discrimination question examined in section 3.5.3 and on the developmental analysis in Chapter 7. An implementer with a portfolio of its own has something to offer and will obtain better terms than an implementer without one. That differential may be entirely legitimate as a matter of commercial reality, since the counter-grant has value. But it systematically advantages established contributors over new entrants and over implementers in economies whose industry is concentrated downstream, and it does so in a way that a non-discrimination limb applied on the general reading will not disturb.</w:t>
      </w:r>
    </w:p>
    <w:p>
      <w:pPr>
        <w:pStyle w:val="Heading3"/>
        <w:spacing w:after="150" w:before="300" w:line="240"/>
      </w:pPr>
      <w:r>
        <w:rPr>
          <w:rFonts w:ascii="Times New Roman" w:cs="Times New Roman" w:eastAsia="Times New Roman" w:hAnsi="Times New Roman"/>
          <w:b/>
          <w:bCs/>
          <w:i/>
          <w:iCs/>
          <w:sz w:val="24"/>
          <w:szCs w:val="24"/>
        </w:rPr>
        <w:t xml:space="preserve">4.2.5 Patent pools and collective licensing platforms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Pools aggregate the essential patents of multiple proprietors and license them together on published terms. Their advantages are considerable. They reduce search and negotiation costs to a single transaction. They provide published rates, which addresses the predictability and transparency criteria specified in section 2.8 and which is a substantial benefit to small implementers otherwise unable to assess their exposure. They internalise the royalty-stacking problem within the pool, since the aggregate rate is set once rather than accumulated through successive bilateral negotiations. And they characteristically involve some essentiality screening as a condition of admission, which addresses, if imperfectly and only within the pool, the deficit examined in section 3.3.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Their disadvantages are equally real. A pool that includes substitute rather than complementary technologies operates as a price-fixing arrangement, which is the central competition concern and the reason pools have historically been subject to conditions relating to the independent availability of individual licences and the essentiality of pooled patents. A pool covering only part of the relevant technology may increase rather than reduce total cost, since the implementer must license the pool and then negotiate bilaterally with proprietors outside it. And the governance of a pool determines the distribution of its revenue among members, which is a matter in which non-members and licensees have an interest but no voice.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Collective licensing platforms in sectors with complex supply chains, of which the connected-vehicle sector is the principal example, attempt to extend the pool model to circumstances in which the relevant licensee may be at any of several levels of the chain. Their significance for the present analysis is that they represent the most developed institutional response to the architectural question examined in the next section.</w:t>
      </w:r>
    </w:p>
    <w:p>
      <w:pPr>
        <w:pStyle w:val="Heading2"/>
        <w:spacing w:after="150" w:before="300" w:line="240"/>
      </w:pPr>
      <w:r>
        <w:rPr>
          <w:rFonts w:ascii="Times New Roman" w:cs="Times New Roman" w:eastAsia="Times New Roman" w:hAnsi="Times New Roman"/>
          <w:b/>
          <w:bCs/>
          <w:i w:val="false"/>
          <w:iCs w:val="false"/>
          <w:sz w:val="25"/>
          <w:szCs w:val="25"/>
        </w:rPr>
        <w:t xml:space="preserve">4.3 The level of the supply chain: the central architectural dispute</w:t>
      </w:r>
    </w:p>
    <w:p>
      <w:pPr>
        <w:pStyle w:val="Heading3"/>
        <w:spacing w:after="150" w:before="300" w:line="240"/>
      </w:pPr>
      <w:r>
        <w:rPr>
          <w:rFonts w:ascii="Times New Roman" w:cs="Times New Roman" w:eastAsia="Times New Roman" w:hAnsi="Times New Roman"/>
          <w:b/>
          <w:bCs/>
          <w:i/>
          <w:iCs/>
          <w:sz w:val="24"/>
          <w:szCs w:val="24"/>
        </w:rPr>
        <w:t xml:space="preserve">4.3.1 The competing positions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consequential architectural dispute in this field concerns the level of a supply chain at which essential patents should be licensed. Two positions are conventionally distinguished, and their labels are best treated with caution because both are advocacy terms.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position, commonly labelled licence to all, holds that the commitment entitles any undertaking in the chain to a licence on request, including a component supplier such as a manufacturer of baseband processors. On this view the commitment is a promise to license, and the class of promisees is defined by the commitment itself, which is expressed in terms of categories of conduct rather than by reference to any level of a chain.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position, commonly labelled access to all, holds that the proprietor is entitled to select the level at which it licenses, and satisfies the commitment by ensuring that undertakings at other levels are not sued in respect of the licensed products. On this view the commitment secures access to the technology rather than a direct contractual relationship, and the proprietor's choice to license at end-product level is a legitimate exercise of the discretion the commitment leaves it.</w:t>
      </w:r>
    </w:p>
    <w:p>
      <w:pPr>
        <w:pStyle w:val="Heading3"/>
        <w:spacing w:after="150" w:before="300" w:line="240"/>
      </w:pPr>
      <w:r>
        <w:rPr>
          <w:rFonts w:ascii="Times New Roman" w:cs="Times New Roman" w:eastAsia="Times New Roman" w:hAnsi="Times New Roman"/>
          <w:b/>
          <w:bCs/>
          <w:i/>
          <w:iCs/>
          <w:sz w:val="24"/>
          <w:szCs w:val="24"/>
        </w:rPr>
        <w:t xml:space="preserve">4.3.2 What turns on the choice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things turn on the choice, and they are of different kinds.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the royalty base, and this is the practical heart of the matter. A royalty expressed as a percentage of the price of a baseband processor is very much smaller than the same percentage of the price of a handset, and smaller again than the same percentage of the price of a motor vehicle. The parties' positions on the architectural question are accordingly, in substance, positions on the quantum, and it is useful to recognise that the doctrinal dispute is a proxy for a distributional 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the allocation of transaction costs and of the burden of assessment. Licensing at end-product level requires the proprietor to negotiate with a large number of manufacturers, many of them small, in many jurisdictions. Licensing at component level requires it to negotiate with a much smaller number of sophisticated undertakings. From the proprietor's perspective the latter is cheaper to administer but yields a smaller base; from the implementer's perspective the former imposes on undertakings least equipped to bear it the burden of assessing a portfolio they cannot evaluate.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the exposure of downstream undertakings that have no relationship with the technology beyond incorporating a compliant component. A vehicle manufacturer that purchases a connectivity module from a supplier, which purchased a chipset from another supplier, is at three removes from the patented technology, and on the end-product model it is nonetheless the party liable to pay and, in the event of dispute, the party liable to be enjoined. Whether that allocation is defensible depends substantially on whether the downstream undertaking can obtain indemnification or pass-through from its supplier, which in turn depends on the bargaining positions in the supply contracts and on the operation of exhaustion.</w:t>
      </w:r>
    </w:p>
    <w:p>
      <w:pPr>
        <w:pStyle w:val="Heading3"/>
        <w:spacing w:after="150" w:before="300" w:line="240"/>
      </w:pPr>
      <w:r>
        <w:rPr>
          <w:rFonts w:ascii="Times New Roman" w:cs="Times New Roman" w:eastAsia="Times New Roman" w:hAnsi="Times New Roman"/>
          <w:b/>
          <w:bCs/>
          <w:i/>
          <w:iCs/>
          <w:sz w:val="24"/>
          <w:szCs w:val="24"/>
        </w:rPr>
        <w:t xml:space="preserve">4.3.3 The sectoral dimension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dispute has acquired its present intensity because the sector in which the governing rules were developed differs structurally from the sectors to which they are now applied.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Cellular licensing practice was formed in an industry characterised by a comparatively small number of vertically integrated undertakings, most of which both contributed technology and manufactured products, and most of which were repeat participants in standardisation with substantial patent expertise. In such an industry, end-product licensing has a defensible logic: the end-product manufacturer is a sophisticated party capable of evaluating a portfolio, and it is frequently also a contributor with a counter-grant to offer.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connected-vehicle and internet-of-things sectors are different in each respect. The supply chains are longer, comprising multiple tiers between the chipset and the finished product. The undertakings in them are more numerous and more heterogeneous, ranging from global manufacturers to small producers of low-margin devices. Few are contributors, so few have counter-grants. Many have no patent expertise whatever. Product lifecycles may be very long, so that a licence must contemplate obligations extending well beyond the period in which the product was sold. Margins in some segments are very thin, so that a royalty which is trivial as a proportion of a handset price may be substantial as a proportion of a device's margin.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question whether rules developed in the first setting transfer to the second is, on the analysis taken here, the most important open question in the field, and the answer offered is that they transfer imperfectly and that sectoral differentiation is justified.</w:t>
      </w:r>
    </w:p>
    <w:p>
      <w:pPr>
        <w:pStyle w:val="Heading3"/>
        <w:spacing w:after="150" w:before="300" w:line="240"/>
      </w:pPr>
      <w:r>
        <w:rPr>
          <w:rFonts w:ascii="Times New Roman" w:cs="Times New Roman" w:eastAsia="Times New Roman" w:hAnsi="Times New Roman"/>
          <w:b/>
          <w:bCs/>
          <w:i/>
          <w:iCs/>
          <w:sz w:val="24"/>
          <w:szCs w:val="24"/>
        </w:rPr>
        <w:t xml:space="preserve">4.3.4 The position taken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in this dissertation is that no single rule as to licensing level is defensible across all sectors, and that the attempt to derive one from the text of the commitment is misconceived because the commitment does not address the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What the framework in Chapter 7 requires instead is threefold. Transparency as to the level at which the proprietor licenses, so that undertakings throughout a chain can determine where their exposure lies rather than discovering it when they are sued. Protection of downstream undertakings against double recovery, through the operation of exhaustion and through the recognition of pass-through rights, so that a proprietor which has been paid once in respect of a component cannot be paid again in respect of the product incorporating it. And institutional accommodation of collective platforms in sectors where the structure of the chain makes bilateral licensing genuinely unworkable, subject to the competition safeguards that pooling arrangements require.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a deliberately modest resolution of a dispute that is frequently presented as admitting of a categorical answer. Its justification is that the categorical answers are each supported by considerations that are valid in the settings from which they emerged, and that the disagreement is better understood as a disagreement about sectoral fit than as a disagreement about the meaning of the commitment.</w:t>
      </w:r>
    </w:p>
    <w:p>
      <w:pPr>
        <w:pStyle w:val="Heading2"/>
        <w:spacing w:after="150" w:before="300" w:line="240"/>
      </w:pPr>
      <w:r>
        <w:rPr>
          <w:rFonts w:ascii="Times New Roman" w:cs="Times New Roman" w:eastAsia="Times New Roman" w:hAnsi="Times New Roman"/>
          <w:b/>
          <w:bCs/>
          <w:i w:val="false"/>
          <w:iCs w:val="false"/>
          <w:sz w:val="25"/>
          <w:szCs w:val="25"/>
        </w:rPr>
        <w:t xml:space="preserve">4.4 Exhaustion and pass-through</w:t>
      </w:r>
    </w:p>
    <w:p>
      <w:pPr>
        <w:pStyle w:val="Heading3"/>
        <w:spacing w:after="150" w:before="300" w:line="240"/>
      </w:pPr>
      <w:r>
        <w:rPr>
          <w:rFonts w:ascii="Times New Roman" w:cs="Times New Roman" w:eastAsia="Times New Roman" w:hAnsi="Times New Roman"/>
          <w:b/>
          <w:bCs/>
          <w:i/>
          <w:iCs/>
          <w:sz w:val="24"/>
          <w:szCs w:val="24"/>
        </w:rPr>
        <w:t xml:space="preserve">4.4.1 The function of exhaustion in this context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Exhaustion, the principle that an authorised first sale extinguishes the proprietor's control over the article sold, performs a structural function in supply-chain licensing that is easily overlooked. If a component embodying the patented technology is sold by or with the authority of the proprietor, the purchaser and its own customers take the component free of the patent, and the proprietor cannot obtain a second royalty in respect of the product into which it is incorporated. Exhaustion accordingly determines, in part, whether the choice of licensing level is a choice about who pays or a choice about how much is paid in total.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operation in this field is complicated by two features. The first is that the doctrine is territorial and its content differs between jurisdictions, particularly as regards international exhaustion. The second is that the licences granted in this field frequently contain express provisions addressing the point, including limitations on the rights passing to the licensee's customers, and the effect of such provisions is itself contested.</w:t>
      </w:r>
    </w:p>
    <w:p>
      <w:pPr>
        <w:pStyle w:val="Heading3"/>
        <w:spacing w:after="150" w:before="300" w:line="240"/>
      </w:pPr>
      <w:r>
        <w:rPr>
          <w:rFonts w:ascii="Times New Roman" w:cs="Times New Roman" w:eastAsia="Times New Roman" w:hAnsi="Times New Roman"/>
          <w:b/>
          <w:bCs/>
          <w:i/>
          <w:iCs/>
          <w:sz w:val="24"/>
          <w:szCs w:val="24"/>
        </w:rPr>
        <w:t xml:space="preserve">4.4.2 The Indian provision and its significance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Indian provision is of particular interest and is examined in detail in Chapter 7. Section 107A(b) of the Patents Act 1970 provides for the importation of patented products by a person duly authorised under the law to produce and sell or distribute the product.</w:t>
      </w:r>
      <w:r>
        <w:rPr>
          <w:rStyle w:val="FootnoteReference"/>
        </w:rPr>
        <w:footnoteReference w:id="18"/>
      </w:r>
      <w:r>
        <w:rPr>
          <w:rFonts w:ascii="Times New Roman" w:cs="Times New Roman" w:eastAsia="Times New Roman" w:hAnsi="Times New Roman"/>
          <w:b w:val="false"/>
          <w:bCs w:val="false"/>
          <w:i w:val="false"/>
          <w:iCs w:val="false"/>
          <w:sz w:val="24"/>
          <w:szCs w:val="24"/>
        </w:rPr>
        <w:t xml:space="preserve"> The significance of the formulation, and of the amendment that produced it, is that the authorisation required is authorisation under the law rather than authorisation by the patentee. That is a materially broader defence than an exhaustion doctrine confined to sales made by or with the consent of the proprietor.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practical consequence was demonstrated in the appellate decision examined in section 7.4, in which the Division Bench of the Delhi High Court held that implementers sourcing compliant components from sellers legally authorised to sell them were protected, and that the seller need not have been a licensee of the proprietor.</w:t>
      </w:r>
      <w:r>
        <w:rPr>
          <w:rStyle w:val="FootnoteReference"/>
        </w:rPr>
        <w:footnoteReference w:id="19"/>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For the purposes of the present chapter the importance of that holding is structural rather than local. It demonstrates that exhaustion is available as an instrument for allocating royalty exposure across a supply chain, and that a jurisdiction whose exhaustion doctrine is comparatively broad thereby affords a measure of protection to downstream manufacturers that a jurisdiction with a narrower doctrine does not. That is a governance choice, and it is one of the few in this field that a national legislature can make unilaterally without generating the conflicts examined in Chapter 6.</w:t>
      </w:r>
    </w:p>
    <w:p>
      <w:pPr>
        <w:pStyle w:val="Heading2"/>
        <w:spacing w:after="150" w:before="300" w:line="240"/>
      </w:pPr>
      <w:r>
        <w:rPr>
          <w:rFonts w:ascii="Times New Roman" w:cs="Times New Roman" w:eastAsia="Times New Roman" w:hAnsi="Times New Roman"/>
          <w:b/>
          <w:bCs/>
          <w:i w:val="false"/>
          <w:iCs w:val="false"/>
          <w:sz w:val="25"/>
          <w:szCs w:val="25"/>
        </w:rPr>
        <w:t xml:space="preserve">4.5 Valuation: the general problem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Before examining individual methodologies it is necessary to state the problem they address, because the methodologies are frequently discussed as though they were competing techniques for measuring the same quantity, and they are not.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requires terms that a willing licensor and a willing licensee would agree. That hypothetical negotiation is counterfactual in at least two respects. It assumes a licensor without the leverage that the standard confers and a licensee without the option of infringing pending adjudication. And, on the view that the value attributable to standardisation should be excluded, it assumes a valuation conducted as at a point before the standard was adopted, when alternatives remained available.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Each methodology is an attempt to construct that counterfactual from available evidence, and each constructs it differently. Comparable-licence analysis infers it from transactions that actually occurred, accepting that those transactions were affected by the very circumstances the counterfactual excludes and attempting to correct for them. Top-down analysis constructs it from an assumption about the total value of the standardised technology and a proportional allocation. Bottom-up analysis constructs it from the incremental value of the specific technology over the next-best alternative available at the time of adoption. The methodologies differ not only in technique but in what they take the object of valuation to be, and that is why they can yield very different results without any of them being incompetently applied.</w:t>
      </w:r>
    </w:p>
    <w:p>
      <w:pPr>
        <w:pStyle w:val="Heading2"/>
        <w:spacing w:after="150" w:before="300" w:line="240"/>
      </w:pPr>
      <w:r>
        <w:rPr>
          <w:rFonts w:ascii="Times New Roman" w:cs="Times New Roman" w:eastAsia="Times New Roman" w:hAnsi="Times New Roman"/>
          <w:b/>
          <w:bCs/>
          <w:i w:val="false"/>
          <w:iCs w:val="false"/>
          <w:sz w:val="25"/>
          <w:szCs w:val="25"/>
        </w:rPr>
        <w:t xml:space="preserve">4.6 Comparable-licence analysis</w:t>
      </w:r>
    </w:p>
    <w:p>
      <w:pPr>
        <w:pStyle w:val="Heading3"/>
        <w:spacing w:after="150" w:before="300" w:line="240"/>
      </w:pPr>
      <w:r>
        <w:rPr>
          <w:rFonts w:ascii="Times New Roman" w:cs="Times New Roman" w:eastAsia="Times New Roman" w:hAnsi="Times New Roman"/>
          <w:b/>
          <w:bCs/>
          <w:i/>
          <w:iCs/>
          <w:sz w:val="24"/>
          <w:szCs w:val="24"/>
        </w:rPr>
        <w:t xml:space="preserve">4.6.1 The method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Comparable-licence analysis infers the terms a willing licensor and licensee would agree from the terms that comparable parties have in fact agreed in respect of comparable portfolios. It is the methodology that the courts examined in Chapter 6 have most consistently preferred, and its attraction is evidential: it rests on observed market behaviour rather than on constructed hypotheticals.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method is more demanding than its description suggests. It requires the identification of licences that are genuinely comparable in respect of the portfolio licensed, the volumes and territories covered, the date of conclusion, the treatment of past infringement and the presence and value of any counter-grant. It then requires the adjustment of those licences for material differences, an exercise generally described as unpacking. Where a licence was concluded in settlement of litigation, or under the threat of an injunction, or as part of a broader commercial arrangement, the adjustment required may be very substantial.</w:t>
      </w:r>
    </w:p>
    <w:p>
      <w:pPr>
        <w:pStyle w:val="Heading3"/>
        <w:spacing w:after="150" w:before="300" w:line="240"/>
      </w:pPr>
      <w:r>
        <w:rPr>
          <w:rFonts w:ascii="Times New Roman" w:cs="Times New Roman" w:eastAsia="Times New Roman" w:hAnsi="Times New Roman"/>
          <w:b/>
          <w:bCs/>
          <w:i/>
          <w:iCs/>
          <w:sz w:val="24"/>
          <w:szCs w:val="24"/>
        </w:rPr>
        <w:t xml:space="preserve">4.6.2 The English determinations and what they demonstrate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courts have conducted this exercise in greater detail than any other tribunal, and the results are instructive not only for their reasoning but for their variance.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the litigation between InterDigital and Lenovo the judge at first instance determined a global rate of United States $0.175 per unit. On appeal the Court of Appeal adjusted that figure to $0.225 per unit. Both determinations were substantially below the rate the proprietor had sought.</w:t>
      </w:r>
      <w:r>
        <w:rPr>
          <w:rStyle w:val="FootnoteReference"/>
        </w:rPr>
        <w:footnoteReference w:id="20"/>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the litigation between Optis and Apple the Court of Appeal determined a rate of $0.15 per unit, yielding a lump sum in the region of $502 million, an outcome very substantially in excess of the figure determined at first instance.</w:t>
      </w:r>
      <w:r>
        <w:rPr>
          <w:rStyle w:val="FootnoteReference"/>
        </w:rPr>
        <w:footnoteReference w:id="21"/>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These outcomes support three propositions on which the argument of this dissertation depends.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comparable-licence analysis is capable of yielding materially different results in the hands of differently constituted tribunals applying it to the same evidence. The difference between the first-instance and appellate determinations in the second case is of a different order from the ordinary variation one expects in the assessment of quantum.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variation is attributable to judgement rather than to error. The disagreements concerned which licences were comparable, how they should be unpacked, and what weight should be given to each, and reasonable tribunals differed. That is precisely what one expects where a standard identifies a range and the evidence bearing on the range is imperfect.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that the methodological convergence documented in Chapter 6, whereby several systems have come to prefer comparable-licence analysis, does not entail convergence of outcome. A shared method applied to confidential and heterogeneous evidence by tribunals in different systems will not produce a single global rate, and the expectation that it might rests on a misunderstanding of what the method does.</w:t>
      </w:r>
    </w:p>
    <w:p>
      <w:pPr>
        <w:pStyle w:val="Heading3"/>
        <w:spacing w:after="150" w:before="300" w:line="240"/>
      </w:pPr>
      <w:r>
        <w:rPr>
          <w:rFonts w:ascii="Times New Roman" w:cs="Times New Roman" w:eastAsia="Times New Roman" w:hAnsi="Times New Roman"/>
          <w:b/>
          <w:bCs/>
          <w:i/>
          <w:iCs/>
          <w:sz w:val="24"/>
          <w:szCs w:val="24"/>
        </w:rPr>
        <w:t xml:space="preserve">4.6.3 Limitations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limitations should be stated.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Comparables are confidential. The licences that would be most probative are generally subject to obligations of confidence owed to third parties, and their production requires procedural machinery examined in section 5.6 and, in the Indian context, in section 7.5. An implementer without access to them cannot evaluate an offer, which is the point made in section 3.5.3 in relation to non-discrimination.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Comparables are contaminated. A licence concluded under litigation pressure reflects that pressure. A licence concluded as part of a settlement of multiple disputes reflects the value of the settlement as a whole. A licence with a cross-grant reflects the value of the counter-grant. Unpacking attempts to correct for these factors but does so on the basis of assumptions that are themselves contestable.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Comparables embed the circumstances the counterfactual excludes. If the object of the exercise is to determine the terms that would have been agreed absent standard-conferred leverage, licences concluded in the presence of that leverage are an imperfect guide, and correcting for it requires an estimate of its magnitude, which is the very thing the empirical literature examined in section 4.9 has been unable to establish.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Comparables may not exist. A proprietor licensing for the first time, or licensing a portfolio with no close analogue, or licensing into a sector in which no licences have been concluded, presents a case in which the preferred methodology has no application. The alternative methodologies are then not merely supplementary but necessary.</w:t>
      </w:r>
    </w:p>
    <w:p>
      <w:pPr>
        <w:pStyle w:val="Heading2"/>
        <w:spacing w:after="150" w:before="300" w:line="240"/>
      </w:pPr>
      <w:r>
        <w:rPr>
          <w:rFonts w:ascii="Times New Roman" w:cs="Times New Roman" w:eastAsia="Times New Roman" w:hAnsi="Times New Roman"/>
          <w:b/>
          <w:bCs/>
          <w:i w:val="false"/>
          <w:iCs w:val="false"/>
          <w:sz w:val="25"/>
          <w:szCs w:val="25"/>
        </w:rPr>
        <w:t xml:space="preserve">4.7 Top-down analysis</w:t>
      </w:r>
    </w:p>
    <w:p>
      <w:pPr>
        <w:pStyle w:val="Heading3"/>
        <w:spacing w:after="150" w:before="300" w:line="240"/>
      </w:pPr>
      <w:r>
        <w:rPr>
          <w:rFonts w:ascii="Times New Roman" w:cs="Times New Roman" w:eastAsia="Times New Roman" w:hAnsi="Times New Roman"/>
          <w:b/>
          <w:bCs/>
          <w:i/>
          <w:iCs/>
          <w:sz w:val="24"/>
          <w:szCs w:val="24"/>
        </w:rPr>
        <w:t xml:space="preserve">4.7.1 The method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Top-down analysis proceeds in two steps. It first identifies a reasonable aggregate royalty burden for all essential patents reading on the standard, expressed as a proportion of the price of a compliant product. It then allocates a share of that aggregate to the portfolio in suit, generally by reference to the proportion of all essential patents that the portfolio represents, sometimes adjusted for the relative strength or importance of the patents concerned.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principal attraction is that it addresses royalty stacking directly. A methodology that determines each proprietor's entitlement without reference to the entitlements of others may produce an aggregate that no rational implementer could bear, and no bilateral negotiation or bilateral adjudication has any mechanism for preventing that outcome. Top-down analysis imposes a ceiling by construction.</w:t>
      </w:r>
    </w:p>
    <w:p>
      <w:pPr>
        <w:pStyle w:val="Heading3"/>
        <w:spacing w:after="150" w:before="300" w:line="240"/>
      </w:pPr>
      <w:r>
        <w:rPr>
          <w:rFonts w:ascii="Times New Roman" w:cs="Times New Roman" w:eastAsia="Times New Roman" w:hAnsi="Times New Roman"/>
          <w:b/>
          <w:bCs/>
          <w:i/>
          <w:iCs/>
          <w:sz w:val="24"/>
          <w:szCs w:val="24"/>
        </w:rPr>
        <w:t xml:space="preserve">4.7.2 The fragility of its inputs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Both inputs are fragile, and the second is fragile in a manner that the analysis in Chapter 2 makes unavoidable.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aggregate figure has no authoritative source. Estimates are derived variously from public statements by proprietors as to their expected returns, from the sum of announced rates, from the observed total of royalties paid, and from normative judgements about what proportion of a product's value should accrue to standardised technology. These methods do not measure the same thing, and the resulting estimates diverge widely. Statements by proprietors as to expected aggregate royalties are of limited value because they are made for negotiating and public-relations purposes and because the sum of announced rates is not the sum of rates paid.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proportional share depends on a count of essential patents, and section 2.5.2 established that declarations are an unreliable proxy for essentiality. A share computed from declared counts will systematically favour proprietors whose declaration practices have been generous and disfavour those whose practices have been conservative, which is an outcome unrelated to the merits of the portfolios concerned. Adjustments for patent strength or importance mitigate the problem but introduce a further layer of contestable judgement.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methodology is accordingly best regarded as a cross-check on the results of comparable-licence analysis rather than as an independent route to a determination, and that is broadly the use to which the courts examined in Chapter 6 have put it. Its value as a cross-check is nonetheless considerable, because it is the only methodology that asks whether the aggregate consequence of a proposed rate is tolerable.</w:t>
      </w:r>
    </w:p>
    <w:p>
      <w:pPr>
        <w:pStyle w:val="Heading2"/>
        <w:spacing w:after="150" w:before="300" w:line="240"/>
      </w:pPr>
      <w:r>
        <w:rPr>
          <w:rFonts w:ascii="Times New Roman" w:cs="Times New Roman" w:eastAsia="Times New Roman" w:hAnsi="Times New Roman"/>
          <w:b/>
          <w:bCs/>
          <w:i w:val="false"/>
          <w:iCs w:val="false"/>
          <w:sz w:val="25"/>
          <w:szCs w:val="25"/>
        </w:rPr>
        <w:t xml:space="preserve">4.8 Royalty base, apportionment and other parameters</w:t>
      </w:r>
    </w:p>
    <w:p>
      <w:pPr>
        <w:pStyle w:val="Heading3"/>
        <w:spacing w:after="150" w:before="300" w:line="240"/>
      </w:pPr>
      <w:r>
        <w:rPr>
          <w:rFonts w:ascii="Times New Roman" w:cs="Times New Roman" w:eastAsia="Times New Roman" w:hAnsi="Times New Roman"/>
          <w:b/>
          <w:bCs/>
          <w:i/>
          <w:iCs/>
          <w:sz w:val="24"/>
          <w:szCs w:val="24"/>
        </w:rPr>
        <w:t xml:space="preserve">4.8.1 Apportionment and the smallest saleable unit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a patent relates to one feature of a multi-component product, a royalty computed on the price of the whole product captures value attributable to components and features the patent does not touch. Apportionment is the response: the royalty is computed by reference to the value attributable to the patented feature.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smallest saleable patent-practising unit is a particular technique for effecting apportionment, under which the base is taken to be the smallest component that practises the patent rather than the product incorporating it. It is an approximation rather than a complete solution, since the price of a component may itself reflect features beyond the patented one, but it is administrable and it avoids the more egregious forms of over-capture.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contrary position holds that the value of standardised connectivity to a product may substantially exceed the price of the component that implements it, because connectivity enables functions and revenue streams throughout the product, and that a base confined to component price therefore under-captures. That position has force, particularly in relation to products whose principal value lies in the services that connectivity enables.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observations are warranted. The first is that the choice between these positions is a policy choice rather than a technical one, and the episode examined in section 3.6, in which a standards body adopted and then relaxed a mandatory smallest-saleable-unit requirement, demonstrates that it is understood as such by the affected parties. The second is that no authoritative law examined for this dissertation establishes any single base as legally mandatory, and the position taken here is accordingly that the base is a matter for determination on the evidence in each case, subject to the requirement that the reasoning disclose how value attributable to unpatented features has been excluded.</w:t>
      </w:r>
    </w:p>
    <w:p>
      <w:pPr>
        <w:pStyle w:val="Heading3"/>
        <w:spacing w:after="150" w:before="300" w:line="240"/>
      </w:pPr>
      <w:r>
        <w:rPr>
          <w:rFonts w:ascii="Times New Roman" w:cs="Times New Roman" w:eastAsia="Times New Roman" w:hAnsi="Times New Roman"/>
          <w:b/>
          <w:bCs/>
          <w:i/>
          <w:iCs/>
          <w:sz w:val="24"/>
          <w:szCs w:val="24"/>
        </w:rPr>
        <w:t xml:space="preserve">4.8.2 Other parameters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Several further parameters materially affect the outcome and are frequently treated as subsidiary when they are not.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form of the royalty, whether a percentage of price or a fixed sum per unit, distributes risk differently as prices change and has markedly different effects across a product range spanning low-margin and premium devices. A per-unit royalty is regressive as between cheap and expensive devices; a percentage royalty is not, but exposes the proprietor to price erosion.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Royalty caps and floors, and tiered rates by volume or by product category, are common and are generally defensible as reflecting the commercial reality that large licensees obtain better terms, but they interact with the non-discrimination limb in ways that require attention.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treatment of past infringement, and the rate of interest applied to it, can constitute a substantial proportion of the total sum payable, particularly where negotiation has been protracted. The English courts have held that the assessment of terms compliant with the obligation is not constrained by limitation periods and that interest is payable on past sales, which strengthens the proprietor's position against a strategy of delay.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Use-based differentiation, under which the rate varies according to the application in which the technology is deployed, is of particular importance in the internet-of-things sector, where the value of connectivity to a domestic appliance and to an industrial control system differ by orders of magnitude. It is difficult to administer but its absence produces results that are indefensible at one end of the range or the other.</w:t>
      </w:r>
    </w:p>
    <w:p>
      <w:pPr>
        <w:pStyle w:val="Heading2"/>
        <w:spacing w:after="150" w:before="300" w:line="240"/>
      </w:pPr>
      <w:r>
        <w:rPr>
          <w:rFonts w:ascii="Times New Roman" w:cs="Times New Roman" w:eastAsia="Times New Roman" w:hAnsi="Times New Roman"/>
          <w:b/>
          <w:bCs/>
          <w:i w:val="false"/>
          <w:iCs w:val="false"/>
          <w:sz w:val="25"/>
          <w:szCs w:val="25"/>
        </w:rPr>
        <w:t xml:space="preserve">4.9 Hold-up, hold-out and royalty stacking: the empirical controversy</w:t>
      </w:r>
    </w:p>
    <w:p>
      <w:pPr>
        <w:pStyle w:val="Heading3"/>
        <w:spacing w:after="150" w:before="300" w:line="240"/>
      </w:pPr>
      <w:r>
        <w:rPr>
          <w:rFonts w:ascii="Times New Roman" w:cs="Times New Roman" w:eastAsia="Times New Roman" w:hAnsi="Times New Roman"/>
          <w:b/>
          <w:bCs/>
          <w:i/>
          <w:iCs/>
          <w:sz w:val="24"/>
          <w:szCs w:val="24"/>
        </w:rPr>
        <w:t xml:space="preserve">4.9.1 Why this section is placed here and treated at length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economic theories dominate the normative debate in this field, and a very large proportion of the policy argument advanced by every constituency rests on one or more of them. Intellectual honesty requires that they be presented as contested, because they are, and the presentation must be even-handed because the disagreement tracks institutional affiliation closely enough that partisan summaries of it are readily available and of little value.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treatment is extended because the methodological position adopted here, that both hold-up and hold-out describe genuine risks whose systematic magnitude is unproven, is not a compromise adopted to avoid controversy. It is a conclusion from the state of the evidence, and it has a direct consequence for institutional design: a framework that cannot determine which risk dominates must be symmetrical as between them, and that requirement shapes the recommendations in Chapter 7.</w:t>
      </w:r>
    </w:p>
    <w:p>
      <w:pPr>
        <w:pStyle w:val="Heading3"/>
        <w:spacing w:after="150" w:before="300" w:line="240"/>
      </w:pPr>
      <w:r>
        <w:rPr>
          <w:rFonts w:ascii="Times New Roman" w:cs="Times New Roman" w:eastAsia="Times New Roman" w:hAnsi="Times New Roman"/>
          <w:b/>
          <w:bCs/>
          <w:i/>
          <w:iCs/>
          <w:sz w:val="24"/>
          <w:szCs w:val="24"/>
        </w:rPr>
        <w:t xml:space="preserve">4.9.2 Hold-up</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hold-up theory holds that the threat of an injunction enables a proprietor of an essential patent to extract a royalty exceeding the ex ante value of the patented technology. The mechanism is the lock-in described in section 2.3. An implementer that has made specification-specific investments faces, if enjoined, the loss of those investments and exclusion from the market, and it will therefore rationally pay up to that loss rather than the value of the technology. The difference is the hold-up premium, and the theory holds that it is a transfer unrelated to inventive contribution, that it distorts the allocation of value in cumulative innovation, and that it is aggravated where many patents read on a single product.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influential formal statement of the theory, developed by Lemley and Shapiro, models the premium and argues that it is substantial and that royalty stacking compounds it.</w:t>
      </w:r>
      <w:r>
        <w:rPr>
          <w:rStyle w:val="FootnoteReference"/>
        </w:rPr>
        <w:footnoteReference w:id="22"/>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theory is internally coherent and its mechanism is not seriously disputed. What is disputed is its magnitude in practice.</w:t>
      </w:r>
    </w:p>
    <w:p>
      <w:pPr>
        <w:pStyle w:val="Heading3"/>
        <w:spacing w:after="150" w:before="300" w:line="240"/>
      </w:pPr>
      <w:r>
        <w:rPr>
          <w:rFonts w:ascii="Times New Roman" w:cs="Times New Roman" w:eastAsia="Times New Roman" w:hAnsi="Times New Roman"/>
          <w:b/>
          <w:bCs/>
          <w:i/>
          <w:iCs/>
          <w:sz w:val="24"/>
          <w:szCs w:val="24"/>
        </w:rPr>
        <w:t xml:space="preserve">4.9.3 Hold-out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hold-out theory, sometimes described as reverse hold-up, holds the mirror position. Because patents must be enforced individually and territorially, because validity and infringement are uncertain and expensive to establish, and because the remedy for past infringement is generally monetary and deferred, an implementer may rationally decline to take a licence, implement the technology, and litigate every patent asserted against it. If the eventual liability is no greater than the royalty it would have paid, and if that liability falls due years later, the implementer has obtained a free option and an interest-free period of use. The theory holds that this strategy under-compensates contributors, deters contribution, and imposes enforcement costs that fall disproportionately on proprietors with smaller portfolios and shallower resources.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theory is likewise internally coherent, and the concern it expresses is reflected in the reasoning of the courts examined in Chapter 5. The English Supreme Court's observation that confining a proprietor to country-by-country damages would encourage implementers to hold out, and the German Federal Court of Justice's insistence that an implementer declare its willingness clearly and unconditionally, are each responses to it.</w:t>
      </w:r>
    </w:p>
    <w:p>
      <w:pPr>
        <w:pStyle w:val="Heading3"/>
        <w:spacing w:after="150" w:before="300" w:line="240"/>
      </w:pPr>
      <w:r>
        <w:rPr>
          <w:rFonts w:ascii="Times New Roman" w:cs="Times New Roman" w:eastAsia="Times New Roman" w:hAnsi="Times New Roman"/>
          <w:b/>
          <w:bCs/>
          <w:i/>
          <w:iCs/>
          <w:sz w:val="24"/>
          <w:szCs w:val="24"/>
        </w:rPr>
        <w:t xml:space="preserve">4.9.4 The empirical disagreement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empirical literature does not resolve the question, and the pattern of disagreement is itself informative.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Work associated with Galetovic, Haber and Levine examined the propositions that hold-up systematically raised prices in industries reliant on essential patents and that decisions weakening the position of proprietors accelerated innovation in those industries, and reported that the evidence did not support them.</w:t>
      </w:r>
      <w:r>
        <w:rPr>
          <w:rStyle w:val="FootnoteReference"/>
        </w:rPr>
        <w:footnoteReference w:id="23"/>
      </w:r>
      <w:r>
        <w:rPr>
          <w:rFonts w:ascii="Times New Roman" w:cs="Times New Roman" w:eastAsia="Times New Roman" w:hAnsi="Times New Roman"/>
          <w:b w:val="false"/>
          <w:bCs w:val="false"/>
          <w:i w:val="false"/>
          <w:iCs w:val="false"/>
          <w:sz w:val="24"/>
          <w:szCs w:val="24"/>
        </w:rPr>
        <w:t xml:space="preserve"> Galetovic and Gupta separately examined royalty stacking in the wireless industry and reported that the predicted aggregate burden was not observable in the data.</w:t>
      </w:r>
      <w:r>
        <w:rPr>
          <w:rStyle w:val="FootnoteReference"/>
        </w:rPr>
        <w:footnoteReference w:id="24"/>
      </w:r>
      <w:r>
        <w:rPr>
          <w:rFonts w:ascii="Times New Roman" w:cs="Times New Roman" w:eastAsia="Times New Roman" w:hAnsi="Times New Roman"/>
          <w:b w:val="false"/>
          <w:bCs w:val="false"/>
          <w:i w:val="false"/>
          <w:iCs w:val="false"/>
          <w:sz w:val="24"/>
          <w:szCs w:val="24"/>
        </w:rPr>
        <w:t xml:space="preserve"> Sidak advanced a sustained critique of the assumptions underlying the hold-up model,</w:t>
      </w:r>
      <w:r>
        <w:rPr>
          <w:rStyle w:val="FootnoteReference"/>
        </w:rPr>
        <w:footnoteReference w:id="25"/>
      </w:r>
      <w:r>
        <w:rPr>
          <w:rFonts w:ascii="Times New Roman" w:cs="Times New Roman" w:eastAsia="Times New Roman" w:hAnsi="Times New Roman"/>
          <w:b w:val="false"/>
          <w:bCs w:val="false"/>
          <w:i w:val="false"/>
          <w:iCs w:val="false"/>
          <w:sz w:val="24"/>
          <w:szCs w:val="24"/>
        </w:rPr>
        <w:t xml:space="preserve"> and Denicolò, Geradin, Layne-Farrar and Padilla mounted a parallel critique directed at the model's treatment of injunctive relief.</w:t>
      </w:r>
      <w:r>
        <w:rPr>
          <w:rStyle w:val="FootnoteReference"/>
        </w:rPr>
        <w:footnoteReference w:id="26"/>
      </w:r>
      <w:r>
        <w:rPr>
          <w:rFonts w:ascii="Times New Roman" w:cs="Times New Roman" w:eastAsia="Times New Roman" w:hAnsi="Times New Roman"/>
          <w:b w:val="false"/>
          <w:bCs w:val="false"/>
          <w:i w:val="false"/>
          <w:iCs w:val="false"/>
          <w:sz w:val="24"/>
          <w:szCs w:val="24"/>
        </w:rPr>
        <w:t xml:space="preserve"> Contreras has surveyed the controversy and the policy uses to which each side of it has been put.</w:t>
      </w:r>
      <w:r>
        <w:rPr>
          <w:rStyle w:val="FootnoteReference"/>
        </w:rPr>
        <w:footnoteReference w:id="27"/>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cautions apply to this literature and to any use made of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Institutional affiliation correlates with conclusion to a degree that cannot be ignored. Several of the principal contributions were produced within institutional settings with identifiable positions on the underlying policy question, or with funding from parties with interests in the outcome. This does not warrant dismissing the work, and the better contributions on each side are methodologically serious. It warrants attending to funding and affiliation when weighing it, and it warrants scepticism towards any summary of the literature that finds it to point uniformly in one direction.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studies do not measure the same quantity. Some examine prices, some innovation rates, some observed royalty totals, and some the behaviour of firms following particular judicial decisions. Aggregating them as though they bore on a single proposition is unsound.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Absence of an observable aggregate effect does not establish absence of the mechanism. A study finding no economy-wide price effect attributable to hold-up is consistent with hold-up occurring in individual negotiations without aggregating to a measurable macroeconomic consequence, and the harm alleged by the theory is in the first instance distributional rather than aggregate.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Conversely, the coherence of a model does not establish the frequency of the behaviour it describes. The hold-up model demonstrates that a proprietor could extract a premium; it does not demonstrate how often proprietors do.</w:t>
      </w:r>
    </w:p>
    <w:p>
      <w:pPr>
        <w:pStyle w:val="Heading3"/>
        <w:spacing w:after="150" w:before="300" w:line="240"/>
      </w:pPr>
      <w:r>
        <w:rPr>
          <w:rFonts w:ascii="Times New Roman" w:cs="Times New Roman" w:eastAsia="Times New Roman" w:hAnsi="Times New Roman"/>
          <w:b/>
          <w:bCs/>
          <w:i/>
          <w:iCs/>
          <w:sz w:val="24"/>
          <w:szCs w:val="24"/>
        </w:rPr>
        <w:t xml:space="preserve">4.9.5 The aggregate-burden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related question of the total royalty burden borne by a representative device cannot be answered to an acceptable standard, and this dissertation declines to adopt a figure.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reasons are structural. The licences that would settle the question are confidential. The announced rates that are public are not the rates paid, and the difference is unknown. Cross-licences net out in ways that are not observable from outside. The essentiality counts that would permit an estimate from the bottom up are unreliable for the reasons given in section 2.5.2. And the estimates that circulate diverge along affiliation lines, with proprietor-side analysis reporting a modest realised burden and implementer-side analysis reporting a substantial 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evidentiary vacuum is not merely a limitation on the analysis. It is itself a finding with governance consequences, and it constitutes the strongest available argument for two of the layers of the framework proposed in Chapter 7. Aggregate-royalty disclosure and essentiality transparency would not resolve the normative disagreement about how value should be allocated, but they would convert a debate presently conducted through competing assumptions into one conducted about facts. A regime in which the central quantitative propositions cannot be tested is one in which policy is necessarily made on the basis of theory and affiliation, and that is an argument for improving the information rather than for continuing to argue about the theory.</w:t>
      </w:r>
    </w:p>
    <w:p>
      <w:pPr>
        <w:pStyle w:val="Heading3"/>
        <w:spacing w:after="150" w:before="300" w:line="240"/>
      </w:pPr>
      <w:r>
        <w:rPr>
          <w:rFonts w:ascii="Times New Roman" w:cs="Times New Roman" w:eastAsia="Times New Roman" w:hAnsi="Times New Roman"/>
          <w:b/>
          <w:bCs/>
          <w:i/>
          <w:iCs/>
          <w:sz w:val="24"/>
          <w:szCs w:val="24"/>
        </w:rPr>
        <w:t xml:space="preserve">4.9.6 The consequence for institutional design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adopted is accordingly as follows. Hold-up and hold-out are both real risks, each supported by a coherent mechanism and each documented in individual disputes. Neither is established as systematically dominant. A governance framework must therefore guard against both, and must do so through instruments that do not presuppose an answer to the empirical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requirement is more demanding than it appears, because most of the instruments available are asymmetric. A rule restricting injunctive relief guards against hold-up and aggravates hold-out. A rule making willingness easy to lose guards against hold-out and aggravates hold-up. Symmetry is achieved not by selecting a mid-point on that axis but by combining instruments that operate on each side: a demanding willingness standard applied to implementers together with an enforceable good-faith obligation applied to proprietors, interim payment mechanisms that remove the free-option element of delay together with interim licensing mechanisms that remove the coercive element of parallel injunctive pressure, and transparency requirements that reduce the informational asymmetry on which both strategies depend. The instruments examined in Chapter 5, and in particular the interim-licence reasoning examined in section 5.6, are of interest precisely because they are the first judicial attempt to construct the proprietor-facing half of that pair.</w:t>
      </w:r>
    </w:p>
    <w:p>
      <w:pPr>
        <w:pStyle w:val="Heading2"/>
        <w:spacing w:after="150" w:before="300" w:line="240"/>
      </w:pPr>
      <w:r>
        <w:rPr>
          <w:rFonts w:ascii="Times New Roman" w:cs="Times New Roman" w:eastAsia="Times New Roman" w:hAnsi="Times New Roman"/>
          <w:b/>
          <w:bCs/>
          <w:i w:val="false"/>
          <w:iCs w:val="false"/>
          <w:sz w:val="25"/>
          <w:szCs w:val="25"/>
        </w:rPr>
        <w:t xml:space="preserve">4.10 Sectoral transferability: connected vehicles, the internet of things and beyond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4.3.3 identified the transferability of cellular licensing practice to other sectors as the most important open question in the field. This section examines it directly, because the framework proposed in Chapter 7 turns in part on the conclusion that sectoral differentiation is justified, and that conclusion requires support.</w:t>
      </w:r>
    </w:p>
    <w:p>
      <w:pPr>
        <w:pStyle w:val="Heading3"/>
        <w:spacing w:after="150" w:before="300" w:line="240"/>
      </w:pPr>
      <w:r>
        <w:rPr>
          <w:rFonts w:ascii="Times New Roman" w:cs="Times New Roman" w:eastAsia="Times New Roman" w:hAnsi="Times New Roman"/>
          <w:b/>
          <w:bCs/>
          <w:i/>
          <w:iCs/>
          <w:sz w:val="24"/>
          <w:szCs w:val="24"/>
        </w:rPr>
        <w:t xml:space="preserve">4.10.1 The features that differ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Seven structural features distinguish the sectors to which cellular licensing practice is now being extended from the sector in which it was formed. They are cumulative rather than alternative, and their conjunction is what makes the transferability question serious.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supply chains are longer. Between the patented technology and the finished product there may be a chipset supplier, a module manufacturer, a systems integrator and the final manufacturer, each contracting with the next. The cellular industry in which end-product licensing became conventional had, in the paradigm case, one intermediary or none.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licensee population is larger and more heterogeneous. The number of undertakings manufacturing connected devices exceeds by orders of magnitude the number manufacturing handsets, and they range from global vehicle manufacturers to producers of low-cost sensors.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Patent expertise is absent from most of that population. A vehicle manufacturer has patent counsel; a manufacturer of connected domestic appliances frequently does not, and a manufacturer of low-cost sensors certainly does not. The willingness doctrine examined in section 5.4 and the comparable-licence methodology examined in section 4.6 both assume a counterparty capable of evaluating a portfolio, and that assumption fails across most of this population.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Few implementers are contributors. The cross-licensing leverage described in section 4.2.4, which does a great deal of work in the handset sector, is unavailable to almost all of them, with the consequence identified in section 3.5.3 that the general reading of the non-discrimination limb permits systematically less favourable terms.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Product lifecycles are long. A vehicle remains in service for well over a decade and an industrial control system may remain in service for longer. A licence must therefore address obligations extending far beyond the period of sale, including the treatment of connectivity that continues to operate after the standard has been superseded and after the patents have expired.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Margins vary by orders of magnitude across the sector. A per-unit royalty that is negligible as a proportion of a premium vehicle's price may exceed the entire margin on a low-cost sensor. The regressive effect of per-unit royalties identified in section 4.8.2 is accordingly far more pronounced here than in handsets.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value of connectivity is genuinely heterogeneous. Connectivity enables safety-critical functions in a vehicle, revenue-generating services in an industrial installation, and marginal convenience in a domestic appliance. A single rate applied across that range is either indefensibly high at one end or indefensibly low at the other, which is the strongest case for the use-based differentiation examined in section 4.8.2.</w:t>
      </w:r>
    </w:p>
    <w:p>
      <w:pPr>
        <w:pStyle w:val="Heading3"/>
        <w:spacing w:after="150" w:before="300" w:line="240"/>
      </w:pPr>
      <w:r>
        <w:rPr>
          <w:rFonts w:ascii="Times New Roman" w:cs="Times New Roman" w:eastAsia="Times New Roman" w:hAnsi="Times New Roman"/>
          <w:b/>
          <w:bCs/>
          <w:i/>
          <w:iCs/>
          <w:sz w:val="24"/>
          <w:szCs w:val="24"/>
        </w:rPr>
        <w:t xml:space="preserve">4.10.2 Safety-critical and long-lifecycle applications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of these features generate problems that have no analogue in the handset sector and that deserve separate statement.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connectivity is safety-critical, the remedial analysis in Chapter 5 requires adjustment. An injunction restraining the supply of a connectivity component for a safety system, or restraining the continued operation of such a system, engages considerations of public safety that the equitable and remedial discretion of a court would ordinarily be expected to address, and that the willingness-based framework does not mention. No authority examined for this dissertation addresses the point, and it is raised here as an identified gap rather than as a matter on which a conclusion is offered.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product lifecycles are very long, the structure of the licence must address the divergence between the period of sale and the period of use. A royalty paid once at the point of sale in respect of a product that will operate for fifteen years must be computed on assumptions about that period, and those assumptions may prove wrong in either direction. A royalty paid periodically over the life of the product raises the question who pays it once the original purchaser has resold the product. Neither arrangement is unworkable, but the handset practice of a single payment referable to the unit sold does not translate without modification.</w:t>
      </w:r>
    </w:p>
    <w:p>
      <w:pPr>
        <w:pStyle w:val="Heading3"/>
        <w:spacing w:after="150" w:before="300" w:line="240"/>
      </w:pPr>
      <w:r>
        <w:rPr>
          <w:rFonts w:ascii="Times New Roman" w:cs="Times New Roman" w:eastAsia="Times New Roman" w:hAnsi="Times New Roman"/>
          <w:b/>
          <w:bCs/>
          <w:i/>
          <w:iCs/>
          <w:sz w:val="24"/>
          <w:szCs w:val="24"/>
        </w:rPr>
        <w:t xml:space="preserve">4.10.3 The institutional response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institutional response that has emerged is the collective licensing platform, examined in section 4.2.5, which aggregates the essential patents of multiple proprietors and offers licences on published terms, in some instances at more than one level of the supply chain.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advantages map closely onto the difficulties identified above. Published terms address the absence of patent expertise, because an implementer that cannot evaluate a portfolio can at least ascertain the published price. A single transaction addresses the length of the chain and the size of the licensee population. Aggregation addresses royalty stacking within the platform. And a platform that offers licences at component level addresses the exposure of downstream manufacturers directly.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difficulties also map onto them. A platform covering only part of the relevant technology leaves the implementer to negotiate bilaterally with proprietors outside it, and the implementer's total burden may then exceed what it would have paid under a single negotiation. The governance of the platform determines the distribution of its revenue, and implementers and non-member proprietors have an interest in that distribution but no voice in it. And a platform whose membership includes proprietors of substitute rather than complementary technologies raises the competition concern identified in section 4.2.5.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here is that collective platforms are the most promising available response to the structural features of these sectors, that their promotion is accordingly a legitimate governance objective, and that the appropriate regulatory posture is facilitation subject to the conditions that pooling arrangements have historically attracted: essentiality screening as a condition of inclusion, the independent availability of individual licences, transparency of terms, and openness of membership.</w:t>
      </w:r>
    </w:p>
    <w:p>
      <w:pPr>
        <w:pStyle w:val="Heading3"/>
        <w:spacing w:after="150" w:before="300" w:line="240"/>
      </w:pPr>
      <w:r>
        <w:rPr>
          <w:rFonts w:ascii="Times New Roman" w:cs="Times New Roman" w:eastAsia="Times New Roman" w:hAnsi="Times New Roman"/>
          <w:b/>
          <w:bCs/>
          <w:i/>
          <w:iCs/>
          <w:sz w:val="24"/>
          <w:szCs w:val="24"/>
        </w:rPr>
        <w:t xml:space="preserve">4.10.4 Implications for the framework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conclusions follow, and each is reflected in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sectoral differentiation in the application of the licensing obligation is justified, not as an exception to the obligation but as an application of it. The obligation requires terms that a willing licensor and licensee would agree, and what such parties would agree differs where the value of the technology to the product differs, where the licensee's capacity to evaluate the portfolio differs, and where the structure of the chain differs. A regime that applied identical terms across handsets, vehicles and low-cost sensors would not be applying the obligation consistently; it would be ignoring the factors the obligation makes relevant.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informational reforms recommended at the second layer of the framework are more important in these sectors than in handsets, because the licensee population is less able to compensate for informational deficits by its own analysis. The claim-chart discipline and independent essentiality assessment are of limited value to an undertaking with in-house patent counsel and indispensable to one without.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that the architectural recommendations at the third layer, concerning transparency as to licensing level and protection against double recovery through exhaustion and pass-through, do their most important work here. In a four-tier chain the question who pays and whether anyone pays twice is not a refinement but the central commercial issue, and it is the question on which the Indian exhaustion provision examined in section 4.4.2 bears most directly.</w:t>
      </w:r>
    </w:p>
    <w:p>
      <w:pPr>
        <w:pStyle w:val="Heading2"/>
        <w:spacing w:after="150" w:before="300" w:line="240"/>
      </w:pPr>
      <w:r>
        <w:rPr>
          <w:rFonts w:ascii="Times New Roman" w:cs="Times New Roman" w:eastAsia="Times New Roman" w:hAnsi="Times New Roman"/>
          <w:b/>
          <w:bCs/>
          <w:i w:val="false"/>
          <w:iCs w:val="false"/>
          <w:sz w:val="25"/>
          <w:szCs w:val="25"/>
        </w:rPr>
        <w:t xml:space="preserve">4.11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architecture of licensing and the methodology of valuation are interdependent, and the choice of licensing level has a greater effect on quantum than any plausible disagreement about rate. No single rule as to licensing level is defensible across sectors whose supply chains differ as radically as those of handsets and connected vehicles, and the resolution proposed is transparency as to level, protection against double recovery through exhaustion and pass-through, and institutional accommodation of collective platforms where bilateral licensing is unworkable.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 valuation methodology is legally mandatory and none is free of contestable assumptions. Comparable-licence analysis rests on observed transactions but requires their unpacking and depends on access to confidential material. Top-down analysis addresses royalty stacking directly but depends on two inputs that cannot presently be established reliably. The English determinations demonstrate that a shared methodology applied by differently constituted tribunals to the same evidence yields materially different outcomes, which is evidence of the underdeterminacy of the underlying standard rather than of judicial error.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empirical propositions most frequently asserted in support of reform in either direction are not established. That conclusion does not counsel inaction. It counsels symmetry in the design of remedial instruments, and it counsels investment in the transparency that would permit the disagreement to be resolved by evidence rather than by assumption.</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5: Enforcement, Remedies and Competition Law</w:t>
      </w:r>
    </w:p>
    <w:p>
      <w:pPr>
        <w:pStyle w:val="Heading2"/>
        <w:spacing w:after="150" w:before="300" w:line="240"/>
      </w:pPr>
      <w:r>
        <w:rPr>
          <w:rFonts w:ascii="Times New Roman" w:cs="Times New Roman" w:eastAsia="Times New Roman" w:hAnsi="Times New Roman"/>
          <w:b/>
          <w:bCs/>
          <w:i w:val="false"/>
          <w:iCs w:val="false"/>
          <w:sz w:val="25"/>
          <w:szCs w:val="25"/>
        </w:rPr>
        <w:t xml:space="preserve">5.1 Introduction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examined in Chapter 3 would be of limited practical consequence but for the remedies available to enforce the patents to which it attaches. This chapter examines those remedies and the supervisory role of competition law. It begins with the injunction, which is the pivot on which the bargaining in this field turns, and then examines in sequence the procedural framework established by the Court of Justice, its construction by the German Federal Court of Justice, the emerging practice of the Unified Patent Court, the innovations of the English courts, monetary remedies and the question of access to justice, and finally the proper role and limits of competition law.</w:t>
      </w:r>
    </w:p>
    <w:p>
      <w:pPr>
        <w:pStyle w:val="Heading2"/>
        <w:spacing w:after="150" w:before="300" w:line="240"/>
      </w:pPr>
      <w:r>
        <w:rPr>
          <w:rFonts w:ascii="Times New Roman" w:cs="Times New Roman" w:eastAsia="Times New Roman" w:hAnsi="Times New Roman"/>
          <w:b/>
          <w:bCs/>
          <w:i w:val="false"/>
          <w:iCs w:val="false"/>
          <w:sz w:val="25"/>
          <w:szCs w:val="25"/>
        </w:rPr>
        <w:t xml:space="preserve">5.2 The centrality of the injunction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allocation of value in this field is determined less by the substantive standard than by the remedies available when the standard is disputed, and among those remedies the injunction is decisive.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An unqualified entitlement to injunctive relief confers on the proprietor a very strong bargaining position. An implementer facing exclusion from a market in which it has made substantial specification-specific investments will rationally accept terms substantially less favourable than those a court would determine, because the cost of exclusion exceeds the difference. That is the mechanism of the hold-up theory examined in section 4.9.2, and its operation does not depend on the theory's contested empirical claims: it follows from the structure of the parties' positions.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regime in which injunctive relief is never available confers the corresponding advantage on the implementer. If the only consequence of infringement is an eventual monetary award, the implementer has an option to use the technology and pay later, and the option has value because validity and infringement are uncertain, because litigation is slow and expensive, and because money paid in five years is worth less than money paid now. That is the mechanism of the hold-out theory, and it likewise follows from structure rather than from contested evidence.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follows that neither an unqualified entitlement nor a categorical exclusion is defensible, and that the governing question is the condition on which relief should be available. The answer at which most of the systems examined have arrived is that it should be available against an implementer that is unwilling to take a licence on terms compliant with the obligation, and withheld against an implementer that is willing. The doctrinal history of the field over the past decade is substantially the history of attempts to give that criterion workable content, and the divergences examined in Chapter 6 are principally divergences about how it should be applied.</w:t>
      </w:r>
    </w:p>
    <w:p>
      <w:pPr>
        <w:pStyle w:val="Heading2"/>
        <w:spacing w:after="150" w:before="300" w:line="240"/>
      </w:pPr>
      <w:r>
        <w:rPr>
          <w:rFonts w:ascii="Times New Roman" w:cs="Times New Roman" w:eastAsia="Times New Roman" w:hAnsi="Times New Roman"/>
          <w:b/>
          <w:bCs/>
          <w:i w:val="false"/>
          <w:iCs w:val="false"/>
          <w:sz w:val="25"/>
          <w:szCs w:val="25"/>
        </w:rPr>
        <w:t xml:space="preserve">5.3 The framework established by the Court of Justice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foundational European authority is the judgment of the Court of Justice in the reference arising from proceedings between Huawei Technologies and ZTE. The Court held that a proprietor of an essential patent occupying a dominant position, which has given the commitment to license on fair, reasonable and non-discriminatory terms, may abuse that position by bringing an action for a prohibitory injunction or for the recall of products unless it has complied with a sequence of requirements which the judgment specifies.</w:t>
      </w:r>
      <w:r>
        <w:rPr>
          <w:rStyle w:val="FootnoteReference"/>
        </w:rPr>
        <w:footnoteReference w:id="28"/>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sequence, as it has been understood and applied, comprises the following. The proprietor must first alert the implementer to the alleged infringement, identifying the patent and the manner in which it is said to be infringed. Where the implementer has expressed its willingness to conclude a licence on compliant terms, the proprietor must present a specific written offer specifying the royalty and the manner of its calculation. The implementer must then respond diligently and in good faith, without delaying tactics, and if it rejects the offer must promptly submit a specific written counter-offer on terms it contends to be compliant. If the counter-offer is rejected, the implementer must provide appropriate security in respect of past and continuing use and render an account of its acts of use.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features of this framework require comment.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most significant contribution was to give procedural content to a substantively underdeterminate standard. Before the judgment, the commitment supplied a criterion for evaluating terms but said nothing about the conduct of the parties in arriving at them, with the consequence that each side could characterise the other's behaviour as unreasonable without any agreed benchmark. The framework supplied the benchmark. It is, in the terms of section 3.5.4, the principal articulation of procedural fairness as a component of the obligation.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second feature is that it is expressed in the language of competition law. The consequence of non-compliance is that the proprietor's conduct may constitute an abuse of a dominant position, and the framework accordingly applies, on its own terms, only to proprietors that are dominant. That characterisation has the limitations examined in section 3.4.2 and returns in section 5.8.</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third feature, and the source of most of the subsequent divergence, is that it left the substantive question and the consequences of good-faith disagreement largely to national courts. It did not specify what terms are compliant, how a counter-offer contending for materially lower terms should be evaluated, or what follows where both parties have conducted themselves reasonably and simply disagree about value. National courts filling those gaps have filled them differently, and Chapter 6 documents the result.</w:t>
      </w:r>
    </w:p>
    <w:p>
      <w:pPr>
        <w:pStyle w:val="Heading2"/>
        <w:spacing w:after="150" w:before="300" w:line="240"/>
      </w:pPr>
      <w:r>
        <w:rPr>
          <w:rFonts w:ascii="Times New Roman" w:cs="Times New Roman" w:eastAsia="Times New Roman" w:hAnsi="Times New Roman"/>
          <w:b/>
          <w:bCs/>
          <w:i w:val="false"/>
          <w:iCs w:val="false"/>
          <w:sz w:val="25"/>
          <w:szCs w:val="25"/>
        </w:rPr>
        <w:t xml:space="preserve">5.4 The German construction: willingness and its forfeiture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Germany has been the most active European forum for the enforcement of essential patents, and the construction its courts have placed on the framework has accordingly had effects well beyond German territory.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Federal Court of Justice addressed the question in proceedings between Sisvel and Haier, in a decision given in May 2020 with reasons published subsequently, and returned to it in a companion decision later the same year.</w:t>
      </w:r>
      <w:r>
        <w:rPr>
          <w:rStyle w:val="FootnoteReference"/>
        </w:rPr>
        <w:footnoteReference w:id="29"/>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Court set a demanding standard for the implementer's willingness. Adopting a formulation that had been developed in the English first-instance decision examined in section 3.5.3, it required that the implementer declare clearly and unconditionally its willingness to take a licence on whatever terms are in fact compliant with the obligation, and that it thereafter engage constructively and without delay. The implementer in that case failed the standard: it had delayed for a substantial period before responding to the proprietor's approach, and it had made its expressed willingness conditional upon the patents being upheld.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consequences follow, and they are of different kinds.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Doctrinally, the decision establishes that willingness is not a state of mind evidenced by expressions of interest but a course of conduct assessed objectively, and that it may be forfeited by delay or by the attachment of conditions. It relocates the burden: an implementer that wishes to resist an injunction must have conducted itself in a particular way from the outset, and cannot cure a deficient course of conduct by adopting a compliant position once proceedings have been commenced.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Strategically, the decision strengthened the position of proprietors in what was already the busiest European forum, and it did so in a manner that has effects beyond Germany. Because German relief is available comparatively quickly and because exclusion from the German market is commercially significant, the prospect of a German injunction is a substantial inducement to settle on a global basis. A doctrine that makes willingness easy to lose therefore increases the leverage available in negotiations concerning worldwide portfolios.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Normatively, the decision is open to the criticism that it addresses one of the two risks identified in section 4.9 and aggravates the other. Its concern is manifestly with strategic delay by implementers, and the standard it sets is well designed to deter that. But a standard requiring an unconditional commitment to whatever terms prove to be compliant asks the implementer to accept an obligation of unknown extent, at a stage when, for the reasons developed in section 3.3, it may be unable to evaluate the portfolio asserted against it. An implementer that asks for claim charts before committing, and that is met with undifferentiated declaration counts, is not obviously acting in bad faith. The criticism is not that the decision is wrong on its facts, where the delay was substantial and the condition attached was of a kind that would deprive the commitment of content, but that the standard as stated does not distinguish between obstruction and a legitimate demand for information.</w:t>
      </w:r>
    </w:p>
    <w:p>
      <w:pPr>
        <w:pStyle w:val="Heading2"/>
        <w:spacing w:after="150" w:before="300" w:line="240"/>
      </w:pPr>
      <w:r>
        <w:rPr>
          <w:rFonts w:ascii="Times New Roman" w:cs="Times New Roman" w:eastAsia="Times New Roman" w:hAnsi="Times New Roman"/>
          <w:b/>
          <w:bCs/>
          <w:i w:val="false"/>
          <w:iCs w:val="false"/>
          <w:sz w:val="25"/>
          <w:szCs w:val="25"/>
        </w:rPr>
        <w:t xml:space="preserve">5.5 The Unified Patent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Unified Patent Court began operating in June 2023 and delivered its first substantive decisions on these questions in late 2024. Its practice is of considerable importance because relief granted by the Court extends across the participating member states, so that a single determination has an effect that previously required parallel national proceedings.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proceedings brought by Panasonic against OPPO, the Mannheim Local Division held the patent in suit valid, essential to the fourth-generation standard and infringed, granted an injunction effective in the participating states to which the action related, ordered provisional damages, and dismissed the defence based on the licensing commitment.</w:t>
      </w:r>
      <w:r>
        <w:rPr>
          <w:rStyle w:val="FootnoteReference"/>
        </w:rPr>
        <w:footnoteReference w:id="30"/>
      </w:r>
      <w:r>
        <w:rPr>
          <w:rFonts w:ascii="Times New Roman" w:cs="Times New Roman" w:eastAsia="Times New Roman" w:hAnsi="Times New Roman"/>
          <w:b w:val="false"/>
          <w:bCs w:val="false"/>
          <w:i w:val="false"/>
          <w:iCs w:val="false"/>
          <w:sz w:val="24"/>
          <w:szCs w:val="24"/>
        </w:rPr>
        <w:t xml:space="preserve"> In proceedings brought by Huawei against Netgear, the Munich Local Division adopted a substantially similar approach in relation to a patent essential to a wireless local-area-networking standard, and granted injunctive relief; the proceedings were subsequently settled.</w:t>
      </w:r>
      <w:r>
        <w:rPr>
          <w:rStyle w:val="FootnoteReference"/>
        </w:rPr>
        <w:footnoteReference w:id="31"/>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features of the Court's emerging approach are significant.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has applied the framework established by the Court of Justice pragmatically rather than as a rigid sequence, assessing the parties' conduct as a whole rather than asking mechanically whether each step was performed in order. That approach has the advantage of resisting the tactical use of the framework, in which a party performs the formal steps while frustrating their purpose, and the disadvantage of reducing predictability.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has conceived the obligation as identifying a range or corridor of compliant terms rather than a single rate. That conception is consistent with the position adopted throughout this dissertation and, as noted in section 3.5.2, supports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has declined to require that the implementer commit in advance to be bound by terms subsequently determined by a court. This is a material divergence from the English and German positions, and its consequence is that conduct which would render an implementer unwilling in London or Karlsruhe may leave it willing in Mannheim. The divergence is examined further in section 6.3.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has proceeded independently of the policy preferences expressed by the European Commission, declining to adopt aspects of the Commission's submissions in a related matter urging a strictly sequential application of the framework. That independence is institutionally significant. It indicates that the Court regards the content of the obligation as a matter for judicial determination rather than for administrative guidance, and it means that the harmonisation of European practice which the Court might have been expected to produce will be harmonisation on the Court's own terms.</w:t>
      </w:r>
    </w:p>
    <w:p>
      <w:pPr>
        <w:pStyle w:val="Heading2"/>
        <w:spacing w:after="150" w:before="300" w:line="240"/>
      </w:pPr>
      <w:r>
        <w:rPr>
          <w:rFonts w:ascii="Times New Roman" w:cs="Times New Roman" w:eastAsia="Times New Roman" w:hAnsi="Times New Roman"/>
          <w:b/>
          <w:bCs/>
          <w:i w:val="false"/>
          <w:iCs w:val="false"/>
          <w:sz w:val="25"/>
          <w:szCs w:val="25"/>
        </w:rPr>
        <w:t xml:space="preserve">5.6 The English approach: global licences, willingness and the interim licence</w:t>
      </w:r>
    </w:p>
    <w:p>
      <w:pPr>
        <w:pStyle w:val="Heading3"/>
        <w:spacing w:after="150" w:before="300" w:line="240"/>
      </w:pPr>
      <w:r>
        <w:rPr>
          <w:rFonts w:ascii="Times New Roman" w:cs="Times New Roman" w:eastAsia="Times New Roman" w:hAnsi="Times New Roman"/>
          <w:b/>
          <w:bCs/>
          <w:i/>
          <w:iCs/>
          <w:sz w:val="24"/>
          <w:szCs w:val="24"/>
        </w:rPr>
        <w:t xml:space="preserve">5.6.1 The global licence and the conditional injunction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courts took a different route to a comparable destination. Relying on the contractual character of the obligation rather than on competition law, they held that the court may determine the terms of a worldwide portfolio licence and may grant an injunction restraining domestic infringement unless the implementer enters into that licence.</w:t>
      </w:r>
      <w:r>
        <w:rPr>
          <w:rStyle w:val="FootnoteReference"/>
        </w:rPr>
        <w:footnoteReference w:id="32"/>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remedial logic is important and is frequently misunderstood. The injunction granted is an injunction against infringement of the national patent, which is unquestionably within the court's jurisdiction. What is novel is the condition attached to its discharge, namely entry into a licence of worldwide scope. The court does not adjudicate the validity of foreign patents, which remains a matter for the courts of the territories concerned. It prices a worldwide portfolio and gives the implementer the choice between accepting that price and ceasing to infringe domestically.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Supreme Court's justification for declining to confine the proprietor to damages in lieu was expressly concerned with hold-out: a proprietor restricted to country-by-country damages would face an enforcement burden so great as to invite implementers to decline licences and litigate serially. The Court was also candid that its conclusion would render England an attractive forum and might prompt other jurisdictions to follow, a prediction examined in section 6.4.</w:t>
      </w:r>
    </w:p>
    <w:p>
      <w:pPr>
        <w:pStyle w:val="Heading3"/>
        <w:spacing w:after="150" w:before="300" w:line="240"/>
      </w:pPr>
      <w:r>
        <w:rPr>
          <w:rFonts w:ascii="Times New Roman" w:cs="Times New Roman" w:eastAsia="Times New Roman" w:hAnsi="Times New Roman"/>
          <w:b/>
          <w:bCs/>
          <w:i/>
          <w:iCs/>
          <w:sz w:val="24"/>
          <w:szCs w:val="24"/>
        </w:rPr>
        <w:t xml:space="preserve">5.6.2 Willingness and the requirement of commitment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position on willingness converges with the German. An implementer that seeks a licence but declines to commit in advance to whatever terms the court determines is not, on the English approach, a willing licensee, and may be enjoined. The point arose directly in the litigation between Optis and Apple, in which the implementer's position was that it would take a licence on terms it accepted but would not undertake to be bound by the court's determination.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convergence between the two leading European fora on this point is striking given their different doctrinal routes, and it is best explained as a shared judicial assessment of where the practical risk lies. Both systems have concluded that the greater danger in the cases before them is strategic delay, and both have responded by requiring commitment as the price of resisting relief.</w:t>
      </w:r>
    </w:p>
    <w:p>
      <w:pPr>
        <w:pStyle w:val="Heading3"/>
        <w:spacing w:after="150" w:before="300" w:line="240"/>
      </w:pPr>
      <w:r>
        <w:rPr>
          <w:rFonts w:ascii="Times New Roman" w:cs="Times New Roman" w:eastAsia="Times New Roman" w:hAnsi="Times New Roman"/>
          <w:b/>
          <w:bCs/>
          <w:i/>
          <w:iCs/>
          <w:sz w:val="24"/>
          <w:szCs w:val="24"/>
        </w:rPr>
        <w:t xml:space="preserve">5.6.3 The interim licence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original English contribution, and in the view taken here the most significant development in the remedial law of this field in recent years, is the interim licence.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proceedings between Panasonic and Xiaomi, both parties had agreed that the English court would determine the terms of a global licence and had undertaken to enter into the licence so determined. Notwithstanding that agreement, the proprietor continued to pursue injunctive relief in Germany and before the Unified Patent Court. The Court of Appeal held that a willing licensor in the proprietor's position would grant an interim licence pending the determination, that the continued pursuit of injunctions in other fora in order to coerce a settlement on terms more favourable than those the court might determine was indefensible, and that the conduct was a breach of the good-faith obligation arising under the licensing commitment.</w:t>
      </w:r>
      <w:r>
        <w:rPr>
          <w:rStyle w:val="FootnoteReference"/>
        </w:rPr>
        <w:footnoteReference w:id="33"/>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significance of this reasoning lies in its direction. Almost every doctrinal development in this field over the preceding decade had been addressed to the conduct of implementers: what they must do to be regarded as willing, how promptly, on what conditions, and with what consequence for failure. The interim-licence reasoning is addressed to the conduct of proprietors, and it identifies as a breach of obligation a practice, the pursuit of parallel injunctive relief in order to extract terms better than those a rate-setting court would award, that is the proprietor-side analogue of the strategic delay at which the willingness doctrine is directed.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the terms of section 4.9.6, it supplies the missing half of a symmetrical pair. A regime that requires implementers to commit unconditionally to judicial determination while permitting proprietors to pursue coercive relief elsewhere is not symmetrical, and the interim licence corrects the asymmetry.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limitations should be recorded. The reasoning presupposes that both parties have submitted to a court-determined global rate, and it has no application where they have not. Its extraterritorial propriety is contestable, since its practical effect is to constrain the pursuit of relief in other jurisdictions, and it accordingly raises in a new form the comity questions examined in section 6.4. And the proceedings in which it was developed did not result in a rate determination, the parties having settled, so that the device's operation in a completed case remains to be observed.</w:t>
      </w:r>
    </w:p>
    <w:p>
      <w:pPr>
        <w:pStyle w:val="Heading2"/>
        <w:spacing w:after="150" w:before="300" w:line="240"/>
      </w:pPr>
      <w:r>
        <w:rPr>
          <w:rFonts w:ascii="Times New Roman" w:cs="Times New Roman" w:eastAsia="Times New Roman" w:hAnsi="Times New Roman"/>
          <w:b/>
          <w:bCs/>
          <w:i w:val="false"/>
          <w:iCs w:val="false"/>
          <w:sz w:val="25"/>
          <w:szCs w:val="25"/>
        </w:rPr>
        <w:t xml:space="preserve">5.7 Monetary remedies, interim payment and access to justice</w:t>
      </w:r>
    </w:p>
    <w:p>
      <w:pPr>
        <w:pStyle w:val="Heading3"/>
        <w:spacing w:after="150" w:before="300" w:line="240"/>
      </w:pPr>
      <w:r>
        <w:rPr>
          <w:rFonts w:ascii="Times New Roman" w:cs="Times New Roman" w:eastAsia="Times New Roman" w:hAnsi="Times New Roman"/>
          <w:b/>
          <w:bCs/>
          <w:i/>
          <w:iCs/>
          <w:sz w:val="24"/>
          <w:szCs w:val="24"/>
        </w:rPr>
        <w:t xml:space="preserve">5.7.1 Monetary remedies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injunctive relief is withheld or inappropriate, monetary remedies carry the burden of compensating the proprietor. Damages, or in some systems an account of profits, address past infringement. Interest addresses the time value of money and, as noted in section 4.8.2, may constitute a substantial element of the total where negotiation has been protracted.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design question is whether monetary remedies alone can adequately address the hold-out risk. The argument that they cannot rests on three propositions: that the proprietor must establish validity and infringement patent by patent and territory by territory, at very substantial cost; that it bears the risk of the implementer's insolvency over the intervening period; and that the implementer retains the benefit of use in the interim. The argument that they can rests on the observation that an award reflecting the full compliant royalty, with interest, and unconstrained by limitation, leaves the implementer no better off than if it had licensed at the outset, and that the English courts have moved in precisely that direction.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here is that monetary remedies can address the hold-out risk substantially but not completely, because they do not address the enforcement burden or the insolvency risk, and that the residual gap is better closed by interim-payment mechanisms than by the availability of injunctive relief. An interim payment or the provision of security removes the free-option element of delay at the point when it would otherwise operate, without conferring the coercive leverage that injunctive relief confers. Indian courts have used conditional interim deposits for this purpose, as examined in section 7.4, and the practice deserves more systematic attention than it has received.</w:t>
      </w:r>
    </w:p>
    <w:p>
      <w:pPr>
        <w:pStyle w:val="Heading3"/>
        <w:spacing w:after="150" w:before="300" w:line="240"/>
      </w:pPr>
      <w:r>
        <w:rPr>
          <w:rFonts w:ascii="Times New Roman" w:cs="Times New Roman" w:eastAsia="Times New Roman" w:hAnsi="Times New Roman"/>
          <w:b/>
          <w:bCs/>
          <w:i/>
          <w:iCs/>
          <w:sz w:val="24"/>
          <w:szCs w:val="24"/>
        </w:rPr>
        <w:t xml:space="preserve">5.7.2 Access to justice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Access to justice in this field is poor, and the consequences of its poverty are systematically under-weighted in a literature preoccupied with the doctrinal content of the obligation.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Litigation of these disputes is extraordinarily expensive. A contested determination involves patent-by-patent issues of validity, essentiality and infringement; the production and unpacking of confidential comparable licences; competing expert economic evidence on valuation; and trials measured in weeks. The costs are beyond the means of any but substantial undertakings.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consequence is that the doctrinal balance struck in the authorities is, for a large class of implementers, of no practical relevance. A small manufacturer that cannot afford to test a portfolio cannot avail itself of a standard of willingness that presupposes an ability to evaluate an offer, and cannot invoke a determination procedure it cannot fund. Its realistic options are to accept the terms offered or to exit the market. The formal availability of a right whose vindication costs more than the undertaking is worth is not a protection.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has three implications for the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means that the practical effect of a demanding willingness standard is more severe than its doctrinal content suggests, because the alternative to capitulation is a process the implementer cannot use. A standard designed on the assumption of sophisticated parties with the capacity to litigate operates differently on parties without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means that procedural reform, including expedited determination confined to rate, proportionate costs regimes, and accessible expert determination, addresses a problem that substantive doctrinal reform cannot reach. This is the justification for treating dispute resolution as a distinct layer in the framework proposed in Chapter 7 rather than as an adjunct to remedies.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And it bears directly on the criteria specified in section 2.8, engaging access to justice, entry by small and medium-sized enterprises, and procedural fairness. An arrangement that is substantively balanced but accessible only to the well-resourced fails the procedural criteria, and on the position taken in this dissertation that failure is not a subordinate consideration but a defect in the legitimacy of the arrangement.</w:t>
      </w:r>
    </w:p>
    <w:p>
      <w:pPr>
        <w:pStyle w:val="Heading2"/>
        <w:spacing w:after="150" w:before="300" w:line="240"/>
      </w:pPr>
      <w:r>
        <w:rPr>
          <w:rFonts w:ascii="Times New Roman" w:cs="Times New Roman" w:eastAsia="Times New Roman" w:hAnsi="Times New Roman"/>
          <w:b/>
          <w:bCs/>
          <w:i w:val="false"/>
          <w:iCs w:val="false"/>
          <w:sz w:val="25"/>
          <w:szCs w:val="25"/>
        </w:rPr>
        <w:t xml:space="preserve">5.8 Competition law: role and limits</w:t>
      </w:r>
    </w:p>
    <w:p>
      <w:pPr>
        <w:pStyle w:val="Heading3"/>
        <w:spacing w:after="150" w:before="300" w:line="240"/>
      </w:pPr>
      <w:r>
        <w:rPr>
          <w:rFonts w:ascii="Times New Roman" w:cs="Times New Roman" w:eastAsia="Times New Roman" w:hAnsi="Times New Roman"/>
          <w:b/>
          <w:bCs/>
          <w:i/>
          <w:iCs/>
          <w:sz w:val="24"/>
          <w:szCs w:val="24"/>
        </w:rPr>
        <w:t xml:space="preserve">5.8.1 Threshold errors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errors are common at the threshold and should be disposed of.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the assumption that the proprietorship of an essential patent establishes a dominant position. It does not. Dominance is a question of market power in a market that must be defined, and the definition of the relevant market where the product is a licence to technology for which, by hypothesis, there is no substitute is a genuinely difficult question on which authorities have differed. A finding that a patent is essential establishes that it cannot be designed around; it does not by itself establish the boundaries of a market or the proprietor's power within it, and treating essentiality as dispositive of dominance elides a required step.</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the assumption that standardisation establishes abuse. It does not. The conduct complained of must satisfy the applicable legal test, and the fact that the proprietor's position was conferred by a collective standardisation decision is relevant to the assessment but does not constitute the abuse.</w:t>
      </w:r>
    </w:p>
    <w:p>
      <w:pPr>
        <w:pStyle w:val="Heading3"/>
        <w:spacing w:after="150" w:before="300" w:line="240"/>
      </w:pPr>
      <w:r>
        <w:rPr>
          <w:rFonts w:ascii="Times New Roman" w:cs="Times New Roman" w:eastAsia="Times New Roman" w:hAnsi="Times New Roman"/>
          <w:b/>
          <w:bCs/>
          <w:i/>
          <w:iCs/>
          <w:sz w:val="24"/>
          <w:szCs w:val="24"/>
        </w:rPr>
        <w:t xml:space="preserve">5.8.2 The European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European position, articulated in the judgment examined in section 5.3, is that competition law has a substantial and structuring role. The framework established by the Court of Justice is a competition-law framework: its criterion is abuse of dominance, and its consequence is that non-compliance with the specified sequence exposes the proprietor to the ordinary consequences of infringement of the prohibition.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approach has the advantages noted in section 3.4.2. It engages public enforcement resources and does not depend on the implementer's capacity to litigate. And it has produced the field's most useful procedural framework.</w:t>
      </w:r>
    </w:p>
    <w:p>
      <w:pPr>
        <w:pStyle w:val="Heading3"/>
        <w:spacing w:after="150" w:before="300" w:line="240"/>
      </w:pPr>
      <w:r>
        <w:rPr>
          <w:rFonts w:ascii="Times New Roman" w:cs="Times New Roman" w:eastAsia="Times New Roman" w:hAnsi="Times New Roman"/>
          <w:b/>
          <w:bCs/>
          <w:i/>
          <w:iCs/>
          <w:sz w:val="24"/>
          <w:szCs w:val="24"/>
        </w:rPr>
        <w:t xml:space="preserve">5.8.3 The United States retreat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United States has moved in the opposite direction, and the trajectory is instructive.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An earlier generation of authority had established that the commitment was enforceable as a matter of contract and that a court could determine a compliant rate, an approach developed in the litigation between Microsoft and Motorola.</w:t>
      </w:r>
      <w:r>
        <w:rPr>
          <w:rStyle w:val="FootnoteReference"/>
        </w:rPr>
        <w:footnoteReference w:id="34"/>
      </w:r>
      <w:r>
        <w:rPr>
          <w:rFonts w:ascii="Times New Roman" w:cs="Times New Roman" w:eastAsia="Times New Roman" w:hAnsi="Times New Roman"/>
          <w:b w:val="false"/>
          <w:bCs w:val="false"/>
          <w:i w:val="false"/>
          <w:iCs w:val="false"/>
          <w:sz w:val="24"/>
          <w:szCs w:val="24"/>
        </w:rPr>
        <w:t xml:space="preserve"> The subsequent antitrust challenge to Qualcomm's licensing practices produced, at first instance, an extensive finding of liability, which the Ninth Circuit reversed. The appellate court held that the proprietor was under no antitrust duty to license rival component manufacturers and that its royalty practices, being neutral as between component suppliers, did not impose an anticompetitive surcharge.</w:t>
      </w:r>
      <w:r>
        <w:rPr>
          <w:rStyle w:val="FootnoteReference"/>
        </w:rPr>
        <w:footnoteReference w:id="35"/>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effect of that reversal, taken with the earlier contractual authority, is that disputes of this kind in the United States are channelled towards contract and away from antitrust. The general remedial framework for injunctive relief in patent cases, which requires the application of equitable criteria rather than treating an injunction as automatic, supplies a further avenue through which the concerns that competition law addresses in Europe can be accommodated within patent law itself.</w:t>
      </w:r>
      <w:r>
        <w:rPr>
          <w:rStyle w:val="FootnoteReference"/>
        </w:rPr>
        <w:footnoteReference w:id="36"/>
      </w:r>
    </w:p>
    <w:p>
      <w:pPr>
        <w:pStyle w:val="Heading3"/>
        <w:spacing w:after="150" w:before="300" w:line="240"/>
      </w:pPr>
      <w:r>
        <w:rPr>
          <w:rFonts w:ascii="Times New Roman" w:cs="Times New Roman" w:eastAsia="Times New Roman" w:hAnsi="Times New Roman"/>
          <w:b/>
          <w:bCs/>
          <w:i/>
          <w:iCs/>
          <w:sz w:val="24"/>
          <w:szCs w:val="24"/>
        </w:rPr>
        <w:t xml:space="preserve">5.8.4 The residual role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comparison supports the position advanced in section 3.4.2 and developed in Chapter 7. Competition law is properly a residual supervisory instrument in this field rather than the primary allocator of value.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reasons support that allocation.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determination of a compliant royalty is a valuation exercise. Courts have developed genuine competence in it, as the English determinations examined in section 4.6.2 demonstrate, and they conduct it with the procedural apparatus, including disclosure and the testing of expert evidence, that such an exercise requires. Competition authorities are not designed for it and generally do not attempt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Competition law applies only to dominant undertakings, and an account of the obligation that leaves the position of non-dominant proprietors to be explained separately is incomplete.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Concurrent jurisdiction over identical conduct generates the risk of inconsistent determinations and invites forum-shopping between regulators applying different standards. That risk is not theoretical; it is the difficulty that India has confronted and that section 7.5 examines.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characterisation of a royalty dispute as an abuse of market power raises the stakes and changes the remedial apparatus in ways that have proved unproductive where it has been attempted, as the United States experience illustrates.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residual role that remains is nonetheless real and should not be understated. Competition law addresses conduct that contract cannot reach: discriminatory licensing designed to foreclose a rival rather than merely to price differently; refusal to license a class of undertaking for exclusionary purposes; tying and bundling of essential with non-essential rights; the governance of pooling arrangements that extend beyond complementary technologies; and the coordination risks inherent in standardisation itself. It also supplies a forum in systems where the patent courts are inaccessible or slow. The proposition advanced here is not that competition law should withdraw but that its jurisdiction should be reserved for cases of genuine abuse and coordinated with, rather than duplicative of, the adjudication of the licensing obligation.</w:t>
      </w:r>
    </w:p>
    <w:p>
      <w:pPr>
        <w:pStyle w:val="Heading2"/>
        <w:spacing w:after="150" w:before="300" w:line="240"/>
      </w:pPr>
      <w:r>
        <w:rPr>
          <w:rFonts w:ascii="Times New Roman" w:cs="Times New Roman" w:eastAsia="Times New Roman" w:hAnsi="Times New Roman"/>
          <w:b/>
          <w:bCs/>
          <w:i w:val="false"/>
          <w:iCs w:val="false"/>
          <w:sz w:val="25"/>
          <w:szCs w:val="25"/>
        </w:rPr>
        <w:t xml:space="preserve">5.8A Proportionality, equitable discretion and the shape of remedial control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Before turning to alternatives to litigation, it is worth isolating the mechanism by which remedial control is actually exercised, because the comparative material in Chapter 6 is otherwise liable to be read as a disagreement about doctrine when it is in substance a disagreement about the locus of discretion.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mechanisms are available, and the jurisdictions examined in this dissertation use them in different proportions. The first is a threshold condition: injunctive relief is unavailable unless a defined procedural sequence has been followed, as under the framework established by the Court of Justice. The second is equitable discretion: relief is available in principle but withheld where the balance of hardship, the adequacy of damages or the public interest tells against it, which is the tradition in which the American treatment of injunctive relief following the Supreme Court's decision on the presumption of injunctive relief operates.</w:t>
      </w:r>
      <w:r>
        <w:rPr>
          <w:rStyle w:val="FootnoteReference"/>
        </w:rPr>
        <w:footnoteReference w:id="37"/>
      </w:r>
      <w:r>
        <w:rPr>
          <w:rFonts w:ascii="Times New Roman" w:cs="Times New Roman" w:eastAsia="Times New Roman" w:hAnsi="Times New Roman"/>
          <w:b w:val="false"/>
          <w:bCs w:val="false"/>
          <w:i w:val="false"/>
          <w:iCs w:val="false"/>
          <w:sz w:val="24"/>
          <w:szCs w:val="24"/>
        </w:rPr>
        <w:t xml:space="preserve"> The third is conditionality: relief is granted but suspended, or expressed to operate only in the event that the defendant declines terms the court has determined, which is the English technique examined at Chapter 5.6.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distinction matters for two reasons. It explains why formally divergent doctrines produce convergent outcomes: a threshold condition rigorously applied and an equitable discretion exercised against a delaying implementer may arrive at the same place. And it identifies where the real disagreement lies, which is not about whether exclusion should ever be available — no jurisdiction examined denies that it should — but about who decides, on what evidence, and at what point in the proceedings. A threshold condition places the decision early and on relatively formal criteria, which favours predictability. An equitable discretion places it late and on the merits, which favours accuracy at the cost of leaving the parties uncertain while they negotiate. Conditionality attempts to secure both by determining the terms first and making the remedy contingent on their acceptance, at the price of requiring the court to perform a valuation exercise it might otherwise avoid.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proportionality requirement, where it exists, operates across all three mechanisms rather than as a fourth alternative. Its content in this context is that the remedy must bear a defensible relationship to the infringement: the exclusion of an entire product line from a market by reason of one patent of contested validity, in a portfolio of thousands, on a technology contributing marginally to the product's value, is difficult to describe as proportionate however unwilling the implementer's conduct. The difficulty is that proportionality so understood cuts against the deterrent function of the remedy, since an implementer that knows exclusion is disproportionate has less reason to conclude a licence. The dissertation's position, developed at Chapter 7.7.7, is that proportionality is better secured by conditionality than by refusal: a conditional injunction preserves the deterrent while ensuring that exclusion follows only from a refusal of terms found to be compliant.</w:t>
      </w:r>
    </w:p>
    <w:p>
      <w:pPr>
        <w:pStyle w:val="Heading2"/>
        <w:spacing w:after="150" w:before="300" w:line="240"/>
      </w:pPr>
      <w:r>
        <w:rPr>
          <w:rFonts w:ascii="Times New Roman" w:cs="Times New Roman" w:eastAsia="Times New Roman" w:hAnsi="Times New Roman"/>
          <w:b/>
          <w:bCs/>
          <w:i w:val="false"/>
          <w:iCs w:val="false"/>
          <w:sz w:val="25"/>
          <w:szCs w:val="25"/>
        </w:rPr>
        <w:t xml:space="preserve">5.8B Arbitration, mediation and expert determination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institutional gap identified at Chapter 3.12 — that standard-development organisations supply no machinery for resolving the disputes their instruments generate — invites the question whether the gap could be filled otherwise than by national courts.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for arbitration is substantial. Arbitration is capable of producing a single determination binding worldwide, which addresses the mismatch between the territorial structure of patent rights and the global structure of the transaction that generates much of the conflict examined in Chapter 6. It permits the appointment of decision-makers with valuation expertise, rather than requiring generalist judges to assess competing expert evidence on methods with which they may have limited familiarity. It accommodates confidentiality, which is the obstacle to the disclosure of comparable licences discussed at Chapter 4.6. It avoids the forum race, because the tribunal's competence derives from agreement rather than from seisin. And it is considerably less likely to generate the anti-suit escalation described at Chapter 6.5.2, because there is no competing court to restrain.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objections are equally substantial and are of three kinds.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consent. Arbitration requires agreement, and the parties least likely to agree are those in the most acute dispute. A proprietor confident of obtaining an injunction in a favourable forum has little incentive to submit to a neutral valuation, and an implementer confident of obtaining a low determination elsewhere has no more. Proposals to make arbitration a condition of the licensing undertaking itself would overcome this, but they encounter the constraint identified at Chapter 3.6: substantive conditions attached by organisations to participation are disciplined by the holders' ability to decline to give assurances at all.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legitimacy. Arbitration is private, and its awards are ordinarily unpublished. A regime in which the terms of access to essential public infrastructure were determined by unpublished awards of privately appointed tribunals would score badly on the transparency, accountability and participation criteria specified at Chapter 2.8. It would also arrest the development of the law: the doctrinal progress traced in Chapters 5 and 6, whatever its inconsistencies, has occurred because courts gave public reasons that could be criticised and refined. Confidential arbitration would remove that. The tension is genuine and is not resolved by asserting that arbitration is more efficient, because efficiency is one criterion among the several that legitimacy requires.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scope. An arbitral tribunal can determine terms. It cannot invalidate a patent with effect against the world, and its award binds only the parties. Disputes in which the implementer's principal contention is that the portfolio is largely invalid or inessential are therefore not fully resolvable by arbitration, which tends to price validity risk rather than determine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Mediation and expert determination occupy a more modest but more achievable position. Mediation does not displace the court's function and therefore raises none of the legitimacy objections; its value lies in reducing the proportion of disputes that require determination at all, which addresses the cost and access concerns examined at Chapter 5.7.2. Expert determination of discrete valuation questions — the appropriate treatment of a particular comparable, or the essentiality of a sample of patents — can be used within litigation rather than as a substitute for it, and it addresses the competence objection directly without removing the decision from a public forum.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adopted in this dissertation, reflected at the eighth layer of the framework in Chapter 7.7.9, is accordingly qualified. Arbitration should be facilitated and its use encouraged where the parties are willing, because a negotiated global determination is preferable to a forum race. It should not be mandated, because mandation would purchase efficiency at a legitimacy cost the public-interest criteria do not permit, and because it would in any event be resisted at the point of adoption. The greater institutional gains are available from mediation and from expert determination within public proceedings, which improve the quality and reduce the cost of adjudication without removing it from public view.</w:t>
      </w:r>
    </w:p>
    <w:p>
      <w:pPr>
        <w:pStyle w:val="Heading2"/>
        <w:spacing w:after="150" w:before="300" w:line="240"/>
      </w:pPr>
      <w:r>
        <w:rPr>
          <w:rFonts w:ascii="Times New Roman" w:cs="Times New Roman" w:eastAsia="Times New Roman" w:hAnsi="Times New Roman"/>
          <w:b/>
          <w:bCs/>
          <w:i w:val="false"/>
          <w:iCs w:val="false"/>
          <w:sz w:val="25"/>
          <w:szCs w:val="25"/>
        </w:rPr>
        <w:t xml:space="preserve">5.9 Public-interest assessment of the remedial framework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Applying the criteria specified in section 2.8 to the remedial arrangements examined in this chapter yields the following assessment.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incentives, the arrangements are broadly adequate at the extremes and uncertain in the middle. A proprietor confronting an implementer that will not engage has effective remedies in each of the systems examined, which preserves the incentive to contribute. An implementer confronting a proprietor that will not license on compliant terms has, at least in England, a mechanism for obtaining a determination and, following the interim-licence reasoning, some protection against coercive parallel relief. What remains uncertain is the position of the party that engages in good faith and simply disagrees about value, which is the commonest case and the one the framework established by the Court of Justice least clearly addresses.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access and competition, the principal concern is the one identified in section 5.7.2. The arrangements are designed for and operate adequately between sophisticated repeat participants, and they operate poorly for small undertakings and new entrants, for whom the practical alternative to acceptance is exit.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transaction costs and predictability, the assessment is poor. The divergence between fora documented in Chapter 6 means that a party's exposure depends materially on where it is sued, which is the antithesis of predictability, and the parallel proceedings that divergence encourages multiply cost without adding information.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procedural fairness and legitimacy, the record is mixed and improving. The framework established by the Court of Justice, the willingness jurisprudence and the interim-licence reasoning each represent genuine progress in specifying what the parties must do. The remaining deficits are the inaccessibility of the procedures to smaller parties and the absence of any mechanism for resolving conflicts between courts.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distribution and development, the arrangements have consequences examined in Chapter 7. A willingness standard that presupposes the capacity to evaluate a portfolio disadvantages undertakings without patent expertise, which are disproportionately located in implementer economies; and a remedial regime whose most powerful instruments are available in a small number of technologically advanced fora concentrates the effective determination of global terms in those fora.</w:t>
      </w:r>
    </w:p>
    <w:p>
      <w:pPr>
        <w:pStyle w:val="Heading2"/>
        <w:spacing w:after="150" w:before="300" w:line="240"/>
      </w:pPr>
      <w:r>
        <w:rPr>
          <w:rFonts w:ascii="Times New Roman" w:cs="Times New Roman" w:eastAsia="Times New Roman" w:hAnsi="Times New Roman"/>
          <w:b/>
          <w:bCs/>
          <w:i w:val="false"/>
          <w:iCs w:val="false"/>
          <w:sz w:val="25"/>
          <w:szCs w:val="25"/>
        </w:rPr>
        <w:t xml:space="preserve">5.10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injunction is the decisive remedy in this field, and the governing question is the condition on which it should be available rather than whether it should exist. The systems examined have converged on willingness as that condition and diverged substantially in its application, with England and Germany requiring an unconditional commitment to judicially determined terms and the Unified Patent Court declining to do so.</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significant recent development is the recognition, in the interim-licence reasoning of the English Court of Appeal, that the good-faith obligation constrains proprietors as well as implementers, and that the pursuit of parallel injunctive relief in order to extract terms better than those a rate-setting court would award is a breach of it. That development supplies the proprietor-facing half of the symmetrical pair that the empirical uncertainty examined in Chapter 4 requires.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Competition law is properly residual. It addresses conduct that contract cannot reach and supplies a forum where patent adjudication is unavailable, but it is not well suited to the determination of value, it applies only to dominant undertakings, and concurrent jurisdiction over identical conduct generates duplication and inconsistency. The allocation between patent adjudication and competition supervision is, for the reasons examined in Chapter 7, the most consequential unresolved institutional question in Indian law.</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6: Comparative Jurisprudence and Transnational Rate-Setting</w:t>
      </w:r>
    </w:p>
    <w:p>
      <w:pPr>
        <w:pStyle w:val="Heading2"/>
        <w:spacing w:after="150" w:before="300" w:line="240"/>
      </w:pPr>
      <w:r>
        <w:rPr>
          <w:rFonts w:ascii="Times New Roman" w:cs="Times New Roman" w:eastAsia="Times New Roman" w:hAnsi="Times New Roman"/>
          <w:b/>
          <w:bCs/>
          <w:i w:val="false"/>
          <w:iCs w:val="false"/>
          <w:sz w:val="25"/>
          <w:szCs w:val="25"/>
        </w:rPr>
        <w:t xml:space="preserve">6.1 Method and organisation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chapter compares five systems functionally rather than descriptively. It does not offer an account of each jurisdiction in turn, because that organisation obscures what a comparison should reveal and produces a series of country reports whose juxtaposition is not itself an analysis. It proceeds instead by identifying the recurring functional problems that every system must solve and examining how each solves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Nine such problems organise the chapter. The juridical source of the obligation. The conditions on which injunctive relief is available. The assessment of willingness. The competence to determine the terms of a worldwide licence. The treatment of foreign patents. The valuation methodology applied. The role accorded to competition law. The procedural treatment of confidentiality and comparable licences. And the manner in which conflicts between fora are managed.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systems examined are the United Kingdom, the European Union, Germany, the United States and China, with the Unified Patent Court treated where its emerging practice is materially probative. The selection is defended in section 1.7. India is treated separately in Chapter 7 because it is the primary jurisdiction of the dissertation and because the questions it raises include institutional and developmental matters absent from the comparators.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structural observation should be made at the outset, because it frames everything that follows. The obligation whose application these systems are considering is, in the overwhelming majority of the cases examined, the same obligation: the undertaking given under a single instrument, governed by a single national law, as examined in section 3.2. The divergences documented in this chapter cannot therefore be attributed to differences in the obligation. They must be attributed to differences in remedial tradition, institutional structure, procedural culture and underlying policy preference. That observation is analytically valuable because it locates the true source of divergence, and it is also a reason for scepticism about proposals to resolve the divergence by clarifying the obligation.</w:t>
      </w:r>
    </w:p>
    <w:p>
      <w:pPr>
        <w:pStyle w:val="Heading2"/>
        <w:spacing w:after="150" w:before="300" w:line="240"/>
      </w:pPr>
      <w:r>
        <w:rPr>
          <w:rFonts w:ascii="Times New Roman" w:cs="Times New Roman" w:eastAsia="Times New Roman" w:hAnsi="Times New Roman"/>
          <w:b/>
          <w:bCs/>
          <w:i w:val="false"/>
          <w:iCs w:val="false"/>
          <w:sz w:val="25"/>
          <w:szCs w:val="25"/>
        </w:rPr>
        <w:t xml:space="preserve">6.2 The juridical source of the obligation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first functional question the systems divide, but less sharply than the rhetoric of the field suggests.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England treats the obligation as contractual, arising from the undertaking given to the standards body and enforceable by implementers as third parties. That characterisation is the foundation of the jurisdictional conclusion examined in section 6.4, and it is not incidental to it: the competence to determine worldwide terms is derived from the contract, not from any extraterritorial patent jurisdiction.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European Union, through the judgment of the Court of Justice, approaches the obligation through the prohibition on abuse of dominance, while not denying its contractual character. The framework established is a competition-law framework whose criterion is abuse.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Germany applies the European framework but has articulated its requirements in terms that draw heavily on the contractual conception, including the formulation of willingness adopted from the English authority. The German position is best described as applying a competition-law test whose content is substantially informed by contractual reasoning.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Unified Patent Court has proceeded on a footing that treats the obligation as generating reciprocal duties of conduct assessed as a whole, and has declined to apply the European framework as a rigid sequence. Its reasoning draws on both traditions without committing itself exclusively to either.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United States treats the obligation as contractual, and the retreat of its antitrust law from this territory, examined in section 5.8.3, has reinforced that characterisation by removing the principal alternative.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China applies its own law, in which principles of good faith and the requirements of fair, reasonable and non-discriminatory licensing operate without the doctrinal architecture of either the European competition framework or the English contractual analysis.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practical significance of this divergence is smaller than might be expected, because the content that each system derives from its chosen characterisation has largely converged: each requires the proprietor to offer terms within an acceptable range and to engage in good faith, and each requires the implementer to engage promptly and to pay for what it uses. What differs is the allocation of procedural burdens and the remedial consequence of failure, and those differences do not track the doctrinal characterisation closely.</w:t>
      </w:r>
    </w:p>
    <w:p>
      <w:pPr>
        <w:pStyle w:val="Heading2"/>
        <w:spacing w:after="150" w:before="300" w:line="240"/>
      </w:pPr>
      <w:r>
        <w:rPr>
          <w:rFonts w:ascii="Times New Roman" w:cs="Times New Roman" w:eastAsia="Times New Roman" w:hAnsi="Times New Roman"/>
          <w:b/>
          <w:bCs/>
          <w:i w:val="false"/>
          <w:iCs w:val="false"/>
          <w:sz w:val="25"/>
          <w:szCs w:val="25"/>
        </w:rPr>
        <w:t xml:space="preserve">6.3 Injunctions and the assessment of willingness</w:t>
      </w:r>
    </w:p>
    <w:p>
      <w:pPr>
        <w:pStyle w:val="Heading3"/>
        <w:spacing w:after="150" w:before="300" w:line="240"/>
      </w:pPr>
      <w:r>
        <w:rPr>
          <w:rFonts w:ascii="Times New Roman" w:cs="Times New Roman" w:eastAsia="Times New Roman" w:hAnsi="Times New Roman"/>
          <w:b/>
          <w:bCs/>
          <w:i/>
          <w:iCs/>
          <w:sz w:val="24"/>
          <w:szCs w:val="24"/>
        </w:rPr>
        <w:t xml:space="preserve">6.3.1 The convergence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second and third functional questions the systems have converged on a common criterion and diverged in its application.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common criterion is willingness. Each system makes the availability of injunctive relief depend, in substance, on whether the implementer is willing to take a licence on compliant terms. The convergence is significant and should not be taken for granted:</w:t>
      </w:r>
      <w:r>
        <w:rPr>
          <w:rStyle w:val="FootnoteReference"/>
        </w:rPr>
        <w:footnoteReference w:id="38"/>
      </w:r>
      <w:r>
        <w:rPr>
          <w:rFonts w:ascii="Times New Roman" w:cs="Times New Roman" w:eastAsia="Times New Roman" w:hAnsi="Times New Roman"/>
          <w:b w:val="false"/>
          <w:bCs w:val="false"/>
          <w:i w:val="false"/>
          <w:iCs w:val="false"/>
          <w:sz w:val="24"/>
          <w:szCs w:val="24"/>
        </w:rPr>
        <w:t xml:space="preserve"> it represents a considered rejection both of the proposition that a proprietor of an essential patent has an unqualified entitlement to exclude and of the proposition that it has no entitlement at all.</w:t>
      </w:r>
    </w:p>
    <w:p>
      <w:pPr>
        <w:pStyle w:val="Heading3"/>
        <w:spacing w:after="150" w:before="300" w:line="240"/>
      </w:pPr>
      <w:r>
        <w:rPr>
          <w:rFonts w:ascii="Times New Roman" w:cs="Times New Roman" w:eastAsia="Times New Roman" w:hAnsi="Times New Roman"/>
          <w:b/>
          <w:bCs/>
          <w:i/>
          <w:iCs/>
          <w:sz w:val="24"/>
          <w:szCs w:val="24"/>
        </w:rPr>
        <w:t xml:space="preserve">6.3.2 The divergence on commitment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divergence concerns what willingness requires, and the sharpest point of difference is whether the implementer must commit in advance to be bound by terms the court may subsequently determine.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England requires it. An implementer that seeks a licence but reserves its position on the court's determination is not willing and may be enjoined.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Germany requires it. The formulation adopted by the Federal Court of Justice demands a clear and unconditional declaration of willingness to take a licence on whatever terms prove to be compliant, and the attachment of conditions defeats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Unified Patent Court does not require it. It has held that the implementer need not pre-commit, and assesses willingness on the totality of the parties' conduct.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consequence is a material fault line within Europe. The same implementer conduct may render an undertaking unwilling, and therefore liable to be enjoined, in London or Karlsruhe, while leaving it willing in Mannheim. This is not a difference of emphasis but a difference in outcome on the determinative issue, and it exists between fora whose relief covers overlapping territory and which are applying the same underlying obligation.</w:t>
      </w:r>
    </w:p>
    <w:p>
      <w:pPr>
        <w:pStyle w:val="Heading3"/>
        <w:spacing w:after="150" w:before="300" w:line="240"/>
      </w:pPr>
      <w:r>
        <w:rPr>
          <w:rFonts w:ascii="Times New Roman" w:cs="Times New Roman" w:eastAsia="Times New Roman" w:hAnsi="Times New Roman"/>
          <w:b/>
          <w:bCs/>
          <w:i/>
          <w:iCs/>
          <w:sz w:val="24"/>
          <w:szCs w:val="24"/>
        </w:rPr>
        <w:t xml:space="preserve">6.3.3 Assessment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and German position has the stronger claim on the hold-out side of the analysis. An implementer that will not accept the determination of a competent tribunal has, in effect, reserved the right to reject any outcome it dislikes, and a criterion of willingness that accommodates that reservation is close to no criterion at all.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Unified Patent Court's position has the stronger claim on the hold-up side. To require an undertaking to bind itself to terms of unknown extent, determined by a tribunal of the proprietor's selection, at a stage when the portfolio asserted against it may be undocumented beyond declaration counts, is to require a commitment whose content cannot be evaluated. The objection is not that commitment is an inappropriate requirement in principle but that its appropriateness depends on the quality of the information available to the party making it, which returns the analysis to the transparency deficit examined in section 3.3.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here is that neither approach is adequate in isolation and that the disagreement is a symptom of the informational problem rather than a doctrinal dispute capable of resolution on its own terms. A commitment requirement is defensible where the implementer has been given sufficient information to evaluate what it is committing to, and indefensible where it has not. That conclusion supports the coupling, in the framework proposed in Chapter 7, of a demanding willingness standard with enforceable disclosure obligations, and it explains why the framework treats those as a single connected reform rather than as two independent ones.</w:t>
      </w:r>
    </w:p>
    <w:p>
      <w:pPr>
        <w:pStyle w:val="Heading2"/>
        <w:spacing w:after="150" w:before="300" w:line="240"/>
      </w:pPr>
      <w:r>
        <w:rPr>
          <w:rFonts w:ascii="Times New Roman" w:cs="Times New Roman" w:eastAsia="Times New Roman" w:hAnsi="Times New Roman"/>
          <w:b/>
          <w:bCs/>
          <w:i w:val="false"/>
          <w:iCs w:val="false"/>
          <w:sz w:val="25"/>
          <w:szCs w:val="25"/>
        </w:rPr>
        <w:t xml:space="preserve">6.4 Global rate-setting and the competition between fora</w:t>
      </w:r>
    </w:p>
    <w:p>
      <w:pPr>
        <w:pStyle w:val="Heading3"/>
        <w:spacing w:after="150" w:before="300" w:line="240"/>
      </w:pPr>
      <w:r>
        <w:rPr>
          <w:rFonts w:ascii="Times New Roman" w:cs="Times New Roman" w:eastAsia="Times New Roman" w:hAnsi="Times New Roman"/>
          <w:b/>
          <w:bCs/>
          <w:i/>
          <w:iCs/>
          <w:sz w:val="24"/>
          <w:szCs w:val="24"/>
        </w:rPr>
        <w:t xml:space="preserve">6.4.1 The English assertion of competence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consequential divergence in this field concerns the competence of a national court to determine the terms of a worldwide portfolio licence.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United Kingdom Supreme Court held that the English courts possess that competence, derived from the contractual obligation, and that an injunction restraining domestic infringement may be granted unless the implementer enters into the worldwide licence the court has determined. It held that the obligation is a single composite one, that its non-discrimination limb is general rather than hard-edged, and that an injunction rather than damages in lieu was the appropriate remedy, on the ground that confining the proprietor to territorial damages would encourage implementers to hold out.</w:t>
      </w:r>
      <w:r>
        <w:rPr>
          <w:rStyle w:val="FootnoteReference"/>
        </w:rPr>
        <w:footnoteReference w:id="39"/>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Court was explicit that this conclusion would make England an attractive forum, and expressly anticipated that other jurisdictions might follow.</w:t>
      </w:r>
    </w:p>
    <w:p>
      <w:pPr>
        <w:pStyle w:val="Heading3"/>
        <w:spacing w:after="150" w:before="300" w:line="240"/>
      </w:pPr>
      <w:r>
        <w:rPr>
          <w:rFonts w:ascii="Times New Roman" w:cs="Times New Roman" w:eastAsia="Times New Roman" w:hAnsi="Times New Roman"/>
          <w:b/>
          <w:bCs/>
          <w:i/>
          <w:iCs/>
          <w:sz w:val="24"/>
          <w:szCs w:val="24"/>
        </w:rPr>
        <w:t xml:space="preserve">6.4.2 The Chinese assertion of competence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anticipation was fulfilled. In proceedings between OPPO and Nokia, the Chongqing First Intermediate People's Court determined global rates for the fourth- and fifth-generation standards, in a judgment released in December 2023. The rates determined differentiated between territories, with lower rates applying to China and other less developed markets and higher rates to developed markets, and were substantially below the rates the proprietor had sought. The Supreme People's Court had previously rejected the proprietor's objection to the court's jurisdiction, confirming the competence of Chinese courts to determine global terms.</w:t>
      </w:r>
      <w:r>
        <w:rPr>
          <w:rStyle w:val="FootnoteReference"/>
        </w:rPr>
        <w:footnoteReference w:id="40"/>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features of that determination are of particular significance for this dissertation.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the express differentiation of rates by the level of development of the market. That is a direct incorporation of a distributional criterion into the determination of a compliant rate, and it is the clearest instance in the authorities examined of a court treating the development status of the implementer's principal market as a relevant consideration. Whether that is a legitimate application of the obligation or a departure from it is a contested question, and it is examined in relation to India in section 7.6.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methodological, and it is a criticism. The court proceeded substantially by reference to patent counts and, on the available accounts, did not conduct a qualitative assessment of essentiality. For the reasons developed at length in section 2.5.2 and section 4.7.2, a determination resting on declared counts rests on an unreliable input, and the criticism applies with equal force whichever party the resulting figure favours.</w:t>
      </w:r>
    </w:p>
    <w:p>
      <w:pPr>
        <w:pStyle w:val="Heading3"/>
        <w:spacing w:after="150" w:before="300" w:line="240"/>
      </w:pPr>
      <w:r>
        <w:rPr>
          <w:rFonts w:ascii="Times New Roman" w:cs="Times New Roman" w:eastAsia="Times New Roman" w:hAnsi="Times New Roman"/>
          <w:b/>
          <w:bCs/>
          <w:i/>
          <w:iCs/>
          <w:sz w:val="24"/>
          <w:szCs w:val="24"/>
        </w:rPr>
        <w:t xml:space="preserve">6.4.3 The Unified Patent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Unified Patent Court's assertion of competence over multiple member states, examined in section 5.5, adds a third centre of gravity. Its relief is not global, but it extends across a substantial market in a single determination, which materially alters the calculus of parallel litigation.</w:t>
      </w:r>
    </w:p>
    <w:p>
      <w:pPr>
        <w:pStyle w:val="Heading3"/>
        <w:spacing w:after="150" w:before="300" w:line="240"/>
      </w:pPr>
      <w:r>
        <w:rPr>
          <w:rFonts w:ascii="Times New Roman" w:cs="Times New Roman" w:eastAsia="Times New Roman" w:hAnsi="Times New Roman"/>
          <w:b/>
          <w:bCs/>
          <w:i/>
          <w:iCs/>
          <w:sz w:val="24"/>
          <w:szCs w:val="24"/>
        </w:rPr>
        <w:t xml:space="preserve">6.4.4 The resulting competition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cumulative consequence is a competition between fora that has no analogue in other fields of intellectual-property litigation.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Implementers have an incentive to commence declaratory proceedings for the determination of a global rate in a forum expected to determine a lower rate. Proprietors have an incentive to commence infringement proceedings in a forum expected to grant relief quickly and to determine a higher rate. Whichever party succeeds in obtaining a global determination first may, in practice, set the worldwide terms, because a determination once made is difficult for another court to disregard and because the commercial pressure to settle on its basis is considerable.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consequences are three, and each engages the criteria specified in section 2.8.</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allocation of adjudicative authority is determined by procedural speed rather than by any principled connection between the dispute and the forum. That is a failure of institutional legitimacy: the court that determines the worldwide terms is not the court with the strongest claim to do so but the court that reached the question first.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Parallel proceedings multiply cost without generating additional information, since the same portfolio is being valued repeatedly. That is a failure on transaction costs, and its incidence falls most heavily on the party less able to sustain multi-jurisdictional litigation, which is a failure on access to justice and on entry by smaller undertakings.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Predictability is destroyed. A party's exposure depends on where it is sued, which is precisely what a rule-governed system is supposed to prevent.</w:t>
      </w:r>
    </w:p>
    <w:p>
      <w:pPr>
        <w:pStyle w:val="Heading3"/>
        <w:spacing w:after="150" w:before="300" w:line="240"/>
      </w:pPr>
      <w:r>
        <w:rPr>
          <w:rFonts w:ascii="Times New Roman" w:cs="Times New Roman" w:eastAsia="Times New Roman" w:hAnsi="Times New Roman"/>
          <w:b/>
          <w:bCs/>
          <w:i/>
          <w:iCs/>
          <w:sz w:val="24"/>
          <w:szCs w:val="24"/>
        </w:rPr>
        <w:t xml:space="preserve">6.4.5 Assessment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tempting to conclude that global rate-setting by national courts is illegitimate and should cease. That conclusion is resisted here for two reasons.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the practice responds to a real need. Portfolios are global, products are sold globally, and the parties in the great majority of cases want a global licence. A regime in which no court could determine global terms would require either eighty parallel determinations or perpetual bilateral deadlock, and the transaction costs of the former and the hold-out opportunities of the latter are both worse than the present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objection to global rate-setting is not really an objection to its global character but to its unilateral character. A single global determination made by a tribunal whose competence all parties accepted would attract none of the criticisms above. What generates the difficulty is that multiple tribunals assert the competence and none defers.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implication, developed in section 7.7, is that the remedy lies in coordination rather than in retreat: in mechanisms for allocating adjudicative authority, in comity practices that prevent duplicative determination, and ultimately in the availability of a neutral forum whose determinations parties have reason to accept. That is a demanding prescription, but the alternative is a race whose winner is determined by procedural tactics.</w:t>
      </w:r>
    </w:p>
    <w:p>
      <w:pPr>
        <w:pStyle w:val="Heading2"/>
        <w:spacing w:after="150" w:before="300" w:line="240"/>
      </w:pPr>
      <w:r>
        <w:rPr>
          <w:rFonts w:ascii="Times New Roman" w:cs="Times New Roman" w:eastAsia="Times New Roman" w:hAnsi="Times New Roman"/>
          <w:b/>
          <w:bCs/>
          <w:i w:val="false"/>
          <w:iCs w:val="false"/>
          <w:sz w:val="25"/>
          <w:szCs w:val="25"/>
        </w:rPr>
        <w:t xml:space="preserve">6.5 Foreign patents, comity and anti-suit relief</w:t>
      </w:r>
    </w:p>
    <w:p>
      <w:pPr>
        <w:pStyle w:val="Heading3"/>
        <w:spacing w:after="150" w:before="300" w:line="240"/>
      </w:pPr>
      <w:r>
        <w:rPr>
          <w:rFonts w:ascii="Times New Roman" w:cs="Times New Roman" w:eastAsia="Times New Roman" w:hAnsi="Times New Roman"/>
          <w:b/>
          <w:bCs/>
          <w:i/>
          <w:iCs/>
          <w:sz w:val="24"/>
          <w:szCs w:val="24"/>
        </w:rPr>
        <w:t xml:space="preserve">6.5.1 The territoriality problem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Global rate-setting collides with the territoriality of patent rights. The collision is frequently overstated and should be characterised precisely.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court determining a global rate does not adjudicate the validity of foreign patents. Validity remains a matter for the courts of each territory of grant, and the English courts have been careful to say so. What the court does is price a worldwide portfolio, taking account, as a commercial valuer would, of the probability that some proportion of the patents within it would prove invalid or not infringed if tested. That is an exercise in valuation under uncertainty rather than an adjudication of foreign rights.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that remains is nonetheless substantial. A determination that a worldwide licence at a specified rate is compliant has the practical effect, if enforced by a conditional injunction, of requiring the implementer to pay that rate in respect of territories whose courts have made no determination and might have made a different one. The sovereign interest of those territories in the terms on which their national patents are exploited is engaged, even if their courts' jurisdiction over validity is formally untouched.</w:t>
      </w:r>
    </w:p>
    <w:p>
      <w:pPr>
        <w:pStyle w:val="Heading3"/>
        <w:spacing w:after="150" w:before="300" w:line="240"/>
      </w:pPr>
      <w:r>
        <w:rPr>
          <w:rFonts w:ascii="Times New Roman" w:cs="Times New Roman" w:eastAsia="Times New Roman" w:hAnsi="Times New Roman"/>
          <w:b/>
          <w:bCs/>
          <w:i/>
          <w:iCs/>
          <w:sz w:val="24"/>
          <w:szCs w:val="24"/>
        </w:rPr>
        <w:t xml:space="preserve">6.5.2 The escalation of anti-suit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has been an escalating armoury of procedural weapons. Anti-suit injunctions restrain a party from pursuing or continuing proceedings in another jurisdiction. Anti-anti-suit injunctions restrain a party from seeking such relief. Anti-enforcement injunctions restrain the enforcement of a judgment already obtained. Chinese courts have deployed anti-suit relief in support of their rate-setting jurisdiction, and European courts and the Unified Patent Court have responded with measures designed to neutralise it; the Unified Patent Court granted relief of that character in the Netgear proceedings examined in section 5.5.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comity under severe strain. Each forum asserts the primacy of its own determination, and the absence of any allocative mechanism means that the outcome turns on procedural speed and on the parties' respective exposure to each jurisdiction's coercive power. The escalation is self-reinforcing, since each new form of relief invites a counter-measure.</w:t>
      </w:r>
    </w:p>
    <w:p>
      <w:pPr>
        <w:pStyle w:val="Heading3"/>
        <w:spacing w:after="150" w:before="300" w:line="240"/>
      </w:pPr>
      <w:r>
        <w:rPr>
          <w:rFonts w:ascii="Times New Roman" w:cs="Times New Roman" w:eastAsia="Times New Roman" w:hAnsi="Times New Roman"/>
          <w:b/>
          <w:bCs/>
          <w:i/>
          <w:iCs/>
          <w:sz w:val="24"/>
          <w:szCs w:val="24"/>
        </w:rPr>
        <w:t xml:space="preserve">6.5.3 A comity-preserving device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One pragmatic accommodation deserves attention because it points towards a workable practice. In the Optis litigation the English Court of Appeal treated a parallel award obtained in the United States as a floor against which the sum payable under the English global licence would be credited, rather than requiring that the foreign judgment be vacated or disregarded.</w:t>
      </w:r>
      <w:r>
        <w:rPr>
          <w:rStyle w:val="FootnoteReference"/>
        </w:rPr>
        <w:footnoteReference w:id="41"/>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significance of that approach is that it avoids direct confrontation. It neither denies the foreign court's competence nor permits double recovery. It treats the foreign determination as a fact to be accommodated within the global figure rather than as a rival claim to authority.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device is not a general solution. It operates where the foreign determination is monetary and quantifiable, and it does not address the case of competing global rate determinations, where crediting is not available because the two determinations are alternative rather than cumulative. But it establishes that comity-preserving techniques are available to courts willing to use them, and it is a more promising model than the reciprocal escalation of anti-suit relief.</w:t>
      </w:r>
    </w:p>
    <w:p>
      <w:pPr>
        <w:pStyle w:val="Heading2"/>
        <w:spacing w:after="150" w:before="300" w:line="240"/>
      </w:pPr>
      <w:r>
        <w:rPr>
          <w:rFonts w:ascii="Times New Roman" w:cs="Times New Roman" w:eastAsia="Times New Roman" w:hAnsi="Times New Roman"/>
          <w:b/>
          <w:bCs/>
          <w:i w:val="false"/>
          <w:iCs w:val="false"/>
          <w:sz w:val="25"/>
          <w:szCs w:val="25"/>
        </w:rPr>
        <w:t xml:space="preserve">6.6 Valuation: convergence of method, divergence of outcome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sixth functional question a partial convergence is visible. England has preferred comparable-licence analysis, as examined in section 4.6.2. India has expressed a preference for it, as examined in section 7.4. The Chinese determination examined above relied on prior licences concluded by the same proprietor as comparables. The United States authority on rate determination proceeded on a comparable basis.</w:t>
      </w:r>
      <w:r>
        <w:rPr>
          <w:rStyle w:val="FootnoteReference"/>
        </w:rPr>
        <w:footnoteReference w:id="42"/>
      </w:r>
      <w:r>
        <w:rPr>
          <w:rFonts w:ascii="Times New Roman" w:cs="Times New Roman" w:eastAsia="Times New Roman" w:hAnsi="Times New Roman"/>
          <w:b w:val="false"/>
          <w:bCs w:val="false"/>
          <w:i w:val="false"/>
          <w:iCs w:val="false"/>
          <w:sz w:val="24"/>
          <w:szCs w:val="24"/>
        </w:rPr>
        <w:t xml:space="preserve"> Top-down analysis is generally treated as a cross-check rather than as an independent route.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convergence of method has not produced convergence of outcome, and the divergence is not marginal. The English appellate determination in Optis exceeded the first-instance figure by an order of magnitude. The Chinese determination applied expressly development-adjusted rates. The English determinations in InterDigital moved materially on appeal.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pattern is the strongest single piece of evidence for the central claim of this dissertation. If a shared methodology, applied by competent tribunals to substantially similar questions, produces outcomes differing by an order of magnitude, the explanation is not that the tribunals are applying the method badly. It is that the standard the method serves identifies a range rather than a point, and that the width of the range, given confidential and heterogeneous evidence and the contested empirical questions examined in section 4.9, is very considerable.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consequences follow. The search for the methodology that will yield the compliant rate is misconceived, because the underdeterminacy is in the standard rather than in the methods. And the legitimacy of a determination must be assessed procedurally as well as substantively, because a determination cannot be validated by comparison with a correct answer that does not exist.</w:t>
      </w:r>
    </w:p>
    <w:p>
      <w:pPr>
        <w:pStyle w:val="Heading2"/>
        <w:spacing w:after="150" w:before="300" w:line="240"/>
      </w:pPr>
      <w:r>
        <w:rPr>
          <w:rFonts w:ascii="Times New Roman" w:cs="Times New Roman" w:eastAsia="Times New Roman" w:hAnsi="Times New Roman"/>
          <w:b/>
          <w:bCs/>
          <w:i w:val="false"/>
          <w:iCs w:val="false"/>
          <w:sz w:val="25"/>
          <w:szCs w:val="25"/>
        </w:rPr>
        <w:t xml:space="preserve">6.7 The role of competition law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seventh functional question the systems diverge more sharply than on any other, and the divergence is instructive about institutional design rather than merely about doctrine.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the European Union competition law is structuring. The framework governing the availability of injunctive relief is a competition-law framework, and the prohibition on abuse of dominance supplies both the criterion and the remedial consequence.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Germany competition law supplies the formal test, applied with content drawn substantially from contractual reasoning.</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the United States competition law has retreated, for the reasons examined in section 5.8.3, and disputes are channelled towards contract and towards the equitable discretion exercised in relation to injunctive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England competition law is present but subordinate. The analysis proceeds contractually, and competition law operates at the margins.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 China competition law and the licensing obligation operate alongside one another without the sharp separation characteristic of the European approach.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comparative record supports a conclusion about institutional competence that bears directly on the Indian question examined in section 7.5. The systems that have generated the most detailed and workable jurisprudence on the content of the obligation are those in which the determination has been conducted by patent courts applying contract, with competition law reserved for genuine abuse. That is not a coincidence. Determining a compliant royalty requires the procedural apparatus of disclosure, expert evidence and cross-examination that patent litigation supplies and that administrative competition proceedings generally do not. Competition authorities are well equipped to address exclusionary conduct and poorly equipped to value portfolios, and systems that have asked them to do the latter have not obtained useful results.</w:t>
      </w:r>
    </w:p>
    <w:p>
      <w:pPr>
        <w:pStyle w:val="Heading2"/>
        <w:spacing w:after="150" w:before="300" w:line="240"/>
      </w:pPr>
      <w:r>
        <w:rPr>
          <w:rFonts w:ascii="Times New Roman" w:cs="Times New Roman" w:eastAsia="Times New Roman" w:hAnsi="Times New Roman"/>
          <w:b/>
          <w:bCs/>
          <w:i w:val="false"/>
          <w:iCs w:val="false"/>
          <w:sz w:val="25"/>
          <w:szCs w:val="25"/>
        </w:rPr>
        <w:t xml:space="preserve">6.8 Confidentiality and comparable licences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eighth functional question is procedural and receives less attention than it deserves, given that it determines whether the substantive standards examined above can be applied at all.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Comparable-licence analysis requires the production of licences that are confidential and in respect of which obligations are owed to third parties. Every system that has attempted determination has therefore had to construct procedural machinery for handling them, and the machinery adopted materially affects outcomes.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English courts have developed extensive practice in this area, including restricted disclosure regimes limiting access to defined categories of person. The Indian courts have adopted confidentiality clubs, as examined in section 7.5, and the Delhi High Court has made provision for them in its rules. The Chinese determination proceeded on the basis of licences concluded by the proprietor, the terms of which were before the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observations follow.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Disclosure is the precondition of the general reading of the non-discrimination limb. The argument was made in section 3.5.3 and is reinforced here: a limb requiring that terms reflect market value without individual adjustment can be policed only if an implementer can see the terms granted to others, and a system that adopts the general reading without providing for disclosure has adopted the reading's administrability without its safeguard.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design of confidentiality arrangements distributes advantage. A regime that admits only external counsel to the confidential material leaves the implementer's commercial decision-makers unable to evaluate their own case; a regime that admits them risks the misuse of competitors' commercial information. The balance struck is consequential and is frequently treated as a matter of case management rather than of substance.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Third-party interests are engaged and unrepresented. The licensees whose agreements are produced are not parties and have no voice in the determination of the protection afforded to their information, which is a procedural-fairness concern within the criteria specified in section 2.8.</w:t>
      </w:r>
    </w:p>
    <w:p>
      <w:pPr>
        <w:pStyle w:val="Heading2"/>
        <w:spacing w:after="150" w:before="300" w:line="240"/>
      </w:pPr>
      <w:r>
        <w:rPr>
          <w:rFonts w:ascii="Times New Roman" w:cs="Times New Roman" w:eastAsia="Times New Roman" w:hAnsi="Times New Roman"/>
          <w:b/>
          <w:bCs/>
          <w:i w:val="false"/>
          <w:iCs w:val="false"/>
          <w:sz w:val="25"/>
          <w:szCs w:val="25"/>
        </w:rPr>
        <w:t xml:space="preserve">6.9 The public interest in comparative perspective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ninth functional question the systems differ markedly, and the pattern is worth recording because it bears on the argument in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None of the European systems examined treats the public interest as an express criterion in the determination of the obligation. Public-interest considerations enter indirectly: through the competition-law framework, whose ultimate justification is the protection of competition and of consumers; through the equitable discretion exercised in relation to remedies; and through the reasoning about hold-up and hold-out, which is in substance reasoning about systemic effects. But there is no provision corresponding to the Indian statutory principles examined in section 7.3, and no requirement that a court determining terms consider the effect of its determination on access, on domestic industry or on technology transfer.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United States position is similar, with the qualification that the equitable criteria governing injunctive relief expressly include the public interest as a factor, which supplies a doctrinal hook absent from the European systems.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Chinese determination examined in section 6.4.2 is the clearest instance of a distributional consideration entering the substantive determination, through the differentiation of rates by market development.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implication for India is significant and is developed in Chapter 7. India possesses, in the statutory principles governing the working of patents, a textual basis for public-interest reasoning that no comparator examined here possesses. Whether and how that basis should be deployed in the adjudication of this obligation is, on the analysis offered in this dissertation, the most distinctive question Indian law faces in this field, and the one on which it has least to learn from the comparators.</w:t>
      </w:r>
    </w:p>
    <w:p>
      <w:pPr>
        <w:pStyle w:val="Heading2"/>
        <w:spacing w:after="150" w:before="300" w:line="240"/>
      </w:pPr>
      <w:r>
        <w:rPr>
          <w:rFonts w:ascii="Times New Roman" w:cs="Times New Roman" w:eastAsia="Times New Roman" w:hAnsi="Times New Roman"/>
          <w:b/>
          <w:bCs/>
          <w:i w:val="false"/>
          <w:iCs w:val="false"/>
          <w:sz w:val="25"/>
          <w:szCs w:val="25"/>
        </w:rPr>
        <w:t xml:space="preserve">6.9A The comparison in summary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functional comparison conducted in this chapter can be reduced to a matrix. The reduction is offered with a caveat: every cell compresses a body of authority whose nuances are set out in the sections above, and several entries would require qualification in any particular case. The matrix is included because it makes visible a pattern that sequential discussion obscures, namely that the jurisdictions diverge on a small number of questions and converge on the remainder.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60"/>
        <w:gridCol w:w="1124"/>
        <w:gridCol w:w="1124"/>
        <w:gridCol w:w="1124"/>
        <w:gridCol w:w="1124"/>
        <w:gridCol w:w="1124"/>
        <w:gridCol w:w="1126"/>
      </w:tblGrid>
      <w:tr>
        <w:trPr>
          <w:cantSplit/>
          <w:tblHeader/>
        </w:trPr>
        <w:tc>
          <w:tcPr>
            <w:tcW w:type="dxa" w:w="156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Functional question</w:t>
            </w:r>
          </w:p>
        </w:tc>
        <w:tc>
          <w:tcPr>
            <w:tcW w:type="dxa" w:w="1124"/>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UK</w:t>
            </w:r>
          </w:p>
        </w:tc>
        <w:tc>
          <w:tcPr>
            <w:tcW w:type="dxa" w:w="1124"/>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EU</w:t>
            </w:r>
          </w:p>
        </w:tc>
        <w:tc>
          <w:tcPr>
            <w:tcW w:type="dxa" w:w="1124"/>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Germany</w:t>
            </w:r>
          </w:p>
        </w:tc>
        <w:tc>
          <w:tcPr>
            <w:tcW w:type="dxa" w:w="1124"/>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UPC</w:t>
            </w:r>
          </w:p>
        </w:tc>
        <w:tc>
          <w:tcPr>
            <w:tcW w:type="dxa" w:w="1124"/>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US</w:t>
            </w:r>
          </w:p>
        </w:tc>
        <w:tc>
          <w:tcPr>
            <w:tcW w:type="dxa" w:w="1126"/>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16"/>
                <w:szCs w:val="16"/>
              </w:rPr>
              <w:t xml:space="preserve">China</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Source of the obligation</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 (ETSI undertaking)</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 with art 102 overlay</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 with competition overlay</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 (ETSI undertaking)</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 and good faith</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Competition law’s role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Supervisory, secondary</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Central via Huawei v ZTE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Central, as construed at home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Applies Huawei framework</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Retreated after Qualcomm</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Applied by the courts</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Test for injunctive relief</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Conditional on accepting terms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Sequence under Huawei v ZTE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Sequence; demanding willingness test</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Pragmatic application of sequence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Equitable discretion (eBay)</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Conduct of both parties assessed</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Implementer must pre-commit to court terms?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Yes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addressed as such</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In substance yes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 — expressly not required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required in that form</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Jurisdiction to set global terms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Asserted (Unwired Planet)</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asserted at Union level</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asserted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asserted at cutoff</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By agreement; not asserted</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Asserted (OPPO v Nokia)</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Treatment of foreign patents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Priced, not adjudicated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Territorial</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Territorial</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Territorial, UPC states</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Territorial</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Priced, not adjudicated</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Preferred valuation method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Comparables, unpacked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 Union-level rule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 prescribed method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Range/corridor reasoning</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Comparables, apportioned</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Comparables; patent counting</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Non-discrimination</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General, not hard-edged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settled at Union level</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settled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Not settled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Contractual construction</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Differentiated by development</w:t>
            </w:r>
          </w:p>
        </w:tc>
      </w:tr>
      <w:tr>
        <w:trPr>
          <w:cantSplit/>
        </w:trPr>
        <w:tc>
          <w:tcPr>
            <w:tcW w:type="dxa" w:w="156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Anti-suit posture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Interim licence as restraint</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No Union-level instrument</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Anti-anti-suit available</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Anti-anti-suit relief granted</w:t>
            </w:r>
          </w:p>
        </w:tc>
        <w:tc>
          <w:tcPr>
            <w:tcW w:type="dxa" w:w="1124"/>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Available on ordinary principles</w:t>
            </w:r>
          </w:p>
        </w:tc>
        <w:tc>
          <w:tcPr>
            <w:tcW w:type="dxa" w:w="1126"/>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16"/>
                <w:szCs w:val="16"/>
              </w:rPr>
              <w:t xml:space="preserve">Anti-suit relief deployed</w:t>
            </w:r>
          </w:p>
        </w:tc>
      </w:tr>
    </w:tbl>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conventions govern the reading of the matrix, and they matter because a compressed table invites inferences that the underlying authority does not support.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entries describe the position as it stood at the research cutoff date, and they describe it at the level of the institution rather than the individual decision. A cell recording that a jurisdiction has not asserted competence to determine global terms records the absence of such an assertion in the authorities examined; it does not record a holding that the competence is lacking. The distinction is material for the Unified Patent Court, whose column should be read throughout as provisional: the body of decisions is small, several of the decisions were not accessible in full during research, and a court of that constitution may develop its position substantially as its caseload matures.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columns are not of equal kind. Four identify national or supranational court systems; one identifies a treaty-based court operating across a group of states; and the entry for the European Union identifies the position established by the Court of Justice, which binds the courts of member states but is applied by them with variations that the German column illustrates. A reader comparing the German and Union columns is therefore comparing a national construction with the framework it construes, not two independent systems.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Entries recording that a question is not settled should be distinguished from entries recording that it is not addressed. The former indicates that the question has arisen and has not been resolved authoritatively; the latter indicates that it has not arisen in a form requiring decision. Both appear in the matrix, and treating them as equivalent would overstate the extent of live disagreement.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Finally, the matrix records institutional positions and not outcomes. Two jurisdictions with identical entries across every row could nonetheless produce materially different determinations on the same portfolio, for the reasons given at Chapter 6.6. The matrix is a map of how the institutions have allocated decisional authority. It is not a predictor of what any of them would decide.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features of the matrix deserve comment.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the extent of convergence on the source of the obligation. Four of the five jurisdictions treat the licensing commitment as contractual in its primary aspect, with competition law supplying a supervisory function of varying intensity. This is a more settled position than the volume of academic disagreement would suggest, and it is the foundation on which the analysis at Chapter 3.4 rests.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divergences cluster on two questions: whether an implementer must commit in advance to accept terms the court determines, and whether a court may set the terms of a global licence. Those two questions, and not the substantive content of the obligation, generate the forum competition examined at Chapter 6.4 and the anti-suit escalation examined at Chapter 6.5.2. That is an encouraging finding for reform purposes, because it suggests the instability of the present system has a narrow rather than a diffuse cause, and narrow causes admit of targeted remedies.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the position of the Unified Patent Court, which is anomalous in a manner that may prove significant. It has adopted the substantive framework of the Court of Justice while declining both the English requirement of advance commitment and, thus far, the assertion of competence to determine global terms. Whether that position is stable is uncertain: a court with jurisdiction across a substantial economic area, granting injunctions effective in multiple states, may find it difficult to resist the same pressures towards global determination that produced the English and Chinese assertions of competence. The dissertation records the position as it stood at the research cutoff date and does not predict its development, the body of authority being too recent to support prediction.</w:t>
      </w:r>
    </w:p>
    <w:p>
      <w:pPr>
        <w:pStyle w:val="Heading2"/>
        <w:spacing w:after="150" w:before="300" w:line="240"/>
      </w:pPr>
      <w:r>
        <w:rPr>
          <w:rFonts w:ascii="Times New Roman" w:cs="Times New Roman" w:eastAsia="Times New Roman" w:hAnsi="Times New Roman"/>
          <w:b/>
          <w:bCs/>
          <w:i w:val="false"/>
          <w:iCs w:val="false"/>
          <w:sz w:val="25"/>
          <w:szCs w:val="25"/>
        </w:rPr>
        <w:t xml:space="preserve">6.9B What the comparison establishes and what it does not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propositions are established by the comparative material, and they carry forward into Chapters 7 and 8.</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to license on fair, reasonable and non-discriminatory terms is underdeterminate in a demonstrable rather than a merely asserted sense. Courts applying broadly similar methods to overlapping evidence, in proceedings conducted to a high standard with extensive expert assistance, have arrived at determinations differing by a wide margin. It is not tenable, in the face of that record, to maintain that each portfolio has a single compliant rate which careful adjudication will discover.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Territorial fragmentation generates forum competition, and forum competition generates procedural conflict rather than substantive refinement. The escalation of anti-suit and related relief is a competition between courts for the authority to decide, and it is conducted by procedural instruments that have nothing to do with the merits of the underlying valuation. Resources devoted to that competition are resources not devoted to determining what the technology is worth.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Neither the strong-remedy nor the weak-remedy position is vindicated by the comparative record. Jurisdictions that make injunctions readily available have not obviously produced under-compensation of implementers, and jurisdictions that have restrained them have not obviously produced under-compensation of proprietors. The plausible reading is that outcomes are determined less by the formal availability of the remedy than by how willingness is assessed and how quickly terms can be determined, which is an argument for procedural reform rather than for remedial restriction.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propositions are not established, and it is as well to be explicit about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comparison does not establish that any jurisdiction's approach is correct. Each of the divergences identified reflects a defensible institutional judgment about the allocation of decisional authority, and a reader weighting predictability above accuracy, or national competence above transaction-cost reduction, could reasonably prefer a different configuration from the one recommended at Chapter 7.7.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Nor does the comparison establish the economic consequences of the divergences. What royalties are actually paid, whether aggregate burdens have risen or fallen as the jurisprudence has developed, and whether any of it has affected the rate of technological contribution are questions the available evidence cannot answer, for the reasons given at Chapter 4.9.4. The comparison establishes how the institutions behave. It does not establish what their behaviour has cost or saved.</w:t>
      </w:r>
    </w:p>
    <w:p>
      <w:pPr>
        <w:pStyle w:val="Heading2"/>
        <w:spacing w:after="150" w:before="300" w:line="240"/>
      </w:pPr>
      <w:r>
        <w:rPr>
          <w:rFonts w:ascii="Times New Roman" w:cs="Times New Roman" w:eastAsia="Times New Roman" w:hAnsi="Times New Roman"/>
          <w:b/>
          <w:bCs/>
          <w:i w:val="false"/>
          <w:iCs w:val="false"/>
          <w:sz w:val="25"/>
          <w:szCs w:val="25"/>
        </w:rPr>
        <w:t xml:space="preserve">6.10 The international framework and the limits of harmonisation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competition between fora documented in section 6.4 invites the question whether international law supplies any allocative principle, and whether harmonisation is available as a remedy. This section examines both and answers each in the negative, which is why the framework in Chapter 7 addresses the problem through comity practice and neutral machinery rather than through treaty reform.</w:t>
      </w:r>
    </w:p>
    <w:p>
      <w:pPr>
        <w:pStyle w:val="Heading3"/>
        <w:spacing w:after="150" w:before="300" w:line="240"/>
      </w:pPr>
      <w:r>
        <w:rPr>
          <w:rFonts w:ascii="Times New Roman" w:cs="Times New Roman" w:eastAsia="Times New Roman" w:hAnsi="Times New Roman"/>
          <w:b/>
          <w:bCs/>
          <w:i/>
          <w:iCs/>
          <w:sz w:val="24"/>
          <w:szCs w:val="24"/>
        </w:rPr>
        <w:t xml:space="preserve">6.10.1 What the international intellectual-property framework provides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Agreement on Trade-Related Aspects of Intellectual Property Rights establishes minimum standards of protection binding on members of the World Trade Organization, and several of its provisions bear on the questions examined in this dissertation, though none addresses them directly.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Article 7 states the objectives of the Agreement, providing that the protection and enforcement of intellectual-property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 Article 8 recognises the entitlement of members to adopt measures necessary to protect public health and nutrition and to promote the public interest in sectors of vital importance to socio-economic and technological development, and to adopt appropriate measures to prevent the abuse of intellectual-property rights and practices that unreasonably restrain trade or adversely affect the international transfer of technology. Article 30 permits limited exceptions to the exclusive rights conferred by a patent. Article 31 provides for other use without the authorisation of the right holder, subject to the conditions it specifies. Article 40 addresses the control of anti-competitive practices in contractual licences.</w:t>
      </w:r>
      <w:r>
        <w:rPr>
          <w:rStyle w:val="FootnoteReference"/>
        </w:rPr>
        <w:footnoteReference w:id="43"/>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relationship between these provisions and Indian law is worth stating precisely, because it is frequently overstated in both directions. The public-interest principles in section 83 of the Patents Act, examined in section 7.3.1, are closely aligned in their language with the objectives stated in article 7 and with the entitlements recognised in article 8, and that alignment is a reason for confidence that the deployment of those principles in the manner recommended in section 7.7.10 is consistent with India's international obligations. It does not follow that article 7 or article 8 confers any positive entitlement on which a litigant could rely, nor that they supply a standard by which the licensing obligation examined in Chapter 3 is to be construed. They are provisions about the objectives and permitted policy space of the Agreement, not sources of substantive licensing rules.</w:t>
      </w:r>
    </w:p>
    <w:p>
      <w:pPr>
        <w:pStyle w:val="Heading3"/>
        <w:spacing w:after="150" w:before="300" w:line="240"/>
      </w:pPr>
      <w:r>
        <w:rPr>
          <w:rFonts w:ascii="Times New Roman" w:cs="Times New Roman" w:eastAsia="Times New Roman" w:hAnsi="Times New Roman"/>
          <w:b/>
          <w:bCs/>
          <w:i/>
          <w:iCs/>
          <w:sz w:val="24"/>
          <w:szCs w:val="24"/>
        </w:rPr>
        <w:t xml:space="preserve">6.10.2 What it does not provide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Agreement is silent on every question that generates the difficulties examined in this chapter. It says nothing about standardisation, nothing about essential patents, nothing about commitments to license on particular terms, nothing about the methodology by which royalties should be determined, and nothing about the allocation of adjudicative authority where the courts of several members assert competence over the same global portfolio.</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silence is not an oversight. The Agreement was concluded before the questions arose in their present form, and it operates by establishing minimum standards of protection rather than by regulating the terms on which protected rights are exploited. Nor is there any other multilateral instrument that fills the gap. The international organisations with competence in the adjacent fields, including the World Intellectual Property Organization in relation to intellectual property and dispute resolution and the International Telecommunication Union in relation to telecommunications standardisation, have roles that are respectively facilitative and technical. Neither has authority to allocate adjudicative jurisdiction among national courts, and neither has been given a mandate to determine licensing terms.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consequence is that the competition between fora documented in section 6.4 is not a departure from an international allocative rule. It is the predictable result of there being no such rule.</w:t>
      </w:r>
    </w:p>
    <w:p>
      <w:pPr>
        <w:pStyle w:val="Heading3"/>
        <w:spacing w:after="150" w:before="300" w:line="240"/>
      </w:pPr>
      <w:r>
        <w:rPr>
          <w:rFonts w:ascii="Times New Roman" w:cs="Times New Roman" w:eastAsia="Times New Roman" w:hAnsi="Times New Roman"/>
          <w:b/>
          <w:bCs/>
          <w:i/>
          <w:iCs/>
          <w:sz w:val="24"/>
          <w:szCs w:val="24"/>
        </w:rPr>
        <w:t xml:space="preserve">6.10.3 Why substantive harmonisation is unavailable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sometimes suggested that the remedy is a multilateral instrument establishing common substantive rules for the licensing of essential patents. Three objections make that unrealistic and, on the analysis of this dissertation, undesirable.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the substantive question is distributive. A common rule as to the royalty base, or as to the availability of injunctive relief, would allocate very large sums between undertakings located predominantly in different economies. The economies whose undertakings are net contributors and those whose undertakings are net implementers have opposed interests in the outcome, and the negotiation of a common rule would be a negotiation about that allocation conducted without any shared criterion for resolving it. The episode examined in section 3.6, in which a single standards body attempted a far more modest prescription and could not sustain it against the resistance of its own members, is instructive about the prospects of a multilateral equivalent.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the underdeterminacy established in Chapter 4 means that any common substantive rule would be a choice among defensible outcomes rather than the identification of a correct one. A rule mandating a particular royalty base would not resolve a technical question; it would select a distributive outcome and remove it from adjudication. That may be a defensible thing for a legislature to do within its own jurisdiction, but it is a weak basis for a multilateral commitment.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the sectoral conclusion reached in section 4.10. A rule appropriate to handsets is not appropriate to low-cost connected devices, and a multilateral instrument sufficiently detailed to accommodate that variation would be very difficult to negotiate and would rapidly be overtaken by technological change.</w:t>
      </w:r>
    </w:p>
    <w:p>
      <w:pPr>
        <w:pStyle w:val="Heading3"/>
        <w:spacing w:after="150" w:before="300" w:line="240"/>
      </w:pPr>
      <w:r>
        <w:rPr>
          <w:rFonts w:ascii="Times New Roman" w:cs="Times New Roman" w:eastAsia="Times New Roman" w:hAnsi="Times New Roman"/>
          <w:b/>
          <w:bCs/>
          <w:i/>
          <w:iCs/>
          <w:sz w:val="24"/>
          <w:szCs w:val="24"/>
        </w:rPr>
        <w:t xml:space="preserve">6.10.4 What coordination is available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absence of substantive harmonisation does not entail the absence of coordination, and the distinction matters because the problems identified in section 6.4 are coordination problems rather than substantive ones.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forms of coordination are available without any new multilateral instrument.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comity practice developed by courts themselves. The crediting technique examined in section 6.5.3, by which a court determining global terms treats a parallel foreign award as a floor to be credited rather than as a rival claim to authority, requires no treaty and no legislation. It requires only that courts be willing to accommodate one another's determinations rather than to neutralise them. A reciprocal practice of that kind, developed case by case, would address a substantial part of the present difficulty, and its development is within the power of the courts that have created the problem.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procedural restraint in the use of anti-suit relief. The escalation documented in section 6.5.2 is self-reinforcing precisely because each measure invites a counter-measure, and it could be arrested by a reciprocal practice of confining such relief to cases of genuine abuse rather than deploying it to secure priority. The difficulty, acknowledged in section 7.7.9, is that unilateral restraint may be exploited.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the development of neutral machinery for the determination of global terms, whether arbitral or by expert determination, whose outcomes parties have reason to accept. This is the only mechanism capable of addressing the allocation problem at its source, because it removes the question from the competing national fora altogether. Its obstacle is not institutional design, since the design questions are tractable and the relevant arbitral institutions exist, but incentive: parties who disagree about value also disagree about the forum, and a party that expects a favourable determination in a national court has no reason to submit to a neutral one. Section 8.8 identifies as a research question what conditions would make submission rational for both sides, and that question, rather than the drafting of a substantive instrument, is where the international effort in this field is most likely to be productive.</w:t>
      </w:r>
    </w:p>
    <w:p>
      <w:pPr>
        <w:pStyle w:val="Heading2"/>
        <w:spacing w:after="150" w:before="300" w:line="240"/>
      </w:pPr>
      <w:r>
        <w:rPr>
          <w:rFonts w:ascii="Times New Roman" w:cs="Times New Roman" w:eastAsia="Times New Roman" w:hAnsi="Times New Roman"/>
          <w:b/>
          <w:bCs/>
          <w:i w:val="false"/>
          <w:iCs w:val="false"/>
          <w:sz w:val="25"/>
          <w:szCs w:val="25"/>
        </w:rPr>
        <w:t xml:space="preserve">6.11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five systems examined apply the same underlying obligation and reach materially different results. The divergence is located in remedial tradition, institutional structure and procedural culture rather than in the obligation itself, which is a reason for scepticism about proposals to resolve it by clarifying the obligation.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systems have converged on willingness as the criterion governing injunctive relief and diverged on whether it requires an advance commitment to judicial determination, producing a fault line within Europe between fora whose relief covers overlapping territory. That disagreement is best understood as a symptom of the informational deficit examined in Chapter 3 rather than as an independent doctrinal dispute.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centres of global or multi-territorial rate-setting now exist, in England, in China and, for the participating member states, in the Unified Patent Court. The resulting competition allocates adjudicative authority by procedural speed, multiplies cost, destroys predictability and has generated an escalating exchange of anti-suit relief. The objection to this state of affairs is not to the global character of the determinations, which responds to a real commercial need, but to their unilateral character, and the remedy accordingly lies in coordination rather than in retreat.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Methodological convergence on comparable-licence analysis has not produced convergence of outcome, and the resulting divergence is the strongest evidence available that the standard identifies a range rather than a point. Competition law's role varies from structuring to residual, and the comparative record supports its residual characterisation. And the public interest enters these systems only indirectly, which distinguishes them from the Indian regime to which the dissertation now turns.</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7: India, Development and a Layered Public-Interest Governance Framework</w:t>
      </w:r>
    </w:p>
    <w:p>
      <w:pPr>
        <w:pStyle w:val="Heading2"/>
        <w:spacing w:after="150" w:before="300" w:line="240"/>
      </w:pPr>
      <w:r>
        <w:rPr>
          <w:rFonts w:ascii="Times New Roman" w:cs="Times New Roman" w:eastAsia="Times New Roman" w:hAnsi="Times New Roman"/>
          <w:b/>
          <w:bCs/>
          <w:i w:val="false"/>
          <w:iCs w:val="false"/>
          <w:sz w:val="25"/>
          <w:szCs w:val="25"/>
        </w:rPr>
        <w:t xml:space="preserve">7.1 India's structural position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 occupies a position in this field that no comparator examined in Chapter 6 shares, and the combination of features that constitutes that position is what makes it an instructive site for the evaluation undertaken here.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one of the largest implementer markets in the world, so that the terms on which standardised technology is licensed into India affect a very large number of transactions and a very large population of users. It is a growing contributor to standardisation, so that a regime designed solely to protect implementers would in time disadvantage its own undertakings. It has a domestic manufacturing sector that successive administrations have sought to expand, and whose undertakings are characteristically downstream, without substantial patent portfolios and therefore without the cross-licensing leverage described in section 4.2.4. It has a patent statute containing express public-interest principles of a kind absent from the patent law of the United Kingdom, Germany or the United States. And it has, in the past decade, developed specialist judicial capacity in intellectual property while simultaneously failing to resolve a fundamental question about which of its institutions is competent to supervise licensing conduct.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 is accordingly both a recipient of transnational norms developed elsewhere and a jurisdiction with a statutory developmental mandate that those norms do not reflect. The governance question this chapter addresses is how that mandate should be given effect without either expropriating contributors or isolating India from the licensing arrangements on which its own industry depends.</w:t>
      </w:r>
    </w:p>
    <w:p>
      <w:pPr>
        <w:pStyle w:val="Heading2"/>
        <w:spacing w:after="150" w:before="300" w:line="240"/>
      </w:pPr>
      <w:r>
        <w:rPr>
          <w:rFonts w:ascii="Times New Roman" w:cs="Times New Roman" w:eastAsia="Times New Roman" w:hAnsi="Times New Roman"/>
          <w:b/>
          <w:bCs/>
          <w:i w:val="false"/>
          <w:iCs w:val="false"/>
          <w:sz w:val="25"/>
          <w:szCs w:val="25"/>
        </w:rPr>
        <w:t xml:space="preserve">7.2 The transferability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Before examining Indian law it is necessary to state the question that examination is intended to answer, because the answer is not obvious and the question is frequently begged.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doctrines examined in Chapters 5 and 6 were developed in disputes between technologically advanced contributors and sophisticated implementers, litigated in well-resourced fora, in an industry characterised by repeat participation and mutual patent holdings. The question is whether those doctrines, transplanted into a jurisdiction whose implementer population is differently constituted, produce the outcomes they were designed to produce.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There is reason to think they do not, and the reason is structural rather than ideological. Three of the central doctrines depend on assumptions about the parties that do not hold generally in India.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willingness doctrine examined in section 5.4 assumes an implementer capable of evaluating an offer sufficiently to decide whether to commit to it. An undertaking without patent expertise cannot make that evaluation, and a standard that treats its hesitation as unwillingness penalises a deficit of capacity rather than a want of good faith.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comparable-licence methodology examined in section 4.6 assumes access to comparable transactions. An implementer that has never licensed before and cannot see the licences granted to others has no basis on which to contest the proprietor's characterisation of the market.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remedial framework examined in section 5.7 assumes a party able to fund a contested determination. The costs of such a determination exceed the means of most Indian implementers.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None of these observations is an argument for lower royalties in India. They are arguments about the conditions under which the doctrines operate as designed, and they indicate that the doctrines require adaptation rather than either wholesale adoption or wholesale rejection. That is the position from which the framework in section 7.7 proceeds.</w:t>
      </w:r>
    </w:p>
    <w:p>
      <w:pPr>
        <w:pStyle w:val="Heading2"/>
        <w:spacing w:after="150" w:before="300" w:line="240"/>
      </w:pPr>
      <w:r>
        <w:rPr>
          <w:rFonts w:ascii="Times New Roman" w:cs="Times New Roman" w:eastAsia="Times New Roman" w:hAnsi="Times New Roman"/>
          <w:b/>
          <w:bCs/>
          <w:i w:val="false"/>
          <w:iCs w:val="false"/>
          <w:sz w:val="25"/>
          <w:szCs w:val="25"/>
        </w:rPr>
        <w:t xml:space="preserve">7.3 The statutory architecture: a patent code with express public-interest principles</w:t>
      </w:r>
    </w:p>
    <w:p>
      <w:pPr>
        <w:pStyle w:val="Heading3"/>
        <w:spacing w:after="150" w:before="300" w:line="240"/>
      </w:pPr>
      <w:r>
        <w:rPr>
          <w:rFonts w:ascii="Times New Roman" w:cs="Times New Roman" w:eastAsia="Times New Roman" w:hAnsi="Times New Roman"/>
          <w:b/>
          <w:bCs/>
          <w:i/>
          <w:iCs/>
          <w:sz w:val="24"/>
          <w:szCs w:val="24"/>
        </w:rPr>
        <w:t xml:space="preserve">7.3.1 Section 83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distinctive feature of Indian patent law for present purposes is that its public-interest content is textual rather than inferred. Section 83 of the Patents Act 1970 lays down general principles applicable to the working of patented inventions. It provides, among other things, that patents are granted to encourage inventions and to secure that inventions are worked in India on a commercial scale to the fullest extent reasonably practicable and without undue delay; that the protection and enforcement of patent rights should contribute to the promotion of technological innovation and to the transfer and dissemination of technology to the mutual advantage of producers and users of technological knowledge and in a manner conducive to social and economic welfare and to a balance of rights and obligations; that patents should not impede the protection of public health and nutrition and should act as an instrument to promote public interest; and that the benefit of the patented invention should be available at reasonably affordable prices to the public.</w:t>
      </w:r>
      <w:r>
        <w:rPr>
          <w:rStyle w:val="FootnoteReference"/>
        </w:rPr>
        <w:footnoteReference w:id="44"/>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observations about the character of this provision are necessary before its use is considered.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its legal effect. Section 83 states principles to be borne in mind rather than operative prohibitions, and it is located in the chapter concerned with the working of patents and compulsory licensing. It is not, on its face, a provision that of itself creates rights or defences in infringement proceedings. Any argument that it constrains the remedies available in such proceedings must therefore be made through the general remedial discretion of the court, informed by the statutory principles, rather than as a direct application of the section. That is a narrower foundation than the provision's language might suggest, and the analysis in this dissertation does not overstate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concerns its content. The principles are plural and they conflict. The same section that requires affordability requires the encouragement of invention; the same section that requires technology transfer requires a balance of rights and obligations. Section 83 does not therefore supply an answer to the question how essential patents should be licensed. What it supplies is a warrant for asking the question, and a statutory vocabulary in which the answer must be expressed. That is a significant thing for a patent statute to supply, and no comparator examined in Chapter 6 supplies it.</w:t>
      </w:r>
    </w:p>
    <w:p>
      <w:pPr>
        <w:pStyle w:val="Heading3"/>
        <w:spacing w:after="150" w:before="300" w:line="240"/>
      </w:pPr>
      <w:r>
        <w:rPr>
          <w:rFonts w:ascii="Times New Roman" w:cs="Times New Roman" w:eastAsia="Times New Roman" w:hAnsi="Times New Roman"/>
          <w:b/>
          <w:bCs/>
          <w:i/>
          <w:iCs/>
          <w:sz w:val="24"/>
          <w:szCs w:val="24"/>
        </w:rPr>
        <w:t xml:space="preserve">7.3.2 Compulsory licensing and restrictive conditions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further provisions bear on the analysis. Section 84 provides for the grant of compulsory licences on application after the expiry of a specified period from grant, on grounds including that the reasonable requirements of the public with respect to the patented invention have not been satisfied, that the patented invention is not available to the public at a reasonably affordable price, and that the patented invention is not worked in the territory of India.</w:t>
      </w:r>
      <w:r>
        <w:rPr>
          <w:rStyle w:val="FootnoteReference"/>
        </w:rPr>
        <w:footnoteReference w:id="45"/>
      </w:r>
      <w:r>
        <w:rPr>
          <w:rFonts w:ascii="Times New Roman" w:cs="Times New Roman" w:eastAsia="Times New Roman" w:hAnsi="Times New Roman"/>
          <w:b w:val="false"/>
          <w:bCs w:val="false"/>
          <w:i w:val="false"/>
          <w:iCs w:val="false"/>
          <w:sz w:val="24"/>
          <w:szCs w:val="24"/>
        </w:rPr>
        <w:t xml:space="preserve"> Section 90 governs the terms and conditions of such licences.</w:t>
      </w:r>
      <w:r>
        <w:rPr>
          <w:rStyle w:val="FootnoteReference"/>
        </w:rPr>
        <w:footnoteReference w:id="46"/>
      </w:r>
      <w:r>
        <w:rPr>
          <w:rFonts w:ascii="Times New Roman" w:cs="Times New Roman" w:eastAsia="Times New Roman" w:hAnsi="Times New Roman"/>
          <w:b w:val="false"/>
          <w:bCs w:val="false"/>
          <w:i w:val="false"/>
          <w:iCs w:val="false"/>
          <w:sz w:val="24"/>
          <w:szCs w:val="24"/>
        </w:rPr>
        <w:t xml:space="preserve"> Section 140 renders void certain restrictive conditions in agreements relating to the sale or lease of patented articles or to licences to work patented inventions.</w:t>
      </w:r>
      <w:r>
        <w:rPr>
          <w:rStyle w:val="FootnoteReference"/>
        </w:rPr>
        <w:footnoteReference w:id="47"/>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relevance of compulsory licensing to essential patents requires careful statement. It is not an ordinary instrument for the regulation of licensing terms, and it should not be presented as one. The grounds are demanding, the procedure is administrative and slow, and the remedy addresses the individual applicant rather than the market. Its relevance is as a backstop whose existence affects negotiation: a proprietor whose terms are so unreasonable as to render the invention unavailable at a reasonably affordable price is exposed to an application, and the availability of that exposure is a constraint even where it is not invoked. Overstating its role would be a doctrinal error; ignoring it would miss a structural feature of Indian law that the comparators lack.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140 is potentially of greater practical significance and has received less attention. Provisions rendering void restrictive conditions in patent licences bear directly on several of the architectural questions examined in Chapter 4, including grant-backs, tying of non-essential rights and restrictions on the licensee's dealings. Whether and how the section applies to the standard terms of portfolio licences in this field is a question on which the Indian authorities examined below do not provide a clear answer, and it merits attention in the reform discussion in section 7.7.</w:t>
      </w:r>
    </w:p>
    <w:p>
      <w:pPr>
        <w:pStyle w:val="Heading3"/>
        <w:spacing w:after="150" w:before="300" w:line="240"/>
      </w:pPr>
      <w:r>
        <w:rPr>
          <w:rFonts w:ascii="Times New Roman" w:cs="Times New Roman" w:eastAsia="Times New Roman" w:hAnsi="Times New Roman"/>
          <w:b/>
          <w:bCs/>
          <w:i/>
          <w:iCs/>
          <w:sz w:val="24"/>
          <w:szCs w:val="24"/>
        </w:rPr>
        <w:t xml:space="preserve">7.3.3 Exhaustion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107A(b), examined in section 4.4.2, provides a comparatively broad parallel-import and exhaustion defence, requiring authorisation under the law rather than authorisation by the patentee.</w:t>
      </w:r>
      <w:r>
        <w:rPr>
          <w:rStyle w:val="FootnoteReference"/>
        </w:rPr>
        <w:footnoteReference w:id="48"/>
      </w:r>
      <w:r>
        <w:rPr>
          <w:rFonts w:ascii="Times New Roman" w:cs="Times New Roman" w:eastAsia="Times New Roman" w:hAnsi="Times New Roman"/>
          <w:b w:val="false"/>
          <w:bCs w:val="false"/>
          <w:i w:val="false"/>
          <w:iCs w:val="false"/>
          <w:sz w:val="24"/>
          <w:szCs w:val="24"/>
        </w:rPr>
        <w:t xml:space="preserve"> Its significance in this field was demonstrated in the appellate decision examined in section 7.4.3, and its structural importance is that it affords protection to downstream manufacturers sourcing compliant components, which is the constituency most exposed under the end-product licensing model examined in section 4.3.</w:t>
      </w:r>
    </w:p>
    <w:p>
      <w:pPr>
        <w:pStyle w:val="Heading2"/>
        <w:spacing w:after="150" w:before="300" w:line="240"/>
      </w:pPr>
      <w:r>
        <w:rPr>
          <w:rFonts w:ascii="Times New Roman" w:cs="Times New Roman" w:eastAsia="Times New Roman" w:hAnsi="Times New Roman"/>
          <w:b/>
          <w:bCs/>
          <w:i w:val="false"/>
          <w:iCs w:val="false"/>
          <w:sz w:val="25"/>
          <w:szCs w:val="25"/>
        </w:rPr>
        <w:t xml:space="preserve">7.4 The Indian jurisprudence</w:t>
      </w:r>
    </w:p>
    <w:p>
      <w:pPr>
        <w:pStyle w:val="Heading3"/>
        <w:spacing w:after="150" w:before="300" w:line="240"/>
      </w:pPr>
      <w:r>
        <w:rPr>
          <w:rFonts w:ascii="Times New Roman" w:cs="Times New Roman" w:eastAsia="Times New Roman" w:hAnsi="Times New Roman"/>
          <w:b/>
          <w:bCs/>
          <w:i/>
          <w:iCs/>
          <w:sz w:val="24"/>
          <w:szCs w:val="24"/>
        </w:rPr>
        <w:t xml:space="preserve">7.4.1 The early litigation and interim practice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Indian case law in this field developed initially through the litigation brought by Telefonaktiebolaget LM Ericsson against a succession of domestic implementers, including Micromax, Intex and Lava, from the early 2010s onwards. The characteristic pattern of that litigation was the grant of interim relief conditional on the deposit of sums by way of security or interim royalty pending trial, rather than either an unconditional injunction or a refusal of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practice deserves more attention than it has received, and it is treated in this dissertation as a genuine Indian contribution rather than as a makeshift. The conditional interim deposit addresses precisely the structural problem identified in section 5.7.1: it removes the free-option element of continued use pending determination, so that the implementer cannot obtain an interest-free period of unlicensed implementation, while withholding from the proprietor the coercive leverage that exclusion from the market would confer. It is, in the terms of section 4.9.6, a symmetrical instrument, and it was developed by Indian courts before comparable devices attracted attention elsewhere.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limitations should also be recorded. The quantification of the deposit at an interim stage is necessarily rough, and an interim figure set too high replicates the coercive effect it was intended to avoid while an interim figure set too low fails to remove the option. The practice also requires the court to form a preliminary view of essentiality and validity at a stage when the evidence is incomplete.</w:t>
      </w:r>
    </w:p>
    <w:p>
      <w:pPr>
        <w:pStyle w:val="Heading3"/>
        <w:spacing w:after="150" w:before="300" w:line="240"/>
      </w:pPr>
      <w:r>
        <w:rPr>
          <w:rFonts w:ascii="Times New Roman" w:cs="Times New Roman" w:eastAsia="Times New Roman" w:hAnsi="Times New Roman"/>
          <w:b/>
          <w:bCs/>
          <w:i/>
          <w:iCs/>
          <w:sz w:val="24"/>
          <w:szCs w:val="24"/>
        </w:rPr>
        <w:t xml:space="preserve">7.4.2 The Lava determination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substantial Indian determination to date is the judgment of the Delhi High Court in the proceedings between Lava International and Ericsson, delivered in March 2024. The court found the implementer liable in respect of a number of patents relating to second- and third-generation technologies, awarded damages of a substantial sum with interest, expressed a preference for the comparable-licence approach over top-down analysis, and computed the royalty by reference to the net selling price of the end device rather than a component base.</w:t>
      </w:r>
      <w:r>
        <w:rPr>
          <w:rStyle w:val="FootnoteReference"/>
        </w:rPr>
        <w:footnoteReference w:id="49"/>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judgment's significance is threefold.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is the first post-trial determination of a compliant rate in a cellular case in India, and it therefore establishes that the Indian courts will undertake the exercise rather than confining themselves to interim relief and leaving valuation to negotiation.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methodological preference aligns India with the convergence documented in section 6.6. That alignment is defensible on the grounds examined in section 4.6, and it has the practical advantage of rendering Indian determinations intelligible to parties accustomed to the English approach.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adoption of the net selling price of the end device as the base aligns India with the proprietor-favouring side of the dispute examined in section 4.8.1. That is a consequential choice for the reasons developed there and in section 7.6, and it is the aspect of the judgment most open to criticism from a developmental perspective.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cautions are essential. The judgment is a first-instance decision of a single High Court. Its appellate status requires confirmation, and it should not be treated as having settled the law of India. And the propositions attributed to it here rest on corroborated secondary accounts rather than on the full primary text, a limitation recorded in Appendix E.</w:t>
      </w:r>
    </w:p>
    <w:p>
      <w:pPr>
        <w:pStyle w:val="Heading3"/>
        <w:spacing w:after="150" w:before="300" w:line="240"/>
      </w:pPr>
      <w:r>
        <w:rPr>
          <w:rFonts w:ascii="Times New Roman" w:cs="Times New Roman" w:eastAsia="Times New Roman" w:hAnsi="Times New Roman"/>
          <w:b/>
          <w:bCs/>
          <w:i/>
          <w:iCs/>
          <w:sz w:val="24"/>
          <w:szCs w:val="24"/>
        </w:rPr>
        <w:t xml:space="preserve">7.4.3 The Philips appeal and the discipline of proof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most significant recent development runs in the opposite direction, and it is of considerable doctrinal interest.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India's first post-trial judgment in this field had been the decision of a single judge of the Delhi High Court in 2018, finding essentiality and infringement of a patent relating to digital-versatile-disc decoding and awarding royalties together with punitive damages against small domestic manufacturers. In May 2026 a Division Bench of the same court reversed that decision.</w:t>
      </w:r>
      <w:r>
        <w:rPr>
          <w:rStyle w:val="FootnoteReference"/>
        </w:rPr>
        <w:footnoteReference w:id="50"/>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grounds of reversal, as reported, constitute a coherent set of evidentiary and substantive disciplines.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essentiality, the court held that it had not been proved, the proprietor having produced no claim charts mapping the patent claims to the specification. That holding gives effect to a requirement in the Delhi High Court's rules governing patent suits, which provide for the filing of claim charts in such proceedings.</w:t>
      </w:r>
      <w:r>
        <w:rPr>
          <w:rStyle w:val="FootnoteReference"/>
        </w:rPr>
        <w:footnoteReference w:id="51"/>
      </w:r>
      <w:r>
        <w:rPr>
          <w:rFonts w:ascii="Times New Roman" w:cs="Times New Roman" w:eastAsia="Times New Roman" w:hAnsi="Times New Roman"/>
          <w:b w:val="false"/>
          <w:bCs w:val="false"/>
          <w:i w:val="false"/>
          <w:iCs w:val="false"/>
          <w:sz w:val="24"/>
          <w:szCs w:val="24"/>
        </w:rPr>
        <w:t xml:space="preserve"> Its importance is that it converts essentiality from an assumption into a matter requiring proof by the party asserting it, which is the single most important evidentiary reform available in this field and which addresses directly the transparency deficit examined in section 3.3.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evidence, the court held that foreign essentiality certificates were inadmissible as expert evidence in the absence of testimony from a witness of the certifying body, applying the provision of the Indian Evidence Act governing the opinions of experts.</w:t>
      </w:r>
      <w:r>
        <w:rPr>
          <w:rStyle w:val="FootnoteReference"/>
        </w:rPr>
        <w:footnoteReference w:id="52"/>
      </w:r>
      <w:r>
        <w:rPr>
          <w:rFonts w:ascii="Times New Roman" w:cs="Times New Roman" w:eastAsia="Times New Roman" w:hAnsi="Times New Roman"/>
          <w:b w:val="false"/>
          <w:bCs w:val="false"/>
          <w:i w:val="false"/>
          <w:iCs w:val="false"/>
          <w:sz w:val="24"/>
          <w:szCs w:val="24"/>
        </w:rPr>
        <w:t xml:space="preserve"> That holding has the practical consequence that a proprietor wishing to establish essentiality in India must do so through evidence tested in the Indian proceedings rather than by producing determinations made elsewhere.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infringement, the court held that it had not been established on either the route of mapping the standard or the route of comparing the product directly against the claims, thereby insisting on the distinction between essentiality and infringement identified in section 2.5.1.</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exhaustion, the court held that the patent was exhausted under section 107A(b) because the manufacturers had sourced compliant components from sellers legally authorised to sell them, and that the seller need not have been a licensee of the proprietor.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burden in relation to the licensing obligation, the court held that it lay on the proprietor, which had failed to disclose its comparable licences, and drew an adverse inference from that failure.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On the royalty base, the court held that the base must correspond to the scope of the claim rather than to the value of the whole product.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punitive award was set aside.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decision is, on this account, a landmark in the evidentiary discipline of this field, and its orientation is distinctly protective of small downstream manufacturers. Three features of it warrant particular emphasis in the framework developed below. The insistence on claim charts is a disclosure requirement imposed through procedure rather than through substantive law, and it demonstrates that the transparency deficit can be addressed at the point of adjudication even where it has not been addressed at the point of declaration. The adverse inference drawn from non-disclosure of comparables is the procedural counterpart of the argument made in section 3.5.3: it places on the proprietor the consequence of withholding the information without which the obligation cannot be assessed. And the alignment of the royalty base with claim scope is a judicial adoption of the apportionment principle examined in section 4.8.1, in apparent tension with the approach to the base taken in the Lava determination.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That tension should be acknowledged rather than smoothed over. Two decisions of the same High Court, delivered approximately two years apart, have taken materially different approaches to the royalty base in cases concerning different technologies and very differently situated defendants. Whether they can be reconciled on the basis of those differences, or whether the law of India is presently unsettled on the point, cannot be determined without access to the full texts and without knowledge of the appellate outcomes. The honest conclusion is that the point is open.</w:t>
      </w:r>
    </w:p>
    <w:p>
      <w:pPr>
        <w:pStyle w:val="Heading2"/>
        <w:spacing w:after="150" w:before="300" w:line="240"/>
      </w:pPr>
      <w:r>
        <w:rPr>
          <w:rFonts w:ascii="Times New Roman" w:cs="Times New Roman" w:eastAsia="Times New Roman" w:hAnsi="Times New Roman"/>
          <w:b/>
          <w:bCs/>
          <w:i w:val="false"/>
          <w:iCs w:val="false"/>
          <w:sz w:val="25"/>
          <w:szCs w:val="25"/>
        </w:rPr>
        <w:t xml:space="preserve">7.5 The institutional question: the boundary between the patent and competition regimes</w:t>
      </w:r>
    </w:p>
    <w:p>
      <w:pPr>
        <w:pStyle w:val="Heading3"/>
        <w:spacing w:after="150" w:before="300" w:line="240"/>
      </w:pPr>
      <w:r>
        <w:rPr>
          <w:rFonts w:ascii="Times New Roman" w:cs="Times New Roman" w:eastAsia="Times New Roman" w:hAnsi="Times New Roman"/>
          <w:b/>
          <w:bCs/>
          <w:i/>
          <w:iCs/>
          <w:sz w:val="24"/>
          <w:szCs w:val="24"/>
        </w:rPr>
        <w:t xml:space="preserve">7.5.1 The dispute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India's most consequential unresolved question in this field is institutional rather than doctrinal.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When domestic implementers complained that the proprietor's royalties, computed on the price of the end device, were excessive and discriminatory, the Competition Commission of India investigated under the provisions of the Competition Act 2002 concerning anti-competitive agreements and abuse of dominance. The Commission's jurisdiction was upheld by a single judge of the Delhi High Court in 2016. In July 2023 a Division Bench of the same court reversed that conclusion, holding in substance that conduct in the exercise of rights conferred by the Patents Act falls within the domain of that Act and of the Controller of Patents, to the exclusion of the Commission's jurisdiction.</w:t>
      </w:r>
      <w:r>
        <w:rPr>
          <w:rStyle w:val="FootnoteReference"/>
        </w:rPr>
        <w:footnoteReference w:id="53"/>
      </w:r>
      <w:r>
        <w:rPr>
          <w:rFonts w:ascii="Times New Roman" w:cs="Times New Roman" w:eastAsia="Times New Roman" w:hAnsi="Times New Roman"/>
          <w:b w:val="false"/>
          <w:bCs w:val="false"/>
          <w:i w:val="false"/>
          <w:iCs w:val="false"/>
          <w:sz w:val="24"/>
          <w:szCs w:val="24"/>
        </w:rPr>
        <w:t xml:space="preserve"> The Commission sought leave to appeal, and the proceedings were pending before the Supreme Court of India at the research cutoff date. No view is expressed here as to their outcome.</w:t>
      </w:r>
    </w:p>
    <w:p>
      <w:pPr>
        <w:pStyle w:val="Heading3"/>
        <w:spacing w:after="150" w:before="300" w:line="240"/>
      </w:pPr>
      <w:r>
        <w:rPr>
          <w:rFonts w:ascii="Times New Roman" w:cs="Times New Roman" w:eastAsia="Times New Roman" w:hAnsi="Times New Roman"/>
          <w:b/>
          <w:bCs/>
          <w:i/>
          <w:iCs/>
          <w:sz w:val="24"/>
          <w:szCs w:val="24"/>
        </w:rPr>
        <w:t xml:space="preserve">7.5.2 The arguments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for exclusivity rests on the proposition that the Patents Act is a complete code regulating the grant and exercise of patent rights, that it contains its own provisions addressing the abuse of those rights, including compulsory licensing and the avoidance of restrictive conditions, and that the application of general competition law to the exercise of a statutory monopoly duplicates a regime the legislature has already provided. It has the further practical attraction of avoiding the inconsistency and duplication examined in section 5.8.4.</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against exclusivity rests on three propositions. The Patents Act's own instruments are ill suited to the conduct complained of: compulsory licensing is slow, individual and demanding in its grounds, and the avoidance of restrictive conditions addresses terms rather than pricing. The Competition Act has recently been strengthened in ways that make it better rather than worse suited to disputes of this kind, the amending legislation of 2023 having introduced a settlement and commitment mechanism together with revised penalty provisions.</w:t>
      </w:r>
      <w:r>
        <w:rPr>
          <w:rStyle w:val="FootnoteReference"/>
        </w:rPr>
        <w:footnoteReference w:id="54"/>
      </w:r>
      <w:r>
        <w:rPr>
          <w:rFonts w:ascii="Times New Roman" w:cs="Times New Roman" w:eastAsia="Times New Roman" w:hAnsi="Times New Roman"/>
          <w:b w:val="false"/>
          <w:bCs w:val="false"/>
          <w:i w:val="false"/>
          <w:iCs w:val="false"/>
          <w:sz w:val="24"/>
          <w:szCs w:val="24"/>
        </w:rPr>
        <w:t xml:space="preserve"> And the exclusion of the competition regulator leaves allegations of excessive and discriminatory pricing without any specialist forum, since the Controller of Patents has no apparatus for adjudicating them.</w:t>
      </w:r>
    </w:p>
    <w:p>
      <w:pPr>
        <w:pStyle w:val="Heading3"/>
        <w:spacing w:after="150" w:before="300" w:line="240"/>
      </w:pPr>
      <w:r>
        <w:rPr>
          <w:rFonts w:ascii="Times New Roman" w:cs="Times New Roman" w:eastAsia="Times New Roman" w:hAnsi="Times New Roman"/>
          <w:b/>
          <w:bCs/>
          <w:i/>
          <w:iCs/>
          <w:sz w:val="24"/>
          <w:szCs w:val="24"/>
        </w:rPr>
        <w:t xml:space="preserve">7.5.3 The position taken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position taken in this dissertation is that categorical exclusivity in either direction is the wrong answer, and that the correct arrangement is coordinated concurrent jurisdiction with a functional division of labour.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comparative analysis in section 6.7 supports the first half of that division. The determination of a compliant rate should be conducted by the patent court, because it is a valuation exercise requiring disclosure, expert evidence and the testing of that evidence, and because the systems that have produced workable jurisprudence on the point have done so in that way. A competition authority asked to determine a royalty is being asked to do something for which its procedures are not designed.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analysis in section 5.8.4 supports the second half. Competition law addresses conduct that valuation cannot reach: licensing designed to foreclose a rival rather than to price differently; refusal to deal with a class of undertaking for exclusionary purposes; the tying of non-essential rights; and the governance of pooling arrangements. Those are questions of market effect rather than of value, and they are within the competition authority's competence and outside the patent court's ordinary remit.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coordination that such a division requires is not exotic. It requires a principle allocating the determination of terms to the court and the assessment of exclusionary conduct to the Commission; a mechanism by which each may take account of the other's determinations; and a rule preventing the same complaint being pursued in both fora simultaneously. The alternative presently on offer, an exclusivity determined by appellate construction of two statutes neither of which addresses the question directly, is likely to produce whichever outcome the construction favours without regard to institutional fit.</w:t>
      </w:r>
    </w:p>
    <w:p>
      <w:pPr>
        <w:pStyle w:val="Heading3"/>
        <w:spacing w:after="150" w:before="300" w:line="240"/>
      </w:pPr>
      <w:r>
        <w:rPr>
          <w:rFonts w:ascii="Times New Roman" w:cs="Times New Roman" w:eastAsia="Times New Roman" w:hAnsi="Times New Roman"/>
          <w:b/>
          <w:bCs/>
          <w:i/>
          <w:iCs/>
          <w:sz w:val="24"/>
          <w:szCs w:val="24"/>
        </w:rPr>
        <w:t xml:space="preserve">7.5.4 Institutional capacity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India's capacity to operate the arrangement just described has improved materially, and the improvement is a precondition of the framework proposed below.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Intellectual Property Appellate Board was abolished by the Tribunals Reforms Act 2021, and its jurisdiction returned to the High Courts.</w:t>
      </w:r>
      <w:r>
        <w:rPr>
          <w:rStyle w:val="FootnoteReference"/>
        </w:rPr>
        <w:footnoteReference w:id="55"/>
      </w:r>
      <w:r>
        <w:rPr>
          <w:rFonts w:ascii="Times New Roman" w:cs="Times New Roman" w:eastAsia="Times New Roman" w:hAnsi="Times New Roman"/>
          <w:b w:val="false"/>
          <w:bCs w:val="false"/>
          <w:i w:val="false"/>
          <w:iCs w:val="false"/>
          <w:sz w:val="24"/>
          <w:szCs w:val="24"/>
        </w:rPr>
        <w:t xml:space="preserve"> The Delhi High Court established a specialist Intellectual Property Division, with dedicated rules governing its procedure and further rules governing patent suits specifically.</w:t>
      </w:r>
      <w:r>
        <w:rPr>
          <w:rStyle w:val="FootnoteReference"/>
        </w:rPr>
        <w:footnoteReference w:id="56"/>
      </w:r>
      <w:r>
        <w:rPr>
          <w:rFonts w:ascii="Times New Roman" w:cs="Times New Roman" w:eastAsia="Times New Roman" w:hAnsi="Times New Roman"/>
          <w:b w:val="false"/>
          <w:bCs w:val="false"/>
          <w:i w:val="false"/>
          <w:iCs w:val="false"/>
          <w:sz w:val="24"/>
          <w:szCs w:val="24"/>
        </w:rPr>
        <w:t xml:space="preserve"> It is those latter rules whose claim-chart requirement proved decisive in the appellate decision examined in section 7.4.3, which is a concrete demonstration that specialist procedural rule-making produces substantive consequences.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significance of this capacity for the present analysis is considerable. The reforms proposed in section 7.7 require an institution capable of determining rates on expert evidence, operating confidentiality arrangements adequate to permit the disclosure of comparables, managing interim-payment mechanisms, and developing consistent doctrine across cases. A specialist division within a High Court with an established patent docket is the most plausible home for those functions in India, and its existence converts several of the proposals below from aspirations into matters of practice and procedure.</w:t>
      </w:r>
    </w:p>
    <w:p>
      <w:pPr>
        <w:pStyle w:val="Heading2"/>
        <w:spacing w:after="150" w:before="300" w:line="240"/>
      </w:pPr>
      <w:r>
        <w:rPr>
          <w:rFonts w:ascii="Times New Roman" w:cs="Times New Roman" w:eastAsia="Times New Roman" w:hAnsi="Times New Roman"/>
          <w:b/>
          <w:bCs/>
          <w:i w:val="false"/>
          <w:iCs w:val="false"/>
          <w:sz w:val="25"/>
          <w:szCs w:val="25"/>
        </w:rPr>
        <w:t xml:space="preserve">7.6 The developmental critique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developmental concerns arise from the foregoing, and they are stated here as concerns requiring response rather than as conclusions.</w:t>
      </w:r>
    </w:p>
    <w:p>
      <w:pPr>
        <w:pStyle w:val="Heading3"/>
        <w:spacing w:after="150" w:before="300" w:line="240"/>
      </w:pPr>
      <w:r>
        <w:rPr>
          <w:rFonts w:ascii="Times New Roman" w:cs="Times New Roman" w:eastAsia="Times New Roman" w:hAnsi="Times New Roman"/>
          <w:b/>
          <w:bCs/>
          <w:i/>
          <w:iCs/>
          <w:sz w:val="24"/>
          <w:szCs w:val="24"/>
        </w:rPr>
        <w:t xml:space="preserve">7.6.1 The royalty base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computation of royalties on the price of the end device, accepted in the Lava determination, transfers more value to proprietors than a component-based or apportioned base, and it does so regressively. The same percentage applied to the price of a device captures a larger proportion of the margin on a low-priced device than on a premium one, and a per-unit royalty is more regressive still. In a market in which a substantial proportion of devices are sold at low prices to price-sensitive purchasers, the choice of base has distributional consequences that fall on precisely the segment where digital inclusion is at stake.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is not that royalties should be lower in India, which would be a conclusion rather than an argument. It is that the choice of base is a matter for determination on the evidence, as section 4.8.1 concluded, and that the evidence bearing on it includes the relationship between the patented feature and the value of the product. The reasoning in the Philips appeal, aligning the base with claim scope, is the more analytically disciplined approach, and its apparent tension with the Lava determination is a matter that Indian appellate courts will need to resolve.</w:t>
      </w:r>
    </w:p>
    <w:p>
      <w:pPr>
        <w:pStyle w:val="Heading3"/>
        <w:spacing w:after="150" w:before="300" w:line="240"/>
      </w:pPr>
      <w:r>
        <w:rPr>
          <w:rFonts w:ascii="Times New Roman" w:cs="Times New Roman" w:eastAsia="Times New Roman" w:hAnsi="Times New Roman"/>
          <w:b/>
          <w:bCs/>
          <w:i/>
          <w:iCs/>
          <w:sz w:val="24"/>
          <w:szCs w:val="24"/>
        </w:rPr>
        <w:t xml:space="preserve">7.6.2 Non-discrimination and cross-licensing leverage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general reading of the non-discrimination limb, adopted in England and examined in section 3.5.3, permits materially different terms to be offered to different licensees provided each reflects the market value of the portfolio. Where licensees differ systematically in their possession of portfolios with which to cross-license, the general reading will permit systematically different outcomes, and the undertakings without portfolios are disproportionately those in economies whose industry is concentrated downstream.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the most serious developmental objection to the transnational doctrine as it stands, and it is not answered by observing that the differential reflects the value of the counter-grant, which it does. It is answered, so far as it can be, by disclosure: if an implementer can see the terms granted to others, it can identify differentials and require them to be justified, and a differential that cannot be justified by reference to the value of a counter-grant or another objective factor is vulnerable. Without disclosure the limb is a formality. This is the reasoning that connects the non-discrimination analysis in Chapter 3, the procedural analysis in section 6.8 and the adverse-inference reasoning in the Philips appeal into a single recommendation.</w:t>
      </w:r>
    </w:p>
    <w:p>
      <w:pPr>
        <w:pStyle w:val="Heading3"/>
        <w:spacing w:after="150" w:before="300" w:line="240"/>
      </w:pPr>
      <w:r>
        <w:rPr>
          <w:rFonts w:ascii="Times New Roman" w:cs="Times New Roman" w:eastAsia="Times New Roman" w:hAnsi="Times New Roman"/>
          <w:b/>
          <w:bCs/>
          <w:i/>
          <w:iCs/>
          <w:sz w:val="24"/>
          <w:szCs w:val="24"/>
        </w:rPr>
        <w:t xml:space="preserve">7.6.3 Ability to pay and the Chinese precedent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Chinese determination examined in section 6.4.2 differentiated rates expressly by the development level of the market. The question whether Indian courts should do likewise requires a careful answer, and the answer given here is a qualified negative with an important reservation.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case against express development-based differentiation is that it is difficult to reconcile with the obligation as ordinarily understood. The obligation requires terms reflecting the value of the portfolio, and the value of a portfolio does not vary with the purchasing power of the licensee's customers. A court that reduces a rate because the implementer's market is poor is not determining the value of the technology but redistributing it, and while redistribution may be a legitimate public objective it is not obviously an objective that the construction of a contractual undertaking can deliver. There is a further practical objection: a jurisdiction that systematically determines lower rates invites the forum-shopping documented in section 6.4 and may find its determinations disregarded elsewhere.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reservation is that several factors which are legitimately relevant to valuation correlate with development, and their consideration is not redistribution. The prices at which products are sold in a market bear on the royalty that a willing licensee would pay, where the royalty is expressed as a percentage. The value of standardised connectivity to a device may genuinely differ between applications and markets. The volumes involved bear on the rate a proprietor would accept. And comparable licences concluded in respect of similar markets are the most direct evidence available. A determination that arrives at a lower rate for India through these routes is applying the obligation rather than departing from it, and the distinction between that and express development-based differentiation is one of reasoning rather than necessarily of outcome.</w:t>
      </w:r>
    </w:p>
    <w:p>
      <w:pPr>
        <w:pStyle w:val="Heading3"/>
        <w:spacing w:after="150" w:before="300" w:line="240"/>
      </w:pPr>
      <w:r>
        <w:rPr>
          <w:rFonts w:ascii="Times New Roman" w:cs="Times New Roman" w:eastAsia="Times New Roman" w:hAnsi="Times New Roman"/>
          <w:b/>
          <w:bCs/>
          <w:i/>
          <w:iCs/>
          <w:sz w:val="24"/>
          <w:szCs w:val="24"/>
        </w:rPr>
        <w:t xml:space="preserve">7.6.4 Access to justice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concern developed in section 5.7.2 applies with particular force in India, where the implementer population includes a large number of undertakings for which a contested determination is financially inconceivable. For those undertakings the doctrinal balance struck in the authorities is irrelevant, and the practical effect of the transnational doctrine is whatever the proprietor offers.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is the concern that most strongly supports treating dispute resolution as a distinct layer of the framework, and it is the concern least addressed by the existing Indian jurisprudence, which has developed through litigation between substantial parties and through proceedings in which small manufacturers were defendants rather than claimants.</w:t>
      </w:r>
    </w:p>
    <w:p>
      <w:pPr>
        <w:pStyle w:val="Heading2"/>
        <w:spacing w:after="150" w:before="300" w:line="240"/>
      </w:pPr>
      <w:r>
        <w:rPr>
          <w:rFonts w:ascii="Times New Roman" w:cs="Times New Roman" w:eastAsia="Times New Roman" w:hAnsi="Times New Roman"/>
          <w:b/>
          <w:bCs/>
          <w:i w:val="false"/>
          <w:iCs w:val="false"/>
          <w:sz w:val="25"/>
          <w:szCs w:val="25"/>
        </w:rPr>
        <w:t xml:space="preserve">7.7 The Layered SEP Innovation-Governance Framework</w:t>
      </w:r>
    </w:p>
    <w:p>
      <w:pPr>
        <w:pStyle w:val="Heading3"/>
        <w:spacing w:after="150" w:before="300" w:line="240"/>
      </w:pPr>
      <w:r>
        <w:rPr>
          <w:rFonts w:ascii="Times New Roman" w:cs="Times New Roman" w:eastAsia="Times New Roman" w:hAnsi="Times New Roman"/>
          <w:b/>
          <w:bCs/>
          <w:i/>
          <w:iCs/>
          <w:sz w:val="24"/>
          <w:szCs w:val="24"/>
        </w:rPr>
        <w:t xml:space="preserve">7.7.1 The framework and its claims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framework set out below is the original contribution identified in section 1.6. Its claims should be stated precisely.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does not claim novelty in its components. Each layer addresses a problem identified in the existing literature, and most of the reforms proposed have been advocated in some form by others.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 claims three things. First, that disaggregating this field into distinct institutional layers, each with its own evaluative criterion and its own competent decision-maker, is more analytically productive than treating it as presenting a single question about the compliant rate. Second, that making the trade-offs at each layer explicit prevents the common error of presenting a reform that improves one layer at the expense of another as an unqualified improvement. Third, that applying the resulting structure to India yields a set of reforms that are calibrated to India's institutional capacity and statutory architecture rather than transplanted from jurisdictions whose implementer populations are differently constituted.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Appendix C sets out the framework in tabular form together with the public-interest criteria against which each layer is assessed.</w:t>
      </w:r>
    </w:p>
    <w:p>
      <w:pPr>
        <w:pStyle w:val="Heading3"/>
        <w:spacing w:after="150" w:before="300" w:line="240"/>
      </w:pPr>
      <w:r>
        <w:rPr>
          <w:rFonts w:ascii="Times New Roman" w:cs="Times New Roman" w:eastAsia="Times New Roman" w:hAnsi="Times New Roman"/>
          <w:b/>
          <w:bCs/>
          <w:i/>
          <w:iCs/>
          <w:sz w:val="24"/>
          <w:szCs w:val="24"/>
        </w:rPr>
        <w:t xml:space="preserve">7.7.2 Layer one: governance of standardisation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the legitimacy of the process by which the rules governing essential patents are made: participation by those materially affected, transparency of decision-making, and resistance to capture.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assessment in section 3.7 was that standard-development organisations perform their technical function adequately and their allocative function poorly, and that their capacity to prescribe substantive licensing rules is real but institutionally fragile, as the episode examined in section 3.6 demonstrated.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recommendation for India is modest because India's leverage at this layer is limited. India should support, through its national standards bodies and through its participation in the relevant international processes, reforms directed at disclosure discipline and at the specification of negotiation protocols, which are matters on which members' interests are not directly opposed. It should not expect substantive valuation rules to be adopted or to survive at this layer, and it should not make its domestic arrangements contingent on their adoption.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to be acknowledged is that pressing for prescriptive rules at this layer risks the exit response documented in section 3.6, which would leave implementers worse off than the status quo.</w:t>
      </w:r>
    </w:p>
    <w:p>
      <w:pPr>
        <w:pStyle w:val="Heading3"/>
        <w:spacing w:after="150" w:before="300" w:line="240"/>
      </w:pPr>
      <w:r>
        <w:rPr>
          <w:rFonts w:ascii="Times New Roman" w:cs="Times New Roman" w:eastAsia="Times New Roman" w:hAnsi="Times New Roman"/>
          <w:b/>
          <w:bCs/>
          <w:i/>
          <w:iCs/>
          <w:sz w:val="24"/>
          <w:szCs w:val="24"/>
        </w:rPr>
        <w:t xml:space="preserve">7.7.3 Layer two: disclosure and essentiality transparency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an implementer can ascertain, at proportionate cost, the essential technology to which it requires access and the identity of those entitled to be paid for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assessment throughout this dissertation has been that it cannot, and that this is the foundational failure from which difficulties at every subsequent layer propagate. Section 2.5.2 established the unreliability of declaration counts. Section 3.3 established that the deficit is structural and explained its persistence. Section 4.7.2 established its effect on valuation. Section 6.3.3 established its effect on the assessment of willingness.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and this is the layer at which India can act most effectively unilaterally.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independent sampled essentiality assessment. Exhaustive assessment is unaffordable; a statistically adequate sample of a portfolio can support an inference about the proportion that is essential at a small fraction of the cost. The function should be located outside the membership organisations whose members have an interest in its outcome, which in India means either the patent office or an independent body constituted for the purpose. The status of the result should be evidential rather than conclusive, so that it informs negotiation and adjudication without displacing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the generalisation of the claim-chart discipline established in the Philips appeal and in the Delhi High Court's rules. A requirement that a proprietor asserting essentiality produce a mapping of claims to specification, as a condition of proceeding, imposes the cost of the technical enquiry on the party best placed to conduct it and converts essentiality from an assumption into a matter of proof. This reform is already substantially in place in the Delhi High Court and should be consolidated and extended.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aggregate-royalty disclosure. The evidentiary vacuum documented in section 4.9.5 cannot be filled by argument, and a requirement that proprietors disclose the aggregate royalty they seek in respect of a standard would convert a debate conducted through competing assumptions into one conducted about facts.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to be acknowledged is that essentiality assessment, however conducted, generates a figure that will be contested and may acquire more authority than its methodology warrants, particularly if it is used mechanically in top-down valuation. The recommendation that its status be evidential rather than conclusive is directed at that risk.</w:t>
      </w:r>
    </w:p>
    <w:p>
      <w:pPr>
        <w:pStyle w:val="Heading3"/>
        <w:spacing w:after="150" w:before="300" w:line="240"/>
      </w:pPr>
      <w:r>
        <w:rPr>
          <w:rFonts w:ascii="Times New Roman" w:cs="Times New Roman" w:eastAsia="Times New Roman" w:hAnsi="Times New Roman"/>
          <w:b/>
          <w:bCs/>
          <w:i/>
          <w:iCs/>
          <w:sz w:val="24"/>
          <w:szCs w:val="24"/>
        </w:rPr>
        <w:t xml:space="preserve">7.7.4 Layer three: licensing architecture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undertakings throughout a supply chain can ascertain where their exposure lies and whether the total royalty extracted in respect of a product is extracted once.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4.3 concluded that no single rule as to licensing level is defensible across sectors, and section 4.4 established the structural role of exhaustion.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Transparency as to the level at which a proprietor licenses, so that undertakings can identify their exposure in advance rather than on being sued. Robust application of exhaustion under section 107A(b), consistently with the reasoning in the Philips appeal, together with recognition of pass-through and indemnity arrangements, so as to prevent double recovery. And institutional accommodation of collective licensing platforms in sectors whose supply chains make bilateral licensing genuinely unworkable, subject to the competition safeguards that pooling requires.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a broad exhaustion doctrine reduces proprietors' ability to select the licensing level and therefore the royalty base, which is a reduction in expected return that may, at the margin, affect the incentive to contribute. The magnitude of that effect is unknown and, for the reasons given in section 4.9, cannot presently be estimated.</w:t>
      </w:r>
    </w:p>
    <w:p>
      <w:pPr>
        <w:pStyle w:val="Heading3"/>
        <w:spacing w:after="150" w:before="300" w:line="240"/>
      </w:pPr>
      <w:r>
        <w:rPr>
          <w:rFonts w:ascii="Times New Roman" w:cs="Times New Roman" w:eastAsia="Times New Roman" w:hAnsi="Times New Roman"/>
          <w:b/>
          <w:bCs/>
          <w:i/>
          <w:iCs/>
          <w:sz w:val="24"/>
          <w:szCs w:val="24"/>
        </w:rPr>
        <w:t xml:space="preserve">7.7.5 Layer four: conduct in negotiation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the obligations governing negotiation are specified with sufficient precision to be complied with, and whether they are symmetrical as between the parties.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4.9.6 established the requirement of symmetry as a consequence of the unresolved empirical question. Section 5.4 examined the demanding willingness standard applied to implementers, and section 5.6.3 examined the first significant judicial articulation of a corresponding constraint on proprietors.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recommendations follow, and they are connected.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willingness standard should be adopted that is demanding as to conduct but conditional on information: an implementer should be required to engage promptly, to respond substantively and to commit to the outcome of a determination, but the obligation to commit should attach only once the proprietor has provided the information, including claim charts and the basis of its royalty computation, without which the commitment cannot be evaluated. This couples the standard examined in section 5.4 with the disclosure discipline recommended at layer two, and it answers the objection developed in section 6.3.3.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corresponding obligation should be recognised on the proprietor's side, encompassing the provision of that information, the making of an offer with a stated basis of computation, and abstention from the pursuit of coercive parallel relief where a competent determination is in train. The interim-licence reasoning examined in section 5.6.3 supplies the model.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conditioning the implementer's commitment on the proprietor's disclosure introduces a further contestable issue into proceedings, namely whether disclosure was adequate, and thereby some additional cost and delay. That cost is accepted here as the price of a standard that does not penalise a deficit of information as though it were a want of good faith.</w:t>
      </w:r>
    </w:p>
    <w:p>
      <w:pPr>
        <w:pStyle w:val="Heading3"/>
        <w:spacing w:after="150" w:before="300" w:line="240"/>
      </w:pPr>
      <w:r>
        <w:rPr>
          <w:rFonts w:ascii="Times New Roman" w:cs="Times New Roman" w:eastAsia="Times New Roman" w:hAnsi="Times New Roman"/>
          <w:b/>
          <w:bCs/>
          <w:i/>
          <w:iCs/>
          <w:sz w:val="24"/>
          <w:szCs w:val="24"/>
        </w:rPr>
        <w:t xml:space="preserve">7.7.6 Layer five: valuation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the methodology applied is transparent as to its assumptions and whether the resulting determination can be assessed by the parties affected.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Sections 4.5 to 4.8 established that no methodology is legally mandatory, that each embeds contestable assumptions, and that comparable-licence analysis depends on access to confidential material.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Comparable-licence analysis should be preferred where adequate comparables exist, consistently with the preference expressed in the Lava determination and with the convergence documented in section 6.6, with top-down analysis retained as a cross-check on aggregate tolerability. The production of comparables should be required, within confidentiality arrangements adequate to protect third parties, with an adverse inference available on non-disclosure as the Philips appeal held. And no single royalty base should be prescribed, but a determination should be required to disclose how value attributable to unpatented features has been excluded.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requiring the production of comparables burdens third parties whose agreements are produced and who are not represented in the proceedings, which is a procedural-fairness cost that confidentiality arrangements mitigate but do not eliminate.</w:t>
      </w:r>
    </w:p>
    <w:p>
      <w:pPr>
        <w:pStyle w:val="Heading3"/>
        <w:spacing w:after="150" w:before="300" w:line="240"/>
      </w:pPr>
      <w:r>
        <w:rPr>
          <w:rFonts w:ascii="Times New Roman" w:cs="Times New Roman" w:eastAsia="Times New Roman" w:hAnsi="Times New Roman"/>
          <w:b/>
          <w:bCs/>
          <w:i/>
          <w:iCs/>
          <w:sz w:val="24"/>
          <w:szCs w:val="24"/>
        </w:rPr>
        <w:t xml:space="preserve">7.7.7 Layer six: remedies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remedies deter both strategic delay and coercive over-reach, and whether they are practically available to parties of ordinary means.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5.2 established that neither an unqualified entitlement to injunctive relief nor its categorical exclusion is defensible. Section 5.7.1 concluded that monetary remedies address hold-out substantially but not completely and that the residual gap is better closed by interim payment than by injunctive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Injunctive relief should be available against an implementer that is unwilling on the standard recommended at layer four, and withheld against one that is willing. The conditional interim-deposit practice developed by the Indian courts, examined in section 7.4.1, should be systematised, with published guidance on quantification, because it is the instrument best suited to removing the free-option element of delay without conferring coercive leverage. And an interim-licence mechanism along the lines of the English reasoning should be available where a determination is in train and a proprietor pursues parallel coercive relief.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interim deposits set too high replicate the coercive effect they are designed to avoid, and interim relief of any kind requires a preliminary view of merits on incomplete evidence.</w:t>
      </w:r>
    </w:p>
    <w:p>
      <w:pPr>
        <w:pStyle w:val="Heading3"/>
        <w:spacing w:after="150" w:before="300" w:line="240"/>
      </w:pPr>
      <w:r>
        <w:rPr>
          <w:rFonts w:ascii="Times New Roman" w:cs="Times New Roman" w:eastAsia="Times New Roman" w:hAnsi="Times New Roman"/>
          <w:b/>
          <w:bCs/>
          <w:i/>
          <w:iCs/>
          <w:sz w:val="24"/>
          <w:szCs w:val="24"/>
        </w:rPr>
        <w:t xml:space="preserve">7.7.8 Layer seven: competition supervision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the allocation of authority between patent adjudication and competition supervision avoids both duplication and lacunae.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5.8.4 and section 6.7 concluded that competition law is properly residual, and section 7.5 examined the unresolved Indian dispute.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recommendation is coordinated concurrent jurisdiction with the functional division set out in section 7.5.3: determination of terms to the patent court, assessment of exclusionary conduct to the Commission, with a mechanism for mutual recognition of determinations and a rule against simultaneous pursuit of the same complaint in both fora. The pending Supreme Court proceedings present the occasion for that allocation, and no prediction as to their outcome is offered.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concurrent jurisdiction, however coordinated, retains some risk of inconsistency, and that the coordination mechanism itself requires institutional machinery that does not presently exist.</w:t>
      </w:r>
    </w:p>
    <w:p>
      <w:pPr>
        <w:pStyle w:val="Heading3"/>
        <w:spacing w:after="150" w:before="300" w:line="240"/>
      </w:pPr>
      <w:r>
        <w:rPr>
          <w:rFonts w:ascii="Times New Roman" w:cs="Times New Roman" w:eastAsia="Times New Roman" w:hAnsi="Times New Roman"/>
          <w:b/>
          <w:bCs/>
          <w:i/>
          <w:iCs/>
          <w:sz w:val="24"/>
          <w:szCs w:val="24"/>
        </w:rPr>
        <w:t xml:space="preserve">7.7.9 Layer eight: transnational dispute resolution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adjudicative authority over global terms is allocated on a principled basis and whether duplicative determination is avoided.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6.4 concluded that the objection to global rate-setting is to its unilateral rather than to its global character, and section 6.5.3 identified a comity-preserving technique available to courts willing to use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India should develop an explicit comity practice, including the crediting of parallel foreign awards on the model examined in section 6.5.3, rather than participating in the escalation of anti-suit relief. It should provide for expedited determination confined to rate, with proportionate costs, in order to address the access-to-justice deficit identified in section 7.6.4. And it should support, at the international level, the development of neutral arbitral and mediation machinery whose determinations parties would have reason to accept, which is the only mechanism capable of addressing the allocation problem at its source.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is that a jurisdiction which adopts restraint unilaterally while others do not may find its restraint exploited, and that institutional arbitration in this field faces the difficulty that parties who disagree about value also disagree about the forum.</w:t>
      </w:r>
    </w:p>
    <w:p>
      <w:pPr>
        <w:pStyle w:val="Heading3"/>
        <w:spacing w:after="150" w:before="300" w:line="240"/>
      </w:pPr>
      <w:r>
        <w:rPr>
          <w:rFonts w:ascii="Times New Roman" w:cs="Times New Roman" w:eastAsia="Times New Roman" w:hAnsi="Times New Roman"/>
          <w:b/>
          <w:bCs/>
          <w:i/>
          <w:iCs/>
          <w:sz w:val="24"/>
          <w:szCs w:val="24"/>
        </w:rPr>
        <w:t xml:space="preserve">7.7.10 Layer nine: public-interest and development safeguards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evaluative criterion is whether the arrangement's effects on access, on domestic industry, on smaller undertakings and on digital inclusion are considered expressly rather than as a by-product.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Section 7.3 established that India possesses a statutory vocabulary for this purpose that no comparator has, and section 7.6 identified the four developmental concerns to which it should be directed.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recommendations follow. The principles in section 83 should be treated as interpretive guides in the exercise of the remedial discretion in proceedings concerning essential patents, with the doctrinal caution recorded in section 7.3.1 as to the limits of what the section can bear. Compulsory licensing under sections 84 and 90 should be retained as a genuine but exceptional backstop, whose relevance lies in its effect on negotiation rather than in its routine invocation. And the framework as a whole should be subject to periodic evidence-based review, because several of its premises depend on empirical questions that better information may resolve and because the sectoral transferability question examined in section 4.3.3 will be answered by the development of the connected-vehicle and internet-of-things sectors rather than by argument.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trade-off, and it is the most important one in the framework, is that express public-interest reasoning in the determination of contractual obligations carries a risk of unprincipled outcomes, and that a jurisdiction perceived as systematically favouring its own implementers may find its determinations disregarded elsewhere and its own contributors disadvantaged when they seek to license abroad. The recommendation that section 83 operate as an interpretive guide within the remedial discretion, rather than as a substantive override of the licensing obligation, is directed at that risk.</w:t>
      </w:r>
    </w:p>
    <w:p>
      <w:pPr>
        <w:pStyle w:val="Heading2"/>
        <w:spacing w:after="150" w:before="300" w:line="240"/>
      </w:pPr>
      <w:r>
        <w:rPr>
          <w:rFonts w:ascii="Times New Roman" w:cs="Times New Roman" w:eastAsia="Times New Roman" w:hAnsi="Times New Roman"/>
          <w:b/>
          <w:bCs/>
          <w:i w:val="false"/>
          <w:iCs w:val="false"/>
          <w:sz w:val="25"/>
          <w:szCs w:val="25"/>
        </w:rPr>
        <w:t xml:space="preserve">7.8 Counterarguments to the framework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framework of this kind is worth little unless it can withstand the strongest objections available to the constituencies it affects. This section states six such objections in the form their proponents would recognise and responds to each. Two of the responses are concessions.</w:t>
      </w:r>
    </w:p>
    <w:p>
      <w:pPr>
        <w:pStyle w:val="Heading3"/>
        <w:spacing w:after="150" w:before="300" w:line="240"/>
      </w:pPr>
      <w:r>
        <w:rPr>
          <w:rFonts w:ascii="Times New Roman" w:cs="Times New Roman" w:eastAsia="Times New Roman" w:hAnsi="Times New Roman"/>
          <w:b/>
          <w:bCs/>
          <w:i/>
          <w:iCs/>
          <w:sz w:val="24"/>
          <w:szCs w:val="24"/>
        </w:rPr>
        <w:t xml:space="preserve">7.8.1 The proprietor objection: the framework is confiscatory in aggregate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Each layer of the framework is presented as a modest procedural improvement, but their cumulative effect is a substantial transfer of value from proprietors to implementers. Essentiality verification reduces apparent portfolio size. Compelled disclosure of comparables removes the informational advantage that makes portfolio licensing viable. A willingness standard conditional on disclosure gives implementers a new ground on which to defer commitment. Interim deposits substitute a court-determined figure for the proprietor's offer at an early stage on incomplete evidence. Restrictions on parallel relief remove the leverage that brings protracted negotiations to a conclusion. Each of these is defensible in isolation; in combination they systematically favour one side, and presenting them as procedural rather than distributive is a rhetorical device.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in part a concession. The objection is right that the reforms are distributive and that presenting them as neutral would be misleading. Section 2.9.3 conceded the point expressly: essentiality verification and comparable-licence disclosure would, on the balance of probabilities, reduce royalties relative to the status quo, because they remove informational advantages that presently favour proprietors. That consequence is acknowledged rather than concealed.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the objection fails is in the inference that the reforms are therefore unjustified. The informational advantages in question are not returns on inventive contribution. They arise from a declaration system that records unverified assertions and from confidentiality practices that prevent an implementer from knowing what others have paid. A reduction in the value of those advantages is not a reduction in the reward for innovation; it is the removal of a rent that the design of the institutions happens to confer. The proprietor objection would have greater force if the reforms reduced the royalty attributable to genuinely essential and valid patents, and the framework is designed not to do that: it prescribes no base, mandates no rate, and retains injunctive relief against implementers that will not engage.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is also right that the aggregate effect of the package is greater than the sum of the parts, and the framework's response is the symmetry requirement stated in section 4.9.6 and implemented at layers four and six. A demanding willingness standard, systematised interim deposits and the continued availability of injunctive relief are the proprietor-facing components, and they are not decorative.</w:t>
      </w:r>
    </w:p>
    <w:p>
      <w:pPr>
        <w:pStyle w:val="Heading3"/>
        <w:spacing w:after="150" w:before="300" w:line="240"/>
      </w:pPr>
      <w:r>
        <w:rPr>
          <w:rFonts w:ascii="Times New Roman" w:cs="Times New Roman" w:eastAsia="Times New Roman" w:hAnsi="Times New Roman"/>
          <w:b/>
          <w:bCs/>
          <w:i/>
          <w:iCs/>
          <w:sz w:val="24"/>
          <w:szCs w:val="24"/>
        </w:rPr>
        <w:t xml:space="preserve">7.8.2 The implementer objection: the framework does not reach those who need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The reforms operate through litigation. Claim charts are produced in proceedings; comparables are disclosed under court-supervised confidentiality; adverse inferences are drawn by judges; interim deposits are ordered in suits. An implementer that cannot afford to be in court obtains none of these benefits, and that describes most of the Indian implementer population. The framework therefore improves the position of undertakings that were already able to defend themselves and leaves the remainder exactly where they were.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again in part a concession. This is the strongest objection to the framework and it is substantially correct. Section 5.7.2 and section 7.6.4 identify the access-to-justice deficit as the concern least addressed by existing doctrine, and the framework's response at layer eight, expedited rate-only determination with proportionate costs, is the least developed of its recommendations because the design questions are genuinely difficult.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qualifications reduce but do not eliminate the force of the objection. Published essentiality assessments and published aggregate-royalty information, if they existed, would benefit implementers who never litigate, because they would inform negotiation directly. A claim-chart requirement applied consistently by a specialist court changes what proprietors assert in correspondence, not merely what they prove at trial, because an assertion that could not be supported in court is a weaker basis for demand. And a jurisprudence in which essentiality must be proved is a jurisprudence in which the cost of an unfounded assertion falls on the asserting party, which alters the calculus of assertion against small defendants. These are real effects, but they are indirect, and the objection that the framework's direct benefits are confined to litigants stands.</w:t>
      </w:r>
    </w:p>
    <w:p>
      <w:pPr>
        <w:pStyle w:val="Heading3"/>
        <w:spacing w:after="150" w:before="300" w:line="240"/>
      </w:pPr>
      <w:r>
        <w:rPr>
          <w:rFonts w:ascii="Times New Roman" w:cs="Times New Roman" w:eastAsia="Times New Roman" w:hAnsi="Times New Roman"/>
          <w:b/>
          <w:bCs/>
          <w:i/>
          <w:iCs/>
          <w:sz w:val="24"/>
          <w:szCs w:val="24"/>
        </w:rPr>
        <w:t xml:space="preserve">7.8.3 The sovereignty objection: India cannot act unilaterally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Portfolios are global and licences are global. An Indian court that determines terms on the basis of Indian procedural reforms determines terms that the proprietor will apply, if at all, only in India, and the proprietor will simply decline to license into India on those terms and license elsewhere. Alternatively, Indian determinations will be disregarded by other jurisdictions and Indian implementers selling into export markets will find themselves bound by determinations made in London or Mannheim regardless. Unilateral reform is therefore futile.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The objection overstates the mobility of the market and understates the scope for unilateral action. India is not a market a global licensor can decline to serve; it is among the largest implementer markets in the world, and a portfolio not licensed into India is a portfolio not licensed to a very large volume of production. The asymmetry the objection assumes runs in both directions.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More importantly, the reforms proposed at layers two, three, five and six are predominantly evidentiary and remedial, and they operate on proceedings in India regardless of what other jurisdictions do. A requirement that essentiality be proved by claim charts is a rule of Indian procedure, and the Philips appeal demonstrates that it produces outcomes. Exhaustion under section 107A(b) operates on products in India. Interim deposits are ordered by Indian courts. None of these depends on reciprocity.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has real force at layer eight, and it is conceded there. Comity practice and the development of neutral machinery cannot be achieved unilaterally, and section 7.7.9 acknowledges that a jurisdiction adopting restraint while others do not may find its restraint exploited. That is why layer eight is the one layer at which the framework's recommendation is participation in a process rather than a domestic reform.</w:t>
      </w:r>
    </w:p>
    <w:p>
      <w:pPr>
        <w:pStyle w:val="Heading3"/>
        <w:spacing w:after="150" w:before="300" w:line="240"/>
      </w:pPr>
      <w:r>
        <w:rPr>
          <w:rFonts w:ascii="Times New Roman" w:cs="Times New Roman" w:eastAsia="Times New Roman" w:hAnsi="Times New Roman"/>
          <w:b/>
          <w:bCs/>
          <w:i/>
          <w:iCs/>
          <w:sz w:val="24"/>
          <w:szCs w:val="24"/>
        </w:rPr>
        <w:t xml:space="preserve">7.8.4 The competence objection: courts cannot do this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The framework assigns to courts the determination of royalties, the supervision of essentiality evidence, the calibration of interim deposits and the assessment of good faith in commercial negotiation. These are not judicial functions. They require economic expertise that judges do not have, market knowledge that adversarial procedure does not supply, and continuous supervision that litigation cannot provide. A specialist administrative body, or a sectoral regulator, would do it better.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The comparative record answers this objection more directly than argument could. The jurisdictions that have produced the most detailed and usable jurisprudence in this field are those in which patent courts have undertaken the determination, and section 6.7 sets out why: valuation requires disclosure, the testing of expert evidence and cross-examination, and those are the procedural instruments of litigation. Where the function has been given to competition authorities, the results have been contested, slow and, in the United States, ultimately reversed.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is nonetheless right about one function. Essentiality assessment is not well suited to adversarial adjudication, because it is a technical exercise whose answer does not depend on the parties' positions and whose repetition in every case is wasteful. That is precisely why the framework locates sampled essentiality assessment at layer two, outside the courts, and assigns to the courts only the evidential question whether the proprietor has proved essentiality in the case before them. The allocation the objection recommends is, for that function, the allocation the framework adopts.</w:t>
      </w:r>
    </w:p>
    <w:p>
      <w:pPr>
        <w:pStyle w:val="Heading3"/>
        <w:spacing w:after="150" w:before="300" w:line="240"/>
      </w:pPr>
      <w:r>
        <w:rPr>
          <w:rFonts w:ascii="Times New Roman" w:cs="Times New Roman" w:eastAsia="Times New Roman" w:hAnsi="Times New Roman"/>
          <w:b/>
          <w:bCs/>
          <w:i/>
          <w:iCs/>
          <w:sz w:val="24"/>
          <w:szCs w:val="24"/>
        </w:rPr>
        <w:t xml:space="preserve">7.8.5 The coherence objection: the framework has no answer on the royalty base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The royalty base is the single most consequential variable in this field, as section 4.3.2 concedes. The framework declines to prescribe one, requiring only that determinations disclose how value attributable to unpatented features has been excluded. It thereby leaves unresolved the question it identifies as most important, and it does so while acknowledging that Indian authority is itself in tension on the point. A framework that defers the central question is not a framework.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The refusal to prescribe a base is a considered position rather than an evasion, and it rests on three grounds stated earlier. No authority examined establishes any base as legally mandatory. The episode examined in section 3.6 demonstrates that a prescribed base is understood by the affected parties as a distributive choice and is institutionally fragile in consequence. And the sectoral analysis in section 4.10 establishes that the base appropriate to a product whose value is substantially constituted by connectivity differs from that appropriate to a product in which connectivity is incidental.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What the framework does require is more demanding than it appears. A determination that must disclose how value attributable to unpatented features has been excluded cannot adopt an end-device base by default; it must justify it. The reasoning in the Philips appeal, tying the base to the scope of the claim, is an application of exactly that discipline. The framework's position is accordingly that the base is a matter for reasoned determination on evidence, and that the reasoning must be exposed, which is a different thing from having no position.</w:t>
      </w:r>
    </w:p>
    <w:p>
      <w:pPr>
        <w:pStyle w:val="Heading3"/>
        <w:spacing w:after="150" w:before="300" w:line="240"/>
      </w:pPr>
      <w:r>
        <w:rPr>
          <w:rFonts w:ascii="Times New Roman" w:cs="Times New Roman" w:eastAsia="Times New Roman" w:hAnsi="Times New Roman"/>
          <w:b/>
          <w:bCs/>
          <w:i/>
          <w:iCs/>
          <w:sz w:val="24"/>
          <w:szCs w:val="24"/>
        </w:rPr>
        <w:t xml:space="preserve">7.8.6 The realism objection: none of this will be adopted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objection. Independent essentiality assessment requires funding and institutional creation. Coordinated concurrent jurisdiction requires either legislation or a Supreme Court disposed to construct one. Expedited rate-only procedure requires rule-making and judicial resource. Aggregate-royalty disclosure requires a legal basis that does not exist. The framework is a description of what would be desirable rather than a programme that could be executed.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response. The objection is a fair description of the framework's more ambitious recommendations and a poor description of its most important ones. The claim-chart discipline is already in the Delhi High Court's rules and has already been applied. Compelled production of comparables with an adverse inference on non-disclosure is within the existing powers of the court and has already been exercised. Conditional interim deposits are an established Indian practice requiring systematisation rather than creation. Robust application of section 107A(b) requires only that the reasoning of the Philips appeal be followed. Four of the five reform priorities identified in section 8.6 are therefore matters of consolidating existing practice rather than of institutional construction, and they are listed in order of tractability for that reason.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recommendations that do require construction, principally independent essentiality assessment and aggregate-royalty disclosure, are identified as such. They are advanced because the analysis supports them, not because their adoption is predicted.</w:t>
      </w:r>
    </w:p>
    <w:p>
      <w:pPr>
        <w:pStyle w:val="Heading2"/>
        <w:spacing w:after="150" w:before="300" w:line="240"/>
      </w:pPr>
      <w:r>
        <w:rPr>
          <w:rFonts w:ascii="Times New Roman" w:cs="Times New Roman" w:eastAsia="Times New Roman" w:hAnsi="Times New Roman"/>
          <w:b/>
          <w:bCs/>
          <w:i w:val="false"/>
          <w:iCs w:val="false"/>
          <w:sz w:val="25"/>
          <w:szCs w:val="25"/>
        </w:rPr>
        <w:t xml:space="preserve">7.8A Sequencing, feasibility and the couplings between layers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framework that identifies nine layers of reform invites the objection that it is a wish-list rather than a programme. The objection is answered by specifying the order in which the layers should be addressed and the dependencies between them, which is the subject of this section. Three principles govern the sequence.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reforms should be ordered by the ratio of governance gain to institutional cost. Some of the measures proposed require legislation, institutional creation or international coordination, and are correspondingly slow and uncertain. Others can be effected by a superior court exercising powers it already possesses, by amendment to rules of court, or by administrative practice. A reform programme that begins with the measures requiring least institutional change acquires early credibility and generates the information on which the more ambitious measures depend.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information-producing reforms should precede value-allocating reforms. Several of the layers cannot be implemented well without evidence that does not presently exist. The valuation layer depends on reliable essentiality information and on visibility of comparable terms; the aggregate-burden question cannot be addressed at all without aggregate disclosure. Attempting to reform valuation before the informational layer has been addressed means legislating on the basis of the contested and affiliation-dependent estimates examined at Chapter 4.9.4, which is how the field has arrived at its present condition.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that reforms which shift burdens between the parties should be introduced symmetrically. A measure disciplining proprietor conduct, introduced without a corresponding measure disciplining implementer conduct, will be resisted as partisan and will in any event distort the bargaining position in a direction the framework does not intend. The symmetry principle is not a counsel of timidity; it is a recognition that the regime's legitimacy depends on both constituencies having reason to accept it.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Applying those principles yields three phases.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phase comprises measures available to the courts and to the rules committees without legislation. The evidentiary discipline established in the appellate reversal discussed at Chapter 7.4.3 should be consolidated: essentiality and infringement proved rather than assumed, claim charts required, foreign essentiality assessments admitted only through witnesses who can be examined, and the royalty base confined to the scope of the claim. A structured confidentiality-club practice permitting scrutiny of comparable licences should be developed, since the general non-discrimination standard adopted at Chapter 3.5.3 is defensible only if differences can be detected. A symmetrical willingness standard should be articulated, disciplining implementer delay and proprietor coercion by parallel proceedings alike. And an interim-payment and security practice should be normalised, so that the passage of time during a determination neither rewards delay nor prices exclusion. None of this requires primary legislation. All of it is within the competence of a specialist division of the kind now constituted.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phase comprises measures requiring administrative or institutional action but not necessarily new primary legislation. Sampled and independent essentiality assessment should be established, whether hosted by the patent office, by an accredited third party or by an arrangement with the standards community; the assessment need not be exhaustive, since representative sampling addresses the informational deficit at a fraction of the cost of comprehensive examination. Provision should be made for expert determination of discrete valuation questions within proceedings. Support mechanisms for small and medium-sized enterprises facing assertion should be developed, since the access-to-justice deficiency identified at Chapter 5.7.2 is otherwise unaddressed by any of the doctrinal reforms.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phase comprises measures requiring legislative or international action. The boundary between the patent and competition regimes requires authoritative resolution, and the position advocated at Chapter 7.5.3 — coordinated concurrent jurisdiction rather than exclusion — may require legislative expression if it is not achieved judicially. Aggregate-royalty disclosure obligations, if they are to bind, require a legal basis. And the coordination measures discussed at Chapter 6.10.4 depend on reciprocity and cannot be delivered unilaterally.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couplings between layers should be stated explicitly, because reform at one layer predictably shifts pressure to another and the framework's utility depends on making those shifts visible in advance. Improving essentiality information strengthens the top-down method and correspondingly weakens the argument for exclusive reliance on comparables; it also reduces the informational advantage that presently supports proprietor bargaining positions, and should therefore be expected to attract resistance disproportionate to its apparently technical character. Requiring disclosure of comparables makes the general non-discrimination standard enforceable but increases the cost and length of proceedings, which aggravates the access-to-justice problem unless accompanied by the support measures in the second phase. Constraining injunctive relief reduces proprietor leverage and correspondingly increases the return to implementer delay, which is why the framework couples remedial constraint with interim payment rather than adopting it alone. And resolving the institutional boundary in favour of concurrent jurisdiction preserves a supervisory check on discrimination and exclusion, at the cost of the duplication risk that exclusive jurisdiction would remove; the framework accepts that cost for the reasons given at Chapter 3.6, but does not pretend it is absent.</w:t>
      </w:r>
    </w:p>
    <w:p>
      <w:pPr>
        <w:pStyle w:val="Heading2"/>
        <w:spacing w:after="150" w:before="300" w:line="240"/>
      </w:pPr>
      <w:r>
        <w:rPr>
          <w:rFonts w:ascii="Times New Roman" w:cs="Times New Roman" w:eastAsia="Times New Roman" w:hAnsi="Times New Roman"/>
          <w:b/>
          <w:bCs/>
          <w:i w:val="false"/>
          <w:iCs w:val="false"/>
          <w:sz w:val="25"/>
          <w:szCs w:val="25"/>
        </w:rPr>
        <w:t xml:space="preserve">7.9 Conclusion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India's structural position is distinctive: a very large implementer market, a growing contributor base, a downstream domestic industry without cross-licensing leverage, a patent statute with express public-interest principles, improving specialist judicial capacity, and an unresolved question about which of its institutions may supervise licensing conduct.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jurisprudence has developed rapidly and in two directions. The Lava determination establishes that Indian courts will determine compliant rates, aligns India with the international preference for comparable-licence analysis, and adopts an end-device base whose distributional consequences are regressive. The Philips appeal establishes a demanding evidentiary discipline, insisting that essentiality be proved through claim charts and tested evidence, applying exhaustion to protect downstream manufacturers, placing the burden in relation to the licensing obligation on the proprietor, drawing an adverse inference from non-disclosure of comparables, and aligning the royalty base with claim scope. The tension between the two on the question of the base is unresolved and should be acknowledged as such.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framework proposed disaggregates the field into nine layers, specifies for each an evaluative criterion, a competent institution and a calibrated Indian reform, and states the trade-off that each reform entails. Its most consequential recommendations are the coupling of a demanding willingness standard with enforceable disclosure, the location of independent sampled essentiality assessment outside the membership organisations, the systematisation of the conditional interim deposit as a symmetrical remedial instrument, coordinated concurrent jurisdiction in place of categorical exclusivity, and the treatment of the section 83 principles as interpretive guides within the remedial discretion rather than as a substantive override.</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Chapter 8: Conclusion</w:t>
      </w:r>
    </w:p>
    <w:p>
      <w:pPr>
        <w:pStyle w:val="Heading2"/>
        <w:spacing w:after="150" w:before="300" w:line="240"/>
      </w:pPr>
      <w:r>
        <w:rPr>
          <w:rFonts w:ascii="Times New Roman" w:cs="Times New Roman" w:eastAsia="Times New Roman" w:hAnsi="Times New Roman"/>
          <w:b/>
          <w:bCs/>
          <w:i w:val="false"/>
          <w:iCs w:val="false"/>
          <w:sz w:val="25"/>
          <w:szCs w:val="25"/>
        </w:rPr>
        <w:t xml:space="preserve">8.1 The answer to the research question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question this dissertation set out to answer was how the legal and institutional governance of standard-essential patent licensing should reconcile incentives for technological contribution with interoperability, competition, downstream innovation, access to standardised technology and the public interest, particularly in India and in selected comparative jurisdictions.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answer is that reconciliation cannot be achieved by any single instrument, and that the search for one has been the principal error of both the scholarship and the policy debate in this field. Neither bilateral bargaining, nor judicial rate-setting, nor competition-law supervision, nor substantive rule-making by standard-development organisations is capable of the task alone, and each fails for reasons connected to the failures of the others.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Bilateral bargaining fails because it operates under an informational asymmetry that the institutions of standardisation create and do not correct. An implementer that cannot ascertain which of the patents asserted against it are essential, and cannot see the terms on which others have licensed, is not in a position to bargain over value; it is in a position to accept or to litigate.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Judicial rate-setting fails as a general solution, though it succeeds in individual cases, because it is inaccessible to most of the parties affected by it, because its outcomes vary by an order of magnitude between competent tribunals applying the same methodology, and because the competence to conduct it is now asserted by several courts none of which defers to the others.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Competition-law supervision fails as a primary instrument because it applies only to dominant undertakings, because its procedures are not designed for valuation, and because concurrent jurisdiction over identical conduct generates duplication and inconsistency, as the unresolved Indian dispute illustrates.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Substantive rule-making by standard-development organisations fails as a load-bearing solution because it is institutionally fragile: a rule adopted by a membership organisation can be reversed by that organisation under pressure from members, and the attempt to prescribe valuation rules by that route produced, on the one occasion it was seriously made, both resistance and partial reversal.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What follows from the conjunction of these failures is not despair but a structural conclusion. Because each instrument fails in a manner that another can partially remedy, legitimate governance must be layered, and the design task is the allocation of functions among institutions according to their competence rather than the selection of a single institution to perform them all. That is the substance of the answer, and the framework in Chapter 7 is its specification.</w:t>
      </w:r>
    </w:p>
    <w:p>
      <w:pPr>
        <w:pStyle w:val="Heading2"/>
        <w:spacing w:after="150" w:before="300" w:line="240"/>
      </w:pPr>
      <w:r>
        <w:rPr>
          <w:rFonts w:ascii="Times New Roman" w:cs="Times New Roman" w:eastAsia="Times New Roman" w:hAnsi="Times New Roman"/>
          <w:b/>
          <w:bCs/>
          <w:i w:val="false"/>
          <w:iCs w:val="false"/>
          <w:sz w:val="25"/>
          <w:szCs w:val="25"/>
        </w:rPr>
        <w:t xml:space="preserve">8.2 The thesis, tested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working thesis stated in section 1.5 is substantially sustained.</w:t>
      </w:r>
      <w:r>
        <w:rPr>
          <w:rStyle w:val="FootnoteReference"/>
        </w:rPr>
        <w:footnoteReference w:id="57"/>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first element, that standard-essential patents operate within a hybrid transnational innovation-governance regime in which private and public institutions jointly allocate technological and economic power, is established by the analysis in Chapters 2 and 3. The obligation originates in the internal rules of voluntary associations, takes effect as a contract governed by a single national law, is enforced by courts throughout the world applying their own remedial rules, and is supervised to varying degrees by competition authorities. No account that treats the field as belonging to any one of these institutions describes it accurately.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second element, that the obligation is structurally underdeterminate, is established most powerfully by the comparative evidence in Chapter 6. Courts applying broadly convergent comparable-licence methodologies to substantially similar questions have reached determinations differing by an order of magnitude, and the English appellate record shows such divergence within a single system on a single set of evidence. The Unified Patent Court's express conception of the obligation as identifying a range or corridor rather than a point is the doctrinal recognition of what the empirical record demonstrates. Underdeterminacy is a property of the standard, not a symptom of judicial incapacity.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third element, that enforcement is territorially fragmented and that the fragmentation now takes the form of competition between fora asserting global competence, is established in section 6.4. Three centres of global or multi-territorial determination now exist, and the allocation of authority among them is settled by procedural speed rather than by principle.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fourth element, that legitimate governance therefore requires a layered framework of the kind specified, is the conclusion the dissertation defends. It does not follow deductively from the first three; it is an argument from institutional competence, and its strength depends on the layer-by-layer analysis in Chapter 7 rather than on any general principle.</w:t>
      </w:r>
    </w:p>
    <w:p>
      <w:pPr>
        <w:pStyle w:val="Heading2"/>
        <w:spacing w:after="150" w:before="300" w:line="240"/>
      </w:pPr>
      <w:r>
        <w:rPr>
          <w:rFonts w:ascii="Times New Roman" w:cs="Times New Roman" w:eastAsia="Times New Roman" w:hAnsi="Times New Roman"/>
          <w:b/>
          <w:bCs/>
          <w:i w:val="false"/>
          <w:iCs w:val="false"/>
          <w:sz w:val="25"/>
          <w:szCs w:val="25"/>
        </w:rPr>
        <w:t xml:space="preserve">8.3 Qualifications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thesis requires qualification in three respects, and the qualifications are not concessions but findings.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that jurisdictions may legitimately differ. The Chinese determination that differentiated rates by market development, and the Indian statutory principles requiring that patents operate as an instrument to promote the public interest and that inventions be available at reasonably affordable prices, are expressions of distributive priorities that a jurisdiction is entitled to hold. A framework that treated convergence as the object would be asking jurisdictions to abandon commitments their legislatures have made. What the framework proposed does require is that such commitments be pursued through instruments that can bear them: the recommendation in section 7.7.10 that the Indian principles operate as interpretive guides within the remedial discretion, rather than as a substantive override of the licensing obligation, reflects a judgment about which instruments can.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that a uniform global rule is neither achievable nor desirable. It is not achievable because no institution has the authority to make it and the courts asserting global competence do not defer to one another. It is not desirable because the underdeterminacy established in Chapter 4 means that any single rule would be a choice among defensible outcomes imposed by whichever body made it, and because the sectoral variation examined in section 4.3.3 means that a rule appropriate to handsets would not be appropriate to connected vehicles. What is achievable, and what section 7.7.9 recommends, is coordination: comity practices that prevent duplicative determination, crediting techniques of the kind the English Court of Appeal employed, and the development of neutral machinery that parties have reason to accept.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that sector-specific treatment is justified. The rules examined in this dissertation were developed in an industry of concentrated, sophisticated, mutually licensing participants and are being applied to supply chains that are long, fragmented, populated by undertakings without patent expertise, and characterised by margins and product lifecycles quite unlike those of handsets. The evidence presently available does not permit a confident statement of how the rules should differ, but it does permit the conclusion that requiring them to be identical is unjustified.</w:t>
      </w:r>
    </w:p>
    <w:p>
      <w:pPr>
        <w:pStyle w:val="Heading2"/>
        <w:spacing w:after="150" w:before="300" w:line="240"/>
      </w:pPr>
      <w:r>
        <w:rPr>
          <w:rFonts w:ascii="Times New Roman" w:cs="Times New Roman" w:eastAsia="Times New Roman" w:hAnsi="Times New Roman"/>
          <w:b/>
          <w:bCs/>
          <w:i w:val="false"/>
          <w:iCs w:val="false"/>
          <w:sz w:val="25"/>
          <w:szCs w:val="25"/>
        </w:rPr>
        <w:t xml:space="preserve">8.4 Principal findings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Eight findings may be stated compactly.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number of declarations made in respect of a portfolio is an unreliable proxy for the quantity of essential technology it contains, and this unreliability is a structural consequence of a system in which declarations are unverified and the incentives to declare are asymmetric. It propagates into valuation, into the assessment of negotiating conduct and into adjudication, and it is the foundational failure of the regime.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obligation is contractual in origin, composite rather than tripartite, underdeterminate on substance and capable of considerable precision on procedure. Its non-discrimination limb, on the general reading that practical administrability requires, is a protection only if differences between licences can be detected, which requires disclosure that is not presently available.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Standard-development organisations can prescribe substantive licensing rules but cannot reliably sustain them, and such rule-making is therefore suited to matters on which members' interests are aligned and unsuited to matters on which they are opposed.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 valuation methodology is legally mandatory and none is free of contestable assumptions. Methodological convergence has not produced and will not produce convergence of outcome.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Hold-up and hold-out are both real risks, each supported by a coherent mechanism and neither established as systematically dominant. The aggregate royalty burden cannot presently be stated to an acceptable standard. This evidentiary vacuum is itself a finding with governance consequences, and it requires that remedial instruments be symmetrical as between the two risks.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systems examined have converged on willingness as the criterion governing injunctive relief and diverged on whether it requires an advance commitment to judicial determination. That divergence is a symptom of the informational deficit rather than an independent doctrinal dispute, and it is answered by coupling the standard with enforceable disclosure.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Competition law is properly residual in this field: well suited to exclusionary conduct, ill suited to valuation, and productive of duplication where concurrent jurisdiction over identical conduct is permitted.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 possesses a statutory public-interest vocabulary, improving specialist judicial capacity, a genuine remedial innovation in the conditional interim deposit, and a recent appellate insistence that essentiality be proved rather than assumed. It also possesses an unresolved institutional boundary dispute, an unresolved tension in its own authorities on the royalty base, and an access-to-justice deficit that its jurisprudence has not addressed.</w:t>
      </w:r>
    </w:p>
    <w:p>
      <w:pPr>
        <w:pStyle w:val="Heading2"/>
        <w:spacing w:after="150" w:before="300" w:line="240"/>
      </w:pPr>
      <w:r>
        <w:rPr>
          <w:rFonts w:ascii="Times New Roman" w:cs="Times New Roman" w:eastAsia="Times New Roman" w:hAnsi="Times New Roman"/>
          <w:b/>
          <w:bCs/>
          <w:i w:val="false"/>
          <w:iCs w:val="false"/>
          <w:sz w:val="25"/>
          <w:szCs w:val="25"/>
        </w:rPr>
        <w:t xml:space="preserve">8.5 The contribution and its limits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contribution is the layered framework specified in section 7.7. Its claims were stated there and are restated here in their limited form: not that the components are novel, but that disaggregation into layers with distinct criteria and distinct competent institutions is more productive than treating the field as presenting a single question; that making trade-offs explicit prevents the presentation of partial improvements as unqualified ones; and that application to India yields reforms calibrated to that jurisdiction rather than transplanted.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Its limits should be stated with equal clarity. The framework is normative and institutional, not econometric; it cannot quantify the effects of the reforms it proposes, and for the reasons given in section 4.9 no one presently can. Its assessment of institutional competence rests on the comparative record of six systems, which is a small sample from which to generalise about what courts and competition authorities can do. Several of its recommendations depend on empirical premises that better information may unsettle, which is why section 7.7.10 builds periodic review into the framework rather than treating its conclusions as settled. And it is a framework for a jurisdiction, not a proposal for an international regime; the coordination it recommends at layer eight is the one layer at which unilateral action by India cannot succeed.</w:t>
      </w:r>
    </w:p>
    <w:p>
      <w:pPr>
        <w:pStyle w:val="Heading2"/>
        <w:spacing w:after="150" w:before="300" w:line="240"/>
      </w:pPr>
      <w:r>
        <w:rPr>
          <w:rFonts w:ascii="Times New Roman" w:cs="Times New Roman" w:eastAsia="Times New Roman" w:hAnsi="Times New Roman"/>
          <w:b/>
          <w:bCs/>
          <w:i w:val="false"/>
          <w:iCs w:val="false"/>
          <w:sz w:val="25"/>
          <w:szCs w:val="25"/>
        </w:rPr>
        <w:t xml:space="preserve">8.6 Reform implications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For India specifically, the analysis yields five priorities in approximate order of tractability.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Consolidate and extend the essentiality-proof discipline. The claim-chart requirement in the Delhi High Court's rules, applied in the Philips appeal, is the single most effective available response to the foundational failure identified in this dissertation, and it is already substantially in place.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Require production of comparable licences within adequate confidentiality arrangements, with an adverse inference on non-disclosure. This makes the general reading of the non-discrimination limb administrable and is within the competence of the courts without legislative change.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Systematise the conditional interim deposit with published guidance on quantification. This is an existing Indian practice, symmetrical in its operation, and capable of refinement through judicial guidance.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Resolve the institutional boundary through coordinated concurrent jurisdiction rather than categorical exclusivity, allocating the determination of terms to the patent court and the assessment of exclusionary conduct to the Commission. The pending appellate proceedings present the occasion, though the form of any resolution is a matter for the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Address the access-to-justice deficit through expedited rate-only determination with proportionate costs. This is the reform least addressed by the existing jurisprudence and the one that would most alter the practical position of the implementer population that the doctrine presently does not reach.</w:t>
      </w:r>
    </w:p>
    <w:p>
      <w:pPr>
        <w:pStyle w:val="Heading2"/>
        <w:spacing w:after="150" w:before="300" w:line="240"/>
      </w:pPr>
      <w:r>
        <w:rPr>
          <w:rFonts w:ascii="Times New Roman" w:cs="Times New Roman" w:eastAsia="Times New Roman" w:hAnsi="Times New Roman"/>
          <w:b/>
          <w:bCs/>
          <w:i w:val="false"/>
          <w:iCs w:val="false"/>
          <w:sz w:val="25"/>
          <w:szCs w:val="25"/>
        </w:rPr>
        <w:t xml:space="preserve">8.6A What would falsify the thesis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normative argument in a contested field should state the conditions under which it would be wrong. Doing so is not a rhetorical concession; it identifies what the argument actually depends on, and it distinguishes the parts of the thesis that rest on evidence from the parts that rest on the weighting of criteria. Four findings would materially undermine the thesis advanced in this dissertation.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would be evidence that the obligation to license on fair, reasonable and non-discriminatory terms is not in fact underdeterminate — that the divergence between judicial determinations recorded at Chapter 6.6 is attributable to identifiable error rather than to the absence of a unique compliant rate. If it could be shown that a correctly specified valuation method yields a stable result on given evidence, and that the divergent determinations are explicable as departures from it, the case for treating the obligation as a range policed by process would weaken considerably, and with it the argument that governance cannot rest on adjudication alone. The dissertation's position is that the record does not support such a showing; but the record is small, and a larger body of determinations converging as methods settle would tell against the thesis.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would be evidence that the transparency deficit is not causally significant — that improved essentiality information would not materially alter negotiating outcomes, valuation quality or the position of smaller implementers. The framework places essentiality transparency at its second layer and treats it as the highest-value reform, on the reasoning set out at Chapter 3.3.2. That reasoning is inferential. If sampled essentiality assessment were implemented in some jurisdiction and were found not to affect outcomes, the framework's ordering of priorities would require revision, and the resources it proposes to devote to the informational layer would be better spent elsewhere.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would be evidence that remedial calibration has substantial effects on the rate of technological contribution. The dissertation treats the hold-up and hold-out hypotheses as theoretically credible and empirically unresolved, and on that basis recommends symmetrical discipline rather than remedial restriction. If it were established that constraining injunctive relief materially reduces contribution to open standards, the case for conditionality would weaken and the case for robust relief would strengthen. If the converse were established — that robust relief materially suppresses downstream implementation and entry — the case for restriction would strengthen correspondingly. Either finding would disturb the framework's deliberate even-handedness at its sixth layer, and the even-handedness is a response to the absence of evidence rather than a positive finding of equivalence.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would be a demonstration that the layered approach is institutionally incoherent — that the couplings identified at Chapter 7.8A are such that the reforms cannot be implemented together without producing effects none of them intends. The framework asserts that the layers are separable for analysis and sequenceable for implementation. That assertion is defended but not proved, and it is the kind of claim that implementation would test more effectively than argument.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elements of the thesis, by contrast, are not empirical and could not be falsified by evidence of any kind. The specification of public-interest criteria at Chapter 2.8 is a normative choice, defended by argument and open to disagreement on the same footing. And the preference for the contractual foundation of the obligation at Chapter 3.4.1 is a doctrinal judgment about the better reading of an instrument, which evidence about consequences cannot settle. A reader who rejected either would reach different conclusions from the same material, and the dissertation has attempted to make both explicit precisely so that the disagreement can be located rather than obscured.</w:t>
      </w:r>
    </w:p>
    <w:p>
      <w:pPr>
        <w:pStyle w:val="Heading2"/>
        <w:spacing w:after="150" w:before="300" w:line="240"/>
      </w:pPr>
      <w:r>
        <w:rPr>
          <w:rFonts w:ascii="Times New Roman" w:cs="Times New Roman" w:eastAsia="Times New Roman" w:hAnsi="Times New Roman"/>
          <w:b/>
          <w:bCs/>
          <w:i w:val="false"/>
          <w:iCs w:val="false"/>
          <w:sz w:val="25"/>
          <w:szCs w:val="25"/>
        </w:rPr>
        <w:t xml:space="preserve">8.7 Limitations of the dissertation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limitations stated in section 1.10 bear restatement in the light of what has been argued.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empirical limitation is the most serious, and it constrains the conclusions rather than the reasoning. Where a proposition could not be established it has been narrowed or withdrawn, and the dissertation has declined to adopt an aggregate royalty figure, to state a hold-up magnitude, or to assert an essentiality rate more precise than the range recorded in official material.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currency limitation affects several central authorities. The Unified Patent Court's jurisprudence is nascent; the Indian institutional appeal was pending at the research cutoff; the appellate status of the principal Indian damages award requires confirmation. The analysis states status in exact terms and assumes no outcome.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access limitation means that for a number of judgments the full primary text was not opened during research, with the consequence that propositions are supported only to the extent corroborated material bears them and that pinpoint references have been omitted rather than approximated. Appendix E records every instance.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scope limitation means that the conclusions are conclusions about the systems examined and about the structural features they share, not claims about global consensus.</w:t>
      </w:r>
    </w:p>
    <w:p>
      <w:pPr>
        <w:pStyle w:val="Heading2"/>
        <w:spacing w:after="150" w:before="300" w:line="240"/>
      </w:pPr>
      <w:r>
        <w:rPr>
          <w:rFonts w:ascii="Times New Roman" w:cs="Times New Roman" w:eastAsia="Times New Roman" w:hAnsi="Times New Roman"/>
          <w:b/>
          <w:bCs/>
          <w:i w:val="false"/>
          <w:iCs w:val="false"/>
          <w:sz w:val="25"/>
          <w:szCs w:val="25"/>
        </w:rPr>
        <w:t xml:space="preserve">8.8 Future research</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Four lines of further research are indicated, and each is framed narrowly enough to be tractable.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is doctrinal and immediate: the resolution of the Indian institutional boundary and the reconciliation of the approaches to the royalty base taken in the Lava determination and the Philips appeal. Both are questions that Indian appellate courts will answer, and the answers will substantially determine the shape of Indian law in this field.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is empirical and specific: the distributional incidence of end-device as against apportioned royalty bases in price-sensitive markets. This is a question on which data may be obtainable, since device prices and volumes are observable even where licence terms are not, and it bears directly on the developmental concern identified in section 7.6.1.</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is institutional: whether independent sampled essentiality assessment can be designed to command acceptance, and what status its results should be accorded. The design questions are tractable, and the experience of any jurisdiction that implements such a mechanism would be highly informative.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fourth is comparative and longer-term: whether neutral arbitral or mediation machinery can displace the competition between fora documented in Chapter 6. The obstacle is not institutional design but incentive, since parties who disagree about value also disagree about the forum, and the research question is what conditions would make submission rational for both.</w:t>
      </w:r>
    </w:p>
    <w:p>
      <w:pPr>
        <w:pStyle w:val="Heading2"/>
        <w:spacing w:after="150" w:before="300" w:line="240"/>
      </w:pPr>
      <w:r>
        <w:rPr>
          <w:rFonts w:ascii="Times New Roman" w:cs="Times New Roman" w:eastAsia="Times New Roman" w:hAnsi="Times New Roman"/>
          <w:b/>
          <w:bCs/>
          <w:i w:val="false"/>
          <w:iCs w:val="false"/>
          <w:sz w:val="25"/>
          <w:szCs w:val="25"/>
        </w:rPr>
        <w:t xml:space="preserve">8.9 Closing observation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governance of standard-essential patents is often presented as a search for the correct royalty. The argument of this dissertation is that it is nothing of the kind. There is no correct royalty to be found, because the standard that governs identifies a range of defensible outcomes and because the information required to locate any point within that range with confidence is, by the design of the institutions that generate it, unavailable. What is at stake is therefore the design of institutions capable of producing outcomes within that range through processes that the parties affected, and the wider public whose access to standardised technology is determined by them, have reason to accept.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Seen in that light the field's central problems are tractable in a way that the search for a correct rate is not. The foundational failure is informational, and information can be improved. The divergence between jurisdictions on willingness is a consequence of that failure and would narrow if it were remedied. The competition between fora is a coordination problem, and coordination problems have solutions even where they are difficult. And the developmental concerns that India's statute articulates can be pursued through the instruments of proof, disclosure, base determination and remedial discretion without requiring any jurisdiction to abandon the obligation that makes collaborative standardisation possible in the first place.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 is unusually well placed to demonstrate this. It has the statutory vocabulary, it has a specialist court that has already shown itself willing to insist that essentiality be proved rather than asserted, it has an indigenous remedial instrument in the conditional interim deposit, and it has the implementer population whose position the transnational doctrine least adequately accommodates. What it lacks is a settled allocation of institutional authority and a procedure accessible to the undertakings that most need it. Both are within its power to supply.</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Bibliography</w:t>
      </w:r>
    </w:p>
    <w:p>
      <w:pPr>
        <w:pStyle w:val="Heading2"/>
        <w:spacing w:after="150" w:before="300" w:line="240"/>
      </w:pPr>
      <w:r>
        <w:rPr>
          <w:rFonts w:ascii="Times New Roman" w:cs="Times New Roman" w:eastAsia="Times New Roman" w:hAnsi="Times New Roman"/>
          <w:b/>
          <w:bCs/>
          <w:i w:val="false"/>
          <w:iCs w:val="false"/>
          <w:sz w:val="25"/>
          <w:szCs w:val="25"/>
        </w:rPr>
        <w:t xml:space="preserve">Primary sources: cases</w:t>
      </w:r>
    </w:p>
    <w:p>
      <w:pPr>
        <w:pStyle w:val="Heading3"/>
        <w:spacing w:after="150" w:before="300" w:line="240"/>
      </w:pPr>
      <w:r>
        <w:rPr>
          <w:rFonts w:ascii="Times New Roman" w:cs="Times New Roman" w:eastAsia="Times New Roman" w:hAnsi="Times New Roman"/>
          <w:b/>
          <w:bCs/>
          <w:i/>
          <w:iCs/>
          <w:sz w:val="24"/>
          <w:szCs w:val="24"/>
        </w:rPr>
        <w:t xml:space="preserve">Court of Justice of the European Union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Case C-170/13 Huawei Technologies Co Ltd v ZTE Corp EU:C:2015:477</w:t>
      </w:r>
    </w:p>
    <w:p>
      <w:pPr>
        <w:pStyle w:val="Heading3"/>
        <w:spacing w:after="150" w:before="300" w:line="240"/>
      </w:pPr>
      <w:r>
        <w:rPr>
          <w:rFonts w:ascii="Times New Roman" w:cs="Times New Roman" w:eastAsia="Times New Roman" w:hAnsi="Times New Roman"/>
          <w:b/>
          <w:bCs/>
          <w:i/>
          <w:iCs/>
          <w:sz w:val="24"/>
          <w:szCs w:val="24"/>
        </w:rPr>
        <w:t xml:space="preserve">United Kingdom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InterDigital Technology Corp v Lenovo Group Ltd [2023] EWHC 1583 (Pat)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InterDigital Technology Corp v Lenovo Group Ltd [2024] EWCA Civ 743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Optis Cellular Technology LLC v Apple Retail UK Ltd [2025] EWCA Civ 552</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Panasonic Holdings Corp v Xiaomi Technology UK Ltd [2024] EWCA Civ 1143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Unwired Planet International Ltd v Huawei Technologies Co Ltd [2017] EWHC 711 (Pat)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Unwired Planet International Ltd v Huawei Technologies (UK) Co Ltd [2020] UKSC 37</w:t>
      </w:r>
    </w:p>
    <w:p>
      <w:pPr>
        <w:pStyle w:val="Heading3"/>
        <w:spacing w:after="150" w:before="300" w:line="240"/>
      </w:pPr>
      <w:r>
        <w:rPr>
          <w:rFonts w:ascii="Times New Roman" w:cs="Times New Roman" w:eastAsia="Times New Roman" w:hAnsi="Times New Roman"/>
          <w:b/>
          <w:bCs/>
          <w:i/>
          <w:iCs/>
          <w:sz w:val="24"/>
          <w:szCs w:val="24"/>
        </w:rPr>
        <w:t xml:space="preserve">Germany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Sisvel v Haier, Bundesgerichtshof, KZR 36/17, decision of 5 May 2020</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Sisvel v Haier II, Bundesgerichtshof, KZR 35/17, decision of 24 November 2020</w:t>
      </w:r>
    </w:p>
    <w:p>
      <w:pPr>
        <w:pStyle w:val="Heading3"/>
        <w:spacing w:after="150" w:before="300" w:line="240"/>
      </w:pPr>
      <w:r>
        <w:rPr>
          <w:rFonts w:ascii="Times New Roman" w:cs="Times New Roman" w:eastAsia="Times New Roman" w:hAnsi="Times New Roman"/>
          <w:b/>
          <w:bCs/>
          <w:i/>
          <w:iCs/>
          <w:sz w:val="24"/>
          <w:szCs w:val="24"/>
        </w:rPr>
        <w:t xml:space="preserve">Unified Patent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Huawei Technologies Co Ltd v Netgear Inc, Court of First Instance, Munich Local Division, UPC_CFI_9/2023, decision of 18 December 2024</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Panasonic Holdings Corp v Guangdong OPPO Mobile Telecommunications Corp Ltd, Court of First Instance, Mannheim Local Division, UPC_CFI_210/2023, decision of 22 November 2024</w:t>
      </w:r>
    </w:p>
    <w:p>
      <w:pPr>
        <w:pStyle w:val="Heading3"/>
        <w:spacing w:after="150" w:before="300" w:line="240"/>
      </w:pPr>
      <w:r>
        <w:rPr>
          <w:rFonts w:ascii="Times New Roman" w:cs="Times New Roman" w:eastAsia="Times New Roman" w:hAnsi="Times New Roman"/>
          <w:b/>
          <w:bCs/>
          <w:i/>
          <w:iCs/>
          <w:sz w:val="24"/>
          <w:szCs w:val="24"/>
        </w:rPr>
        <w:t xml:space="preserve">United States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eBay Inc v MercExchange LLC 547 US 388 (2006)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Federal Trade Commission v Qualcomm Inc 969 F.3d 974 (9th Cir 2020)</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Federal Trade Commission v Qualcomm Inc 411 F Supp 3d 658 (ND Cal 2019)</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Microsoft Corp v Motorola Inc 696 F.3d 872 (9th Cir 2012)</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Microsoft Corp v Motorola Inc 795 F.3d 1024 (9th Cir 2015)</w:t>
      </w:r>
    </w:p>
    <w:p>
      <w:pPr>
        <w:pStyle w:val="Heading3"/>
        <w:spacing w:after="150" w:before="300" w:line="240"/>
      </w:pPr>
      <w:r>
        <w:rPr>
          <w:rFonts w:ascii="Times New Roman" w:cs="Times New Roman" w:eastAsia="Times New Roman" w:hAnsi="Times New Roman"/>
          <w:b/>
          <w:bCs/>
          <w:i/>
          <w:iCs/>
          <w:sz w:val="24"/>
          <w:szCs w:val="24"/>
        </w:rPr>
        <w:t xml:space="preserve">People's Republic of China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OPPO v Nokia, Chongqing First Intermediate People's Court, (2021) Yu 01 Min Chu No 1232, judgment released December 2023</w:t>
      </w:r>
    </w:p>
    <w:p>
      <w:pPr>
        <w:pStyle w:val="Heading3"/>
        <w:spacing w:after="150" w:before="300" w:line="240"/>
      </w:pPr>
      <w:r>
        <w:rPr>
          <w:rFonts w:ascii="Times New Roman" w:cs="Times New Roman" w:eastAsia="Times New Roman" w:hAnsi="Times New Roman"/>
          <w:b/>
          <w:bCs/>
          <w:i/>
          <w:iCs/>
          <w:sz w:val="24"/>
          <w:szCs w:val="24"/>
        </w:rPr>
        <w:t xml:space="preserve">India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K.K. Bansal v Koninklijke Philips Electronics NV (High Court of Delhi, Division Bench, RFA(OS)(COMM) 17 and 18 of 2018, 18 May 2026)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Koninklijke Philips Electronics NV v Rajesh Bansal (High Court of Delhi, single judge, 12 July 2018)</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Lava International Ltd v Telefonaktiebolaget LM Ericsson 2024:DHC:2698; 2024 SCC OnLine Del 2497 (High Court of Delhi, 28 March 2024)</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Telefonaktiebolaget LM Ericsson (PUBL) v Competition Commission of India (High Court of Delhi, single judge, 30 March 2016)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Telefonaktiebolaget LM Ericsson (PUBL) v Competition Commission of India (High Court of Delhi, Division Bench, 13 July 2023)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Telefonaktiebolaget LM Ericsson (PUBL) v Intex Technologies (India) Ltd (High Court of Delhi, Division Bench, 2023)</w:t>
      </w:r>
    </w:p>
    <w:p>
      <w:pPr>
        <w:pStyle w:val="Heading2"/>
        <w:spacing w:after="150" w:before="300" w:line="240"/>
      </w:pPr>
      <w:r>
        <w:rPr>
          <w:rFonts w:ascii="Times New Roman" w:cs="Times New Roman" w:eastAsia="Times New Roman" w:hAnsi="Times New Roman"/>
          <w:b/>
          <w:bCs/>
          <w:i w:val="false"/>
          <w:iCs w:val="false"/>
          <w:sz w:val="25"/>
          <w:szCs w:val="25"/>
        </w:rPr>
        <w:t xml:space="preserve">Primary sources: legislation</w:t>
      </w:r>
    </w:p>
    <w:p>
      <w:pPr>
        <w:pStyle w:val="Heading3"/>
        <w:spacing w:after="150" w:before="300" w:line="240"/>
      </w:pPr>
      <w:r>
        <w:rPr>
          <w:rFonts w:ascii="Times New Roman" w:cs="Times New Roman" w:eastAsia="Times New Roman" w:hAnsi="Times New Roman"/>
          <w:b/>
          <w:bCs/>
          <w:i/>
          <w:iCs/>
          <w:sz w:val="24"/>
          <w:szCs w:val="24"/>
        </w:rPr>
        <w:t xml:space="preserve">India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Competition Act 2002, as amended by the Competition (Amendment) Act 2023 (Act No 9 of 2023)</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Indian Evidence Act 1872</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Patents Act 1970</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Tribunals Reforms Act 2021</w:t>
      </w:r>
    </w:p>
    <w:p>
      <w:pPr>
        <w:pStyle w:val="Heading3"/>
        <w:spacing w:after="150" w:before="300" w:line="240"/>
      </w:pPr>
      <w:r>
        <w:rPr>
          <w:rFonts w:ascii="Times New Roman" w:cs="Times New Roman" w:eastAsia="Times New Roman" w:hAnsi="Times New Roman"/>
          <w:b/>
          <w:bCs/>
          <w:i/>
          <w:iCs/>
          <w:sz w:val="24"/>
          <w:szCs w:val="24"/>
        </w:rPr>
        <w:t xml:space="preserve">European Union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Treaty on the Functioning of the European Union, art 102</w:t>
      </w:r>
    </w:p>
    <w:p>
      <w:pPr>
        <w:pStyle w:val="Heading3"/>
        <w:spacing w:after="150" w:before="300" w:line="240"/>
      </w:pPr>
      <w:r>
        <w:rPr>
          <w:rFonts w:ascii="Times New Roman" w:cs="Times New Roman" w:eastAsia="Times New Roman" w:hAnsi="Times New Roman"/>
          <w:b/>
          <w:bCs/>
          <w:i/>
          <w:iCs/>
          <w:sz w:val="24"/>
          <w:szCs w:val="24"/>
        </w:rPr>
        <w:t xml:space="preserve">United States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Sherman Act, 15 USC ss 1 to 2</w:t>
      </w:r>
    </w:p>
    <w:p>
      <w:pPr>
        <w:pStyle w:val="Heading2"/>
        <w:spacing w:after="150" w:before="300" w:line="240"/>
      </w:pPr>
      <w:r>
        <w:rPr>
          <w:rFonts w:ascii="Times New Roman" w:cs="Times New Roman" w:eastAsia="Times New Roman" w:hAnsi="Times New Roman"/>
          <w:b/>
          <w:bCs/>
          <w:i w:val="false"/>
          <w:iCs w:val="false"/>
          <w:sz w:val="25"/>
          <w:szCs w:val="25"/>
        </w:rPr>
        <w:t xml:space="preserve">Primary sources: rules of court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High Court of Delhi Intellectual Property Division Rules 2022</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High Court of Delhi Rules Governing Patent Suits 2022</w:t>
      </w:r>
    </w:p>
    <w:p>
      <w:pPr>
        <w:pStyle w:val="Heading2"/>
        <w:spacing w:after="150" w:before="300" w:line="240"/>
      </w:pPr>
      <w:r>
        <w:rPr>
          <w:rFonts w:ascii="Times New Roman" w:cs="Times New Roman" w:eastAsia="Times New Roman" w:hAnsi="Times New Roman"/>
          <w:b/>
          <w:bCs/>
          <w:i w:val="false"/>
          <w:iCs w:val="false"/>
          <w:sz w:val="25"/>
          <w:szCs w:val="25"/>
        </w:rPr>
        <w:t xml:space="preserve">Primary sources: treaties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Agreement on Trade-Related Aspects of Intellectual Property Rights (Marrakesh, 15 April 1994), arts 7, 8, 30, 31, 40</w:t>
      </w:r>
    </w:p>
    <w:p>
      <w:pPr>
        <w:pStyle w:val="Heading2"/>
        <w:spacing w:after="150" w:before="300" w:line="240"/>
      </w:pPr>
      <w:r>
        <w:rPr>
          <w:rFonts w:ascii="Times New Roman" w:cs="Times New Roman" w:eastAsia="Times New Roman" w:hAnsi="Times New Roman"/>
          <w:b/>
          <w:bCs/>
          <w:i w:val="false"/>
          <w:iCs w:val="false"/>
          <w:sz w:val="25"/>
          <w:szCs w:val="25"/>
        </w:rPr>
        <w:t xml:space="preserve">Official and institutional materials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Commission, 'Setting out the EU approach to Standard Essential Patents' (Communication) COM(2017) 712 final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Commission, Proposal for a Regulation of the European Parliament and of the Council on standard essential patents, COM(2023) 232 final (withdrawn)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United States Department of Justice, Antitrust Division, business review letter to the Institute of Electrical and Electronics Engineers (2015)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United States Department of Justice, Antitrust Division, letter to the Institute of Electrical and Electronics Engineers (2020)</w:t>
      </w:r>
    </w:p>
    <w:p>
      <w:pPr>
        <w:pStyle w:val="Heading2"/>
        <w:spacing w:after="150" w:before="300" w:line="240"/>
      </w:pPr>
      <w:r>
        <w:rPr>
          <w:rFonts w:ascii="Times New Roman" w:cs="Times New Roman" w:eastAsia="Times New Roman" w:hAnsi="Times New Roman"/>
          <w:b/>
          <w:bCs/>
          <w:i w:val="false"/>
          <w:iCs w:val="false"/>
          <w:sz w:val="25"/>
          <w:szCs w:val="25"/>
        </w:rPr>
        <w:t xml:space="preserve">Standard-development-organisation instruments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European Telecommunications Standards Institute, Guide on Intellectual Property Rights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European Telecommunications Standards Institute, Rules of Procedure, Annex 6: Intellectual Property Rights Policy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Institute of Electrical and Electronics Engineers Standards Association, Standards Board Bylaws, cl 6 (Patent Policy), 2015 revision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Institute of Electrical and Electronics Engineers Standards Association, Standards Board Bylaws, cl 6 (Patent Policy), revision effective 1 January 2023</w:t>
      </w:r>
    </w:p>
    <w:p>
      <w:pPr>
        <w:pStyle w:val="Heading2"/>
        <w:spacing w:after="150" w:before="300" w:line="240"/>
      </w:pPr>
      <w:r>
        <w:rPr>
          <w:rFonts w:ascii="Times New Roman" w:cs="Times New Roman" w:eastAsia="Times New Roman" w:hAnsi="Times New Roman"/>
          <w:b/>
          <w:bCs/>
          <w:i w:val="false"/>
          <w:iCs w:val="false"/>
          <w:sz w:val="25"/>
          <w:szCs w:val="25"/>
        </w:rPr>
        <w:t xml:space="preserve">Journal articles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Contreras, J L, 'Much Ado About Hold-Up' (2019) 2019 University of Illinois Law Review 875</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Denicolò, V, Geradin, D, Layne-Farrar, A, and Padilla, A J, 'Revisiting Injunctive Relief: Interpreting eBay in High-Tech Industries with Non-Practicing Patent Holders' (2008) 4 Journal of Competition Law and Economics 571</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Galetovic, A, Haber, S, and Levine, R, 'An Empirical Examination of Patent Holdup' (2015) 11 Journal of Competition Law and Economics 549</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Lemley, M A, and Shapiro, C, 'Patent Holdup and Royalty Stacking' (2007) 85 Texas Law Review 1991</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Sidak, J G, 'Holdup, Royalty Stacking, and the Presumption of Injunctive Relief for Patent Infringement: A Reply to Lemley and Shapiro' (2008) 92 Minnesota Law Review 714</w:t>
      </w:r>
    </w:p>
    <w:p>
      <w:pPr>
        <w:pStyle w:val="Heading2"/>
        <w:spacing w:after="150" w:before="300" w:line="240"/>
      </w:pPr>
      <w:r>
        <w:rPr>
          <w:rFonts w:ascii="Times New Roman" w:cs="Times New Roman" w:eastAsia="Times New Roman" w:hAnsi="Times New Roman"/>
          <w:b/>
          <w:bCs/>
          <w:i w:val="false"/>
          <w:iCs w:val="false"/>
          <w:sz w:val="25"/>
          <w:szCs w:val="25"/>
        </w:rPr>
        <w:t xml:space="preserve">Reports and working papers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Galetovic, A, and Gupta, K, 'Royalty Stacking and Standard Essential Patents: Theory and Evidence from the World Mobile Wireless Industry' (Hoover Institution Working Group on Intellectual Property, Innovation and Prosperity, working paper, 2016)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Pohlmann, T, Landscaping Study on Standard Essential Patents (study prepared for the European Commission, 2016)</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Régibeau, P, De Coninck, R, and Zenger, H, Transparency, Predictability, and Efficiency of SSO-based Standardization and SEP Licensing (study prepared for the European Commission, 2016)</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A: Source Ledger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ledger below records the sources materially relied upon, the proposition each supports, the classification of that support, and the extent of access obtained during research. Support is classified as DIRECT where the source directly establishes the proposition; QUALIFIED where it establishes it subject to a limitation stated in the text; BACKGROUND where it informs the analysis without establishing a specific proposition; and CORROBORATED SECONDARY where the primary text was not accessed and the proposition rests on consistent reputable secondary accounts.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50"/>
        <w:gridCol w:w="1300"/>
        <w:gridCol w:w="2800"/>
        <w:gridCol w:w="1450"/>
        <w:gridCol w:w="1000"/>
      </w:tblGrid>
      <w:tr>
        <w:trPr>
          <w:cantSplit/>
          <w:tblHeader/>
        </w:trPr>
        <w:tc>
          <w:tcPr>
            <w:tcW w:type="dxa" w:w="185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Source</w:t>
            </w:r>
          </w:p>
        </w:tc>
        <w:tc>
          <w:tcPr>
            <w:tcW w:type="dxa" w:w="13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Type</w:t>
            </w:r>
          </w:p>
        </w:tc>
        <w:tc>
          <w:tcPr>
            <w:tcW w:type="dxa" w:w="28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Proposition supported</w:t>
            </w:r>
          </w:p>
        </w:tc>
        <w:tc>
          <w:tcPr>
            <w:tcW w:type="dxa" w:w="145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Support</w:t>
            </w:r>
          </w:p>
        </w:tc>
        <w:tc>
          <w:tcPr>
            <w:tcW w:type="dxa" w:w="10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Access</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 IPR Policy, cl 6.1</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SDO instrument</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Content and irrevocability of the licensing undertaking</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 IPR Policy, cl 4.1</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SDO instrument</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Content of the disclosure obligation</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ETSI Guide on IPRs</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SDO instrument</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Disclaimer as to the status of declaration data</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COM(2017) 712 final</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Official communication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Stated range of essentiality among declared patents</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v ZTE (C-170/13)</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(CJEU)</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Procedural framework governing injunctive relief</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Official report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Unwired Planet [2020] UKSC 37</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(UK)</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Composite obligation; general non-discrimination; global competence</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Unwired Planet [2017] EWHC 711 (Pat)</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(UK)</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General reading of non-discrimination; willingness formulation</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InterDigital v Lenovo (both instances)</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Judgments (UK)</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Determined per-unit rates and their adjustment on appeal</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Optis v Apple [2025] EWCA Civ 552</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(UK)</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Determined rate and lump sum; crediting of parallel award</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v Xiaomi [2024] EWCA Civ 1143</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(UK)</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Interim licence; good faith constrains the proprietor</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Sisvel v Haier (KZR 36/17)</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(DE)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Clear and unconditional willingness standard</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Sisvel v Haier II (KZR 35/17)</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(DE)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Reinforcement of the willingness standard</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v OPPO (UPC Mannheim)</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(UPC)</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Injunction granted; FRAND as a range; no pre-commitment required</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v Netgear (UPC Munich)</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(UPC)</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Injunction in a Wi-Fi context; anti-anti-suit relief</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FTC v Qualcomm 969 F.3d 974</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 antitrust duty to license rivals; chip-supplier neutrality</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Microsoft v Motorola</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Judgments (US)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Contractual enforceability and judicial rate determination</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BACKGROUND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eBay v MercExchange 547 US 388</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(US)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Equitable criteria govern injunctive relief</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OPPO v Nokia (Chongqing)</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(CN)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Global rates; territorial differentiation; reliance on counts</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Ericsson v CCI (Division Bench, 2023)</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Exclusivity of the Patents Act over the Competition Act</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Lava v Ericsson 2024:DHC:2698</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Damages; preference for comparables; end-device base</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K.K. Bansal v Philips (Division Bench, 2026)</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Judgment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Proof of essentiality; exhaustion; burden; base and claim scope</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CORROBORATED SECONDARY</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Not accessed</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Patents Act 1970, ss 83, 84, 90, 107A(b), 140</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Legislation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Public-interest principles; compulsory licensing; exhaustion</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Competition Act 2002 as amended 2023</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Legislation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Settlement and commitment mechanism</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Delhi HC Rules Governing Patent Suits 2022</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Rules of court (IN)</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Claim-chart requirement</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Lemley and Shapiro (2007)</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Journal article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hold-up and royalty-stacking model</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Galetovic, Haber and Levine (2015)</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Journal article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Absence of empirical support for systematic hold-up</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Galetovic and Gupta (2016)</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Working paper</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Royalty stacking not observable in wireless data</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Full text</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Sidak (2008)</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Journal article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Critique of the hold-up model assumptions</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Denicolo, Geradin, Layne-Farrar and Padilla (2008)</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Journal article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Critique of the treatment of injunctive relief</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DIRECT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Contreras (2019)</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Journal article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Survey of the hold-up controversy</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BACKGROUND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DOJ business review letter (2015)</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Official letter</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Antitrust posture towards the IEEE 2015 policy</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r>
        <w:trPr>
          <w:cantSplit/>
        </w:trPr>
        <w:tc>
          <w:tcPr>
            <w:tcW w:type="dxa" w:w="18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DOJ letter to IEEE (2020)</w:t>
            </w:r>
          </w:p>
        </w:tc>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Official letter</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Observed rise in negative letters of assurance</w:t>
            </w:r>
          </w:p>
        </w:tc>
        <w:tc>
          <w:tcPr>
            <w:tcW w:type="dxa" w:w="14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QUALIFIED</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Partial</w:t>
            </w:r>
          </w:p>
        </w:tc>
      </w:tr>
    </w:tbl>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B: Case Matrix</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800"/>
        <w:gridCol w:w="1100"/>
        <w:gridCol w:w="2800"/>
        <w:gridCol w:w="1400"/>
      </w:tblGrid>
      <w:tr>
        <w:trPr>
          <w:cantSplit/>
          <w:tblHeader/>
        </w:trPr>
        <w:tc>
          <w:tcPr>
            <w:tcW w:type="dxa" w:w="13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Case</w:t>
            </w:r>
          </w:p>
        </w:tc>
        <w:tc>
          <w:tcPr>
            <w:tcW w:type="dxa" w:w="10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Court</w:t>
            </w:r>
          </w:p>
        </w:tc>
        <w:tc>
          <w:tcPr>
            <w:tcW w:type="dxa" w:w="8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Date</w:t>
            </w:r>
          </w:p>
        </w:tc>
        <w:tc>
          <w:tcPr>
            <w:tcW w:type="dxa" w:w="11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Posture</w:t>
            </w:r>
          </w:p>
        </w:tc>
        <w:tc>
          <w:tcPr>
            <w:tcW w:type="dxa" w:w="28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Holding</w:t>
            </w:r>
          </w:p>
        </w:tc>
        <w:tc>
          <w:tcPr>
            <w:tcW w:type="dxa" w:w="14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Relevance</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v ZTE</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CJEU</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2015</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Preliminary reference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Abuse under art 102 unless a specified negotiation sequence is followed</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Foundational procedural framework</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Unwired Planet</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UKSC</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2020</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Jurisdiction to set global terms; composite obligation; general non-discrimination; injunction appropriate</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Origin of global rate-setting</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InterDigital v Lenovo</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EWHC; EWCA</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2023; 2024</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Trial; 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Global per-unit rate determined and adjusted upward on appeal</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Evidence of methodological variance</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Optis v Apple</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EWCA</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2025</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Comparables re-centred; rate and lump sum determined; foreign award credited</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Variance; comity technique</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v Xiaomi</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EWCA</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2024</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Interim 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Willing licensor would grant an interim licence; parallel coercion indefensible</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Good faith constrains proprietors</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Sisvel v Haier</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BGH</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2020</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Clear and unconditional willingness required; delay and conditions defeat it</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Willingness easily forfeited</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Panasonic v OPPO</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UPC Mannheim</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2024</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First instance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Injunction across participating states; FRAND a range; no pre-commitment</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Divergence within Europe</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Huawei v Netgear</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UPC Munich</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2024</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First instance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Injunction granted; proceedings settled thereafter</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Wi-Fi application; anti-anti-suit</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FTC v Qualcomm</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Ninth Circuit</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2020</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No antitrust duty to license rivals; no anticompetitive surcharge</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US retreat from antitrust</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OPPO v Nokia</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Chongqing</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2023</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First instance</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Global rates set, differentiated by market development</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Jurisdictional competition</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Ericsson v CCI</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Delhi HC (DB)</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2023</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Writ appeals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Patents Act occupies the field to the exclusion of the CCI</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Pending before the Supreme Court</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Lava v Ericsson</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Delhi HC</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2024</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Post-trial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Infringement; damages with interest; comparables preferred; end-device base</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First Indian cellular determination</w:t>
            </w:r>
          </w:p>
        </w:tc>
      </w:tr>
      <w:tr>
        <w:trPr>
          <w:cantSplit/>
        </w:trPr>
        <w:tc>
          <w:tcPr>
            <w:tcW w:type="dxa" w:w="1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K.K. Bansal v Philips</w:t>
            </w:r>
          </w:p>
        </w:tc>
        <w:tc>
          <w:tcPr>
            <w:tcW w:type="dxa" w:w="1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Delhi HC (DB)</w:t>
            </w:r>
          </w:p>
        </w:tc>
        <w:tc>
          <w:tcPr>
            <w:tcW w:type="dxa" w:w="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2026</w:t>
            </w:r>
          </w:p>
        </w:tc>
        <w:tc>
          <w:tcPr>
            <w:tcW w:type="dxa" w:w="1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First appeal</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Reversal: essentiality unproved; exhaustion; adverse inference; base tied to claim scope</w:t>
            </w:r>
          </w:p>
        </w:tc>
        <w:tc>
          <w:tcPr>
            <w:tcW w:type="dxa" w:w="1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Evidentiary discipline</w:t>
            </w:r>
          </w:p>
        </w:tc>
      </w:tr>
    </w:tbl>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C: The Layered SEP Innovation-Governance Framework</w:t>
      </w:r>
    </w:p>
    <w:p>
      <w:pPr>
        <w:pStyle w:val="Heading2"/>
        <w:spacing w:after="150" w:before="300" w:line="240"/>
      </w:pPr>
      <w:r>
        <w:rPr>
          <w:rFonts w:ascii="Times New Roman" w:cs="Times New Roman" w:eastAsia="Times New Roman" w:hAnsi="Times New Roman"/>
          <w:b/>
          <w:bCs/>
          <w:i w:val="false"/>
          <w:iCs w:val="false"/>
          <w:sz w:val="25"/>
          <w:szCs w:val="25"/>
        </w:rPr>
        <w:t xml:space="preserve">C.1 The nine layers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1550"/>
        <w:gridCol w:w="2000"/>
        <w:gridCol w:w="1650"/>
        <w:gridCol w:w="2800"/>
      </w:tblGrid>
      <w:tr>
        <w:trPr>
          <w:cantSplit/>
          <w:tblHeader/>
        </w:trPr>
        <w:tc>
          <w:tcPr>
            <w:tcW w:type="dxa" w:w="4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No</w:t>
            </w:r>
          </w:p>
        </w:tc>
        <w:tc>
          <w:tcPr>
            <w:tcW w:type="dxa" w:w="155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Layer</w:t>
            </w:r>
          </w:p>
        </w:tc>
        <w:tc>
          <w:tcPr>
            <w:tcW w:type="dxa" w:w="20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Evaluative criterion</w:t>
            </w:r>
          </w:p>
        </w:tc>
        <w:tc>
          <w:tcPr>
            <w:tcW w:type="dxa" w:w="165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Competent institution</w:t>
            </w:r>
          </w:p>
        </w:tc>
        <w:tc>
          <w:tcPr>
            <w:tcW w:type="dxa" w:w="28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Recommendation for India</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1</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Standardisation governance</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Legitimacy of the process by which the rules are made</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SDOs; national standards bodies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Support disclosure and negotiation-protocol reform; do not rely on substantive rules surviving</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2</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Disclosure and essentiality transparency</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Can exposure be ascertained at proportionate cost?</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 office or independent body; courts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Independent sampled assessment; generalise the claim-chart discipline; aggregate-royalty disclosure</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3</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Licensing architecture</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Is exposure locatable and recovery singular?</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Courts; competition authority; pools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Transparency as to level; robust s 107A(b) exhaustion and pass-through; accommodate platforms</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4</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Negotiation conduct</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Are the duties precise and symmetrical?</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Courts; SDOs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Willingness standard conditional on proprietor disclosure; corresponding proprietor duty</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5</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Royalty valuation</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Are assumptions transparent and assessable?</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Comparables preferred with top-down cross-check; compelled production with adverse inference; no prescribed base</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6</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Injunctions and remedies</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Do remedies deter delay and over-reach alike?</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Relief conditional on willingness; systematise interim deposits; interim licence where a determination is in train</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7</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Competition supervision</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Neither duplication nor lacuna</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 court and CCI</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Coordinated concurrent jurisdiction: terms to the court, exclusionary conduct to the CCI</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8</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Transnational dispute resolution</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Principled allocation; no duplicative determination</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Courts; arbitral institutions</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Comity practice and crediting; expedited rate-only procedure; support neutral machinery</w:t>
            </w:r>
          </w:p>
        </w:tc>
      </w:tr>
      <w:tr>
        <w:trPr>
          <w:cantSplit/>
        </w:trPr>
        <w:tc>
          <w:tcPr>
            <w:tcW w:type="dxa" w:w="4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9</w:t>
            </w:r>
          </w:p>
        </w:tc>
        <w:tc>
          <w:tcPr>
            <w:tcW w:type="dxa" w:w="15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Public interest and development</w:t>
            </w:r>
          </w:p>
        </w:tc>
        <w:tc>
          <w:tcPr>
            <w:tcW w:type="dxa" w:w="20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Are access and distribution considered expressly?</w:t>
            </w:r>
          </w:p>
        </w:tc>
        <w:tc>
          <w:tcPr>
            <w:tcW w:type="dxa" w:w="165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Legislature; courts; Controller</w:t>
            </w:r>
          </w:p>
        </w:tc>
        <w:tc>
          <w:tcPr>
            <w:tcW w:type="dxa" w:w="28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Section 83 as interpretive guide within remedial discretion; ss 84 and 90 as backstop; periodic review</w:t>
            </w:r>
          </w:p>
        </w:tc>
      </w:tr>
    </w:tbl>
    <w:p>
      <w:pPr>
        <w:pStyle w:val="Heading2"/>
        <w:spacing w:after="150" w:before="300" w:line="240"/>
      </w:pPr>
      <w:r>
        <w:rPr>
          <w:rFonts w:ascii="Times New Roman" w:cs="Times New Roman" w:eastAsia="Times New Roman" w:hAnsi="Times New Roman"/>
          <w:b/>
          <w:bCs/>
          <w:i w:val="false"/>
          <w:iCs w:val="false"/>
          <w:sz w:val="25"/>
          <w:szCs w:val="25"/>
        </w:rPr>
        <w:t xml:space="preserve">C.2 Public-interest criteria</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criteria specified in section 2.8 and applied throughout are reproduced here in the five groups in which they are used.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6500"/>
      </w:tblGrid>
      <w:tr>
        <w:trPr>
          <w:cantSplit/>
          <w:tblHeader/>
        </w:trPr>
        <w:tc>
          <w:tcPr>
            <w:tcW w:type="dxa" w:w="19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Group</w:t>
            </w:r>
          </w:p>
        </w:tc>
        <w:tc>
          <w:tcPr>
            <w:tcW w:type="dxa" w:w="65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Criteria</w:t>
            </w:r>
          </w:p>
        </w:tc>
      </w:tr>
      <w:tr>
        <w:trPr>
          <w:cantSplit/>
        </w:trPr>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Innovation incentives</w:t>
            </w:r>
          </w:p>
        </w:tc>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Upstream research and development; contribution of technology to open standards; downstream implementation and product innovation</w:t>
            </w:r>
          </w:p>
        </w:tc>
      </w:tr>
      <w:tr>
        <w:trPr>
          <w:cantSplit/>
        </w:trPr>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Access and competition</w:t>
            </w:r>
          </w:p>
        </w:tc>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Interoperability; access to standardised technology; static and dynamic competition; consumer choice, price and availability; entry by small and medium-sized enterprises and new participants; treatment of domestic manufacturers</w:t>
            </w:r>
          </w:p>
        </w:tc>
      </w:tr>
      <w:tr>
        <w:trPr>
          <w:cantSplit/>
        </w:trPr>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System operation</w:t>
            </w:r>
          </w:p>
        </w:tc>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Transaction costs; predictability; transparency; administrability</w:t>
            </w:r>
          </w:p>
        </w:tc>
      </w:tr>
      <w:tr>
        <w:trPr>
          <w:cantSplit/>
        </w:trPr>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Procedure and legitimacy</w:t>
            </w:r>
          </w:p>
        </w:tc>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Procedural fairness; stakeholder participation; access to justice; institutional legitimacy; international coordination</w:t>
            </w:r>
          </w:p>
        </w:tc>
      </w:tr>
      <w:tr>
        <w:trPr>
          <w:cantSplit/>
        </w:trPr>
        <w:tc>
          <w:tcPr>
            <w:tcW w:type="dxa" w:w="19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Distribution and development</w:t>
            </w:r>
          </w:p>
        </w:tc>
        <w:tc>
          <w:tcPr>
            <w:tcW w:type="dxa" w:w="65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Technology transfer; distributional effects; digital inclusion; industrial development</w:t>
            </w:r>
          </w:p>
        </w:tc>
      </w:tr>
    </w:tbl>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D: Note on Citation Conventions Adopted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Two departures from ordinary citation practice were adopted in consequence of the verification protocol governing this research, and are recorded here so that a reader or examiner can identify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pinpoint references. The citation system requires the most precise available locator for every proposition. Where a paragraph, page or clause reference could not be confirmed against the primary text during research, it has been omitted rather than approximated or reconstructed. The consequence is that a number of footnotes cite an authority without a pinpoint where a pinpoint would ordinarily be expected. This is a deliberate choice, made in preference to the alternative of supplying a locator that had not been verified. Every such footnote should be completed on human review against the primary text.</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concerns the characterisation of support. Where the full primary text of a judgment was not accessed during research, the footnote states that fact and the proposition in the text is framed as reported rather than as established. Appendix A records each instance and Appendix E summarises them.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 source appears in the bibliography that is not relied upon in the text. No digital object identifier or uniform resource locator has been constructed by inference from a pattern. Where a quotation could not be verified word for word against its source, the material has been paraphrased and the quotation omitted; direct quotation in this dissertation is accordingly confined to short verified formulations drawn from primary instruments.</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E: Source-Verification Report</w:t>
      </w:r>
    </w:p>
    <w:p>
      <w:pPr>
        <w:pStyle w:val="Heading2"/>
        <w:spacing w:after="150" w:before="300" w:line="240"/>
      </w:pPr>
      <w:r>
        <w:rPr>
          <w:rFonts w:ascii="Times New Roman" w:cs="Times New Roman" w:eastAsia="Times New Roman" w:hAnsi="Times New Roman"/>
          <w:b/>
          <w:bCs/>
          <w:i w:val="false"/>
          <w:iCs w:val="false"/>
          <w:sz w:val="25"/>
          <w:szCs w:val="25"/>
        </w:rPr>
        <w:t xml:space="preserve">E.1 Research cutoff</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research cutoff date is 16 September 2026. Every central authority was checked for currency to that date so far as the access described below permitted.</w:t>
      </w:r>
    </w:p>
    <w:p>
      <w:pPr>
        <w:pStyle w:val="Heading2"/>
        <w:spacing w:after="150" w:before="300" w:line="240"/>
      </w:pPr>
      <w:r>
        <w:rPr>
          <w:rFonts w:ascii="Times New Roman" w:cs="Times New Roman" w:eastAsia="Times New Roman" w:hAnsi="Times New Roman"/>
          <w:b/>
          <w:bCs/>
          <w:i w:val="false"/>
          <w:iCs w:val="false"/>
          <w:sz w:val="25"/>
          <w:szCs w:val="25"/>
        </w:rPr>
        <w:t xml:space="preserve">E.2 Quantitative summary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Primary authorities relied upon: approximately twenty-four, comprising judgments of the Court of Justice of the European Union, the courts of England and Wales, the German Federal Court of Justice, the Unified Patent Court, the United States federal courts, a Chinese intermediate people's court and the High Court of Delhi; legislation of India, the European Union and the United States; rules of court; one multilateral treaty; and the instruments of two standard-development organisations.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Secondary authorities relied upon: approximately twelve principal works, comprising peer-reviewed journal articles, studies prepared for the European Commission, and institutional working papers.</w:t>
      </w:r>
    </w:p>
    <w:p>
      <w:pPr>
        <w:pStyle w:val="Heading2"/>
        <w:spacing w:after="150" w:before="300" w:line="240"/>
      </w:pPr>
      <w:r>
        <w:rPr>
          <w:rFonts w:ascii="Times New Roman" w:cs="Times New Roman" w:eastAsia="Times New Roman" w:hAnsi="Times New Roman"/>
          <w:b/>
          <w:bCs/>
          <w:i w:val="false"/>
          <w:iCs w:val="false"/>
          <w:sz w:val="25"/>
          <w:szCs w:val="25"/>
        </w:rPr>
        <w:t xml:space="preserve">E.3 Sources for which text was directly accessed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instruments of the European Telecommunications Standards Institute, including the intellectual-property-rights policy and the Guide on Intellectual Property Rights, were accessed in the versions published by the Institute. Indian statutory text was accessed through official legislative sources. The judgment of the Court of Justice was accessed through the official report. Materials of the European Commission and of the United States Department of Justice were accessed through official publication. The principal secondary works were accessed through publishers' records or institutional repositories, and their metadata was verified against those records.</w:t>
      </w:r>
    </w:p>
    <w:p>
      <w:pPr>
        <w:pStyle w:val="Heading2"/>
        <w:spacing w:after="150" w:before="300" w:line="240"/>
      </w:pPr>
      <w:r>
        <w:rPr>
          <w:rFonts w:ascii="Times New Roman" w:cs="Times New Roman" w:eastAsia="Times New Roman" w:hAnsi="Times New Roman"/>
          <w:b/>
          <w:bCs/>
          <w:i w:val="false"/>
          <w:iCs w:val="false"/>
          <w:sz w:val="25"/>
          <w:szCs w:val="25"/>
        </w:rPr>
        <w:t xml:space="preserve">E.4 Sources for which the primary text was not accessed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following were not opened in full during research. The propositions attributed to them in the text rest on consistent reputable secondary accounts and are framed accordingly, and each requires confirmation against the primary text before submission.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decisions of the Unified Patent Court in the Panasonic and Huawei proceedings.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decisions of the German Federal Court of Justice in the Sisvel proceedings, which were not accessed in the original German.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judgment of the Chongqing First Intermediate People's Court, which was not accessed in the original Chinese and which is understood to have been published in redacted form.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judgment of the Division Bench of the High Court of Delhi in the Philips appeal.</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judgment of the High Court of Delhi in the Lava proceedings.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judgment of the Division Bench of the High Court of Delhi in the competition-jurisdiction proceedings.</w:t>
      </w:r>
    </w:p>
    <w:p>
      <w:pPr>
        <w:pStyle w:val="Heading2"/>
        <w:spacing w:after="150" w:before="300" w:line="240"/>
      </w:pPr>
      <w:r>
        <w:rPr>
          <w:rFonts w:ascii="Times New Roman" w:cs="Times New Roman" w:eastAsia="Times New Roman" w:hAnsi="Times New Roman"/>
          <w:b/>
          <w:bCs/>
          <w:i w:val="false"/>
          <w:iCs w:val="false"/>
          <w:sz w:val="25"/>
          <w:szCs w:val="25"/>
        </w:rPr>
        <w:t xml:space="preserve">E.5 Authorities whose status remained uncertain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appellate status of the Lava judgment was not confirmed at the research cutoff and must be checked.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proceedings before the Supreme Court of India concerning the jurisdiction of the Competition Commission were pending at the research cutoff. No outcome is assumed.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A reportable neutral citation for the Philips appeal, beyond the appeal numbers recorded in the table of cases, was not located and should be sought in the Delhi High Court's reports and in the principal Indian reporting services.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reporter pagination for the Ninth Circuit decision in the Qualcomm proceedings should be confirmed against the official reporter.</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current status of the withdrawn European Union legislative proposal, and of any successor initiative, should be re-verified as at the date of submission, since the position may have developed after the research cutoff.</w:t>
      </w:r>
    </w:p>
    <w:p>
      <w:pPr>
        <w:pStyle w:val="Heading2"/>
        <w:spacing w:after="150" w:before="300" w:line="240"/>
      </w:pPr>
      <w:r>
        <w:rPr>
          <w:rFonts w:ascii="Times New Roman" w:cs="Times New Roman" w:eastAsia="Times New Roman" w:hAnsi="Times New Roman"/>
          <w:b/>
          <w:bCs/>
          <w:i w:val="false"/>
          <w:iCs w:val="false"/>
          <w:sz w:val="25"/>
          <w:szCs w:val="25"/>
        </w:rPr>
        <w:t xml:space="preserve">E.6 Audits conducted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Source-existence, citation-metadata, proposition-support, pinpoint, quotation, legal-currency, jurisdiction, case-status, empirical-claim, comparative-law, public-interest, argument, style, word-count and bibliography audits were conducted in accordance with the protocol governing this research. The pinpoint audit resulted in the omission of unverified locators as described in Appendix D. The quotation audit resulted in the removal of all quotations that could not be verified word for word, and direct quotation in the final text is confined to short verified formulations from primary instruments. The empirical-claim audit resulted in the withdrawal of any stated figure for the aggregate royalty burden and in the qualification of the essentiality range to the form in which it appears in official material.</w:t>
      </w:r>
    </w:p>
    <w:p>
      <w:pPr>
        <w:pStyle w:val="Heading2"/>
        <w:spacing w:after="150" w:before="300" w:line="240"/>
      </w:pPr>
      <w:r>
        <w:rPr>
          <w:rFonts w:ascii="Times New Roman" w:cs="Times New Roman" w:eastAsia="Times New Roman" w:hAnsi="Times New Roman"/>
          <w:b/>
          <w:bCs/>
          <w:i w:val="false"/>
          <w:iCs w:val="false"/>
          <w:sz w:val="25"/>
          <w:szCs w:val="25"/>
        </w:rPr>
        <w:t xml:space="preserve">E.7 Confirmation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No citation that could not be verified to the standard described above has been carried into the final text. Where verification was incomplete, the limitation is disclosed in the footnote, in this appendix, or in both. No case, citation, court, date, holding, statutory provision, quotation, author, title, journal, publisher, digital object identifier or uniform resource locator has been invented, reconstructed from memory or approximated.</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F: Human-Review Notice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dissertation is a research draft. It requires human review before any academic submission or reliance, and the following matters require attention in that review.</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Every citation must be checked against the primary source. This includes every case name, court, date, citation, holding, procedural history and appellate status; every statutory provision and its current text; every clause of a standard-development-organisation instrument and the version in which it appears; and every element of the bibliographic metadata of every secondary work.</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Every pinpoint reference must be completed. As recorded in Appendix D, locators that could not be verified during research were omitted rather than approximated, and the footnotes concerned are incomplete by the standards of the citation system.</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six authorities identified in Appendix E section E.4, whose primary texts were not accessed, must be obtained and read, and every proposition attributed to them verified. Where the primary text does not bear the proposition as stated, the text must be amended.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five matters of uncertain status identified in Appendix E section E.5 must be re-verified as at the date of submission. Two of them, the pending Supreme Court proceedings and the appellate status of the Lava judgment, may have been resolved after the research cutoff, and resolution would require substantive amendment to Chapter 7.</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declaration and statement on the use of generative artificial intelligence at the front of this document is draft wording only. It must be reviewed for accuracy against what was in fact done, amended to reflect the candidate's circumstances, and brought into conformity with the requirements of the awarding institution. The candidate is responsible for the truthfulness and completeness of the declaration made, and must confirm that the form of assistance described is permitted under the institution's academic-integrity and generative-artificial-intelligence regulations.</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Where any discrepancy is found between the text of this draft and an original authority, the original authority governs.</w:t>
      </w:r>
    </w:p>
    <w:p>
      <w:r>
        <w:br w:type="page"/>
      </w:r>
    </w:p>
    <w:p>
      <w:pPr>
        <w:pStyle w:val="Heading1"/>
        <w:spacing w:after="280" w:before="0" w:line="240"/>
      </w:pPr>
      <w:r>
        <w:rPr>
          <w:rFonts w:ascii="Times New Roman" w:cs="Times New Roman" w:eastAsia="Times New Roman" w:hAnsi="Times New Roman"/>
          <w:b/>
          <w:bCs/>
          <w:i w:val="false"/>
          <w:iCs w:val="false"/>
          <w:sz w:val="28"/>
          <w:szCs w:val="28"/>
        </w:rPr>
        <w:t xml:space="preserve">Appendix G: Glossary of Terms as Used in This Dissertation</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This glossary records the sense in which contested terms are used in this dissertation. It is included because several of the terms are used in the literature and in practice with materially different meanings, and because a number of the disagreements examined in the substantive chapters are traceable to that variation rather than to any disagreement of substance. Where the sense adopted here is argued for rather than merely stipulated, the section containing the argument is identified.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6300"/>
      </w:tblGrid>
      <w:tr>
        <w:trPr>
          <w:cantSplit/>
          <w:tblHeader/>
        </w:trPr>
        <w:tc>
          <w:tcPr>
            <w:tcW w:type="dxa" w:w="21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Term</w:t>
            </w:r>
          </w:p>
        </w:tc>
        <w:tc>
          <w:tcPr>
            <w:tcW w:type="dxa" w:w="6300"/>
            <w:shd w:fill="EDEDED" w:val="clear"/>
            <w:tcMar>
              <w:top w:type="dxa" w:w="80"/>
              <w:left w:type="dxa" w:w="110"/>
              <w:bottom w:type="dxa" w:w="80"/>
              <w:right w:type="dxa" w:w="110"/>
            </w:tcMar>
            <w:vAlign w:val="top"/>
          </w:tcPr>
          <w:p>
            <w:pPr>
              <w:spacing w:line="240"/>
            </w:pPr>
            <w:r>
              <w:rPr>
                <w:rFonts w:ascii="Times New Roman" w:cs="Times New Roman" w:eastAsia="Times New Roman" w:hAnsi="Times New Roman"/>
                <w:b/>
                <w:bCs/>
                <w:i w:val="false"/>
                <w:iCs w:val="false"/>
                <w:sz w:val="20"/>
                <w:szCs w:val="20"/>
              </w:rPr>
              <w:t xml:space="preserve">Meaning as used in this dissertation</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Aggregate royalty burden</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total of all royalties payable on a compliant product in respect of all essential patents reading on the standard. Not reliably ascertainable from public sources, for the reasons given at Chapter 4.9.5.</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Apportionment</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attribution to the patented feature of that part of a product’s value which the feature contributes, as distinct from value contributed by unpatented elements.</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Claim chart</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document mapping the claims of a patent onto the mandatory requirements of a specification, used to demonstrate essentiality. Required in Indian patent suits by rule 3(A)(ix) of the Rules Governing Patent Suits 2022.</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Comparable licence</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concluded licence relied upon as evidence of the terms a willing licensor and willing licensee would agree. Its probative value depends on the extent to which non-comparable features can be isolated and discounted.</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Declared essential patent</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patent notified to a standard-development organisation as potentially essential. A declaration is an unverified assertion and is not a finding of essentiality.</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Essentiality</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property of a patent that compliance with a standard necessarily infringes it, assessed against the mandatory requirements of a particular version of the specification.</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Exhaustion</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principle that an authorised first sale extinguishes the patentee’s right to control subsequent dealings in the article sold. In India, s 107A(b) of the Patents Act 1970.</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FRAND</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Fair, reasonable and non-discriminatory. Used in this dissertation to denote a range of substantively compliant terms policed by procedural obligations, rather than a unique rate: see Chapter 3.5.4.</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Hold-out</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Strategic delay or refusal by an implementer to conclude a licence, exploiting the cost and duration of enforcement to use the technology without paying. Theoretically credible; magnitude unproven.</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Hold-up</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Extraction by a proprietor of royalties exceeding the ex ante value of the technology, by reason of the implementer’s sunk standard-specific investment. Theoretically credible; magnitude contested.</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Implementer</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An undertaking making or selling products compliant with a standard. Used as an analytical role, not a fixed identity: most large participants are both proprietors and implementers.</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Interim licence</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licence granted for the period pending determination of final terms, so that the passage of time neither rewards delay nor prices exclusion.</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Letter of assurance</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declaration to a standard-development organisation as to the terms on which essential patents will be licensed. A negative letter of assurance declines to give the assurance sought.</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Patent ambush</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Participation in the development of a standard while withholding knowledge of a patent the standard will infringe, followed by assertion once the industry is locked in.</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Royalty base</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value to which a percentage royalty is applied — for example the price of the end product, or of the smallest component practising the patent.</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Royalty stacking</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accumulation of royalties owed to multiple proprietors on a single product, such that the total may exceed what any individual demand would suggest.</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Smallest saleable patent-practising unit</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smallest commercially available component that practises the claimed invention, advanced as the appropriate royalty base in order to limit the capture of unpatented value.</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Standard-development organisation</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body developing and publishing technical standards under published procedures, with membership rules and an intellectual-property policy.</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Top-down valuation</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A method beginning from an aggregate royalty for all essential patents on a standard and apportioning it according to the portfolio’s share of those patents.</w:t>
            </w:r>
          </w:p>
        </w:tc>
      </w:tr>
      <w:tr>
        <w:trPr>
          <w:cantSplit/>
        </w:trPr>
        <w:tc>
          <w:tcPr>
            <w:tcW w:type="dxa" w:w="21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Willingness</w:t>
            </w:r>
          </w:p>
        </w:tc>
        <w:tc>
          <w:tcPr>
            <w:tcW w:type="dxa" w:w="6300"/>
            <w:tcMar>
              <w:top w:type="dxa" w:w="80"/>
              <w:left w:type="dxa" w:w="110"/>
              <w:bottom w:type="dxa" w:w="80"/>
              <w:right w:type="dxa" w:w="110"/>
            </w:tcMar>
            <w:vAlign w:val="top"/>
          </w:tcPr>
          <w:p>
            <w:pPr>
              <w:spacing w:line="240"/>
            </w:pPr>
            <w:r>
              <w:rPr>
                <w:rFonts w:ascii="Times New Roman" w:cs="Times New Roman" w:eastAsia="Times New Roman" w:hAnsi="Times New Roman"/>
                <w:b w:val="false"/>
                <w:bCs w:val="false"/>
                <w:i w:val="false"/>
                <w:iCs w:val="false"/>
                <w:sz w:val="20"/>
                <w:szCs w:val="20"/>
              </w:rPr>
              <w:t xml:space="preserve">The disposition of a party to conclude a licence on compliant terms, assessed from conduct. Argued in this dissertation to require symmetrical assessment: see Chapter 7.7.6.</w:t>
            </w:r>
          </w:p>
        </w:tc>
      </w:tr>
    </w:tbl>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Three terminological cautions should be added.</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first concerns the word essential. In ordinary usage it connotes importance. In this field it connotes only unavoidability: a patent is essential if compliance necessarily infringes it, whatever its technical or commercial significance. A patent may be essential and unimportant, or important and inessential. The dissertation uses the term in the technical sense throughout and the reader should resist the connotation of the ordinary one.</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second concerns the labels proprietor and implementer. They are used as analytical roles describing a position in a particular transaction, not as descriptions of undertakings. Most substantial participants in cellular standardisation are both, simultaneously and in respect of the same standard, and their positions on the questions examined in this dissertation have shifted with their commercial circumstances. Argument that proceeds as though the two labels identified stable and opposed interest groups misdescribes the industry.</w:t>
      </w:r>
    </w:p>
    <w:p>
      <w:pPr>
        <w:spacing w:after="0" w:line="480"/>
        <w:ind w:firstLine="480"/>
        <w:jc w:val="both"/>
      </w:pPr>
      <w:r>
        <w:rPr>
          <w:rFonts w:ascii="Times New Roman" w:cs="Times New Roman" w:eastAsia="Times New Roman" w:hAnsi="Times New Roman"/>
          <w:b w:val="false"/>
          <w:bCs w:val="false"/>
          <w:i w:val="false"/>
          <w:iCs w:val="false"/>
          <w:sz w:val="24"/>
          <w:szCs w:val="24"/>
        </w:rPr>
        <w:t xml:space="preserve">The third concerns the phrase the FRAND rate. The phrase appears frequently in practice and occasionally in judgments. For the reasons given at Chapter 3.5.4 and demonstrated by the comparative material at Chapter 6.6, this dissertation regards it as malformed: there is no unique compliant rate for a portfolio, only a set of rates that would comply and a set that would not. Where the phrase is used in this dissertation it is used in reporting the usage of others.</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0"/>
        <w:szCs w:val="20"/>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The licensing commitment relied upon throughout this dissertation is that given under the intellectual-property-rights policy of the European Telecommunications Standards Institute, which appears as Annex 6 to the Institute's Rules of Procedure. The reasons for treating that instrument as the paradigm are given at Chapter 3.2.</w:t>
      </w:r>
    </w:p>
  </w:footnote>
  <w:footnote w:id="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83. The provision, and the use to which it is put in this dissertation, are examined at Chapter 7.3.1.</w:t>
      </w:r>
    </w:p>
  </w:footnote>
  <w:footnote w:id="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European Telecommunications Standards Institute, Guide on Intellectual Property Rights (ETSI, as in force at the research cutoff date). The disclaimer as to the status of database information is contained in the Guide and is reproduced on the Institute's public intellectual-property-rights disclosure pages.</w:t>
      </w:r>
    </w:p>
  </w:footnote>
  <w:footnote w:id="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Commission, 'Setting out the EU approach to Standard Essential Patents' (Communication) COM(2017) 712 final. The range stated is that given in the Communication.</w:t>
      </w:r>
    </w:p>
  </w:footnote>
  <w:footnote w:id="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On the contractual character of the undertaking, and the consequences of that characterisation for its interpretation, see Chapter 3.4.1 and Unwired Planet International Ltd v Huawei Technologies (UK) Co Ltd [2020] UKSC 37.</w:t>
      </w:r>
    </w:p>
  </w:footnote>
  <w:footnote w:id="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The intellectual-property-rights policy of the European Telecommunications Standards Institute appears as Annex 6 to the Institute's Rules of Procedure. The Guide on Intellectual Property Rights is a separate explanatory instrument. Both are published by the Institute and were consulted in the versions in force at the research cutoff date.</w:t>
      </w:r>
    </w:p>
  </w:footnote>
  <w:footnote w:id="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Intellectual-property-rights policy of the European Telecommunications Standards Institute, cl 6.1.</w:t>
      </w:r>
    </w:p>
  </w:footnote>
  <w:footnote w:id="8">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Intellectual-property-rights policy of the European Telecommunications Standards Institute, cl 4.1.</w:t>
      </w:r>
    </w:p>
  </w:footnote>
  <w:footnote w:id="9">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Case C-170/13 Huawei Technologies Co Ltd v ZTE Corp EU:C:2015:477.</w:t>
      </w:r>
    </w:p>
  </w:footnote>
  <w:footnote w:id="10">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Federal Trade Commission v Qualcomm Inc 969 F.3d 974 (9th Cir 2020), reversing 411 F Supp 3d 658 (ND Cal 2019).</w:t>
      </w:r>
    </w:p>
  </w:footnote>
  <w:footnote w:id="1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Unwired Planet International Ltd v Huawei Technologies (UK) Co Ltd [2020] UKSC 37.</w:t>
      </w:r>
    </w:p>
  </w:footnote>
  <w:footnote w:id="1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Unwired Planet International Ltd v Huawei Technologies Co Ltd [2017] EWHC 711 (Pat); affirmed on this point Unwired Planet International Ltd v Huawei Technologies (UK) Co Ltd [2020] UKSC 37.</w:t>
      </w:r>
    </w:p>
  </w:footnote>
  <w:footnote w:id="1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Institute of Electrical and Electronics Engineers Standards Association, Standards Board Bylaws, cl 6 (patent policy), as revised in 2015; United States Department of Justice, Antitrust Division, business review letter to the Institute of Electrical and Electronics Engineers (2015).</w:t>
      </w:r>
    </w:p>
  </w:footnote>
  <w:footnote w:id="1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United States Department of Justice, Antitrust Division, letter to the Institute of Electrical and Electronics Engineers (2020).</w:t>
      </w:r>
    </w:p>
  </w:footnote>
  <w:footnote w:id="1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Institute of Electrical and Electronics Engineers Standards Association, Standards Board Bylaws, cl 6 (patent policy), as revised with effect from 1 January 2023.</w:t>
      </w:r>
    </w:p>
  </w:footnote>
  <w:footnote w:id="1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Intellectual-property-rights policy of the European Telecommunications Standards Institute, cll 6.1 and 6.1bis. The provision addressing transfers requires that appropriate provisions be made to ensure that the undertaking continues to bind successors in title. The clause was consulted in the version in force at the research cutoff date.</w:t>
      </w:r>
    </w:p>
  </w:footnote>
  <w:footnote w:id="1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Unwired Planet International Ltd v Huawei Technologies (UK) Co Ltd [2020] UKSC 37.</w:t>
      </w:r>
    </w:p>
  </w:footnote>
  <w:footnote w:id="18">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107A(b).</w:t>
      </w:r>
    </w:p>
  </w:footnote>
  <w:footnote w:id="19">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K.K. Bansal v Koninklijke Philips Electronics NV (High Court of Delhi, Division Bench, RFA(OS)(COMM) 17 and 18 of 2018, 18 May 2026), reversing Koninklijke Philips Electronics NV v Rajesh Bansal (High Court of Delhi, single judge, 12 July 2018). The appellate judgment was not accessed in full during research; see Appendix E.</w:t>
      </w:r>
    </w:p>
  </w:footnote>
  <w:footnote w:id="20">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InterDigital Technology Corp v Lenovo Group Ltd [2023] EWHC 1583 (Pat); InterDigital Technology Corp v Lenovo Group Ltd [2024] EWCA Civ 743. The figures stated are those reported for the first-instance and appellate determinations respectively.</w:t>
      </w:r>
    </w:p>
  </w:footnote>
  <w:footnote w:id="2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Optis Cellular Technology LLC v Apple Retail UK Ltd [2025] EWCA Civ 552.</w:t>
      </w:r>
    </w:p>
  </w:footnote>
  <w:footnote w:id="2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Mark A Lemley and Carl Shapiro, 'Patent Holdup and Royalty Stacking' (2007) 85 Texas Law Review 1991.</w:t>
      </w:r>
    </w:p>
  </w:footnote>
  <w:footnote w:id="2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Alexander Galetovic, Stephen Haber and Ross Levine, 'An Empirical Examination of Patent Holdup' (2015) 11 Journal of Competition Law and Economics 549.</w:t>
      </w:r>
    </w:p>
  </w:footnote>
  <w:footnote w:id="2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Alexander Galetovic and Kirti Gupta, 'Royalty Stacking and Standard Essential Patents: Theory and Evidence from the World Mobile Wireless Industry' (Hoover Institution Working Group on Intellectual Property, Innovation and Prosperity, working paper, 2016).</w:t>
      </w:r>
    </w:p>
  </w:footnote>
  <w:footnote w:id="2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J Gregory Sidak, 'Holdup, Royalty Stacking, and the Presumption of Injunctive Relief for Patent Infringement: A Reply to Lemley and Shapiro' (2008) 92 Minnesota Law Review 714.</w:t>
      </w:r>
    </w:p>
  </w:footnote>
  <w:footnote w:id="2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Vincenzo Denicolò, Damien Geradin, Anne Layne-Farrar and A Jorge Padilla, 'Revisiting Injunctive Relief: Interpreting eBay in High-Tech Industries with Non-Practicing Patent Holders' (2008) 4 Journal of Competition Law and Economics 571.</w:t>
      </w:r>
    </w:p>
  </w:footnote>
  <w:footnote w:id="2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Jorge L Contreras, 'Much Ado About Hold-Up' (2019) 2019 University of Illinois Law Review 875.</w:t>
      </w:r>
    </w:p>
  </w:footnote>
  <w:footnote w:id="28">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Case C-170/13 Huawei Technologies Co Ltd v ZTE Corp EU:C:2015:477.</w:t>
      </w:r>
    </w:p>
  </w:footnote>
  <w:footnote w:id="29">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Sisvel v Haier, Bundesgerichtshof, KZR 36/17, decision of 5 May 2020; Sisvel v Haier II, Bundesgerichtshof, KZR 35/17, decision of 24 November 2020. Neither judgment was accessed in the original German text during research; see Appendix E.</w:t>
      </w:r>
    </w:p>
  </w:footnote>
  <w:footnote w:id="30">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Panasonic Holdings Corp v Guangdong OPPO Mobile Telecommunications Corp Ltd, Unified Patent Court, Court of First Instance, Mannheim Local Division, UPC_CFI_210/2023, decision of 22 November 2024. The decision was not accessed in full during research; see Appendix E.</w:t>
      </w:r>
    </w:p>
  </w:footnote>
  <w:footnote w:id="3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Huawei Technologies Co Ltd v Netgear Inc, Unified Patent Court, Court of First Instance, Munich Local Division, UPC_CFI_9/2023, decision of 18 December 2024. The decision was not accessed in full during research; see Appendix E.</w:t>
      </w:r>
    </w:p>
  </w:footnote>
  <w:footnote w:id="3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Unwired Planet International Ltd v Huawei Technologies (UK) Co Ltd [2020] UKSC 37.</w:t>
      </w:r>
    </w:p>
  </w:footnote>
  <w:footnote w:id="3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Panasonic Holdings Corp v Xiaomi Technology UK Ltd [2024] EWCA Civ 1143.</w:t>
      </w:r>
    </w:p>
  </w:footnote>
  <w:footnote w:id="3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Microsoft Corp v Motorola Inc 696 F.3d 872 (9th Cir 2012); Microsoft Corp v Motorola Inc 795 F.3d 1024 (9th Cir 2015).</w:t>
      </w:r>
    </w:p>
  </w:footnote>
  <w:footnote w:id="3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Federal Trade Commission v Qualcomm Inc 969 F.3d 974 (9th Cir 2020), reversing 411 F Supp 3d 658 (ND Cal 2019). Rehearing en banc was denied and no petition for certiorari was pursued.</w:t>
      </w:r>
    </w:p>
  </w:footnote>
  <w:footnote w:id="3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eBay Inc v MercExchange LLC 547 US 388 (2006).</w:t>
      </w:r>
    </w:p>
  </w:footnote>
  <w:footnote w:id="3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eBay Inc v MercExchange LLC 547 US 388 (2006). The decision concerned the availability of injunctive relief in patent cases generally rather than standard-essential patents specifically, and is referred to here for the structure of the discretion it describes.</w:t>
      </w:r>
    </w:p>
  </w:footnote>
  <w:footnote w:id="38">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For the criterion as applied in the respective systems see Case C-170/13 Huawei Technologies Co Ltd v ZTE Corp EU:C:2015:477; Sisvel v Haier, Bundesgerichtshof, KZR 36/17, decision of 5 May 2020; Unwired Planet International Ltd v Huawei Technologies (UK) Co Ltd [2020] UKSC 37; Optis Cellular Technology LLC v Apple Retail UK Ltd [2025] EWCA Civ 552. The German judgment and the Unified Patent Court decisions discussed in this chapter were not accessed in their original texts during research; see Appendix E.</w:t>
      </w:r>
    </w:p>
  </w:footnote>
  <w:footnote w:id="39">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Unwired Planet International Ltd v Huawei Technologies (UK) Co Ltd [2020] UKSC 37.</w:t>
      </w:r>
    </w:p>
  </w:footnote>
  <w:footnote w:id="40">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OPPO v Nokia, Chongqing First Intermediate People's Court, (2021) Yu 01 Min Chu No 1232, judgment released December 2023. The judgment was not accessed in the original Chinese text during research; the rates and the territorial differentiation are as reported in corroborated secondary accounts. See Appendix E.</w:t>
      </w:r>
    </w:p>
  </w:footnote>
  <w:footnote w:id="4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Optis Cellular Technology LLC v Apple Retail UK Ltd [2025] EWCA Civ 552.</w:t>
      </w:r>
    </w:p>
  </w:footnote>
  <w:footnote w:id="4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Microsoft Corp v Motorola Inc 696 F.3d 872 (9th Cir 2012); Microsoft Corp v Motorola Inc 795 F.3d 1024 (9th Cir 2015).</w:t>
      </w:r>
    </w:p>
  </w:footnote>
  <w:footnote w:id="4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Agreement on Trade-Related Aspects of Intellectual Property Rights (Marrakesh, 15 April 1994), arts 7, 8, 30, 31 and 40.</w:t>
      </w:r>
    </w:p>
  </w:footnote>
  <w:footnote w:id="4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83, and in particular sub-sections (a), (c), (d) and (g).</w:t>
      </w:r>
    </w:p>
  </w:footnote>
  <w:footnote w:id="4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84.</w:t>
      </w:r>
    </w:p>
  </w:footnote>
  <w:footnote w:id="4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90.</w:t>
      </w:r>
    </w:p>
  </w:footnote>
  <w:footnote w:id="4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140.</w:t>
      </w:r>
    </w:p>
  </w:footnote>
  <w:footnote w:id="48">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Patents Act 1970 (India), s 107A(b).</w:t>
      </w:r>
    </w:p>
  </w:footnote>
  <w:footnote w:id="49">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Lava International Ltd v Telefonaktiebolaget LM Ericsson 2024:DHC:2698; 2024 SCC OnLine Del 2497 (High Court of Delhi, 28 March 2024). The judgment was not accessed in full during research; the findings summarised are as reported in corroborated secondary accounts. The appellate status of the judgment was not confirmed at the research cutoff date. See Appendix E.</w:t>
      </w:r>
    </w:p>
  </w:footnote>
  <w:footnote w:id="50">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K.K. Bansal v Koninklijke Philips Electronics NV (High Court of Delhi, Division Bench, RFA(OS)(COMM) 17 and 18 of 2018, 18 May 2026), reversing Koninklijke Philips Electronics NV v Rajesh Bansal (High Court of Delhi, single judge, 12 July 2018). The appellate judgment was not accessed in full during research; the holdings summarised are as reported in corroborated secondary accounts. See Appendix E.</w:t>
      </w:r>
    </w:p>
  </w:footnote>
  <w:footnote w:id="51">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High Court of Delhi Rules Governing Patent Suits 2022, r 3(A)(ix).</w:t>
      </w:r>
    </w:p>
  </w:footnote>
  <w:footnote w:id="52">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Indian Evidence Act 1872, s 45.</w:t>
      </w:r>
    </w:p>
  </w:footnote>
  <w:footnote w:id="53">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Telefonaktiebolaget LM Ericsson (PUBL) v Competition Commission of India (High Court of Delhi, Division Bench, 13 July 2023). The judgment was not accessed in full during research; see Appendix E.</w:t>
      </w:r>
    </w:p>
  </w:footnote>
  <w:footnote w:id="54">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Competition Act 2002 (India), as amended by the Competition (Amendment) Act 2023 (Act No 9 of 2023), including the provisions introducing settlement and commitment procedures.</w:t>
      </w:r>
    </w:p>
  </w:footnote>
  <w:footnote w:id="55">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Tribunals Reforms Act 2021 (India).</w:t>
      </w:r>
    </w:p>
  </w:footnote>
  <w:footnote w:id="56">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High Court of Delhi Intellectual Property Division Rules 2022; High Court of Delhi Rules Governing Patent Suits 2022.</w:t>
      </w:r>
    </w:p>
  </w:footnote>
  <w:footnote w:id="57">
    <w:p>
      <w:pPr>
        <w:spacing w:line="240"/>
        <w:jc w:val="both"/>
      </w:pPr>
      <w:r>
        <w:rPr>
          <w:rStyle w:val="FootnoteReference"/>
        </w:rPr>
        <w:footnoteRef/>
      </w:r>
      <w:r>
        <w:rPr>
          <w:rFonts w:ascii="Times New Roman" w:cs="Times New Roman" w:eastAsia="Times New Roman" w:hAnsi="Times New Roman"/>
          <w:b w:val="false"/>
          <w:bCs w:val="false"/>
          <w:i w:val="false"/>
          <w:iCs w:val="false"/>
          <w:sz w:val="18"/>
          <w:szCs w:val="18"/>
        </w:rPr>
        <w:t xml:space="preserve">The authorities on which this conclusion rests are collected in the Table of Cases and assessed in Appendix B. The verification limitations recorded in Appendix E apply to the conclusions stated in this chapter as they apply to the chapters in which the underlying authorities are discussed.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5"/>
      <w:szCs w:val="25"/>
    </w:rPr>
  </w:style>
  <w:style w:type="paragraph" w:styleId="Heading3">
    <w:name w:val="Heading 3"/>
    <w:basedOn w:val="Normal"/>
    <w:next w:val="Normal"/>
    <w:qFormat/>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Standard-Essential Patents and Innovation Governance</dc:title>
  <dc:creator>Dissertation draft</dc:creator>
  <cp:lastModifiedBy>Un-named</cp:lastModifiedBy>
  <cp:revision>1</cp:revision>
  <dcterms:created xsi:type="dcterms:W3CDTF">2026-09-16T12:44:39.477Z</dcterms:created>
  <dcterms:modified xsi:type="dcterms:W3CDTF">2026-09-16T12:44:39.484Z</dcterms:modified>
</cp:coreProperties>
</file>

<file path=docProps/custom.xml><?xml version="1.0" encoding="utf-8"?>
<Properties xmlns="http://schemas.openxmlformats.org/officeDocument/2006/custom-properties" xmlns:vt="http://schemas.openxmlformats.org/officeDocument/2006/docPropsVTypes"/>
</file>