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r>
        <w:t xml:space="preserve"/>
      </w:r>
    </w:p>
    <w:p>
      <w:pPr>
        <w:spacing w:after="200"/>
        <w:jc w:val="center"/>
      </w:pPr>
      <w:r>
        <w:rPr>
          <w:rFonts w:ascii="Arial" w:cs="Arial" w:eastAsia="Arial" w:hAnsi="Arial"/>
          <w:b/>
          <w:bCs/>
          <w:color w:val="1F3864"/>
          <w:sz w:val="34"/>
          <w:szCs w:val="34"/>
        </w:rPr>
        <w:t xml:space="preserve">ALTERNATIVE DISPUTE RESOLUTION</w:t>
      </w:r>
    </w:p>
    <w:p>
      <w:pPr>
        <w:spacing w:after="620"/>
        <w:jc w:val="center"/>
      </w:pPr>
      <w:r>
        <w:rPr>
          <w:rFonts w:ascii="Arial" w:cs="Arial" w:eastAsia="Arial" w:hAnsi="Arial"/>
          <w:color w:val="1F3864"/>
          <w:sz w:val="26"/>
          <w:szCs w:val="26"/>
        </w:rPr>
        <w:t xml:space="preserve">Model Answers, Practice Questions and Mind Maps</w:t>
      </w:r>
    </w:p>
    <w:p>
      <w:pPr>
        <w:jc w:val="center"/>
      </w:pPr>
      <w:r>
        <w:rPr>
          <w:rFonts w:ascii="Arial" w:cs="Arial" w:eastAsia="Arial" w:hAnsi="Arial"/>
          <w:sz w:val="24"/>
          <w:szCs w:val="24"/>
        </w:rPr>
        <w:t xml:space="preserve">Surendra Mundvadiya</w:t>
      </w:r>
    </w:p>
    <w:p>
      <w:r>
        <w:br w:type="page"/>
      </w:r>
    </w:p>
    <w:p>
      <w:pPr>
        <w:pStyle w:val="Heading1"/>
        <w:keepNext/>
        <w:pBdr>
          <w:bottom w:val="single" w:color="1F3864" w:sz="6" w:space="4"/>
        </w:pBdr>
        <w:spacing w:after="160" w:before="420"/>
      </w:pPr>
      <w:r>
        <w:t xml:space="preserve">Part A — Model Answers to the Question Paper</w:t>
      </w:r>
    </w:p>
    <w:p>
      <w:pPr>
        <w:spacing w:after="120" w:line="264"/>
        <w:jc w:val="both"/>
      </w:pPr>
      <w:r>
        <w:rPr>
          <w:b/>
          <w:bCs/>
        </w:rPr>
        <w:t xml:space="preserve">How to use this.</w:t>
      </w:r>
      <w:r>
        <w:t xml:space="preserve"> Each answer is written at the length a ten-mark question deserves. The structure is marked with headings so that you can reproduce the skeleton in the hall even if you forget some detail. </w:t>
      </w:r>
      <w:r>
        <w:rPr>
          <w:b/>
          <w:bCs/>
          <w:shd w:fill="FFF2CC" w:color="auto" w:val="clear"/>
        </w:rPr>
        <w:t xml:space="preserve">Examiners give marks for structure, statutory accuracy and correct case names, in that order.</w:t>
      </w:r>
    </w:p>
    <w:p>
      <w:pPr>
        <w:pStyle w:val="Heading2"/>
        <w:keepNext/>
        <w:spacing w:after="100" w:before="250"/>
      </w:pPr>
      <w:r>
        <w:t xml:space="preserve">Q1.  Legislative evolution of the appointment of arbitrators under s. 11, with the Supreme Court's opinion at each stage, referring particularly to sub-sections (3A), (4), (5) and (6). (10 marks)</w:t>
      </w:r>
    </w:p>
    <w:p>
      <w:pPr>
        <w:pStyle w:val="Heading3"/>
        <w:keepNext/>
        <w:spacing w:after="80" w:before="180"/>
      </w:pPr>
      <w:r>
        <w:t xml:space="preserve">Introduction</w:t>
      </w:r>
    </w:p>
    <w:p>
      <w:pPr>
        <w:spacing w:after="120" w:line="264"/>
        <w:jc w:val="both"/>
      </w:pPr>
      <w:r>
        <w:t xml:space="preserve">Section 11 is the </w:t>
      </w:r>
      <w:r>
        <w:rPr>
          <w:b/>
          <w:bCs/>
        </w:rPr>
        <w:t xml:space="preserve">default machinery</w:t>
      </w:r>
      <w:r>
        <w:t xml:space="preserve"> for constituting the tribunal. It is used where the parties made no provision for appointment, where their machinery has broken down, or where a replacement is needed under s. 15(2). Its history falls into </w:t>
      </w:r>
      <w:r>
        <w:rPr>
          <w:b/>
          <w:bCs/>
        </w:rPr>
        <w:t xml:space="preserve">three legislative stages</w:t>
      </w:r>
      <w:r>
        <w:t xml:space="preserve"> — the Act as enacted in 1996, the 2015 Amendment, and the 2019 Amendment — and at each stage the Supreme Court gave its own reading.</w:t>
      </w:r>
    </w:p>
    <w:p>
      <w:pPr>
        <w:pStyle w:val="Heading3"/>
        <w:keepNext/>
        <w:spacing w:after="80" w:before="180"/>
      </w:pPr>
      <w:r>
        <w:t xml:space="preserve">Stage 1 — the Act as enacted (1996)</w:t>
      </w:r>
    </w:p>
    <w:p>
      <w:pPr>
        <w:spacing w:after="120" w:line="264"/>
        <w:jc w:val="both"/>
      </w:pPr>
      <w:r>
        <w:t xml:space="preserve">As originally framed, the appointment was to be made by </w:t>
      </w:r>
      <w:r>
        <w:rPr>
          <w:b/>
          <w:bCs/>
        </w:rPr>
        <w:t xml:space="preserve">“the Chief Justice or any person or institution designated by him”</w:t>
      </w:r>
      <w:r>
        <w:t xml:space="preserve">. Two features of that wording produced a decade of litigation. First, Article 11 of the UNCITRAL Model Law gives the power to a </w:t>
      </w:r>
      <w:r>
        <w:rPr>
          <w:b/>
          <w:bCs/>
        </w:rPr>
        <w:t xml:space="preserve">court</w:t>
      </w:r>
      <w:r>
        <w:t xml:space="preserve">, whereas India deliberately named the </w:t>
      </w:r>
      <w:r>
        <w:rPr>
          <w:b/>
          <w:bCs/>
        </w:rPr>
        <w:t xml:space="preserve">Chief Justice</w:t>
      </w:r>
      <w:r>
        <w:t xml:space="preserve">. Secondly, the power could be delegated to “any person or institution”, although </w:t>
      </w:r>
      <w:r>
        <w:rPr>
          <w:b/>
          <w:bCs/>
        </w:rPr>
        <w:t xml:space="preserve">judicial power ordinarily cannot be delegated</w:t>
      </w:r>
      <w:r>
        <w:t xml:space="preserve">.</w:t>
      </w:r>
    </w:p>
    <w:p>
      <w:pPr>
        <w:spacing w:after="120" w:line="264"/>
        <w:jc w:val="both"/>
      </w:pPr>
      <w:r>
        <w:rPr>
          <w:b/>
          <w:bCs/>
        </w:rPr>
        <w:t xml:space="preserve">Judicial opinion at this stage:</w:t>
      </w:r>
    </w:p>
    <w:p>
      <w:pPr>
        <w:pStyle w:val="ListParagraph"/>
        <w:numPr>
          <w:ilvl w:val="0"/>
          <w:numId w:val="2"/>
        </w:numPr>
        <w:spacing w:after="70" w:line="264"/>
        <w:jc w:val="both"/>
      </w:pPr>
      <w:r>
        <w:rPr>
          <w:b/>
          <w:bCs/>
          <w:i/>
          <w:iCs/>
        </w:rPr>
        <w:t xml:space="preserve">Konkan Railway Corporation Ltd. v. Mehul Construction Co.</w:t>
      </w:r>
      <w:r>
        <w:t xml:space="preserve">, (2000) 7 SCC 201 (3 Judges) — the power is </w:t>
      </w:r>
      <w:r>
        <w:rPr>
          <w:b/>
          <w:bCs/>
        </w:rPr>
        <w:t xml:space="preserve">administrative</w:t>
      </w:r>
      <w:r>
        <w:t xml:space="preserve">. Had Parliament intended a judicial function it would have said “court” or “judicial authority”. The function is only to help constitute the tribunal, and contested issues go to the tribunal under ss. 13 and 16. A refusal to appoint is non-performance of a duty, so </w:t>
      </w:r>
      <w:r>
        <w:rPr>
          <w:b/>
          <w:bCs/>
        </w:rPr>
        <w:t xml:space="preserve">mandamus</w:t>
      </w:r>
      <w:r>
        <w:t xml:space="preserve"> lies; Article 136 does not.</w:t>
      </w:r>
    </w:p>
    <w:p>
      <w:pPr>
        <w:pStyle w:val="ListParagraph"/>
        <w:numPr>
          <w:ilvl w:val="0"/>
          <w:numId w:val="2"/>
        </w:numPr>
        <w:spacing w:after="70" w:line="264"/>
        <w:jc w:val="both"/>
      </w:pPr>
      <w:r>
        <w:rPr>
          <w:b/>
          <w:bCs/>
          <w:i/>
          <w:iCs/>
        </w:rPr>
        <w:t xml:space="preserve">Konkan Railway Corporation Ltd. v. Rani Construction Pvt. Ltd.</w:t>
      </w:r>
      <w:r>
        <w:t xml:space="preserve">, (2002) 2 SCC 388 (Constitution Bench) — affirmed </w:t>
      </w:r>
      <w:r>
        <w:rPr>
          <w:i/>
          <w:iCs/>
        </w:rPr>
        <w:t xml:space="preserve">Mehul</w:t>
      </w:r>
      <w:r>
        <w:t xml:space="preserve">. It added that a </w:t>
      </w:r>
      <w:r>
        <w:rPr>
          <w:b/>
          <w:bCs/>
        </w:rPr>
        <w:t xml:space="preserve">scheme framed under s. 11 cannot govern the interpretation of s. 11</w:t>
      </w:r>
      <w:r>
        <w:t xml:space="preserve">, so the show-cause notice requirement in the 1996 Scheme went beyond the section and was bad; and that the order is not adjudicatory, “tribunal” in Article 136 meaning a </w:t>
      </w:r>
      <w:r>
        <w:rPr>
          <w:b/>
          <w:bCs/>
        </w:rPr>
        <w:t xml:space="preserve">public</w:t>
      </w:r>
      <w:r>
        <w:t xml:space="preserve"> tribunal, not a private arbitral one.</w:t>
      </w:r>
    </w:p>
    <w:p>
      <w:pPr>
        <w:pStyle w:val="ListParagraph"/>
        <w:numPr>
          <w:ilvl w:val="0"/>
          <w:numId w:val="2"/>
        </w:numPr>
        <w:spacing w:after="70" w:line="264"/>
        <w:jc w:val="both"/>
      </w:pPr>
      <w:r>
        <w:rPr>
          <w:b/>
          <w:bCs/>
          <w:i/>
          <w:iCs/>
        </w:rPr>
        <w:t xml:space="preserve">SBP &amp; Co. v. Patel Engineering Ltd.</w:t>
      </w:r>
      <w:r>
        <w:t xml:space="preserve">, (2005) 8 SCC 618 (</w:t>
      </w:r>
      <w:r>
        <w:rPr>
          <w:b/>
          <w:bCs/>
        </w:rPr>
        <w:t xml:space="preserve">7 Judges</w:t>
      </w:r>
      <w:r>
        <w:t xml:space="preserve">) — overruled </w:t>
      </w:r>
      <w:r>
        <w:rPr>
          <w:i/>
          <w:iCs/>
        </w:rPr>
        <w:t xml:space="preserve">Rani Construction</w:t>
      </w:r>
      <w:r>
        <w:t xml:space="preserve">. </w:t>
      </w:r>
      <w:r>
        <w:rPr>
          <w:b/>
          <w:bCs/>
          <w:shd w:fill="FFF2CC" w:color="auto" w:val="clear"/>
        </w:rPr>
        <w:t xml:space="preserve">The power under s. 11(6) is judicial.</w:t>
      </w:r>
      <w:r>
        <w:t xml:space="preserve"> Consequences: delegation only to another judge of the same Court; the Chief Justice or his designate may decide the </w:t>
      </w:r>
      <w:r>
        <w:rPr>
          <w:b/>
          <w:bCs/>
        </w:rPr>
        <w:t xml:space="preserve">preliminary questions</w:t>
      </w:r>
      <w:r>
        <w:t xml:space="preserve"> — his own jurisdiction, the existence of a valid arbitration agreement, a live claim, the conditions for exercising the power, and the arbitrator's qualifications; a District Judge cannot be designated; and recourse lies under </w:t>
      </w:r>
      <w:r>
        <w:rPr>
          <w:b/>
          <w:bCs/>
        </w:rPr>
        <w:t xml:space="preserve">Article 136</w:t>
      </w:r>
      <w:r>
        <w:t xml:space="preserve">, not Article 226.</w:t>
      </w:r>
    </w:p>
    <w:p>
      <w:pPr>
        <w:pStyle w:val="ListParagraph"/>
        <w:numPr>
          <w:ilvl w:val="0"/>
          <w:numId w:val="2"/>
        </w:numPr>
        <w:spacing w:after="70" w:line="264"/>
        <w:jc w:val="both"/>
      </w:pPr>
      <w:r>
        <w:rPr>
          <w:b/>
          <w:bCs/>
          <w:i/>
          <w:iCs/>
        </w:rPr>
        <w:t xml:space="preserve">National Insurance Co. Ltd. v. Boghara Polyfab Pvt. Ltd.</w:t>
      </w:r>
      <w:r>
        <w:t xml:space="preserve">, (2009) 1 SCC 267 — catalogued which questions could and could not be decided on the </w:t>
      </w:r>
      <w:r>
        <w:rPr>
          <w:i/>
          <w:iCs/>
        </w:rPr>
        <w:t xml:space="preserve">Patel Engineering</w:t>
      </w:r>
      <w:r>
        <w:t xml:space="preserve"> approach.</w:t>
      </w:r>
    </w:p>
    <w:p>
      <w:pPr>
        <w:spacing w:after="120" w:line="264"/>
        <w:jc w:val="both"/>
      </w:pPr>
      <w:r>
        <w:rPr>
          <w:b/>
          <w:bCs/>
        </w:rPr>
        <w:t xml:space="preserve">Effect of this stage.</w:t>
      </w:r>
      <w:r>
        <w:t xml:space="preserve"> The appointment stage had become a </w:t>
      </w:r>
      <w:r>
        <w:rPr>
          <w:b/>
          <w:bCs/>
        </w:rPr>
        <w:t xml:space="preserve">mini-trial</w:t>
      </w:r>
      <w:r>
        <w:t xml:space="preserve">, which was the opposite of what the Act intended.</w:t>
      </w:r>
    </w:p>
    <w:p>
      <w:pPr>
        <w:pStyle w:val="Heading3"/>
        <w:keepNext/>
        <w:spacing w:after="80" w:before="180"/>
      </w:pPr>
      <w:r>
        <w:t xml:space="preserve">Stage 2 — the 2015 Amendment</w:t>
      </w:r>
    </w:p>
    <w:p>
      <w:pPr>
        <w:spacing w:after="120" w:line="264"/>
        <w:jc w:val="both"/>
      </w:pPr>
      <w:r>
        <w:t xml:space="preserve">Parliament legislated against </w:t>
      </w:r>
      <w:r>
        <w:rPr>
          <w:i/>
          <w:iCs/>
        </w:rPr>
        <w:t xml:space="preserve">Patel Engineering</w:t>
      </w:r>
      <w:r>
        <w:t xml:space="preserve">. The word “Chief Justice” was replaced by </w:t>
      </w:r>
      <w:r>
        <w:rPr>
          <w:b/>
          <w:bCs/>
        </w:rPr>
        <w:t xml:space="preserve">“the Supreme Court or, as the case may be, the High Court or any person or institution designated by such Court”</w:t>
      </w:r>
      <w:r>
        <w:t xml:space="preserve"> in sub-sections (4), (5) and (6), and two new sub-sections were inserted.</w:t>
      </w:r>
    </w:p>
    <w:p>
      <w:pPr>
        <w:spacing w:after="70" w:line="264"/>
        <w:ind w:left="547" w:hanging="547"/>
        <w:jc w:val="both"/>
      </w:pPr>
      <w:r>
        <w:rPr>
          <w:b/>
          <w:bCs/>
        </w:rPr>
        <w:t xml:space="preserve">11(6A)</w:t>
      </w:r>
      <w:r>
        <w:t xml:space="preserve"> — in considering an application under (4), (5) or (6), the court shall, </w:t>
      </w:r>
      <w:r>
        <w:rPr>
          <w:b/>
          <w:bCs/>
        </w:rPr>
        <w:t xml:space="preserve">notwithstanding any judgment, decree or order of any court</w:t>
      </w:r>
      <w:r>
        <w:t xml:space="preserve">, </w:t>
      </w:r>
      <w:r>
        <w:rPr>
          <w:b/>
          <w:bCs/>
          <w:shd w:fill="FFF2CC" w:color="auto" w:val="clear"/>
        </w:rPr>
        <w:t xml:space="preserve">confine itself to the examination of the existence of an arbitration agreement.</w:t>
      </w:r>
    </w:p>
    <w:p>
      <w:pPr>
        <w:spacing w:after="70" w:line="264"/>
        <w:ind w:left="547" w:hanging="547"/>
        <w:jc w:val="both"/>
      </w:pPr>
      <w:r>
        <w:rPr>
          <w:b/>
          <w:bCs/>
        </w:rPr>
        <w:t xml:space="preserve">11(6B)</w:t>
      </w:r>
      <w:r>
        <w:t xml:space="preserve"> — the designation of a person or institution is </w:t>
      </w:r>
      <w:r>
        <w:rPr>
          <w:b/>
          <w:bCs/>
        </w:rPr>
        <w:t xml:space="preserve">not a delegation of judicial power</w:t>
      </w:r>
      <w:r>
        <w:t xml:space="preserve">; the scope of this is limited to the act of designation.</w:t>
      </w:r>
    </w:p>
    <w:p>
      <w:pPr>
        <w:spacing w:after="120" w:line="264"/>
        <w:jc w:val="both"/>
      </w:pPr>
      <w:r>
        <w:t xml:space="preserve">The Amendment also brought in the </w:t>
      </w:r>
      <w:r>
        <w:rPr>
          <w:b/>
          <w:bCs/>
        </w:rPr>
        <w:t xml:space="preserve">thirty-day disposal rule</w:t>
      </w:r>
      <w:r>
        <w:t xml:space="preserve"> in s. 11(13) and the </w:t>
      </w:r>
      <w:r>
        <w:rPr>
          <w:b/>
          <w:bCs/>
        </w:rPr>
        <w:t xml:space="preserve">Fourth Schedule</w:t>
      </w:r>
      <w:r>
        <w:t xml:space="preserve"> fee model under s. 11(14).</w:t>
      </w:r>
    </w:p>
    <w:p>
      <w:pPr>
        <w:spacing w:after="120" w:line="264"/>
        <w:jc w:val="both"/>
      </w:pPr>
      <w:r>
        <w:rPr>
          <w:b/>
          <w:bCs/>
        </w:rPr>
        <w:t xml:space="preserve">Judicial opinion at this stage:</w:t>
      </w:r>
      <w:r>
        <w:t xml:space="preserve"> </w:t>
      </w:r>
      <w:r>
        <w:rPr>
          <w:b/>
          <w:bCs/>
          <w:i/>
          <w:iCs/>
        </w:rPr>
        <w:t xml:space="preserve">Duro Felguera S.A. v. Gangavaram Port Ltd.</w:t>
      </w:r>
      <w:r>
        <w:t xml:space="preserve">, (2017) 9 SCC 729, held that after s. 11(6A) the enquiry is confined to the existence of the agreement; and </w:t>
      </w:r>
      <w:r>
        <w:rPr>
          <w:b/>
          <w:bCs/>
          <w:i/>
          <w:iCs/>
        </w:rPr>
        <w:t xml:space="preserve">Mayavati Trading Pvt. Ltd. v. Pradyuat Deb Burman</w:t>
      </w:r>
      <w:r>
        <w:t xml:space="preserve">, (2019) 8 SCC 714, held in terms that </w:t>
      </w:r>
      <w:r>
        <w:rPr>
          <w:b/>
          <w:bCs/>
          <w:shd w:fill="FFF2CC" w:color="auto" w:val="clear"/>
        </w:rPr>
        <w:t xml:space="preserve">the wide enquiry permitted by Patel Engineering is no longer good law.</w:t>
      </w:r>
      <w:r>
        <w:t xml:space="preserve"> So </w:t>
      </w:r>
      <w:r>
        <w:rPr>
          <w:i/>
          <w:iCs/>
        </w:rPr>
        <w:t xml:space="preserve">Patel Engineering</w:t>
      </w:r>
      <w:r>
        <w:t xml:space="preserve"> survives on the </w:t>
      </w:r>
      <w:r>
        <w:rPr>
          <w:b/>
          <w:bCs/>
        </w:rPr>
        <w:t xml:space="preserve">nature</w:t>
      </w:r>
      <w:r>
        <w:t xml:space="preserve"> of the power, but not on its </w:t>
      </w:r>
      <w:r>
        <w:rPr>
          <w:b/>
          <w:bCs/>
        </w:rPr>
        <w:t xml:space="preserve">scope</w:t>
      </w:r>
      <w:r>
        <w:t xml:space="preserve">.</w:t>
      </w:r>
    </w:p>
    <w:p>
      <w:pPr>
        <w:pStyle w:val="Heading3"/>
        <w:keepNext/>
        <w:spacing w:after="80" w:before="180"/>
      </w:pPr>
      <w:r>
        <w:t xml:space="preserve">Stage 3 — the 2019 Amendment</w:t>
      </w:r>
    </w:p>
    <w:p>
      <w:pPr>
        <w:spacing w:after="120" w:line="264"/>
        <w:jc w:val="both"/>
      </w:pPr>
      <w:r>
        <w:t xml:space="preserve">The 2019 Amendment attempted to move appointment away from the courts altogether, towards </w:t>
      </w:r>
      <w:r>
        <w:rPr>
          <w:b/>
          <w:bCs/>
        </w:rPr>
        <w:t xml:space="preserve">institutional arbitration</w:t>
      </w:r>
      <w:r>
        <w:t xml:space="preserve">. The scheme is built on the sub-sections the question asks about.</w:t>
      </w:r>
    </w:p>
    <w:p>
      <w:pPr>
        <w:spacing w:after="70" w:line="264"/>
        <w:ind w:left="547" w:hanging="547"/>
        <w:jc w:val="both"/>
      </w:pPr>
      <w:r>
        <w:rPr>
          <w:b/>
          <w:bCs/>
        </w:rPr>
        <w:t xml:space="preserve">11(3A)</w:t>
      </w:r>
      <w:r>
        <w:t xml:space="preserve"> — inserted in 2019. </w:t>
      </w:r>
      <w:r>
        <w:rPr>
          <w:b/>
          <w:bCs/>
          <w:shd w:fill="FFF2CC" w:color="auto" w:val="clear"/>
        </w:rPr>
        <w:t xml:space="preserve">The Supreme Court and the High Courts may designate arbitral institutions, graded by the Arbitration Council of India, for the purposes of the Act.</w:t>
      </w:r>
      <w:r>
        <w:t xml:space="preserve"> A new </w:t>
      </w:r>
      <w:r>
        <w:rPr>
          <w:b/>
          <w:bCs/>
        </w:rPr>
        <w:t xml:space="preserve">Part IA</w:t>
      </w:r>
      <w:r>
        <w:t xml:space="preserve"> created that Council. This is the foundation of the whole institutional scheme.</w:t>
      </w:r>
    </w:p>
    <w:p>
      <w:pPr>
        <w:spacing w:after="70" w:line="264"/>
        <w:ind w:left="547" w:hanging="547"/>
        <w:jc w:val="both"/>
      </w:pPr>
      <w:r>
        <w:rPr>
          <w:b/>
          <w:bCs/>
        </w:rPr>
        <w:t xml:space="preserve">11(4)</w:t>
      </w:r>
      <w:r>
        <w:t xml:space="preserve"> — applies where the default three-member mechanism in (3) is used and it fails, in two ways: </w:t>
      </w:r>
      <w:r>
        <w:rPr>
          <w:b/>
          <w:bCs/>
        </w:rPr>
        <w:t xml:space="preserve">(a)</w:t>
      </w:r>
      <w:r>
        <w:t xml:space="preserve"> a party fails to appoint its arbitrator within </w:t>
      </w:r>
      <w:r>
        <w:rPr>
          <w:b/>
          <w:bCs/>
        </w:rPr>
        <w:t xml:space="preserve">thirty days</w:t>
      </w:r>
      <w:r>
        <w:t xml:space="preserve"> of receiving a request from the other; or </w:t>
      </w:r>
      <w:r>
        <w:rPr>
          <w:b/>
          <w:bCs/>
        </w:rPr>
        <w:t xml:space="preserve">(b)</w:t>
      </w:r>
      <w:r>
        <w:t xml:space="preserve"> the two appointed arbitrators fail to agree on the third within </w:t>
      </w:r>
      <w:r>
        <w:rPr>
          <w:b/>
          <w:bCs/>
        </w:rPr>
        <w:t xml:space="preserve">thirty days</w:t>
      </w:r>
      <w:r>
        <w:t xml:space="preserve"> of their appointment. On application, the appointment is then made by </w:t>
      </w:r>
      <w:r>
        <w:rPr>
          <w:b/>
          <w:bCs/>
        </w:rPr>
        <w:t xml:space="preserve">the arbitral institution designated by the Supreme Court</w:t>
      </w:r>
      <w:r>
        <w:t xml:space="preserve"> in an international commercial arbitration, and </w:t>
      </w:r>
      <w:r>
        <w:rPr>
          <w:b/>
          <w:bCs/>
        </w:rPr>
        <w:t xml:space="preserve">by the High Court</w:t>
      </w:r>
      <w:r>
        <w:t xml:space="preserve"> in any other case.</w:t>
      </w:r>
    </w:p>
    <w:p>
      <w:pPr>
        <w:spacing w:after="70" w:line="264"/>
        <w:ind w:left="547" w:hanging="547"/>
        <w:jc w:val="both"/>
      </w:pPr>
      <w:r>
        <w:rPr>
          <w:b/>
          <w:bCs/>
        </w:rPr>
        <w:t xml:space="preserve">11(5)</w:t>
      </w:r>
      <w:r>
        <w:t xml:space="preserve"> — applies to a </w:t>
      </w:r>
      <w:r>
        <w:rPr>
          <w:b/>
          <w:bCs/>
        </w:rPr>
        <w:t xml:space="preserve">sole arbitrator</w:t>
      </w:r>
      <w:r>
        <w:t xml:space="preserve">. Where the parties fail to agree on the arbitrator within </w:t>
      </w:r>
      <w:r>
        <w:rPr>
          <w:b/>
          <w:bCs/>
        </w:rPr>
        <w:t xml:space="preserve">thirty days</w:t>
      </w:r>
      <w:r>
        <w:t xml:space="preserve"> of a request from one to the other, the appointment is made in accordance with sub-section (4).</w:t>
      </w:r>
    </w:p>
    <w:p>
      <w:pPr>
        <w:spacing w:after="70" w:line="264"/>
        <w:ind w:left="547" w:hanging="547"/>
        <w:jc w:val="both"/>
      </w:pPr>
      <w:r>
        <w:rPr>
          <w:b/>
          <w:bCs/>
        </w:rPr>
        <w:t xml:space="preserve">11(6)</w:t>
      </w:r>
      <w:r>
        <w:t xml:space="preserve"> — applies where the parties </w:t>
      </w:r>
      <w:r>
        <w:rPr>
          <w:b/>
          <w:bCs/>
        </w:rPr>
        <w:t xml:space="preserve">did</w:t>
      </w:r>
      <w:r>
        <w:t xml:space="preserve"> agree an appointment procedure and it has failed, in three ways: </w:t>
      </w:r>
      <w:r>
        <w:rPr>
          <w:b/>
          <w:bCs/>
        </w:rPr>
        <w:t xml:space="preserve">(a)</w:t>
      </w:r>
      <w:r>
        <w:t xml:space="preserve"> a party fails to act as required under it; </w:t>
      </w:r>
      <w:r>
        <w:rPr>
          <w:b/>
          <w:bCs/>
        </w:rPr>
        <w:t xml:space="preserve">(b)</w:t>
      </w:r>
      <w:r>
        <w:t xml:space="preserve"> the parties, or the two appointed arbitrators, fail to reach an agreement expected of them under it; or </w:t>
      </w:r>
      <w:r>
        <w:rPr>
          <w:b/>
          <w:bCs/>
        </w:rPr>
        <w:t xml:space="preserve">(c)</w:t>
      </w:r>
      <w:r>
        <w:t xml:space="preserve"> a person, including an institution, fails to perform a function entrusted to him or it. </w:t>
      </w:r>
      <w:r>
        <w:rPr>
          <w:b/>
          <w:bCs/>
          <w:shd w:fill="FFF2CC" w:color="auto" w:val="clear"/>
        </w:rPr>
        <w:t xml:space="preserve">Clause (c) is the residuary ground</w:t>
      </w:r>
      <w:r>
        <w:t xml:space="preserve"> and catches the case of a defaulting appointing authority.</w:t>
      </w:r>
    </w:p>
    <w:p>
      <w:pPr>
        <w:spacing w:after="120" w:line="264"/>
        <w:jc w:val="both"/>
      </w:pPr>
      <w:r>
        <w:t xml:space="preserve">Section 11(7) makes the decision </w:t>
      </w:r>
      <w:r>
        <w:rPr>
          <w:b/>
          <w:bCs/>
        </w:rPr>
        <w:t xml:space="preserve">final</w:t>
      </w:r>
      <w:r>
        <w:t xml:space="preserve">, with no appeal including a Letters Patent Appeal; s. 11(8) requires a </w:t>
      </w:r>
      <w:r>
        <w:rPr>
          <w:b/>
          <w:bCs/>
        </w:rPr>
        <w:t xml:space="preserve">written disclosure</w:t>
      </w:r>
      <w:r>
        <w:t xml:space="preserve"> under s. 12(1) before appointment; s. 11(11) gives competence to the authority </w:t>
      </w:r>
      <w:r>
        <w:rPr>
          <w:b/>
          <w:bCs/>
        </w:rPr>
        <w:t xml:space="preserve">approached first</w:t>
      </w:r>
      <w:r>
        <w:t xml:space="preserve">, preventing forum shopping; and s. 11(12) routes international commercial arbitration to the Supreme Court's designated authority and all others to the High Court's.</w:t>
      </w:r>
    </w:p>
    <w:p>
      <w:pPr>
        <w:pStyle w:val="Heading3"/>
        <w:keepNext/>
        <w:spacing w:after="80" w:before="180"/>
      </w:pPr>
      <w:r>
        <w:t xml:space="preserve">Two points on the present position</w:t>
      </w:r>
    </w:p>
    <w:p>
      <w:pPr>
        <w:spacing w:after="120" w:line="264"/>
        <w:jc w:val="both"/>
      </w:pPr>
      <w:r>
        <w:rPr>
          <w:b/>
          <w:bCs/>
        </w:rPr>
        <w:t xml:space="preserve">First, s. 11(6A) has not been deleted.</w:t>
      </w:r>
      <w:r>
        <w:t xml:space="preserve"> Section 3 of the 2019 Amendment provided for its omission, but </w:t>
      </w:r>
      <w:r>
        <w:rPr>
          <w:b/>
          <w:bCs/>
          <w:shd w:fill="FFF2CC" w:color="auto" w:val="clear"/>
        </w:rPr>
        <w:t xml:space="preserve">that omission has never been brought into force by notification, so s. 11(6A) remains operative.</w:t>
      </w:r>
      <w:r>
        <w:t xml:space="preserve"> The seven-Judge Bench in </w:t>
      </w:r>
      <w:r>
        <w:rPr>
          <w:b/>
          <w:bCs/>
          <w:i/>
          <w:iCs/>
        </w:rPr>
        <w:t xml:space="preserve">In Re: Interplay between Arbitration Agreements under the Arbitration and Conciliation Act 1996 and the Indian Stamp Act 1899</w:t>
      </w:r>
      <w:r>
        <w:t xml:space="preserve">, 2023 INSC 1066 (13 December 2023), confirmed this, and noted that </w:t>
      </w:r>
      <w:r>
        <w:rPr>
          <w:b/>
          <w:bCs/>
          <w:i/>
          <w:iCs/>
        </w:rPr>
        <w:t xml:space="preserve">Vidya Drolia v. Durga Trading Corporation</w:t>
      </w:r>
      <w:r>
        <w:t xml:space="preserve">, (2021) 2 SCC 1, had proceeded on the erroneous assumption that the omission was already in force.</w:t>
      </w:r>
    </w:p>
    <w:p>
      <w:pPr>
        <w:spacing w:after="120" w:line="264"/>
        <w:jc w:val="both"/>
      </w:pPr>
      <w:r>
        <w:rPr>
          <w:b/>
          <w:bCs/>
        </w:rPr>
        <w:t xml:space="preserve">Secondly, the institutional scheme is not operational.</w:t>
      </w:r>
      <w:r>
        <w:t xml:space="preserve"> </w:t>
      </w:r>
      <w:r>
        <w:rPr>
          <w:b/>
          <w:bCs/>
          <w:shd w:fill="FFF2CC" w:color="auto" w:val="clear"/>
        </w:rPr>
        <w:t xml:space="preserve">The Arbitration Council of India has not been constituted, and no arbitral institution has been graded or designated,</w:t>
      </w:r>
      <w:r>
        <w:t xml:space="preserve"> so the machinery on which the amended sub-sections (3A), (4), (5) and (6) depend is not functioning. In practice appointments continue to be made by the Supreme Court and the High Courts.</w:t>
      </w:r>
    </w:p>
    <w:p>
      <w:pPr>
        <w:pStyle w:val="Heading3"/>
        <w:keepNext/>
        <w:spacing w:after="80" w:before="180"/>
      </w:pPr>
      <w:r>
        <w:t xml:space="preserve">Conclusion</w:t>
      </w:r>
    </w:p>
    <w:p>
      <w:pPr>
        <w:spacing w:after="120" w:line="264"/>
        <w:jc w:val="both"/>
      </w:pPr>
      <w:r>
        <w:t xml:space="preserve">The evolution runs from a </w:t>
      </w:r>
      <w:r>
        <w:rPr>
          <w:b/>
          <w:bCs/>
        </w:rPr>
        <w:t xml:space="preserve">court-centred</w:t>
      </w:r>
      <w:r>
        <w:t xml:space="preserve"> model, through a period of excessive judicial enquiry, to a </w:t>
      </w:r>
      <w:r>
        <w:rPr>
          <w:b/>
          <w:bCs/>
        </w:rPr>
        <w:t xml:space="preserve">statutorily narrowed</w:t>
      </w:r>
      <w:r>
        <w:t xml:space="preserve"> enquiry, and finally towards an </w:t>
      </w:r>
      <w:r>
        <w:rPr>
          <w:b/>
          <w:bCs/>
        </w:rPr>
        <w:t xml:space="preserve">institution-centred</w:t>
      </w:r>
      <w:r>
        <w:t xml:space="preserve"> model that exists on paper but not yet in fact. The present law may be stated in one sentence: </w:t>
      </w:r>
      <w:r>
        <w:rPr>
          <w:b/>
          <w:bCs/>
          <w:shd w:fill="FFF2CC" w:color="auto" w:val="clear"/>
        </w:rPr>
        <w:t xml:space="preserve">the referral court makes a limited prima facie examination confined to the existence and prima facie validity of the arbitration agreement, and everything else is left to the tribunal under s. 16.</w:t>
      </w:r>
    </w:p>
    <w:p>
      <w:pPr>
        <w:pStyle w:val="Heading2"/>
        <w:keepNext/>
        <w:spacing w:after="100" w:before="250"/>
      </w:pPr>
      <w:r>
        <w:t xml:space="preserve">Q2.  Obligations of an arbitrator towards the parties seeking his appointment; whether he can be removed for violating them; the grounds and procedure for challenge; and the changes made by the 2015 Amendment. (10 marks)</w:t>
      </w:r>
    </w:p>
    <w:p>
      <w:pPr>
        <w:pStyle w:val="Heading3"/>
        <w:keepNext/>
        <w:spacing w:after="80" w:before="180"/>
      </w:pPr>
      <w:r>
        <w:t xml:space="preserve">Introduction</w:t>
      </w:r>
    </w:p>
    <w:p>
      <w:pPr>
        <w:spacing w:after="120" w:line="264"/>
        <w:jc w:val="both"/>
      </w:pPr>
      <w:r>
        <w:t xml:space="preserve">An arbitrator performs the function of a judge, but derives his authority from a private contract. Public confidence in arbitration therefore rests entirely on his being </w:t>
      </w:r>
      <w:r>
        <w:rPr>
          <w:b/>
          <w:bCs/>
        </w:rPr>
        <w:t xml:space="preserve">independent of the parties</w:t>
      </w:r>
      <w:r>
        <w:t xml:space="preserve"> and </w:t>
      </w:r>
      <w:r>
        <w:rPr>
          <w:b/>
          <w:bCs/>
        </w:rPr>
        <w:t xml:space="preserve">impartial between them</w:t>
      </w:r>
      <w:r>
        <w:t xml:space="preserve">. Sections 12 and 13 protect this, and ss. 14 and 15 provide the machinery for removal.</w:t>
      </w:r>
    </w:p>
    <w:p>
      <w:pPr>
        <w:spacing w:after="120" w:line="264"/>
        <w:jc w:val="both"/>
      </w:pPr>
      <w:r>
        <w:t xml:space="preserve">Two ideas underlie the whole scheme. </w:t>
      </w:r>
      <w:r>
        <w:rPr>
          <w:b/>
          <w:bCs/>
          <w:shd w:fill="FFF2CC" w:color="auto" w:val="clear"/>
        </w:rPr>
        <w:t xml:space="preserve">The test is not actual bias but whether circumstances give rise to justifiable doubts</w:t>
      </w:r>
      <w:r>
        <w:t xml:space="preserve"> — the appearance of bias, judged objectively. And </w:t>
      </w:r>
      <w:r>
        <w:rPr>
          <w:b/>
          <w:bCs/>
        </w:rPr>
        <w:t xml:space="preserve">disclosure is a continuing duty</w:t>
      </w:r>
      <w:r>
        <w:t xml:space="preserve">, not a formality completed at the time of appointment.</w:t>
      </w:r>
    </w:p>
    <w:p>
      <w:pPr>
        <w:pStyle w:val="Heading3"/>
        <w:keepNext/>
        <w:spacing w:after="80" w:before="180"/>
      </w:pPr>
      <w:r>
        <w:t xml:space="preserve">1. Obligations of a person approached for appointment</w:t>
      </w:r>
    </w:p>
    <w:p>
      <w:pPr>
        <w:spacing w:after="120" w:line="264"/>
        <w:jc w:val="both"/>
      </w:pPr>
      <w:r>
        <w:rPr>
          <w:b/>
          <w:bCs/>
        </w:rPr>
        <w:t xml:space="preserve">Section 12(1)</w:t>
      </w:r>
      <w:r>
        <w:t xml:space="preserve"> requires him to disclose </w:t>
      </w:r>
      <w:r>
        <w:rPr>
          <w:b/>
          <w:bCs/>
        </w:rPr>
        <w:t xml:space="preserve">in writing</w:t>
      </w:r>
      <w:r>
        <w:t xml:space="preserve">—</w:t>
      </w:r>
    </w:p>
    <w:p>
      <w:pPr>
        <w:pStyle w:val="ListParagraph"/>
        <w:numPr>
          <w:ilvl w:val="0"/>
          <w:numId w:val="3"/>
        </w:numPr>
        <w:spacing w:after="70" w:line="264"/>
        <w:jc w:val="both"/>
      </w:pPr>
      <w:r>
        <w:t xml:space="preserve">any circumstance, direct or indirect, of a </w:t>
      </w:r>
      <w:r>
        <w:rPr>
          <w:b/>
          <w:bCs/>
        </w:rPr>
        <w:t xml:space="preserve">past or present relationship with a party, or an interest in a party or in the subject matter</w:t>
      </w:r>
      <w:r>
        <w:t xml:space="preserve"> — financial, business, professional or of any other kind — which is </w:t>
      </w:r>
      <w:r>
        <w:rPr>
          <w:b/>
          <w:bCs/>
        </w:rPr>
        <w:t xml:space="preserve">likely to give rise to justifiable doubts</w:t>
      </w:r>
      <w:r>
        <w:t xml:space="preserve"> as to his independence or impartiality; and</w:t>
      </w:r>
    </w:p>
    <w:p>
      <w:pPr>
        <w:pStyle w:val="ListParagraph"/>
        <w:numPr>
          <w:ilvl w:val="0"/>
          <w:numId w:val="3"/>
        </w:numPr>
        <w:spacing w:after="70" w:line="264"/>
        <w:jc w:val="both"/>
      </w:pPr>
      <w:r>
        <w:t xml:space="preserve">any circumstance </w:t>
      </w:r>
      <w:r>
        <w:rPr>
          <w:b/>
          <w:bCs/>
        </w:rPr>
        <w:t xml:space="preserve">likely to affect his ability to devote sufficient time</w:t>
      </w:r>
      <w:r>
        <w:t xml:space="preserve"> to the arbitration, in particular his ability to complete it within </w:t>
      </w:r>
      <w:r>
        <w:rPr>
          <w:b/>
          <w:bCs/>
        </w:rPr>
        <w:t xml:space="preserve">twelve months</w:t>
      </w:r>
      <w:r>
        <w:t xml:space="preserve">.</w:t>
      </w:r>
    </w:p>
    <w:p>
      <w:pPr>
        <w:spacing w:after="120" w:line="264"/>
        <w:jc w:val="both"/>
      </w:pPr>
      <w:r>
        <w:t xml:space="preserve">Two Explanations govern the operation of the sub-section. </w:t>
      </w:r>
      <w:r>
        <w:rPr>
          <w:b/>
          <w:bCs/>
        </w:rPr>
        <w:t xml:space="preserve">Explanation 1</w:t>
      </w:r>
      <w:r>
        <w:t xml:space="preserve"> makes the grounds in the </w:t>
      </w:r>
      <w:r>
        <w:rPr>
          <w:b/>
          <w:bCs/>
        </w:rPr>
        <w:t xml:space="preserve">Fifth Schedule</w:t>
      </w:r>
      <w:r>
        <w:t xml:space="preserve"> the guide for deciding whether justifiable doubts exist. </w:t>
      </w:r>
      <w:r>
        <w:rPr>
          <w:b/>
          <w:bCs/>
        </w:rPr>
        <w:t xml:space="preserve">Explanation 2</w:t>
      </w:r>
      <w:r>
        <w:t xml:space="preserve"> requires the disclosure to be made in the form set out in the </w:t>
      </w:r>
      <w:r>
        <w:rPr>
          <w:b/>
          <w:bCs/>
        </w:rPr>
        <w:t xml:space="preserve">Sixth Schedule</w:t>
      </w:r>
      <w:r>
        <w:t xml:space="preserve">.</w:t>
      </w:r>
    </w:p>
    <w:p>
      <w:pPr>
        <w:spacing w:after="120" w:line="264"/>
        <w:jc w:val="both"/>
      </w:pPr>
      <w:r>
        <w:rPr>
          <w:b/>
          <w:bCs/>
        </w:rPr>
        <w:t xml:space="preserve">Section 12(2)</w:t>
      </w:r>
      <w:r>
        <w:t xml:space="preserve"> extends the duty through time. From the date of appointment and throughout the proceedings, the arbitrator must disclose </w:t>
      </w:r>
      <w:r>
        <w:rPr>
          <w:b/>
          <w:bCs/>
        </w:rPr>
        <w:t xml:space="preserve">without delay</w:t>
      </w:r>
      <w:r>
        <w:t xml:space="preserve"> any such circumstance, unless the parties have already been informed by him.</w:t>
      </w:r>
    </w:p>
    <w:p>
      <w:pPr>
        <w:pStyle w:val="Heading3"/>
        <w:keepNext/>
        <w:spacing w:after="80" w:before="180"/>
      </w:pPr>
      <w:r>
        <w:t xml:space="preserve">2. Can he be removed for violating these obligations?</w:t>
      </w:r>
    </w:p>
    <w:p>
      <w:pPr>
        <w:spacing w:after="120" w:line="264"/>
        <w:jc w:val="both"/>
      </w:pPr>
      <w:r>
        <w:t xml:space="preserve">Yes. The Act provides </w:t>
      </w:r>
      <w:r>
        <w:rPr>
          <w:b/>
          <w:bCs/>
        </w:rPr>
        <w:t xml:space="preserve">three routes</w:t>
      </w:r>
      <w:r>
        <w:t xml:space="preserve">, and they are cumulative.</w:t>
      </w:r>
    </w:p>
    <w:p>
      <w:pPr>
        <w:pStyle w:val="ListParagraph"/>
        <w:numPr>
          <w:ilvl w:val="0"/>
          <w:numId w:val="4"/>
        </w:numPr>
        <w:spacing w:after="70" w:line="264"/>
        <w:jc w:val="both"/>
      </w:pPr>
      <w:r>
        <w:rPr>
          <w:b/>
          <w:bCs/>
        </w:rPr>
        <w:t xml:space="preserve">Successful challenge under ss. 12 and 13.</w:t>
      </w:r>
      <w:r>
        <w:t xml:space="preserve"> Non-disclosure will usually reveal the very circumstance that founds a challenge under s. 12(3).</w:t>
      </w:r>
    </w:p>
    <w:p>
      <w:pPr>
        <w:pStyle w:val="ListParagraph"/>
        <w:numPr>
          <w:ilvl w:val="0"/>
          <w:numId w:val="4"/>
        </w:numPr>
        <w:spacing w:after="70" w:line="264"/>
        <w:jc w:val="both"/>
      </w:pPr>
      <w:r>
        <w:rPr>
          <w:b/>
          <w:bCs/>
        </w:rPr>
        <w:t xml:space="preserve">Termination under s. 14.</w:t>
      </w:r>
      <w:r>
        <w:t xml:space="preserve"> Where he becomes </w:t>
      </w:r>
      <w:r>
        <w:rPr>
          <w:b/>
          <w:bCs/>
        </w:rPr>
        <w:t xml:space="preserve">unable in law or in fact</w:t>
      </w:r>
      <w:r>
        <w:t xml:space="preserve"> to act, or fails to act without undue delay, his mandate ends and he must be replaced. If the parties dispute whether the ground exists, a party may apply to </w:t>
      </w:r>
      <w:r>
        <w:rPr>
          <w:b/>
          <w:bCs/>
        </w:rPr>
        <w:t xml:space="preserve">the court</w:t>
      </w:r>
      <w:r>
        <w:t xml:space="preserve"> under s. 14(2).</w:t>
      </w:r>
    </w:p>
    <w:p>
      <w:pPr>
        <w:pStyle w:val="ListParagraph"/>
        <w:numPr>
          <w:ilvl w:val="0"/>
          <w:numId w:val="4"/>
        </w:numPr>
        <w:spacing w:after="70" w:line="264"/>
        <w:jc w:val="both"/>
      </w:pPr>
      <w:r>
        <w:rPr>
          <w:b/>
          <w:bCs/>
        </w:rPr>
        <w:t xml:space="preserve">Termination under s. 15</w:t>
      </w:r>
      <w:r>
        <w:t xml:space="preserve"> — withdrawal from office for any reason, or termination by agreement of the parties. Under </w:t>
      </w:r>
      <w:r>
        <w:rPr>
          <w:b/>
          <w:bCs/>
        </w:rPr>
        <w:t xml:space="preserve">s. 15(2)</w:t>
      </w:r>
      <w:r>
        <w:t xml:space="preserve"> the substitute is appointed by the same route as the original appointment.</w:t>
      </w:r>
    </w:p>
    <w:p>
      <w:pPr>
        <w:spacing w:after="120" w:line="264"/>
        <w:jc w:val="both"/>
      </w:pPr>
      <w:r>
        <w:rPr>
          <w:b/>
          <w:bCs/>
        </w:rPr>
        <w:t xml:space="preserve">The most important route today is the first read with the second.</w:t>
      </w:r>
      <w:r>
        <w:t xml:space="preserve"> </w:t>
      </w:r>
      <w:r>
        <w:rPr>
          <w:b/>
          <w:bCs/>
          <w:shd w:fill="FFF2CC" w:color="auto" w:val="clear"/>
        </w:rPr>
        <w:t xml:space="preserve">A person disqualified under s. 12(5) is ineligible as a matter of law, which is a de jure inability, so his mandate terminates under s. 14</w:t>
      </w:r>
      <w:r>
        <w:t xml:space="preserve"> — </w:t>
      </w:r>
      <w:r>
        <w:rPr>
          <w:b/>
          <w:bCs/>
          <w:i/>
          <w:iCs/>
        </w:rPr>
        <w:t xml:space="preserve">Bharat Broadband Network Ltd. v. United Telecoms Ltd.</w:t>
      </w:r>
      <w:r>
        <w:t xml:space="preserve">, (2019) 5 SCC 755.</w:t>
      </w:r>
    </w:p>
    <w:p>
      <w:pPr>
        <w:spacing w:after="120" w:line="264"/>
        <w:jc w:val="both"/>
      </w:pPr>
      <w:r>
        <w:t xml:space="preserve">Note also </w:t>
      </w:r>
      <w:r>
        <w:rPr>
          <w:b/>
          <w:bCs/>
        </w:rPr>
        <w:t xml:space="preserve">s. 14(3)</w:t>
      </w:r>
      <w:r>
        <w:t xml:space="preserve">: withdrawal from office, or a party's agreement to termination, </w:t>
      </w:r>
      <w:r>
        <w:rPr>
          <w:b/>
          <w:bCs/>
        </w:rPr>
        <w:t xml:space="preserve">does not imply acceptance</w:t>
      </w:r>
      <w:r>
        <w:t xml:space="preserve"> of the validity of any ground. This allows an arbitrator to step down without appearing to concede bias.</w:t>
      </w:r>
    </w:p>
    <w:p>
      <w:pPr>
        <w:pStyle w:val="Heading3"/>
        <w:keepNext/>
        <w:spacing w:after="80" w:before="180"/>
      </w:pPr>
      <w:r>
        <w:t xml:space="preserve">3. Grounds for challenge — s. 12(3) and (4)</w:t>
      </w:r>
    </w:p>
    <w:p>
      <w:pPr>
        <w:spacing w:after="120" w:line="264"/>
        <w:jc w:val="both"/>
      </w:pPr>
      <w:r>
        <w:t xml:space="preserve">An arbitrator may be challenged </w:t>
      </w:r>
      <w:r>
        <w:rPr>
          <w:b/>
          <w:bCs/>
        </w:rPr>
        <w:t xml:space="preserve">only</w:t>
      </w:r>
      <w:r>
        <w:t xml:space="preserve"> on two grounds: that circumstances exist giving rise to </w:t>
      </w:r>
      <w:r>
        <w:rPr>
          <w:b/>
          <w:bCs/>
        </w:rPr>
        <w:t xml:space="preserve">justifiable doubts</w:t>
      </w:r>
      <w:r>
        <w:t xml:space="preserve"> as to his independence or impartiality; or that he </w:t>
      </w:r>
      <w:r>
        <w:rPr>
          <w:b/>
          <w:bCs/>
        </w:rPr>
        <w:t xml:space="preserve">does not possess the qualifications</w:t>
      </w:r>
      <w:r>
        <w:t xml:space="preserve"> agreed to by the parties. </w:t>
      </w:r>
      <w:r>
        <w:rPr>
          <w:b/>
          <w:bCs/>
          <w:shd w:fill="FFF2CC" w:color="auto" w:val="clear"/>
        </w:rPr>
        <w:t xml:space="preserve">The word “only” makes this a filtering provision, keeping out frivolous and tactical objections.</w:t>
      </w:r>
    </w:p>
    <w:p>
      <w:pPr>
        <w:spacing w:after="120" w:line="264"/>
        <w:jc w:val="both"/>
      </w:pPr>
      <w:r>
        <w:rPr>
          <w:b/>
          <w:bCs/>
        </w:rPr>
        <w:t xml:space="preserve">Section 12(4)</w:t>
      </w:r>
      <w:r>
        <w:t xml:space="preserve"> restricts a party who made or participated in the appointment. Such a party may challenge its own appointee </w:t>
      </w:r>
      <w:r>
        <w:rPr>
          <w:b/>
          <w:bCs/>
        </w:rPr>
        <w:t xml:space="preserve">only for reasons of which it became aware after the appointment</w:t>
      </w:r>
      <w:r>
        <w:t xml:space="preserve">.</w:t>
      </w:r>
    </w:p>
    <w:p>
      <w:pPr>
        <w:pStyle w:val="Heading3"/>
        <w:keepNext/>
        <w:spacing w:after="80" w:before="180"/>
      </w:pPr>
      <w:r>
        <w:t xml:space="preserve">4. Procedure for challenge — s. 13</w:t>
      </w:r>
    </w:p>
    <w:p>
      <w:pPr>
        <w:spacing w:after="70" w:line="264"/>
        <w:ind w:left="547" w:hanging="547"/>
        <w:jc w:val="both"/>
      </w:pPr>
      <w:r>
        <w:rPr>
          <w:b/>
          <w:bCs/>
        </w:rPr>
        <w:t xml:space="preserve">13(1)</w:t>
      </w:r>
      <w:r>
        <w:t xml:space="preserve"> The parties are free to agree a challenge procedure.</w:t>
      </w:r>
    </w:p>
    <w:p>
      <w:pPr>
        <w:spacing w:after="70" w:line="264"/>
        <w:ind w:left="547" w:hanging="547"/>
        <w:jc w:val="both"/>
      </w:pPr>
      <w:r>
        <w:rPr>
          <w:b/>
          <w:bCs/>
        </w:rPr>
        <w:t xml:space="preserve">13(2)</w:t>
      </w:r>
      <w:r>
        <w:t xml:space="preserve"> Failing agreement, the challenging party must, within </w:t>
      </w:r>
      <w:r>
        <w:rPr>
          <w:b/>
          <w:bCs/>
        </w:rPr>
        <w:t xml:space="preserve">fifteen days</w:t>
      </w:r>
      <w:r>
        <w:t xml:space="preserve"> of becoming aware of the constitution of the tribunal or of the disqualifying circumstance, send a </w:t>
      </w:r>
      <w:r>
        <w:rPr>
          <w:b/>
          <w:bCs/>
        </w:rPr>
        <w:t xml:space="preserve">written statement of the reasons</w:t>
      </w:r>
      <w:r>
        <w:t xml:space="preserve"> to the arbitral tribunal.</w:t>
      </w:r>
    </w:p>
    <w:p>
      <w:pPr>
        <w:spacing w:after="70" w:line="264"/>
        <w:ind w:left="547" w:hanging="547"/>
        <w:jc w:val="both"/>
      </w:pPr>
      <w:r>
        <w:rPr>
          <w:b/>
          <w:bCs/>
        </w:rPr>
        <w:t xml:space="preserve">13(3)</w:t>
      </w:r>
      <w:r>
        <w:t xml:space="preserve"> Unless the challenged arbitrator withdraws, or the other party agrees to the challenge, </w:t>
      </w:r>
      <w:r>
        <w:rPr>
          <w:b/>
          <w:bCs/>
          <w:shd w:fill="FFF2CC" w:color="auto" w:val="clear"/>
        </w:rPr>
        <w:t xml:space="preserve">the arbitral tribunal itself decides the challenge.</w:t>
      </w:r>
    </w:p>
    <w:p>
      <w:pPr>
        <w:spacing w:after="70" w:line="264"/>
        <w:ind w:left="547" w:hanging="547"/>
        <w:jc w:val="both"/>
      </w:pPr>
      <w:r>
        <w:rPr>
          <w:b/>
          <w:bCs/>
        </w:rPr>
        <w:t xml:space="preserve">13(4)</w:t>
      </w:r>
      <w:r>
        <w:t xml:space="preserve"> If the challenge fails, the tribunal </w:t>
      </w:r>
      <w:r>
        <w:rPr>
          <w:b/>
          <w:bCs/>
        </w:rPr>
        <w:t xml:space="preserve">continues</w:t>
      </w:r>
      <w:r>
        <w:t xml:space="preserve"> the proceedings and makes an award.</w:t>
      </w:r>
    </w:p>
    <w:p>
      <w:pPr>
        <w:spacing w:after="70" w:line="264"/>
        <w:ind w:left="547" w:hanging="547"/>
        <w:jc w:val="both"/>
      </w:pPr>
      <w:r>
        <w:rPr>
          <w:b/>
          <w:bCs/>
        </w:rPr>
        <w:t xml:space="preserve">13(5)</w:t>
      </w:r>
      <w:r>
        <w:t xml:space="preserve"> The challenging party may then apply under </w:t>
      </w:r>
      <w:r>
        <w:rPr>
          <w:b/>
          <w:bCs/>
        </w:rPr>
        <w:t xml:space="preserve">s. 34</w:t>
      </w:r>
      <w:r>
        <w:t xml:space="preserve"> to set that award aside.</w:t>
      </w:r>
    </w:p>
    <w:p>
      <w:pPr>
        <w:spacing w:after="70" w:line="264"/>
        <w:ind w:left="547" w:hanging="547"/>
        <w:jc w:val="both"/>
      </w:pPr>
      <w:r>
        <w:rPr>
          <w:b/>
          <w:bCs/>
        </w:rPr>
        <w:t xml:space="preserve">13(6)</w:t>
      </w:r>
      <w:r>
        <w:t xml:space="preserve"> Where the award is set aside on that application, the court may decide whether the challenged arbitrator is entitled to any fees.</w:t>
      </w:r>
    </w:p>
    <w:p>
      <w:pPr>
        <w:spacing w:after="120" w:line="264"/>
        <w:jc w:val="both"/>
      </w:pPr>
      <w:r>
        <w:rPr>
          <w:b/>
          <w:bCs/>
        </w:rPr>
        <w:t xml:space="preserve">The design is deliberately anti-dilatory.</w:t>
      </w:r>
      <w:r>
        <w:t xml:space="preserve"> A failed challenge does not halt the arbitration, so it cannot be used as a device by a party expecting to lose. The safeguard is deferred to s. 34. The arrangement by which the tribunal decides a challenge to its own member would be unthinkable in a court, and is tolerated only because of that safeguard. Natural justice still applies, so the challenged arbitrator is given an opportunity to comment.</w:t>
      </w:r>
    </w:p>
    <w:p>
      <w:pPr>
        <w:pStyle w:val="Heading3"/>
        <w:keepNext/>
        <w:spacing w:after="80" w:before="180"/>
      </w:pPr>
      <w:r>
        <w:t xml:space="preserve">5. Changes introduced by the Amendment Act, 2015</w:t>
      </w:r>
    </w:p>
    <w:p>
      <w:pPr>
        <w:spacing w:after="120" w:line="264"/>
        <w:jc w:val="both"/>
      </w:pPr>
      <w:r>
        <w:t xml:space="preserve">This is the part of the question carrying the most marks, and it should be set out as a list.</w:t>
      </w:r>
    </w:p>
    <w:p>
      <w:pPr>
        <w:pStyle w:val="ListParagraph"/>
        <w:numPr>
          <w:ilvl w:val="0"/>
          <w:numId w:val="5"/>
        </w:numPr>
        <w:spacing w:after="70" w:line="264"/>
        <w:jc w:val="both"/>
      </w:pPr>
      <w:r>
        <w:rPr>
          <w:b/>
          <w:bCs/>
        </w:rPr>
        <w:t xml:space="preserve">Section 12(1) was recast.</w:t>
      </w:r>
      <w:r>
        <w:t xml:space="preserve"> The old provision required disclosure only of circumstances “likely to give rise to justifiable doubts”. The new one specifies the </w:t>
      </w:r>
      <w:r>
        <w:rPr>
          <w:b/>
          <w:bCs/>
        </w:rPr>
        <w:t xml:space="preserve">kinds of relationship and interest</w:t>
      </w:r>
      <w:r>
        <w:t xml:space="preserve"> to be disclosed, and adds the separate duty to disclose anything affecting </w:t>
      </w:r>
      <w:r>
        <w:rPr>
          <w:b/>
          <w:bCs/>
        </w:rPr>
        <w:t xml:space="preserve">availability</w:t>
      </w:r>
      <w:r>
        <w:t xml:space="preserve">, in particular the ability to finish within twelve months.</w:t>
      </w:r>
    </w:p>
    <w:p>
      <w:pPr>
        <w:pStyle w:val="ListParagraph"/>
        <w:numPr>
          <w:ilvl w:val="0"/>
          <w:numId w:val="5"/>
        </w:numPr>
        <w:spacing w:after="70" w:line="264"/>
        <w:jc w:val="both"/>
      </w:pPr>
      <w:r>
        <w:rPr>
          <w:b/>
          <w:bCs/>
        </w:rPr>
        <w:t xml:space="preserve">Disclosure was standardised.</w:t>
      </w:r>
      <w:r>
        <w:t xml:space="preserve"> Explanation 2 requires the </w:t>
      </w:r>
      <w:r>
        <w:rPr>
          <w:b/>
          <w:bCs/>
        </w:rPr>
        <w:t xml:space="preserve">Sixth Schedule</w:t>
      </w:r>
      <w:r>
        <w:t xml:space="preserve"> form, so disclosure is no longer left to the arbitrator's own wording.</w:t>
      </w:r>
    </w:p>
    <w:p>
      <w:pPr>
        <w:pStyle w:val="ListParagraph"/>
        <w:numPr>
          <w:ilvl w:val="0"/>
          <w:numId w:val="5"/>
        </w:numPr>
        <w:spacing w:after="70" w:line="264"/>
        <w:jc w:val="both"/>
      </w:pPr>
      <w:r>
        <w:rPr>
          <w:b/>
          <w:bCs/>
        </w:rPr>
        <w:t xml:space="preserve">The Fifth Schedule was inserted</w:t>
      </w:r>
      <w:r>
        <w:t xml:space="preserve"> as the guide to what raises justifiable doubts, drawn from the IBA Guidelines on Conflicts of Interest.</w:t>
      </w:r>
    </w:p>
    <w:p>
      <w:pPr>
        <w:pStyle w:val="ListParagraph"/>
        <w:numPr>
          <w:ilvl w:val="0"/>
          <w:numId w:val="5"/>
        </w:numPr>
        <w:spacing w:after="70" w:line="264"/>
        <w:jc w:val="both"/>
      </w:pPr>
      <w:r>
        <w:rPr>
          <w:b/>
          <w:bCs/>
        </w:rPr>
        <w:t xml:space="preserve">Section 12(5) and the Seventh Schedule were inserted.</w:t>
      </w:r>
      <w:r>
        <w:t xml:space="preserve"> </w:t>
      </w:r>
      <w:r>
        <w:rPr>
          <w:b/>
          <w:bCs/>
          <w:shd w:fill="FFF2CC" w:color="auto" w:val="clear"/>
        </w:rPr>
        <w:t xml:space="preserve">A person whose relationship with the parties, counsel or subject matter falls within the Seventh Schedule is ineligible to be appointed, notwithstanding any prior agreement to the contrary.</w:t>
      </w:r>
      <w:r>
        <w:t xml:space="preserve"> This is the most significant change of all.</w:t>
      </w:r>
    </w:p>
    <w:p>
      <w:pPr>
        <w:pStyle w:val="ListParagraph"/>
        <w:numPr>
          <w:ilvl w:val="0"/>
          <w:numId w:val="5"/>
        </w:numPr>
        <w:spacing w:after="70" w:line="264"/>
        <w:jc w:val="both"/>
      </w:pPr>
      <w:r>
        <w:rPr>
          <w:b/>
          <w:bCs/>
        </w:rPr>
        <w:t xml:space="preserve">A strict waiver rule was created.</w:t>
      </w:r>
      <w:r>
        <w:t xml:space="preserve"> Under the proviso to s. 12(5), the parties may waive that ineligibility </w:t>
      </w:r>
      <w:r>
        <w:rPr>
          <w:b/>
          <w:bCs/>
        </w:rPr>
        <w:t xml:space="preserve">only by an express agreement in writing entered into after the dispute has arisen</w:t>
      </w:r>
      <w:r>
        <w:t xml:space="preserve">. Conduct, participation and silence are not enough.</w:t>
      </w:r>
    </w:p>
    <w:p>
      <w:pPr>
        <w:spacing w:after="120" w:line="264"/>
        <w:jc w:val="both"/>
      </w:pPr>
      <w:r>
        <w:rPr>
          <w:b/>
          <w:bCs/>
        </w:rPr>
        <w:t xml:space="preserve">Distinguish s. 12(3) from s. 12(5), because this is where marks are lost.</w:t>
      </w:r>
      <w:r>
        <w:t xml:space="preserve"> Sub-section (3) creates a </w:t>
      </w:r>
      <w:r>
        <w:rPr>
          <w:b/>
          <w:bCs/>
        </w:rPr>
        <w:t xml:space="preserve">ground of challenge</w:t>
      </w:r>
      <w:r>
        <w:t xml:space="preserve">, decided under s. 13. Sub-section (5) creates a </w:t>
      </w:r>
      <w:r>
        <w:rPr>
          <w:b/>
          <w:bCs/>
        </w:rPr>
        <w:t xml:space="preserve">disqualification operating in law</w:t>
      </w:r>
      <w:r>
        <w:t xml:space="preserve">, and its non obstante clause overrides the contract itself, including the very clause that named him.</w:t>
      </w:r>
    </w:p>
    <w:p>
      <w:pPr>
        <w:pStyle w:val="Heading3"/>
        <w:keepNext/>
        <w:spacing w:after="80" w:before="180"/>
      </w:pPr>
      <w:r>
        <w:t xml:space="preserve">6. Effect on the departmental arbitrator</w:t>
      </w:r>
    </w:p>
    <w:p>
      <w:pPr>
        <w:spacing w:after="120" w:line="264"/>
        <w:jc w:val="both"/>
      </w:pPr>
      <w:r>
        <w:t xml:space="preserve">The practical target of s. 12(5) was the clause by which a public sector undertaking or government department appoints </w:t>
      </w:r>
      <w:r>
        <w:rPr>
          <w:b/>
          <w:bCs/>
        </w:rPr>
        <w:t xml:space="preserve">its own officer</w:t>
      </w:r>
      <w:r>
        <w:t xml:space="preserve">, or that officer's nominee, as arbitrator.</w:t>
      </w:r>
    </w:p>
    <w:p>
      <w:pPr>
        <w:pStyle w:val="ListParagraph"/>
        <w:numPr>
          <w:ilvl w:val="0"/>
          <w:numId w:val="6"/>
        </w:numPr>
        <w:spacing w:after="70" w:line="264"/>
        <w:jc w:val="both"/>
      </w:pPr>
      <w:r>
        <w:rPr>
          <w:b/>
          <w:bCs/>
          <w:i/>
          <w:iCs/>
        </w:rPr>
        <w:t xml:space="preserve">Indian Oil Corporation Ltd. v. Raja Transport Pvt. Ltd.</w:t>
      </w:r>
      <w:r>
        <w:t xml:space="preserve">, (2009) 8 SCC 520 — the </w:t>
      </w:r>
      <w:r>
        <w:rPr>
          <w:b/>
          <w:bCs/>
        </w:rPr>
        <w:t xml:space="preserve">pre-2015 position</w:t>
      </w:r>
      <w:r>
        <w:t xml:space="preserve">: an employee is not per se disqualified, and a named senior officer is presumed independent unless a reasonable apprehension of bias is made out.</w:t>
      </w:r>
    </w:p>
    <w:p>
      <w:pPr>
        <w:pStyle w:val="ListParagraph"/>
        <w:numPr>
          <w:ilvl w:val="0"/>
          <w:numId w:val="6"/>
        </w:numPr>
        <w:spacing w:after="70" w:line="264"/>
        <w:jc w:val="both"/>
      </w:pPr>
      <w:r>
        <w:rPr>
          <w:b/>
          <w:bCs/>
          <w:i/>
          <w:iCs/>
        </w:rPr>
        <w:t xml:space="preserve">TRF Ltd. v. Energo Engineering Projects Ltd.</w:t>
      </w:r>
      <w:r>
        <w:t xml:space="preserve">, (2017) 8 SCC 377 (3 Judges) — a person who is himself ineligible </w:t>
      </w:r>
      <w:r>
        <w:rPr>
          <w:b/>
          <w:bCs/>
        </w:rPr>
        <w:t xml:space="preserve">cannot nominate</w:t>
      </w:r>
      <w:r>
        <w:t xml:space="preserve"> an arbitrator.</w:t>
      </w:r>
    </w:p>
    <w:p>
      <w:pPr>
        <w:pStyle w:val="ListParagraph"/>
        <w:numPr>
          <w:ilvl w:val="0"/>
          <w:numId w:val="6"/>
        </w:numPr>
        <w:spacing w:after="70" w:line="264"/>
        <w:jc w:val="both"/>
      </w:pPr>
      <w:r>
        <w:rPr>
          <w:b/>
          <w:bCs/>
          <w:i/>
          <w:iCs/>
        </w:rPr>
        <w:t xml:space="preserve">Perkins Eastman Architects DPC v. HSCC (India) Ltd.</w:t>
      </w:r>
      <w:r>
        <w:t xml:space="preserve">, (2020) 20 SCC 760 — a party interested in the outcome </w:t>
      </w:r>
      <w:r>
        <w:rPr>
          <w:b/>
          <w:bCs/>
        </w:rPr>
        <w:t xml:space="preserve">cannot unilaterally appoint</w:t>
      </w:r>
      <w:r>
        <w:t xml:space="preserve"> the sole arbitrator.</w:t>
      </w:r>
    </w:p>
    <w:p>
      <w:pPr>
        <w:pStyle w:val="ListParagraph"/>
        <w:numPr>
          <w:ilvl w:val="0"/>
          <w:numId w:val="6"/>
        </w:numPr>
        <w:spacing w:after="70" w:line="264"/>
        <w:jc w:val="both"/>
      </w:pPr>
      <w:r>
        <w:rPr>
          <w:b/>
          <w:bCs/>
          <w:i/>
          <w:iCs/>
        </w:rPr>
        <w:t xml:space="preserve">Bharat Broadband Network Ltd. v. United Telecoms Ltd.</w:t>
      </w:r>
      <w:r>
        <w:t xml:space="preserve">, (2019) 5 SCC 755 — ineligibility is </w:t>
      </w:r>
      <w:r>
        <w:rPr>
          <w:b/>
          <w:bCs/>
        </w:rPr>
        <w:t xml:space="preserve">de jure</w:t>
      </w:r>
      <w:r>
        <w:t xml:space="preserve">, filing a claim without reservation is </w:t>
      </w:r>
      <w:r>
        <w:rPr>
          <w:b/>
          <w:bCs/>
        </w:rPr>
        <w:t xml:space="preserve">not</w:t>
      </w:r>
      <w:r>
        <w:t xml:space="preserve"> waiver, and the mandate terminates under s. 14.</w:t>
      </w:r>
    </w:p>
    <w:p>
      <w:pPr>
        <w:pStyle w:val="ListParagraph"/>
        <w:numPr>
          <w:ilvl w:val="0"/>
          <w:numId w:val="6"/>
        </w:numPr>
        <w:spacing w:after="70" w:line="264"/>
        <w:jc w:val="both"/>
      </w:pPr>
      <w:r>
        <w:rPr>
          <w:b/>
          <w:bCs/>
          <w:i/>
          <w:iCs/>
        </w:rPr>
        <w:t xml:space="preserve">Central Organisation for Railway Electrification v. ECI-SPIC-SMO-MCML (JV)</w:t>
      </w:r>
      <w:r>
        <w:t xml:space="preserve"> (CORE-II), 2024 INSC 857 (Constitution Bench of 5, 8 November 2024) — </w:t>
      </w:r>
      <w:r>
        <w:rPr>
          <w:b/>
          <w:bCs/>
          <w:shd w:fill="FFF2CC" w:color="auto" w:val="clear"/>
        </w:rPr>
        <w:t xml:space="preserve">unilateral appointment clauses in public-private contracts violate Article 14 of the Constitution,</w:t>
      </w:r>
      <w:r>
        <w:t xml:space="preserve"> with prospective effect. CORE-I, (2020) 14 SCC 712, is overruled on the point.</w:t>
      </w:r>
    </w:p>
    <w:p>
      <w:pPr>
        <w:pStyle w:val="Heading3"/>
        <w:keepNext/>
        <w:spacing w:after="80" w:before="180"/>
      </w:pPr>
      <w:r>
        <w:t xml:space="preserve">7. The international standard</w:t>
      </w:r>
    </w:p>
    <w:p>
      <w:pPr>
        <w:spacing w:after="120" w:line="264"/>
        <w:jc w:val="both"/>
      </w:pPr>
      <w:r>
        <w:t xml:space="preserve">The “justifiable doubts” formula in s. 12(3) is taken from the Model Law and is applied internationally. In the </w:t>
      </w:r>
      <w:r>
        <w:rPr>
          <w:b/>
          <w:bCs/>
          <w:i/>
          <w:iCs/>
        </w:rPr>
        <w:t xml:space="preserve">Chagos Marine Protected Area Arbitration (Mauritius v. United Kingdom)</w:t>
      </w:r>
      <w:r>
        <w:t xml:space="preserve">, PCA Case No. 2011-03, the decision of 30 November 2011 rejected a challenge to Judge Greenwood. </w:t>
      </w:r>
      <w:r>
        <w:rPr>
          <w:b/>
          <w:bCs/>
        </w:rPr>
        <w:t xml:space="preserve">Three points transfer directly:</w:t>
      </w:r>
      <w:r>
        <w:t xml:space="preserve"> the test is the appearance of bias and not actual bias; what proved decisive was whether he had been </w:t>
      </w:r>
      <w:r>
        <w:rPr>
          <w:b/>
          <w:bCs/>
        </w:rPr>
        <w:t xml:space="preserve">involved in the subject matter of this particular dispute</w:t>
      </w:r>
      <w:r>
        <w:t xml:space="preserve">; and the challenged arbitrator is heard before the challenge is decided.</w:t>
      </w:r>
    </w:p>
    <w:p>
      <w:pPr>
        <w:pStyle w:val="Heading3"/>
        <w:keepNext/>
        <w:spacing w:after="80" w:before="180"/>
      </w:pPr>
      <w:r>
        <w:t xml:space="preserve">Conclusion</w:t>
      </w:r>
    </w:p>
    <w:p>
      <w:pPr>
        <w:spacing w:after="120" w:line="264"/>
        <w:jc w:val="both"/>
      </w:pPr>
      <w:r>
        <w:t xml:space="preserve">The obligations are disclosure at the outset, in the prescribed form, and continuing disclosure thereafter. Breach may lead to challenge under s. 13, and, where the Seventh Schedule applies, to automatic ineligibility and termination under s. 14. </w:t>
      </w:r>
      <w:r>
        <w:rPr>
          <w:b/>
          <w:bCs/>
          <w:shd w:fill="FFF2CC" w:color="auto" w:val="clear"/>
        </w:rPr>
        <w:t xml:space="preserve">The 2015 Amendment moved the law from a system of challenge, which depended on a party objecting, to a system of disqualification, which operates by force of statute.</w:t>
      </w:r>
    </w:p>
    <w:p>
      <w:pPr>
        <w:pStyle w:val="Heading2"/>
        <w:keepNext/>
        <w:spacing w:after="100" w:before="250"/>
      </w:pPr>
      <w:r>
        <w:t xml:space="preserve">Q3.  Write short notes on all of the following.</w:t>
      </w:r>
    </w:p>
    <w:p>
      <w:pPr>
        <w:pStyle w:val="Heading3"/>
        <w:keepNext/>
        <w:spacing w:after="80" w:before="180"/>
      </w:pPr>
      <w:r>
        <w:t xml:space="preserve">(a)  Waiver — s. 4</w:t>
      </w:r>
    </w:p>
    <w:p>
      <w:pPr>
        <w:spacing w:after="120" w:line="264"/>
        <w:jc w:val="both"/>
      </w:pPr>
      <w:r>
        <w:rPr>
          <w:b/>
          <w:bCs/>
        </w:rPr>
        <w:t xml:space="preserve">Section 4</w:t>
      </w:r>
      <w:r>
        <w:t xml:space="preserve"> provides that a party who </w:t>
      </w:r>
      <w:r>
        <w:rPr>
          <w:b/>
          <w:bCs/>
        </w:rPr>
        <w:t xml:space="preserve">knows</w:t>
      </w:r>
      <w:r>
        <w:t xml:space="preserve"> that a </w:t>
      </w:r>
      <w:r>
        <w:rPr>
          <w:b/>
          <w:bCs/>
        </w:rPr>
        <w:t xml:space="preserve">derogable provision of Part I</w:t>
      </w:r>
      <w:r>
        <w:t xml:space="preserve">, or a </w:t>
      </w:r>
      <w:r>
        <w:rPr>
          <w:b/>
          <w:bCs/>
        </w:rPr>
        <w:t xml:space="preserve">requirement of the arbitration agreement</w:t>
      </w:r>
      <w:r>
        <w:t xml:space="preserve">, has not been complied with, and yet </w:t>
      </w:r>
      <w:r>
        <w:rPr>
          <w:b/>
          <w:bCs/>
        </w:rPr>
        <w:t xml:space="preserve">proceeds with the arbitration</w:t>
      </w:r>
      <w:r>
        <w:t xml:space="preserve"> without stating his objection without undue delay, or within any time fixed, </w:t>
      </w:r>
      <w:r>
        <w:rPr>
          <w:b/>
          <w:bCs/>
          <w:shd w:fill="FFF2CC" w:color="auto" w:val="clear"/>
        </w:rPr>
        <w:t xml:space="preserve">shall be deemed to have waived his right to object.</w:t>
      </w:r>
      <w:r>
        <w:t xml:space="preserve"> The deeming is automatic; no intention to abandon the right need be proved.</w:t>
      </w:r>
    </w:p>
    <w:p>
      <w:pPr>
        <w:spacing w:after="120" w:line="264"/>
        <w:jc w:val="both"/>
      </w:pPr>
      <w:r>
        <w:rPr>
          <w:b/>
          <w:bCs/>
        </w:rPr>
        <w:t xml:space="preserve">The limit is critical.</w:t>
      </w:r>
      <w:r>
        <w:t xml:space="preserve"> The section operates </w:t>
      </w:r>
      <w:r>
        <w:rPr>
          <w:b/>
          <w:bCs/>
        </w:rPr>
        <w:t xml:space="preserve">only on derogable provisions</w:t>
      </w:r>
      <w:r>
        <w:t xml:space="preserve">. Non-compliance with a non-derogable provision, such as s. 34 or s. 18, is not cured by silence. Limb (b) covers conditions the parties impose on themselves, the classic illustration being a </w:t>
      </w:r>
      <w:r>
        <w:rPr>
          <w:b/>
          <w:bCs/>
          <w:i/>
          <w:iCs/>
        </w:rPr>
        <w:t xml:space="preserve">Scott v. Avery</w:t>
      </w:r>
      <w:r>
        <w:t xml:space="preserve"> clause, (1856) 5 HL Cas 811, which makes an award or a certificate a condition precedent to suit.</w:t>
      </w:r>
    </w:p>
    <w:p>
      <w:pPr>
        <w:spacing w:after="120" w:line="264"/>
        <w:jc w:val="both"/>
      </w:pPr>
      <w:r>
        <w:rPr>
          <w:b/>
          <w:bCs/>
        </w:rPr>
        <w:t xml:space="preserve">Purpose:</w:t>
      </w:r>
      <w:r>
        <w:t xml:space="preserve"> to stop a party storing up a defect and producing it after an unfavourable award. </w:t>
      </w:r>
      <w:r>
        <w:rPr>
          <w:b/>
          <w:bCs/>
        </w:rPr>
        <w:t xml:space="preserve">Illustration:</w:t>
      </w:r>
      <w:r>
        <w:t xml:space="preserve"> </w:t>
      </w:r>
      <w:r>
        <w:rPr>
          <w:b/>
          <w:bCs/>
          <w:i/>
          <w:iCs/>
        </w:rPr>
        <w:t xml:space="preserve">Narayan Prasad Lohia v. Nikunj Kumar Lohia</w:t>
      </w:r>
      <w:r>
        <w:t xml:space="preserve">, (2002) 3 SCC 572 — an objection that the tribunal of two arbitrators breached s. 10, not taken under s. 16(2), was held waived.</w:t>
      </w:r>
    </w:p>
    <w:p>
      <w:pPr>
        <w:pStyle w:val="Heading3"/>
        <w:keepNext/>
        <w:spacing w:after="80" w:before="180"/>
      </w:pPr>
      <w:r>
        <w:t xml:space="preserve">(b)  Extent of judicial intervention — s. 5</w:t>
      </w:r>
    </w:p>
    <w:p>
      <w:pPr>
        <w:spacing w:after="120" w:line="264"/>
        <w:jc w:val="both"/>
      </w:pPr>
      <w:r>
        <w:rPr>
          <w:b/>
          <w:bCs/>
        </w:rPr>
        <w:t xml:space="preserve">Section 5</w:t>
      </w:r>
      <w:r>
        <w:t xml:space="preserve"> provides that, </w:t>
      </w:r>
      <w:r>
        <w:rPr>
          <w:b/>
          <w:bCs/>
        </w:rPr>
        <w:t xml:space="preserve">notwithstanding anything contained in any other law</w:t>
      </w:r>
      <w:r>
        <w:t xml:space="preserve">, in matters governed by Part I </w:t>
      </w:r>
      <w:r>
        <w:rPr>
          <w:b/>
          <w:bCs/>
          <w:shd w:fill="FFF2CC" w:color="auto" w:val="clear"/>
        </w:rPr>
        <w:t xml:space="preserve">no judicial authority shall intervene except where so provided in Part I.</w:t>
      </w:r>
      <w:r>
        <w:t xml:space="preserve"> It is the Indian enactment of </w:t>
      </w:r>
      <w:r>
        <w:rPr>
          <w:b/>
          <w:bCs/>
        </w:rPr>
        <w:t xml:space="preserve">Article 5 of the UNCITRAL Model Law</w:t>
      </w:r>
      <w:r>
        <w:t xml:space="preserve">, and it opens with a non obstante clause, so it prevails over inconsistent provisions in other statutes.</w:t>
      </w:r>
    </w:p>
    <w:p>
      <w:pPr>
        <w:spacing w:after="120" w:line="264"/>
        <w:jc w:val="both"/>
      </w:pPr>
      <w:r>
        <w:t xml:space="preserve">Its function is </w:t>
      </w:r>
      <w:r>
        <w:rPr>
          <w:b/>
          <w:bCs/>
        </w:rPr>
        <w:t xml:space="preserve">negative</w:t>
      </w:r>
      <w:r>
        <w:t xml:space="preserve">. The provisions that do permit intervention form a </w:t>
      </w:r>
      <w:r>
        <w:rPr>
          <w:b/>
          <w:bCs/>
        </w:rPr>
        <w:t xml:space="preserve">closed list</w:t>
      </w:r>
      <w:r>
        <w:t xml:space="preserve">: ss. 8, 9, 11, 14(2), 27, 34, 36 and 37.</w:t>
      </w:r>
    </w:p>
    <w:p>
      <w:pPr>
        <w:spacing w:after="120" w:line="264"/>
        <w:jc w:val="both"/>
      </w:pPr>
      <w:r>
        <w:rPr>
          <w:b/>
          <w:bCs/>
        </w:rPr>
        <w:t xml:space="preserve">Two limitations.</w:t>
      </w:r>
      <w:r>
        <w:t xml:space="preserve"> First, it speaks of “matters governed by this Part”, so its application to Part II is unclear and has been criticised. Secondly, and decisively, </w:t>
      </w:r>
      <w:r>
        <w:rPr>
          <w:b/>
          <w:bCs/>
        </w:rPr>
        <w:t xml:space="preserve">an ordinary statute cannot curtail the constitutional jurisdiction</w:t>
      </w:r>
      <w:r>
        <w:t xml:space="preserve"> of the High Courts and the Supreme Court under Articles 226, 227 and 32. In </w:t>
      </w:r>
      <w:r>
        <w:rPr>
          <w:b/>
          <w:bCs/>
          <w:i/>
          <w:iCs/>
        </w:rPr>
        <w:t xml:space="preserve">Union of India v. Tantia Construction Pvt. Ltd.</w:t>
      </w:r>
      <w:r>
        <w:t xml:space="preserve">, (2011) 5 SCC 697, the Court held that the existence of an arbitration clause is </w:t>
      </w:r>
      <w:r>
        <w:rPr>
          <w:b/>
          <w:bCs/>
        </w:rPr>
        <w:t xml:space="preserve">not an absolute bar</w:t>
      </w:r>
      <w:r>
        <w:t xml:space="preserve"> to a writ petition, and that the alternative remedy need not first be exhausted.</w:t>
      </w:r>
    </w:p>
    <w:p>
      <w:pPr>
        <w:pStyle w:val="Heading3"/>
        <w:keepNext/>
        <w:spacing w:after="80" w:before="180"/>
      </w:pPr>
      <w:r>
        <w:t xml:space="preserve">(c)  Arbitration agreement — s. 7</w:t>
      </w:r>
    </w:p>
    <w:p>
      <w:pPr>
        <w:spacing w:after="120" w:line="264"/>
        <w:jc w:val="both"/>
      </w:pPr>
      <w:r>
        <w:t xml:space="preserve">An arbitration agreement is an agreement to submit to arbitration all or certain disputes, </w:t>
      </w:r>
      <w:r>
        <w:rPr>
          <w:b/>
          <w:bCs/>
        </w:rPr>
        <w:t xml:space="preserve">present or future</w:t>
      </w:r>
      <w:r>
        <w:t xml:space="preserve">, arising in respect of a </w:t>
      </w:r>
      <w:r>
        <w:rPr>
          <w:b/>
          <w:bCs/>
        </w:rPr>
        <w:t xml:space="preserve">defined legal relationship, whether contractual or not</w:t>
      </w:r>
      <w:r>
        <w:t xml:space="preserve"> (s. 7(1)). It may be a </w:t>
      </w:r>
      <w:r>
        <w:rPr>
          <w:b/>
          <w:bCs/>
        </w:rPr>
        <w:t xml:space="preserve">clause in a contract</w:t>
      </w:r>
      <w:r>
        <w:t xml:space="preserve"> or a </w:t>
      </w:r>
      <w:r>
        <w:rPr>
          <w:b/>
          <w:bCs/>
        </w:rPr>
        <w:t xml:space="preserve">separate agreement</w:t>
      </w:r>
      <w:r>
        <w:t xml:space="preserve"> (s. 7(2)), and it must be </w:t>
      </w:r>
      <w:r>
        <w:rPr>
          <w:b/>
          <w:bCs/>
        </w:rPr>
        <w:t xml:space="preserve">in writing</w:t>
      </w:r>
      <w:r>
        <w:t xml:space="preserve"> (s. 7(3)).</w:t>
      </w:r>
    </w:p>
    <w:p>
      <w:pPr>
        <w:spacing w:after="120" w:line="264"/>
        <w:jc w:val="both"/>
      </w:pPr>
      <w:r>
        <w:t xml:space="preserve">It is in writing if contained in </w:t>
      </w:r>
      <w:r>
        <w:rPr>
          <w:b/>
          <w:bCs/>
        </w:rPr>
        <w:t xml:space="preserve">(a)</w:t>
      </w:r>
      <w:r>
        <w:t xml:space="preserve"> a signed document; </w:t>
      </w:r>
      <w:r>
        <w:rPr>
          <w:b/>
          <w:bCs/>
        </w:rPr>
        <w:t xml:space="preserve">(b)</w:t>
      </w:r>
      <w:r>
        <w:t xml:space="preserve"> an exchange of letters, telex or other communication, </w:t>
      </w:r>
      <w:r>
        <w:rPr>
          <w:b/>
          <w:bCs/>
        </w:rPr>
        <w:t xml:space="preserve">including electronic means</w:t>
      </w:r>
      <w:r>
        <w:t xml:space="preserve">, providing a record; or </w:t>
      </w:r>
      <w:r>
        <w:rPr>
          <w:b/>
          <w:bCs/>
        </w:rPr>
        <w:t xml:space="preserve">(c)</w:t>
      </w:r>
      <w:r>
        <w:t xml:space="preserve"> </w:t>
      </w:r>
      <w:r>
        <w:rPr>
          <w:b/>
          <w:bCs/>
          <w:shd w:fill="FFF2CC" w:color="auto" w:val="clear"/>
        </w:rPr>
        <w:t xml:space="preserve">an exchange of statements of claim and defence in which one party alleges the agreement and the other does not deny it</w:t>
      </w:r>
      <w:r>
        <w:t xml:space="preserve"> (s. 7(4)). Section 7(5) provides for </w:t>
      </w:r>
      <w:r>
        <w:rPr>
          <w:b/>
          <w:bCs/>
        </w:rPr>
        <w:t xml:space="preserve">incorporation by reference</w:t>
      </w:r>
      <w:r>
        <w:t xml:space="preserve">.</w:t>
      </w:r>
    </w:p>
    <w:p>
      <w:pPr>
        <w:spacing w:after="120" w:line="264"/>
        <w:jc w:val="both"/>
      </w:pPr>
      <w:r>
        <w:rPr>
          <w:b/>
          <w:bCs/>
        </w:rPr>
        <w:t xml:space="preserve">The decisive practical question</w:t>
      </w:r>
      <w:r>
        <w:t xml:space="preserve"> is whether the clause creates an obligation to arbitrate or merely a possibility. In </w:t>
      </w:r>
      <w:r>
        <w:rPr>
          <w:b/>
          <w:bCs/>
          <w:i/>
          <w:iCs/>
        </w:rPr>
        <w:t xml:space="preserve">Jagdish Chander v. Ramesh Chander</w:t>
      </w:r>
      <w:r>
        <w:t xml:space="preserve">, (2007) 5 SCC 719, the words “shall be referred for arbitration </w:t>
      </w:r>
      <w:r>
        <w:rPr>
          <w:b/>
          <w:bCs/>
        </w:rPr>
        <w:t xml:space="preserve">if the parties so determine</w:t>
      </w:r>
      <w:r>
        <w:t xml:space="preserve">” were held </w:t>
      </w:r>
      <w:r>
        <w:rPr>
          <w:b/>
          <w:bCs/>
        </w:rPr>
        <w:t xml:space="preserve">not</w:t>
      </w:r>
      <w:r>
        <w:t xml:space="preserve"> to constitute an arbitration agreement, following </w:t>
      </w:r>
      <w:r>
        <w:rPr>
          <w:b/>
          <w:bCs/>
          <w:i/>
          <w:iCs/>
        </w:rPr>
        <w:t xml:space="preserve">Wellington Associates Ltd. v. Kirit Mehta</w:t>
      </w:r>
      <w:r>
        <w:t xml:space="preserve">, (2000) 4 SCC 272. The </w:t>
      </w:r>
      <w:r>
        <w:rPr>
          <w:b/>
          <w:bCs/>
        </w:rPr>
        <w:t xml:space="preserve">four essential attributes</w:t>
      </w:r>
      <w:r>
        <w:t xml:space="preserve"> are writing, reference to a private tribunal, impartial adjudication after hearing both sides, and a binding decision. </w:t>
      </w:r>
      <w:r>
        <w:rPr>
          <w:b/>
          <w:bCs/>
          <w:shd w:fill="FFF2CC" w:color="auto" w:val="clear"/>
        </w:rPr>
        <w:t xml:space="preserve">Substance matters, not the label.</w:t>
      </w:r>
    </w:p>
    <w:p>
      <w:pPr>
        <w:pStyle w:val="Heading3"/>
        <w:keepNext/>
        <w:spacing w:after="80" w:before="180"/>
      </w:pPr>
      <w:r>
        <w:t xml:space="preserve">(d)  Power to refer the parties to arbitration — s. 8</w:t>
      </w:r>
    </w:p>
    <w:p>
      <w:pPr>
        <w:spacing w:after="120" w:line="264"/>
        <w:jc w:val="both"/>
      </w:pPr>
      <w:r>
        <w:rPr>
          <w:b/>
          <w:bCs/>
        </w:rPr>
        <w:t xml:space="preserve">Section 8(1)</w:t>
      </w:r>
      <w:r>
        <w:t xml:space="preserve">, as substituted in 2015, obliges a </w:t>
      </w:r>
      <w:r>
        <w:rPr>
          <w:b/>
          <w:bCs/>
        </w:rPr>
        <w:t xml:space="preserve">judicial authority</w:t>
      </w:r>
      <w:r>
        <w:t xml:space="preserve"> before which an action is brought in a matter covered by an arbitration agreement to refer the parties to arbitration, on the application of a party or </w:t>
      </w:r>
      <w:r>
        <w:rPr>
          <w:b/>
          <w:bCs/>
        </w:rPr>
        <w:t xml:space="preserve">any person claiming through or under him</w:t>
      </w:r>
      <w:r>
        <w:t xml:space="preserve">, made </w:t>
      </w:r>
      <w:r>
        <w:rPr>
          <w:b/>
          <w:bCs/>
        </w:rPr>
        <w:t xml:space="preserve">not later than the date of submitting the first statement on the substance of the dispute</w:t>
      </w:r>
      <w:r>
        <w:t xml:space="preserve">. The obligation operates “notwithstanding any judgment, decree or order of the Supreme Court or any Court”, and </w:t>
      </w:r>
      <w:r>
        <w:rPr>
          <w:b/>
          <w:bCs/>
          <w:shd w:fill="FFF2CC" w:color="auto" w:val="clear"/>
        </w:rPr>
        <w:t xml:space="preserve">the only escape is a finding that prima facie no valid arbitration agreement exists.</w:t>
      </w:r>
    </w:p>
    <w:p>
      <w:pPr>
        <w:spacing w:after="120" w:line="264"/>
        <w:jc w:val="both"/>
      </w:pPr>
      <w:r>
        <w:rPr>
          <w:b/>
          <w:bCs/>
        </w:rPr>
        <w:t xml:space="preserve">Section 8(2)</w:t>
      </w:r>
      <w:r>
        <w:t xml:space="preserve"> requires the original agreement or a certified copy, with a proviso where the other party holds it. </w:t>
      </w:r>
      <w:r>
        <w:rPr>
          <w:b/>
          <w:bCs/>
        </w:rPr>
        <w:t xml:space="preserve">Section 8(3)</w:t>
      </w:r>
      <w:r>
        <w:t xml:space="preserve"> allows the arbitration to be commenced or continued, and an award made, while the application is pending.</w:t>
      </w:r>
    </w:p>
    <w:p>
      <w:pPr>
        <w:spacing w:after="120" w:line="264"/>
        <w:jc w:val="both"/>
      </w:pPr>
      <w:r>
        <w:rPr>
          <w:b/>
          <w:bCs/>
        </w:rPr>
        <w:t xml:space="preserve">“Judicial authority” is wider than “court”</w:t>
      </w:r>
      <w:r>
        <w:t xml:space="preserve">, and covers regulators and consumer commissions. Read with s. 16, the section gives effect to the </w:t>
      </w:r>
      <w:r>
        <w:rPr>
          <w:b/>
          <w:bCs/>
        </w:rPr>
        <w:t xml:space="preserve">rule of first priority</w:t>
      </w:r>
      <w:r>
        <w:t xml:space="preserve">: the tribunal decides jurisdiction first, so no mini-trial is permissible at the reference stage. The limit on the section is </w:t>
      </w:r>
      <w:r>
        <w:rPr>
          <w:b/>
          <w:bCs/>
        </w:rPr>
        <w:t xml:space="preserve">non-arbitrability</w:t>
      </w:r>
      <w:r>
        <w:t xml:space="preserve">, illustrated by </w:t>
      </w:r>
      <w:r>
        <w:rPr>
          <w:b/>
          <w:bCs/>
          <w:i/>
          <w:iCs/>
        </w:rPr>
        <w:t xml:space="preserve">Emaar MGF Land Ltd. v. Aftab Singh</w:t>
      </w:r>
      <w:r>
        <w:t xml:space="preserve">, (2019) 12 SCC 751, where consumer disputes were held non-arbitrable, and stated as a fourfold test in </w:t>
      </w:r>
      <w:r>
        <w:rPr>
          <w:b/>
          <w:bCs/>
          <w:i/>
          <w:iCs/>
        </w:rPr>
        <w:t xml:space="preserve">Vidya Drolia v. Durga Trading Corporation</w:t>
      </w:r>
      <w:r>
        <w:t xml:space="preserve">, (2021) 2 SCC 1.</w:t>
      </w:r>
    </w:p>
    <w:p>
      <w:pPr>
        <w:pStyle w:val="Heading3"/>
        <w:keepNext/>
        <w:spacing w:after="80" w:before="180"/>
      </w:pPr>
      <w:r>
        <w:t xml:space="preserve">(e)  International commercial arbitration — s. 2(1)(f)</w:t>
      </w:r>
    </w:p>
    <w:p>
      <w:pPr>
        <w:spacing w:after="120" w:line="264"/>
        <w:jc w:val="both"/>
      </w:pPr>
      <w:r>
        <w:t xml:space="preserve">An arbitration is an </w:t>
      </w:r>
      <w:r>
        <w:rPr>
          <w:b/>
          <w:bCs/>
        </w:rPr>
        <w:t xml:space="preserve">international commercial arbitration</w:t>
      </w:r>
      <w:r>
        <w:t xml:space="preserve"> where it arises out of a </w:t>
      </w:r>
      <w:r>
        <w:rPr>
          <w:b/>
          <w:bCs/>
        </w:rPr>
        <w:t xml:space="preserve">legal relationship, contractual or not</w:t>
      </w:r>
      <w:r>
        <w:t xml:space="preserve">, which is </w:t>
      </w:r>
      <w:r>
        <w:rPr>
          <w:b/>
          <w:bCs/>
        </w:rPr>
        <w:t xml:space="preserve">considered commercial under the law in force in India</w:t>
      </w:r>
      <w:r>
        <w:t xml:space="preserve">, and </w:t>
      </w:r>
      <w:r>
        <w:rPr>
          <w:b/>
          <w:bCs/>
        </w:rPr>
        <w:t xml:space="preserve">at least one party</w:t>
      </w:r>
      <w:r>
        <w:t xml:space="preserve"> is a foreign national or habitual resident, a body corporate incorporated outside India, an association or body of individuals whose central management and control is exercised outside India, or the government of a foreign country.</w:t>
      </w:r>
    </w:p>
    <w:p>
      <w:pPr>
        <w:spacing w:after="120" w:line="264"/>
        <w:jc w:val="both"/>
      </w:pPr>
      <w:r>
        <w:rPr>
          <w:b/>
          <w:bCs/>
        </w:rPr>
        <w:t xml:space="preserve">The word “commercial” is construed broadly</w:t>
      </w:r>
      <w:r>
        <w:t xml:space="preserve"> — </w:t>
      </w:r>
      <w:r>
        <w:rPr>
          <w:b/>
          <w:bCs/>
          <w:i/>
          <w:iCs/>
        </w:rPr>
        <w:t xml:space="preserve">R.M. Investments &amp; Trading Co. Pvt. Ltd. v. Boeing Co.</w:t>
      </w:r>
      <w:r>
        <w:t xml:space="preserve">, (1994) 4 SCC 541, where a consultancy agreement promoting aircraft sales was held commercial. </w:t>
      </w:r>
      <w:r>
        <w:rPr>
          <w:b/>
          <w:bCs/>
        </w:rPr>
        <w:t xml:space="preserve">A company's nationality depends on its place of incorporation</w:t>
      </w:r>
      <w:r>
        <w:t xml:space="preserve">, so two Indian-incorporated companies are both Indian however the shareholding is held — </w:t>
      </w:r>
      <w:r>
        <w:rPr>
          <w:b/>
          <w:bCs/>
          <w:i/>
          <w:iCs/>
        </w:rPr>
        <w:t xml:space="preserve">TDM Infrastructure P. Ltd. v. UE Development India P. Ltd.</w:t>
      </w:r>
      <w:r>
        <w:t xml:space="preserve">, (2008) 14 SCC 271. The words “a company or” were </w:t>
      </w:r>
      <w:r>
        <w:rPr>
          <w:b/>
          <w:bCs/>
        </w:rPr>
        <w:t xml:space="preserve">omitted from sub-clause (iii) in 2015</w:t>
      </w:r>
      <w:r>
        <w:t xml:space="preserve">, so the management and control test applies only to associations and bodies of individuals.</w:t>
      </w:r>
    </w:p>
    <w:p>
      <w:pPr>
        <w:spacing w:after="120" w:line="264"/>
        <w:jc w:val="both"/>
      </w:pPr>
      <w:r>
        <w:rPr>
          <w:b/>
          <w:bCs/>
        </w:rPr>
        <w:t xml:space="preserve">Scope of Part I.</w:t>
      </w:r>
      <w:r>
        <w:t xml:space="preserve"> </w:t>
      </w:r>
      <w:r>
        <w:rPr>
          <w:b/>
          <w:bCs/>
          <w:i/>
          <w:iCs/>
        </w:rPr>
        <w:t xml:space="preserve">Bhatia International</w:t>
      </w:r>
      <w:r>
        <w:t xml:space="preserve"> and </w:t>
      </w:r>
      <w:r>
        <w:rPr>
          <w:b/>
          <w:bCs/>
          <w:i/>
          <w:iCs/>
        </w:rPr>
        <w:t xml:space="preserve">Venture Global</w:t>
      </w:r>
      <w:r>
        <w:t xml:space="preserve"> applied Part I to foreign-seated arbitrations; both were overruled prospectively by </w:t>
      </w:r>
      <w:r>
        <w:rPr>
          <w:b/>
          <w:bCs/>
          <w:i/>
          <w:iCs/>
        </w:rPr>
        <w:t xml:space="preserve">BALCO</w:t>
      </w:r>
      <w:r>
        <w:t xml:space="preserve">, (2012) 9 SCC 552, which held that </w:t>
      </w:r>
      <w:r>
        <w:rPr>
          <w:b/>
          <w:bCs/>
          <w:shd w:fill="FFF2CC" w:color="auto" w:val="clear"/>
        </w:rPr>
        <w:t xml:space="preserve">Part I applies only to arbitrations seated in India.</w:t>
      </w:r>
      <w:r>
        <w:t xml:space="preserve"> The </w:t>
      </w:r>
      <w:r>
        <w:rPr>
          <w:b/>
          <w:bCs/>
        </w:rPr>
        <w:t xml:space="preserve">proviso to s. 2(2)</w:t>
      </w:r>
      <w:r>
        <w:t xml:space="preserve">, inserted in 2015, now applies ss. 9, 27 and 37(1)(a) and (3) to foreign-seated international commercial arbitration unless the parties agree otherwise.</w:t>
      </w:r>
    </w:p>
    <w:p>
      <w:r>
        <w:br w:type="page"/>
      </w:r>
    </w:p>
    <w:p>
      <w:pPr>
        <w:pStyle w:val="Heading1"/>
        <w:keepNext/>
        <w:pBdr>
          <w:bottom w:val="single" w:color="1F3864" w:sz="6" w:space="4"/>
        </w:pBdr>
        <w:spacing w:after="160" w:before="420"/>
      </w:pPr>
      <w:r>
        <w:t xml:space="preserve">Part B — Practice Questions from the Same Syllabus</w:t>
      </w:r>
    </w:p>
    <w:p>
      <w:pPr>
        <w:spacing w:after="120" w:line="264"/>
        <w:jc w:val="both"/>
      </w:pPr>
      <w:r>
        <w:t xml:space="preserve">These follow the pattern of the paper: two long questions of ten marks, then compulsory short notes. Each carries a line showing </w:t>
      </w:r>
      <w:r>
        <w:rPr>
          <w:b/>
          <w:bCs/>
        </w:rPr>
        <w:t xml:space="preserve">what a full answer must contain</w:t>
      </w:r>
      <w:r>
        <w:t xml:space="preserve">. Prepare the skeletons, not the prose.</w:t>
      </w:r>
    </w:p>
    <w:p>
      <w:pPr>
        <w:pStyle w:val="Heading2"/>
        <w:keepNext/>
        <w:spacing w:after="100" w:before="250"/>
      </w:pPr>
      <w:r>
        <w:t xml:space="preserve">Long questions (10 marks)</w:t>
      </w:r>
    </w:p>
    <w:p>
      <w:pPr>
        <w:pStyle w:val="ListParagraph"/>
        <w:numPr>
          <w:ilvl w:val="0"/>
          <w:numId w:val="7"/>
        </w:numPr>
        <w:spacing w:after="70" w:line="264"/>
        <w:jc w:val="both"/>
      </w:pPr>
      <w:r>
        <w:t xml:space="preserve">Trace the controversy over the </w:t>
      </w:r>
      <w:r>
        <w:rPr>
          <w:b/>
          <w:bCs/>
        </w:rPr>
        <w:t xml:space="preserve">application of Part I to arbitrations seated outside India</w:t>
      </w:r>
      <w:r>
        <w:t xml:space="preserve">, and state the present position. → </w:t>
      </w:r>
      <w:r>
        <w:rPr>
          <w:i/>
          <w:iCs/>
        </w:rPr>
        <w:t xml:space="preserve">ss. 2(2), 2(7), 48; Bhatia; Venture Global; BALCO and its prospective effect from 6 September 2012; proviso to s. 2(2) applying ss. 9, 27, 37(1)(a) and (3).</w:t>
      </w:r>
    </w:p>
    <w:p>
      <w:pPr>
        <w:pStyle w:val="ListParagraph"/>
        <w:numPr>
          <w:ilvl w:val="0"/>
          <w:numId w:val="7"/>
        </w:numPr>
        <w:spacing w:after="70" w:line="264"/>
        <w:jc w:val="both"/>
      </w:pPr>
      <w:r>
        <w:t xml:space="preserve">“The court supports arbitration; it does not supervise it.” Discuss with reference to </w:t>
      </w:r>
      <w:r>
        <w:rPr>
          <w:b/>
          <w:bCs/>
        </w:rPr>
        <w:t xml:space="preserve">interim measures under ss. 9 and 17</w:t>
      </w:r>
      <w:r>
        <w:t xml:space="preserve">, and explain the changes made in 2015. → </w:t>
      </w:r>
      <w:r>
        <w:rPr>
          <w:i/>
          <w:iCs/>
        </w:rPr>
        <w:t xml:space="preserve">the five heads; s. 9(2) ninety days; s. 9(3) efficacious remedy; Sundaram Finance; Firm Ashok Traders; s. 17(2) enforceability; the functus officio gap after the award.</w:t>
      </w:r>
    </w:p>
    <w:p>
      <w:pPr>
        <w:pStyle w:val="ListParagraph"/>
        <w:numPr>
          <w:ilvl w:val="0"/>
          <w:numId w:val="7"/>
        </w:numPr>
        <w:spacing w:after="70" w:line="264"/>
        <w:jc w:val="both"/>
      </w:pPr>
      <w:r>
        <w:t xml:space="preserve">Explain the doctrines of </w:t>
      </w:r>
      <w:r>
        <w:rPr>
          <w:b/>
          <w:bCs/>
        </w:rPr>
        <w:t xml:space="preserve">competence-competence and separability</w:t>
      </w:r>
      <w:r>
        <w:t xml:space="preserve"> under s. 16, and their relationship with ss. 8 and 11. → </w:t>
      </w:r>
      <w:r>
        <w:rPr>
          <w:i/>
          <w:iCs/>
        </w:rPr>
        <w:t xml:space="preserve">s. 16(1)(a) and (b); ipso jure; timing under 16(2) and (3); condonation under 16(4); the asymmetry between 16(5)–(6) and s. 37(2)(a); the rule of first priority.</w:t>
      </w:r>
    </w:p>
    <w:p>
      <w:pPr>
        <w:pStyle w:val="ListParagraph"/>
        <w:numPr>
          <w:ilvl w:val="0"/>
          <w:numId w:val="7"/>
        </w:numPr>
        <w:spacing w:after="70" w:line="264"/>
        <w:jc w:val="both"/>
      </w:pPr>
      <w:r>
        <w:t xml:space="preserve">Discuss </w:t>
      </w:r>
      <w:r>
        <w:rPr>
          <w:b/>
          <w:bCs/>
        </w:rPr>
        <w:t xml:space="preserve">non-arbitrability</w:t>
      </w:r>
      <w:r>
        <w:t xml:space="preserve"> in Indian law. Which disputes cannot be referred to arbitration, and why? → </w:t>
      </w:r>
      <w:r>
        <w:rPr>
          <w:i/>
          <w:iCs/>
        </w:rPr>
        <w:t xml:space="preserve">s. 8 as the limit; Booz Allen; the fourfold test in Vidya Drolia; Emaar MGF and beneficent legislation; the qualitative, not quantitative, nature of the test.</w:t>
      </w:r>
    </w:p>
    <w:p>
      <w:pPr>
        <w:pStyle w:val="ListParagraph"/>
        <w:numPr>
          <w:ilvl w:val="0"/>
          <w:numId w:val="7"/>
        </w:numPr>
        <w:spacing w:after="70" w:line="264"/>
        <w:jc w:val="both"/>
      </w:pPr>
      <w:r>
        <w:t xml:space="preserve">“The 2015 Amendment shifted the law from challenge to disqualification.” Examine this with reference to </w:t>
      </w:r>
      <w:r>
        <w:rPr>
          <w:b/>
          <w:bCs/>
        </w:rPr>
        <w:t xml:space="preserve">ss. 12 and 13 and the Schedules</w:t>
      </w:r>
      <w:r>
        <w:t xml:space="preserve">. → </w:t>
      </w:r>
      <w:r>
        <w:rPr>
          <w:i/>
          <w:iCs/>
        </w:rPr>
        <w:t xml:space="preserve">the Fifth, Sixth and Seventh Schedules; s. 12(5) and its proviso; TRF; Perkins Eastman; Bharat Broadband; CORE-II.</w:t>
      </w:r>
    </w:p>
    <w:p>
      <w:pPr>
        <w:pStyle w:val="ListParagraph"/>
        <w:numPr>
          <w:ilvl w:val="0"/>
          <w:numId w:val="7"/>
        </w:numPr>
        <w:spacing w:after="70" w:line="264"/>
        <w:jc w:val="both"/>
      </w:pPr>
      <w:r>
        <w:t xml:space="preserve">Explain the </w:t>
      </w:r>
      <w:r>
        <w:rPr>
          <w:b/>
          <w:bCs/>
        </w:rPr>
        <w:t xml:space="preserve">conduct of arbitral proceedings under Chapter V</w:t>
      </w:r>
      <w:r>
        <w:t xml:space="preserve">, and show how the Act balances flexibility against due process. → </w:t>
      </w:r>
      <w:r>
        <w:rPr>
          <w:i/>
          <w:iCs/>
        </w:rPr>
        <w:t xml:space="preserve">s. 18 non-derogable; s. 19 and freedom from the CPC and evidence law; s. 20 seat and venue; s. 21; s. 22; s. 23 including (2A) and (4); s. 24 provisos; s. 25 defaults; s. 26 experts.</w:t>
      </w:r>
    </w:p>
    <w:p>
      <w:pPr>
        <w:pStyle w:val="ListParagraph"/>
        <w:numPr>
          <w:ilvl w:val="0"/>
          <w:numId w:val="7"/>
        </w:numPr>
        <w:spacing w:after="70" w:line="264"/>
        <w:jc w:val="both"/>
      </w:pPr>
      <w:r>
        <w:t xml:space="preserve">Distinguish between the </w:t>
      </w:r>
      <w:r>
        <w:rPr>
          <w:b/>
          <w:bCs/>
        </w:rPr>
        <w:t xml:space="preserve">seat and the venue</w:t>
      </w:r>
      <w:r>
        <w:t xml:space="preserve"> of arbitration, and explain why the distinction matters. → </w:t>
      </w:r>
      <w:r>
        <w:rPr>
          <w:i/>
          <w:iCs/>
        </w:rPr>
        <w:t xml:space="preserve">s. 20(1)–(3); lex arbitri; supervisory court and s. 34; BALCO's seat-centric approach; inference of seat where the contract is silent.</w:t>
      </w:r>
    </w:p>
    <w:p>
      <w:pPr>
        <w:pStyle w:val="ListParagraph"/>
        <w:numPr>
          <w:ilvl w:val="0"/>
          <w:numId w:val="7"/>
        </w:numPr>
        <w:spacing w:after="70" w:line="264"/>
        <w:jc w:val="both"/>
      </w:pPr>
      <w:r>
        <w:t xml:space="preserve">Explain the circumstances in which an arbitrator's mandate is </w:t>
      </w:r>
      <w:r>
        <w:rPr>
          <w:b/>
          <w:bCs/>
        </w:rPr>
        <w:t xml:space="preserve">terminated</w:t>
      </w:r>
      <w:r>
        <w:t xml:space="preserve">, and how a substitute is appointed. → </w:t>
      </w:r>
      <w:r>
        <w:rPr>
          <w:i/>
          <w:iCs/>
        </w:rPr>
        <w:t xml:space="preserve">ss. 13, 14 and 15 as cumulative; de jure and de facto inability; failure to act without undue delay; s. 14(2) court application; s. 14(3); s. 15(2), (3) and (4).</w:t>
      </w:r>
    </w:p>
    <w:p>
      <w:pPr>
        <w:pStyle w:val="ListParagraph"/>
        <w:numPr>
          <w:ilvl w:val="0"/>
          <w:numId w:val="7"/>
        </w:numPr>
        <w:spacing w:after="70" w:line="264"/>
        <w:jc w:val="both"/>
      </w:pPr>
      <w:r>
        <w:t xml:space="preserve">“Arbitration is only as good as the arbitration agreement.” Discuss the </w:t>
      </w:r>
      <w:r>
        <w:rPr>
          <w:b/>
          <w:bCs/>
        </w:rPr>
        <w:t xml:space="preserve">requirements of a valid arbitration agreement</w:t>
      </w:r>
      <w:r>
        <w:t xml:space="preserve">. → </w:t>
      </w:r>
      <w:r>
        <w:rPr>
          <w:i/>
          <w:iCs/>
        </w:rPr>
        <w:t xml:space="preserve">s. 7(1)–(5); writing as record not formality; s. 7(4)(c) pleadings; Jagdish Chander guidelines; Wellington Associates; In Re Interplay on stamping; Cox and Kings on non-signatories.</w:t>
      </w:r>
    </w:p>
    <w:p>
      <w:pPr>
        <w:pStyle w:val="ListParagraph"/>
        <w:numPr>
          <w:ilvl w:val="0"/>
          <w:numId w:val="7"/>
        </w:numPr>
        <w:spacing w:after="70" w:line="264"/>
        <w:jc w:val="both"/>
      </w:pPr>
      <w:r>
        <w:t xml:space="preserve">Explain the </w:t>
      </w:r>
      <w:r>
        <w:rPr>
          <w:b/>
          <w:bCs/>
        </w:rPr>
        <w:t xml:space="preserve">salient features of international commercial arbitration</w:t>
      </w:r>
      <w:r>
        <w:t xml:space="preserve">, and the role of the UNCITRAL Model Law in Indian law. → </w:t>
      </w:r>
      <w:r>
        <w:rPr>
          <w:i/>
          <w:iCs/>
        </w:rPr>
        <w:t xml:space="preserve">party autonomy; s. 5 and Article 5; supportive role of courts; competence-competence; reasoned award and narrow recourse; the two presumptive obligations; New York and Geneva Conventions compared.</w:t>
      </w:r>
    </w:p>
    <w:p>
      <w:pPr>
        <w:pStyle w:val="ListParagraph"/>
        <w:numPr>
          <w:ilvl w:val="0"/>
          <w:numId w:val="7"/>
        </w:numPr>
        <w:spacing w:after="70" w:line="264"/>
        <w:jc w:val="both"/>
      </w:pPr>
      <w:r>
        <w:t xml:space="preserve">Examine the extent to which </w:t>
      </w:r>
      <w:r>
        <w:rPr>
          <w:b/>
          <w:bCs/>
        </w:rPr>
        <w:t xml:space="preserve">excessive judicial intervention</w:t>
      </w:r>
      <w:r>
        <w:t xml:space="preserve"> can attract international responsibility. → </w:t>
      </w:r>
      <w:r>
        <w:rPr>
          <w:i/>
          <w:iCs/>
        </w:rPr>
        <w:t xml:space="preserve">Saipem on expropriation of award rights; White Industries on effective means and MFN; the link to s. 5 and to s. 29A timelines.</w:t>
      </w:r>
    </w:p>
    <w:p>
      <w:pPr>
        <w:pStyle w:val="ListParagraph"/>
        <w:numPr>
          <w:ilvl w:val="0"/>
          <w:numId w:val="7"/>
        </w:numPr>
        <w:spacing w:after="70" w:line="264"/>
        <w:jc w:val="both"/>
      </w:pPr>
      <w:r>
        <w:t xml:space="preserve">Explain the rules relating to the </w:t>
      </w:r>
      <w:r>
        <w:rPr>
          <w:b/>
          <w:bCs/>
        </w:rPr>
        <w:t xml:space="preserve">number of arbitrators</w:t>
      </w:r>
      <w:r>
        <w:t xml:space="preserve">, and discuss whether s. 10 is mandatory. → </w:t>
      </w:r>
      <w:r>
        <w:rPr>
          <w:i/>
          <w:iCs/>
        </w:rPr>
        <w:t xml:space="preserve">s. 10(1) and (2); Indian default of one against the Model Law's three; presiding arbitrator distinguished from umpire; Narayan Prasad Lohia; s. 34(2)(a)(v) reasoning; Quippo Construction.</w:t>
      </w:r>
    </w:p>
    <w:p>
      <w:pPr>
        <w:pStyle w:val="Heading2"/>
        <w:keepNext/>
        <w:spacing w:after="100" w:before="250"/>
      </w:pPr>
      <w:r>
        <w:t xml:space="preserve">Short notes (4 to 5 marks each)</w:t>
      </w:r>
    </w:p>
    <w:p>
      <w:pPr>
        <w:pStyle w:val="ListParagraph"/>
        <w:numPr>
          <w:ilvl w:val="0"/>
          <w:numId w:val="8"/>
        </w:numPr>
        <w:spacing w:after="70" w:line="264"/>
        <w:jc w:val="both"/>
      </w:pPr>
      <w:r>
        <w:t xml:space="preserve">Rule of first priority</w:t>
      </w:r>
    </w:p>
    <w:p>
      <w:pPr>
        <w:pStyle w:val="ListParagraph"/>
        <w:numPr>
          <w:ilvl w:val="0"/>
          <w:numId w:val="8"/>
        </w:numPr>
        <w:spacing w:after="70" w:line="264"/>
        <w:jc w:val="both"/>
      </w:pPr>
      <w:r>
        <w:rPr>
          <w:i/>
          <w:iCs/>
        </w:rPr>
        <w:t xml:space="preserve">Scott v. Avery</w:t>
      </w:r>
      <w:r>
        <w:t xml:space="preserve"> clause</w:t>
      </w:r>
    </w:p>
    <w:p>
      <w:pPr>
        <w:pStyle w:val="ListParagraph"/>
        <w:numPr>
          <w:ilvl w:val="0"/>
          <w:numId w:val="8"/>
        </w:numPr>
        <w:spacing w:after="70" w:line="264"/>
        <w:jc w:val="both"/>
      </w:pPr>
      <w:r>
        <w:t xml:space="preserve">Seat and venue</w:t>
      </w:r>
    </w:p>
    <w:p>
      <w:pPr>
        <w:pStyle w:val="ListParagraph"/>
        <w:numPr>
          <w:ilvl w:val="0"/>
          <w:numId w:val="8"/>
        </w:numPr>
        <w:spacing w:after="70" w:line="264"/>
        <w:jc w:val="both"/>
      </w:pPr>
      <w:r>
        <w:t xml:space="preserve">Separability of the arbitration clause</w:t>
      </w:r>
    </w:p>
    <w:p>
      <w:pPr>
        <w:pStyle w:val="ListParagraph"/>
        <w:numPr>
          <w:ilvl w:val="0"/>
          <w:numId w:val="8"/>
        </w:numPr>
        <w:spacing w:after="70" w:line="264"/>
        <w:jc w:val="both"/>
      </w:pPr>
      <w:r>
        <w:t xml:space="preserve">Presiding arbitrator and umpire distinguished</w:t>
      </w:r>
    </w:p>
    <w:p>
      <w:pPr>
        <w:pStyle w:val="ListParagraph"/>
        <w:numPr>
          <w:ilvl w:val="0"/>
          <w:numId w:val="8"/>
        </w:numPr>
        <w:spacing w:after="70" w:line="264"/>
        <w:jc w:val="both"/>
      </w:pPr>
      <w:r>
        <w:t xml:space="preserve">Fifth, Sixth and Seventh Schedules</w:t>
      </w:r>
    </w:p>
    <w:p>
      <w:pPr>
        <w:pStyle w:val="ListParagraph"/>
        <w:numPr>
          <w:ilvl w:val="0"/>
          <w:numId w:val="8"/>
        </w:numPr>
        <w:spacing w:after="70" w:line="264"/>
        <w:jc w:val="both"/>
      </w:pPr>
      <w:r>
        <w:t xml:space="preserve">Statutory ineligibility under s. 12(5)</w:t>
      </w:r>
    </w:p>
    <w:p>
      <w:pPr>
        <w:pStyle w:val="ListParagraph"/>
        <w:numPr>
          <w:ilvl w:val="0"/>
          <w:numId w:val="8"/>
        </w:numPr>
        <w:spacing w:after="70" w:line="264"/>
        <w:jc w:val="both"/>
      </w:pPr>
      <w:r>
        <w:rPr>
          <w:i/>
          <w:iCs/>
        </w:rPr>
        <w:t xml:space="preserve">De jure</w:t>
      </w:r>
      <w:r>
        <w:t xml:space="preserve"> and </w:t>
      </w:r>
      <w:r>
        <w:rPr>
          <w:i/>
          <w:iCs/>
        </w:rPr>
        <w:t xml:space="preserve">de facto</w:t>
      </w:r>
      <w:r>
        <w:t xml:space="preserve"> inability to act</w:t>
      </w:r>
    </w:p>
    <w:p>
      <w:pPr>
        <w:pStyle w:val="ListParagraph"/>
        <w:numPr>
          <w:ilvl w:val="0"/>
          <w:numId w:val="8"/>
        </w:numPr>
        <w:spacing w:after="70" w:line="264"/>
        <w:jc w:val="both"/>
      </w:pPr>
      <w:r>
        <w:t xml:space="preserve">Commencement of arbitral proceedings (s. 21)</w:t>
      </w:r>
    </w:p>
    <w:p>
      <w:pPr>
        <w:pStyle w:val="ListParagraph"/>
        <w:numPr>
          <w:ilvl w:val="0"/>
          <w:numId w:val="8"/>
        </w:numPr>
        <w:spacing w:after="70" w:line="264"/>
        <w:jc w:val="both"/>
      </w:pPr>
      <w:r>
        <w:t xml:space="preserve">Counterclaim and set-off (s. 23(2A))</w:t>
      </w:r>
    </w:p>
    <w:p>
      <w:pPr>
        <w:pStyle w:val="ListParagraph"/>
        <w:numPr>
          <w:ilvl w:val="0"/>
          <w:numId w:val="8"/>
        </w:numPr>
        <w:spacing w:after="70" w:line="264"/>
        <w:jc w:val="both"/>
      </w:pPr>
      <w:r>
        <w:t xml:space="preserve">Documents-only arbitration</w:t>
      </w:r>
    </w:p>
    <w:p>
      <w:pPr>
        <w:pStyle w:val="ListParagraph"/>
        <w:numPr>
          <w:ilvl w:val="0"/>
          <w:numId w:val="8"/>
        </w:numPr>
        <w:spacing w:after="70" w:line="264"/>
        <w:jc w:val="both"/>
      </w:pPr>
      <w:r>
        <w:t xml:space="preserve">Default of a party (s. 25)</w:t>
      </w:r>
    </w:p>
    <w:p>
      <w:pPr>
        <w:pStyle w:val="ListParagraph"/>
        <w:numPr>
          <w:ilvl w:val="0"/>
          <w:numId w:val="8"/>
        </w:numPr>
        <w:spacing w:after="70" w:line="264"/>
        <w:jc w:val="both"/>
      </w:pPr>
      <w:r>
        <w:t xml:space="preserve">Expert appointed by the tribunal (s. 26)</w:t>
      </w:r>
    </w:p>
    <w:p>
      <w:pPr>
        <w:pStyle w:val="ListParagraph"/>
        <w:numPr>
          <w:ilvl w:val="0"/>
          <w:numId w:val="8"/>
        </w:numPr>
        <w:spacing w:after="70" w:line="264"/>
        <w:jc w:val="both"/>
      </w:pPr>
      <w:r>
        <w:t xml:space="preserve">Incorporation by reference (s. 7(5))</w:t>
      </w:r>
    </w:p>
    <w:p>
      <w:pPr>
        <w:pStyle w:val="ListParagraph"/>
        <w:numPr>
          <w:ilvl w:val="0"/>
          <w:numId w:val="8"/>
        </w:numPr>
        <w:spacing w:after="70" w:line="264"/>
        <w:jc w:val="both"/>
      </w:pPr>
      <w:r>
        <w:t xml:space="preserve">Fourth Schedule and arbitrators' fees</w:t>
      </w:r>
    </w:p>
    <w:p>
      <w:pPr>
        <w:pStyle w:val="ListParagraph"/>
        <w:numPr>
          <w:ilvl w:val="0"/>
          <w:numId w:val="8"/>
        </w:numPr>
        <w:spacing w:after="70" w:line="264"/>
        <w:jc w:val="both"/>
      </w:pPr>
      <w:r>
        <w:t xml:space="preserve">Group of companies doctrine</w:t>
      </w:r>
    </w:p>
    <w:p>
      <w:pPr>
        <w:pStyle w:val="Heading2"/>
        <w:keepNext/>
        <w:spacing w:after="100" w:before="250"/>
      </w:pPr>
      <w:r>
        <w:t xml:space="preserve">Problem questions</w:t>
      </w:r>
    </w:p>
    <w:p>
      <w:pPr>
        <w:pStyle w:val="ListParagraph"/>
        <w:numPr>
          <w:ilvl w:val="0"/>
          <w:numId w:val="9"/>
        </w:numPr>
        <w:spacing w:after="70" w:line="264"/>
        <w:jc w:val="both"/>
      </w:pPr>
      <w:r>
        <w:t xml:space="preserve">A contract between two companies incorporated in India, one wholly owned by a French parent, provides for arbitration in Singapore. A dispute arises and one party seeks interim relief from an Indian court. Advise. → </w:t>
      </w:r>
      <w:r>
        <w:rPr>
          <w:i/>
          <w:iCs/>
        </w:rPr>
        <w:t xml:space="preserve">s. 2(1)(f) and TDM on nationality; BALCO on seat; proviso to s. 2(2) applying s. 9; date of the agreement for BALCO's prospective effect.</w:t>
      </w:r>
    </w:p>
    <w:p>
      <w:pPr>
        <w:pStyle w:val="ListParagraph"/>
        <w:numPr>
          <w:ilvl w:val="0"/>
          <w:numId w:val="9"/>
        </w:numPr>
        <w:spacing w:after="70" w:line="264"/>
        <w:jc w:val="both"/>
      </w:pPr>
      <w:r>
        <w:t xml:space="preserve">An award is made by two arbitrators appointed by agreement. The losing party applies under s. 34, arguing that s. 10 was breached. Advise. → </w:t>
      </w:r>
      <w:r>
        <w:rPr>
          <w:i/>
          <w:iCs/>
        </w:rPr>
        <w:t xml:space="preserve">Narayan Prasad Lohia; s. 34(2)(a)(v) “failing such agreement”; s. 16(2) and s. 4 waiver.</w:t>
      </w:r>
    </w:p>
    <w:p>
      <w:pPr>
        <w:pStyle w:val="ListParagraph"/>
        <w:numPr>
          <w:ilvl w:val="0"/>
          <w:numId w:val="9"/>
        </w:numPr>
        <w:spacing w:after="70" w:line="264"/>
        <w:jc w:val="both"/>
      </w:pPr>
      <w:r>
        <w:t xml:space="preserve">A contract provides that the Managing Director of the respondent shall be the sole arbitrator. He appoints a retired officer instead. The claimant files its statement of claim and later objects. Advise. → </w:t>
      </w:r>
      <w:r>
        <w:rPr>
          <w:i/>
          <w:iCs/>
        </w:rPr>
        <w:t xml:space="preserve">s. 12(5) and the Seventh Schedule; TRF and Bharat Broadband; waiver only by express written agreement after the dispute; s. 14 termination and s. 15(2) substitution.</w:t>
      </w:r>
    </w:p>
    <w:p>
      <w:pPr>
        <w:pStyle w:val="ListParagraph"/>
        <w:numPr>
          <w:ilvl w:val="0"/>
          <w:numId w:val="9"/>
        </w:numPr>
        <w:spacing w:after="70" w:line="264"/>
        <w:jc w:val="both"/>
      </w:pPr>
      <w:r>
        <w:t xml:space="preserve">A clause says disputes “may be referred to arbitration by mutual consent”. One party applies under s. 11. Advise. → </w:t>
      </w:r>
      <w:r>
        <w:rPr>
          <w:i/>
          <w:iCs/>
        </w:rPr>
        <w:t xml:space="preserve">s. 7; Jagdish Chander and Wellington Associates; s. 11(6A) existence enquiry.</w:t>
      </w:r>
    </w:p>
    <w:p>
      <w:pPr>
        <w:pStyle w:val="ListParagraph"/>
        <w:numPr>
          <w:ilvl w:val="0"/>
          <w:numId w:val="9"/>
        </w:numPr>
        <w:spacing w:after="70" w:line="264"/>
        <w:jc w:val="both"/>
      </w:pPr>
      <w:r>
        <w:t xml:space="preserve">A flat buyer with an arbitration clause in his agreement complains to the consumer commission. The builder applies under s. 8. Advise. → </w:t>
      </w:r>
      <w:r>
        <w:rPr>
          <w:i/>
          <w:iCs/>
        </w:rPr>
        <w:t xml:space="preserve">Emaar MGF; Vidya Drolia fourfold test, limb (iv); “judicial authority” includes a consumer commission.</w:t>
      </w:r>
    </w:p>
    <w:p>
      <w:pPr>
        <w:pStyle w:val="ListParagraph"/>
        <w:numPr>
          <w:ilvl w:val="0"/>
          <w:numId w:val="9"/>
        </w:numPr>
        <w:spacing w:after="70" w:line="264"/>
        <w:jc w:val="both"/>
      </w:pPr>
      <w:r>
        <w:t xml:space="preserve">A respondent files no statement of defence. The claimant asks the tribunal to treat the claim as admitted. Advise. → </w:t>
      </w:r>
      <w:r>
        <w:rPr>
          <w:i/>
          <w:iCs/>
        </w:rPr>
        <w:t xml:space="preserve">s. 25(b) as amended in 2015; default is not an admission; discretion to treat the right to file as forfeited; the claimant must still prove its case.</w:t>
      </w:r>
    </w:p>
    <w:p>
      <w:r>
        <w:br w:type="page"/>
      </w:r>
    </w:p>
    <w:p>
      <w:pPr>
        <w:pStyle w:val="Heading1"/>
        <w:keepNext/>
        <w:pBdr>
          <w:bottom w:val="single" w:color="1F3864" w:sz="6" w:space="4"/>
        </w:pBdr>
        <w:spacing w:after="160" w:before="420"/>
      </w:pPr>
      <w:r>
        <w:t xml:space="preserve">Part C — Mind Maps</w:t>
      </w:r>
    </w:p>
    <w:p>
      <w:pPr>
        <w:pStyle w:val="Heading2"/>
        <w:keepNext/>
        <w:spacing w:after="100" w:before="250"/>
      </w:pPr>
      <w:r>
        <w:t xml:space="preserve">C.1  Chains to memorise</w:t>
      </w:r>
    </w:p>
    <w:p>
      <w:pPr>
        <w:spacing w:after="120" w:line="264"/>
        <w:jc w:val="both"/>
      </w:pPr>
      <w:r>
        <w:t xml:space="preserve">Each chain is one line. If you can write the chain, you can write the answer.</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900"/>
        <w:gridCol w:w="6950"/>
      </w:tblGrid>
      <w:tr>
        <w:trPr>
          <w:tblHeader/>
        </w:trPr>
        <w:tc>
          <w:tcPr>
            <w:tcW w:type="dxa" w:w="1900"/>
            <w:tcMar>
              <w:top w:type="dxa" w:w="70"/>
              <w:left w:type="dxa" w:w="100"/>
              <w:bottom w:type="dxa" w:w="70"/>
              <w:right w:type="dxa" w:w="100"/>
            </w:tcMar>
          </w:tcPr>
          <w:p>
            <w:pPr>
              <w:spacing w:after="0" w:line="240"/>
            </w:pPr>
            <w:r>
              <w:rPr>
                <w:b/>
                <w:bCs/>
                <w:color w:val="1F3864"/>
                <w:sz w:val="18"/>
                <w:szCs w:val="18"/>
              </w:rPr>
              <w:t xml:space="preserve">Topic</w:t>
            </w:r>
          </w:p>
        </w:tc>
        <w:tc>
          <w:tcPr>
            <w:tcW w:type="dxa" w:w="6950"/>
            <w:tcMar>
              <w:top w:type="dxa" w:w="70"/>
              <w:left w:type="dxa" w:w="100"/>
              <w:bottom w:type="dxa" w:w="70"/>
              <w:right w:type="dxa" w:w="100"/>
            </w:tcMar>
          </w:tcPr>
          <w:p>
            <w:pPr>
              <w:spacing w:after="0" w:line="240"/>
            </w:pPr>
            <w:r>
              <w:rPr>
                <w:b/>
                <w:bCs/>
                <w:color w:val="1F3864"/>
                <w:sz w:val="18"/>
                <w:szCs w:val="18"/>
              </w:rPr>
              <w:t xml:space="preserve">Chain</w:t>
            </w:r>
          </w:p>
        </w:tc>
      </w:tr>
      <w:tr>
        <w:tc>
          <w:tcPr>
            <w:tcW w:type="dxa" w:w="1900"/>
            <w:tcMar>
              <w:top w:type="dxa" w:w="70"/>
              <w:left w:type="dxa" w:w="100"/>
              <w:bottom w:type="dxa" w:w="70"/>
              <w:right w:type="dxa" w:w="100"/>
            </w:tcMar>
          </w:tcPr>
          <w:p>
            <w:pPr>
              <w:spacing w:after="0" w:line="240"/>
            </w:pPr>
            <w:r>
              <w:rPr>
                <w:b/>
                <w:bCs/>
                <w:sz w:val="18"/>
                <w:szCs w:val="18"/>
              </w:rPr>
              <w:t xml:space="preserve">Scope of Part I</w:t>
            </w:r>
          </w:p>
        </w:tc>
        <w:tc>
          <w:tcPr>
            <w:tcW w:type="dxa" w:w="6950"/>
            <w:tcMar>
              <w:top w:type="dxa" w:w="70"/>
              <w:left w:type="dxa" w:w="100"/>
              <w:bottom w:type="dxa" w:w="70"/>
              <w:right w:type="dxa" w:w="100"/>
            </w:tcMar>
          </w:tcPr>
          <w:p>
            <w:pPr>
              <w:spacing w:after="0" w:line="240"/>
            </w:pPr>
            <w:r>
              <w:rPr>
                <w:sz w:val="18"/>
                <w:szCs w:val="18"/>
              </w:rPr>
              <w:t xml:space="preserve">s. 2(2) silent on “only” → </w:t>
            </w:r>
            <w:r>
              <w:rPr>
                <w:b/>
                <w:bCs/>
                <w:sz w:val="18"/>
                <w:szCs w:val="18"/>
              </w:rPr>
              <w:t xml:space="preserve">Bhatia</w:t>
            </w:r>
            <w:r>
              <w:rPr>
                <w:sz w:val="18"/>
                <w:szCs w:val="18"/>
              </w:rPr>
              <w:t xml:space="preserve"> (2002, Part I applies abroad) → </w:t>
            </w:r>
            <w:r>
              <w:rPr>
                <w:b/>
                <w:bCs/>
                <w:sz w:val="18"/>
                <w:szCs w:val="18"/>
              </w:rPr>
              <w:t xml:space="preserve">Venture Global</w:t>
            </w:r>
            <w:r>
              <w:rPr>
                <w:sz w:val="18"/>
                <w:szCs w:val="18"/>
              </w:rPr>
              <w:t xml:space="preserve"> (2008, s. 34 v. foreign award) → </w:t>
            </w:r>
            <w:r>
              <w:rPr>
                <w:b/>
                <w:bCs/>
                <w:sz w:val="18"/>
                <w:szCs w:val="18"/>
              </w:rPr>
              <w:t xml:space="preserve">BALCO</w:t>
            </w:r>
            <w:r>
              <w:rPr>
                <w:sz w:val="18"/>
                <w:szCs w:val="18"/>
              </w:rPr>
              <w:t xml:space="preserve"> (2012, 5J, seat-centric, prospective from 6.9.2012) → </w:t>
            </w:r>
            <w:r>
              <w:rPr>
                <w:b/>
                <w:bCs/>
                <w:sz w:val="18"/>
                <w:szCs w:val="18"/>
              </w:rPr>
              <w:t xml:space="preserve">proviso to s. 2(2)</w:t>
            </w:r>
            <w:r>
              <w:rPr>
                <w:sz w:val="18"/>
                <w:szCs w:val="18"/>
              </w:rPr>
              <w:t xml:space="preserve"> (2015, restores ss. 9, 27, 37)</w:t>
            </w:r>
          </w:p>
        </w:tc>
      </w:tr>
      <w:tr>
        <w:tc>
          <w:tcPr>
            <w:tcW w:type="dxa" w:w="1900"/>
            <w:tcMar>
              <w:top w:type="dxa" w:w="70"/>
              <w:left w:type="dxa" w:w="100"/>
              <w:bottom w:type="dxa" w:w="70"/>
              <w:right w:type="dxa" w:w="100"/>
            </w:tcMar>
          </w:tcPr>
          <w:p>
            <w:pPr>
              <w:spacing w:after="0" w:line="240"/>
            </w:pPr>
            <w:r>
              <w:rPr>
                <w:b/>
                <w:bCs/>
                <w:sz w:val="18"/>
                <w:szCs w:val="18"/>
              </w:rPr>
              <w:t xml:space="preserve">Nature of the s. 11 power</w:t>
            </w:r>
          </w:p>
        </w:tc>
        <w:tc>
          <w:tcPr>
            <w:tcW w:type="dxa" w:w="6950"/>
            <w:tcMar>
              <w:top w:type="dxa" w:w="70"/>
              <w:left w:type="dxa" w:w="100"/>
              <w:bottom w:type="dxa" w:w="70"/>
              <w:right w:type="dxa" w:w="100"/>
            </w:tcMar>
          </w:tcPr>
          <w:p>
            <w:pPr>
              <w:spacing w:after="0" w:line="240"/>
            </w:pPr>
            <w:r>
              <w:rPr>
                <w:b/>
                <w:bCs/>
                <w:sz w:val="18"/>
                <w:szCs w:val="18"/>
              </w:rPr>
              <w:t xml:space="preserve">Mehul Construction</w:t>
            </w:r>
            <w:r>
              <w:rPr>
                <w:sz w:val="18"/>
                <w:szCs w:val="18"/>
              </w:rPr>
              <w:t xml:space="preserve"> (2000, administrative) → </w:t>
            </w:r>
            <w:r>
              <w:rPr>
                <w:b/>
                <w:bCs/>
                <w:sz w:val="18"/>
                <w:szCs w:val="18"/>
              </w:rPr>
              <w:t xml:space="preserve">Rani Construction</w:t>
            </w:r>
            <w:r>
              <w:rPr>
                <w:sz w:val="18"/>
                <w:szCs w:val="18"/>
              </w:rPr>
              <w:t xml:space="preserve"> (2002, CB, affirms) → </w:t>
            </w:r>
            <w:r>
              <w:rPr>
                <w:b/>
                <w:bCs/>
                <w:sz w:val="18"/>
                <w:szCs w:val="18"/>
              </w:rPr>
              <w:t xml:space="preserve">Patel Engineering</w:t>
            </w:r>
            <w:r>
              <w:rPr>
                <w:sz w:val="18"/>
                <w:szCs w:val="18"/>
              </w:rPr>
              <w:t xml:space="preserve"> (2005, 7J, judicial) → still judicial today</w:t>
            </w:r>
          </w:p>
        </w:tc>
      </w:tr>
      <w:tr>
        <w:tc>
          <w:tcPr>
            <w:tcW w:type="dxa" w:w="1900"/>
            <w:tcMar>
              <w:top w:type="dxa" w:w="70"/>
              <w:left w:type="dxa" w:w="100"/>
              <w:bottom w:type="dxa" w:w="70"/>
              <w:right w:type="dxa" w:w="100"/>
            </w:tcMar>
          </w:tcPr>
          <w:p>
            <w:pPr>
              <w:spacing w:after="0" w:line="240"/>
            </w:pPr>
            <w:r>
              <w:rPr>
                <w:b/>
                <w:bCs/>
                <w:sz w:val="18"/>
                <w:szCs w:val="18"/>
              </w:rPr>
              <w:t xml:space="preserve">Scope of the s. 11 enquiry</w:t>
            </w:r>
          </w:p>
        </w:tc>
        <w:tc>
          <w:tcPr>
            <w:tcW w:type="dxa" w:w="6950"/>
            <w:tcMar>
              <w:top w:type="dxa" w:w="70"/>
              <w:left w:type="dxa" w:w="100"/>
              <w:bottom w:type="dxa" w:w="70"/>
              <w:right w:type="dxa" w:w="100"/>
            </w:tcMar>
          </w:tcPr>
          <w:p>
            <w:pPr>
              <w:spacing w:after="0" w:line="240"/>
            </w:pPr>
            <w:r>
              <w:rPr>
                <w:b/>
                <w:bCs/>
                <w:sz w:val="18"/>
                <w:szCs w:val="18"/>
              </w:rPr>
              <w:t xml:space="preserve">Patel Engineering</w:t>
            </w:r>
            <w:r>
              <w:rPr>
                <w:sz w:val="18"/>
                <w:szCs w:val="18"/>
              </w:rPr>
              <w:t xml:space="preserve"> (wide) → </w:t>
            </w:r>
            <w:r>
              <w:rPr>
                <w:b/>
                <w:bCs/>
                <w:sz w:val="18"/>
                <w:szCs w:val="18"/>
              </w:rPr>
              <w:t xml:space="preserve">Boghara Polyfab</w:t>
            </w:r>
            <w:r>
              <w:rPr>
                <w:sz w:val="18"/>
                <w:szCs w:val="18"/>
              </w:rPr>
              <w:t xml:space="preserve"> (2009, catalogue) → </w:t>
            </w:r>
            <w:r>
              <w:rPr>
                <w:b/>
                <w:bCs/>
                <w:sz w:val="18"/>
                <w:szCs w:val="18"/>
              </w:rPr>
              <w:t xml:space="preserve">s. 11(6A)</w:t>
            </w:r>
            <w:r>
              <w:rPr>
                <w:sz w:val="18"/>
                <w:szCs w:val="18"/>
              </w:rPr>
              <w:t xml:space="preserve"> (2015, existence only) → </w:t>
            </w:r>
            <w:r>
              <w:rPr>
                <w:b/>
                <w:bCs/>
                <w:sz w:val="18"/>
                <w:szCs w:val="18"/>
              </w:rPr>
              <w:t xml:space="preserve">Duro Felguera</w:t>
            </w:r>
            <w:r>
              <w:rPr>
                <w:sz w:val="18"/>
                <w:szCs w:val="18"/>
              </w:rPr>
              <w:t xml:space="preserve"> (2017) → </w:t>
            </w:r>
            <w:r>
              <w:rPr>
                <w:b/>
                <w:bCs/>
                <w:sz w:val="18"/>
                <w:szCs w:val="18"/>
              </w:rPr>
              <w:t xml:space="preserve">Mayavati Trading</w:t>
            </w:r>
            <w:r>
              <w:rPr>
                <w:sz w:val="18"/>
                <w:szCs w:val="18"/>
              </w:rPr>
              <w:t xml:space="preserve"> (2019, wide enquiry gone) → </w:t>
            </w:r>
            <w:r>
              <w:rPr>
                <w:b/>
                <w:bCs/>
                <w:sz w:val="18"/>
                <w:szCs w:val="18"/>
              </w:rPr>
              <w:t xml:space="preserve">In Re Interplay</w:t>
            </w:r>
            <w:r>
              <w:rPr>
                <w:sz w:val="18"/>
                <w:szCs w:val="18"/>
              </w:rPr>
              <w:t xml:space="preserve"> (2023, 7J, 6A still in force)</w:t>
            </w:r>
          </w:p>
        </w:tc>
      </w:tr>
      <w:tr>
        <w:tc>
          <w:tcPr>
            <w:tcW w:type="dxa" w:w="1900"/>
            <w:tcMar>
              <w:top w:type="dxa" w:w="70"/>
              <w:left w:type="dxa" w:w="100"/>
              <w:bottom w:type="dxa" w:w="70"/>
              <w:right w:type="dxa" w:w="100"/>
            </w:tcMar>
          </w:tcPr>
          <w:p>
            <w:pPr>
              <w:spacing w:after="0" w:line="240"/>
            </w:pPr>
            <w:r>
              <w:rPr>
                <w:b/>
                <w:bCs/>
                <w:sz w:val="18"/>
                <w:szCs w:val="18"/>
              </w:rPr>
              <w:t xml:space="preserve">Arbitrator's independence</w:t>
            </w:r>
          </w:p>
        </w:tc>
        <w:tc>
          <w:tcPr>
            <w:tcW w:type="dxa" w:w="6950"/>
            <w:tcMar>
              <w:top w:type="dxa" w:w="70"/>
              <w:left w:type="dxa" w:w="100"/>
              <w:bottom w:type="dxa" w:w="70"/>
              <w:right w:type="dxa" w:w="100"/>
            </w:tcMar>
          </w:tcPr>
          <w:p>
            <w:pPr>
              <w:spacing w:after="0" w:line="240"/>
            </w:pPr>
            <w:r>
              <w:rPr>
                <w:b/>
                <w:bCs/>
                <w:sz w:val="18"/>
                <w:szCs w:val="18"/>
              </w:rPr>
              <w:t xml:space="preserve">IOC v. Raja Transport</w:t>
            </w:r>
            <w:r>
              <w:rPr>
                <w:sz w:val="18"/>
                <w:szCs w:val="18"/>
              </w:rPr>
              <w:t xml:space="preserve"> (2009, employee allowed) → </w:t>
            </w:r>
            <w:r>
              <w:rPr>
                <w:b/>
                <w:bCs/>
                <w:sz w:val="18"/>
                <w:szCs w:val="18"/>
              </w:rPr>
              <w:t xml:space="preserve">s. 12(5) + Seventh Schedule</w:t>
            </w:r>
            <w:r>
              <w:rPr>
                <w:sz w:val="18"/>
                <w:szCs w:val="18"/>
              </w:rPr>
              <w:t xml:space="preserve"> (2015) → </w:t>
            </w:r>
            <w:r>
              <w:rPr>
                <w:b/>
                <w:bCs/>
                <w:sz w:val="18"/>
                <w:szCs w:val="18"/>
              </w:rPr>
              <w:t xml:space="preserve">TRF</w:t>
            </w:r>
            <w:r>
              <w:rPr>
                <w:sz w:val="18"/>
                <w:szCs w:val="18"/>
              </w:rPr>
              <w:t xml:space="preserve"> (2017, cannot nominate) → </w:t>
            </w:r>
            <w:r>
              <w:rPr>
                <w:b/>
                <w:bCs/>
                <w:sz w:val="18"/>
                <w:szCs w:val="18"/>
              </w:rPr>
              <w:t xml:space="preserve">Perkins</w:t>
            </w:r>
            <w:r>
              <w:rPr>
                <w:sz w:val="18"/>
                <w:szCs w:val="18"/>
              </w:rPr>
              <w:t xml:space="preserve"> (2019, cannot appoint alone) → </w:t>
            </w:r>
            <w:r>
              <w:rPr>
                <w:b/>
                <w:bCs/>
                <w:sz w:val="18"/>
                <w:szCs w:val="18"/>
              </w:rPr>
              <w:t xml:space="preserve">Bharat Broadband</w:t>
            </w:r>
            <w:r>
              <w:rPr>
                <w:sz w:val="18"/>
                <w:szCs w:val="18"/>
              </w:rPr>
              <w:t xml:space="preserve"> (2019, de jure, s. 14) → </w:t>
            </w:r>
            <w:r>
              <w:rPr>
                <w:b/>
                <w:bCs/>
                <w:sz w:val="18"/>
                <w:szCs w:val="18"/>
              </w:rPr>
              <w:t xml:space="preserve">CORE-I</w:t>
            </w:r>
            <w:r>
              <w:rPr>
                <w:sz w:val="18"/>
                <w:szCs w:val="18"/>
              </w:rPr>
              <w:t xml:space="preserve"> (2020) → </w:t>
            </w:r>
            <w:r>
              <w:rPr>
                <w:b/>
                <w:bCs/>
                <w:sz w:val="18"/>
                <w:szCs w:val="18"/>
              </w:rPr>
              <w:t xml:space="preserve">CORE-II</w:t>
            </w:r>
            <w:r>
              <w:rPr>
                <w:sz w:val="18"/>
                <w:szCs w:val="18"/>
              </w:rPr>
              <w:t xml:space="preserve"> (2024, 5J, Article 14)</w:t>
            </w:r>
          </w:p>
        </w:tc>
      </w:tr>
      <w:tr>
        <w:tc>
          <w:tcPr>
            <w:tcW w:type="dxa" w:w="1900"/>
            <w:tcMar>
              <w:top w:type="dxa" w:w="70"/>
              <w:left w:type="dxa" w:w="100"/>
              <w:bottom w:type="dxa" w:w="70"/>
              <w:right w:type="dxa" w:w="100"/>
            </w:tcMar>
          </w:tcPr>
          <w:p>
            <w:pPr>
              <w:spacing w:after="0" w:line="240"/>
            </w:pPr>
            <w:r>
              <w:rPr>
                <w:b/>
                <w:bCs/>
                <w:sz w:val="18"/>
                <w:szCs w:val="18"/>
              </w:rPr>
              <w:t xml:space="preserve">Interim measures</w:t>
            </w:r>
          </w:p>
        </w:tc>
        <w:tc>
          <w:tcPr>
            <w:tcW w:type="dxa" w:w="6950"/>
            <w:tcMar>
              <w:top w:type="dxa" w:w="70"/>
              <w:left w:type="dxa" w:w="100"/>
              <w:bottom w:type="dxa" w:w="70"/>
              <w:right w:type="dxa" w:w="100"/>
            </w:tcMar>
          </w:tcPr>
          <w:p>
            <w:pPr>
              <w:spacing w:after="0" w:line="240"/>
            </w:pPr>
            <w:r>
              <w:rPr>
                <w:sz w:val="18"/>
                <w:szCs w:val="18"/>
              </w:rPr>
              <w:t xml:space="preserve">old s. 17 unenforceable → </w:t>
            </w:r>
            <w:r>
              <w:rPr>
                <w:b/>
                <w:bCs/>
                <w:sz w:val="18"/>
                <w:szCs w:val="18"/>
              </w:rPr>
              <w:t xml:space="preserve">Sundaram Finance</w:t>
            </w:r>
            <w:r>
              <w:rPr>
                <w:sz w:val="18"/>
                <w:szCs w:val="18"/>
              </w:rPr>
              <w:t xml:space="preserve"> (1999, pre-commencement relief) → </w:t>
            </w:r>
            <w:r>
              <w:rPr>
                <w:b/>
                <w:bCs/>
                <w:sz w:val="18"/>
                <w:szCs w:val="18"/>
              </w:rPr>
              <w:t xml:space="preserve">2015</w:t>
            </w:r>
            <w:r>
              <w:rPr>
                <w:sz w:val="18"/>
                <w:szCs w:val="18"/>
              </w:rPr>
              <w:t xml:space="preserve">: s. 9(2) ninety days, s. 9(3) efficacious remedy, s. 17(2) enforceable → gap after award filled by s. 9</w:t>
            </w:r>
          </w:p>
        </w:tc>
      </w:tr>
      <w:tr>
        <w:tc>
          <w:tcPr>
            <w:tcW w:type="dxa" w:w="1900"/>
            <w:tcMar>
              <w:top w:type="dxa" w:w="70"/>
              <w:left w:type="dxa" w:w="100"/>
              <w:bottom w:type="dxa" w:w="70"/>
              <w:right w:type="dxa" w:w="100"/>
            </w:tcMar>
          </w:tcPr>
          <w:p>
            <w:pPr>
              <w:spacing w:after="0" w:line="240"/>
            </w:pPr>
            <w:r>
              <w:rPr>
                <w:b/>
                <w:bCs/>
                <w:sz w:val="18"/>
                <w:szCs w:val="18"/>
              </w:rPr>
              <w:t xml:space="preserve">Non-arbitrability</w:t>
            </w:r>
          </w:p>
        </w:tc>
        <w:tc>
          <w:tcPr>
            <w:tcW w:type="dxa" w:w="6950"/>
            <w:tcMar>
              <w:top w:type="dxa" w:w="70"/>
              <w:left w:type="dxa" w:w="100"/>
              <w:bottom w:type="dxa" w:w="70"/>
              <w:right w:type="dxa" w:w="100"/>
            </w:tcMar>
          </w:tcPr>
          <w:p>
            <w:pPr>
              <w:spacing w:after="0" w:line="240"/>
            </w:pPr>
            <w:r>
              <w:rPr>
                <w:b/>
                <w:bCs/>
                <w:sz w:val="18"/>
                <w:szCs w:val="18"/>
              </w:rPr>
              <w:t xml:space="preserve">Booz Allen</w:t>
            </w:r>
            <w:r>
              <w:rPr>
                <w:sz w:val="18"/>
                <w:szCs w:val="18"/>
              </w:rPr>
              <w:t xml:space="preserve"> (2011, in rem categories) → </w:t>
            </w:r>
            <w:r>
              <w:rPr>
                <w:b/>
                <w:bCs/>
                <w:sz w:val="18"/>
                <w:szCs w:val="18"/>
              </w:rPr>
              <w:t xml:space="preserve">Emaar MGF</w:t>
            </w:r>
            <w:r>
              <w:rPr>
                <w:sz w:val="18"/>
                <w:szCs w:val="18"/>
              </w:rPr>
              <w:t xml:space="preserve"> (2018, consumer) → </w:t>
            </w:r>
            <w:r>
              <w:rPr>
                <w:b/>
                <w:bCs/>
                <w:sz w:val="18"/>
                <w:szCs w:val="18"/>
              </w:rPr>
              <w:t xml:space="preserve">Vidya Drolia</w:t>
            </w:r>
            <w:r>
              <w:rPr>
                <w:sz w:val="18"/>
                <w:szCs w:val="18"/>
              </w:rPr>
              <w:t xml:space="preserve"> (2021, fourfold test)</w:t>
            </w:r>
          </w:p>
        </w:tc>
      </w:tr>
      <w:tr>
        <w:tc>
          <w:tcPr>
            <w:tcW w:type="dxa" w:w="1900"/>
            <w:tcMar>
              <w:top w:type="dxa" w:w="70"/>
              <w:left w:type="dxa" w:w="100"/>
              <w:bottom w:type="dxa" w:w="70"/>
              <w:right w:type="dxa" w:w="100"/>
            </w:tcMar>
          </w:tcPr>
          <w:p>
            <w:pPr>
              <w:spacing w:after="0" w:line="240"/>
            </w:pPr>
            <w:r>
              <w:rPr>
                <w:b/>
                <w:bCs/>
                <w:sz w:val="18"/>
                <w:szCs w:val="18"/>
              </w:rPr>
              <w:t xml:space="preserve">Stamping</w:t>
            </w:r>
          </w:p>
        </w:tc>
        <w:tc>
          <w:tcPr>
            <w:tcW w:type="dxa" w:w="6950"/>
            <w:tcMar>
              <w:top w:type="dxa" w:w="70"/>
              <w:left w:type="dxa" w:w="100"/>
              <w:bottom w:type="dxa" w:w="70"/>
              <w:right w:type="dxa" w:w="100"/>
            </w:tcMar>
          </w:tcPr>
          <w:p>
            <w:pPr>
              <w:spacing w:after="0" w:line="240"/>
            </w:pPr>
            <w:r>
              <w:rPr>
                <w:b/>
                <w:bCs/>
                <w:sz w:val="18"/>
                <w:szCs w:val="18"/>
              </w:rPr>
              <w:t xml:space="preserve">SMS Tea Estates</w:t>
            </w:r>
            <w:r>
              <w:rPr>
                <w:sz w:val="18"/>
                <w:szCs w:val="18"/>
              </w:rPr>
              <w:t xml:space="preserve"> (2011) → </w:t>
            </w:r>
            <w:r>
              <w:rPr>
                <w:b/>
                <w:bCs/>
                <w:sz w:val="18"/>
                <w:szCs w:val="18"/>
              </w:rPr>
              <w:t xml:space="preserve">Garware</w:t>
            </w:r>
            <w:r>
              <w:rPr>
                <w:sz w:val="18"/>
                <w:szCs w:val="18"/>
              </w:rPr>
              <w:t xml:space="preserve"> (2019) → </w:t>
            </w:r>
            <w:r>
              <w:rPr>
                <w:b/>
                <w:bCs/>
                <w:sz w:val="18"/>
                <w:szCs w:val="18"/>
              </w:rPr>
              <w:t xml:space="preserve">NN Global</w:t>
            </w:r>
            <w:r>
              <w:rPr>
                <w:sz w:val="18"/>
                <w:szCs w:val="18"/>
              </w:rPr>
              <w:t xml:space="preserve"> (2023, 5J) → </w:t>
            </w:r>
            <w:r>
              <w:rPr>
                <w:b/>
                <w:bCs/>
                <w:sz w:val="18"/>
                <w:szCs w:val="18"/>
              </w:rPr>
              <w:t xml:space="preserve">In Re Interplay</w:t>
            </w:r>
            <w:r>
              <w:rPr>
                <w:sz w:val="18"/>
                <w:szCs w:val="18"/>
              </w:rPr>
              <w:t xml:space="preserve"> (2023, 7J, curable defect, tribunal decides)</w:t>
            </w:r>
          </w:p>
        </w:tc>
      </w:tr>
      <w:tr>
        <w:tc>
          <w:tcPr>
            <w:tcW w:type="dxa" w:w="1900"/>
            <w:tcMar>
              <w:top w:type="dxa" w:w="70"/>
              <w:left w:type="dxa" w:w="100"/>
              <w:bottom w:type="dxa" w:w="70"/>
              <w:right w:type="dxa" w:w="100"/>
            </w:tcMar>
          </w:tcPr>
          <w:p>
            <w:pPr>
              <w:spacing w:after="0" w:line="240"/>
            </w:pPr>
            <w:r>
              <w:rPr>
                <w:b/>
                <w:bCs/>
                <w:sz w:val="18"/>
                <w:szCs w:val="18"/>
              </w:rPr>
              <w:t xml:space="preserve">Existence of the agreement</w:t>
            </w:r>
          </w:p>
        </w:tc>
        <w:tc>
          <w:tcPr>
            <w:tcW w:type="dxa" w:w="6950"/>
            <w:tcMar>
              <w:top w:type="dxa" w:w="70"/>
              <w:left w:type="dxa" w:w="100"/>
              <w:bottom w:type="dxa" w:w="70"/>
              <w:right w:type="dxa" w:w="100"/>
            </w:tcMar>
          </w:tcPr>
          <w:p>
            <w:pPr>
              <w:spacing w:after="0" w:line="240"/>
            </w:pPr>
            <w:r>
              <w:rPr>
                <w:b/>
                <w:bCs/>
                <w:sz w:val="18"/>
                <w:szCs w:val="18"/>
              </w:rPr>
              <w:t xml:space="preserve">Wellington Associates</w:t>
            </w:r>
            <w:r>
              <w:rPr>
                <w:sz w:val="18"/>
                <w:szCs w:val="18"/>
              </w:rPr>
              <w:t xml:space="preserve"> (2000, “may”) → </w:t>
            </w:r>
            <w:r>
              <w:rPr>
                <w:b/>
                <w:bCs/>
                <w:sz w:val="18"/>
                <w:szCs w:val="18"/>
              </w:rPr>
              <w:t xml:space="preserve">Jagdish Chander</w:t>
            </w:r>
            <w:r>
              <w:rPr>
                <w:sz w:val="18"/>
                <w:szCs w:val="18"/>
              </w:rPr>
              <w:t xml:space="preserve"> (2007, “if parties so determine”) → obligation, not possibility</w:t>
            </w:r>
          </w:p>
        </w:tc>
      </w:tr>
      <w:tr>
        <w:tc>
          <w:tcPr>
            <w:tcW w:type="dxa" w:w="1900"/>
            <w:tcMar>
              <w:top w:type="dxa" w:w="70"/>
              <w:left w:type="dxa" w:w="100"/>
              <w:bottom w:type="dxa" w:w="70"/>
              <w:right w:type="dxa" w:w="100"/>
            </w:tcMar>
          </w:tcPr>
          <w:p>
            <w:pPr>
              <w:spacing w:after="0" w:line="240"/>
            </w:pPr>
            <w:r>
              <w:rPr>
                <w:b/>
                <w:bCs/>
                <w:sz w:val="18"/>
                <w:szCs w:val="18"/>
              </w:rPr>
              <w:t xml:space="preserve">Pleadings and time</w:t>
            </w:r>
          </w:p>
        </w:tc>
        <w:tc>
          <w:tcPr>
            <w:tcW w:type="dxa" w:w="6950"/>
            <w:tcMar>
              <w:top w:type="dxa" w:w="70"/>
              <w:left w:type="dxa" w:w="100"/>
              <w:bottom w:type="dxa" w:w="70"/>
              <w:right w:type="dxa" w:w="100"/>
            </w:tcMar>
          </w:tcPr>
          <w:p>
            <w:pPr>
              <w:spacing w:after="0" w:line="240"/>
            </w:pPr>
            <w:r>
              <w:rPr>
                <w:sz w:val="18"/>
                <w:szCs w:val="18"/>
              </w:rPr>
              <w:t xml:space="preserve">s. 21 commencement → s. 23(1) claim and defence → </w:t>
            </w:r>
            <w:r>
              <w:rPr>
                <w:b/>
                <w:bCs/>
                <w:sz w:val="18"/>
                <w:szCs w:val="18"/>
              </w:rPr>
              <w:t xml:space="preserve">s. 23(4)</w:t>
            </w:r>
            <w:r>
              <w:rPr>
                <w:sz w:val="18"/>
                <w:szCs w:val="18"/>
              </w:rPr>
              <w:t xml:space="preserve"> six months → </w:t>
            </w:r>
            <w:r>
              <w:rPr>
                <w:b/>
                <w:bCs/>
                <w:sz w:val="18"/>
                <w:szCs w:val="18"/>
              </w:rPr>
              <w:t xml:space="preserve">s. 29A(1)</w:t>
            </w:r>
            <w:r>
              <w:rPr>
                <w:sz w:val="18"/>
                <w:szCs w:val="18"/>
              </w:rPr>
              <w:t xml:space="preserve"> twelve months → s. 29A(3) six months by consent → s. 29A(4)–(5) court</w:t>
            </w:r>
          </w:p>
        </w:tc>
      </w:tr>
    </w:tbl>
    <w:p>
      <w:pPr>
        <w:spacing w:after="120"/>
      </w:pPr>
      <w:r>
        <w:rPr>
          <w:sz w:val="10"/>
          <w:szCs w:val="10"/>
        </w:rPr>
        <w:t xml:space="preserve"/>
      </w:r>
    </w:p>
    <w:p>
      <w:pPr>
        <w:pStyle w:val="Heading2"/>
        <w:keepNext/>
        <w:spacing w:after="100" w:before="250"/>
      </w:pPr>
      <w:r>
        <w:t xml:space="preserve">C.2  Every section, in one line, with its nuance</w:t>
      </w:r>
    </w:p>
    <w:p>
      <w:pPr>
        <w:spacing w:after="120" w:line="264"/>
        <w:jc w:val="both"/>
      </w:pPr>
      <w:r>
        <w:rPr>
          <w:b/>
          <w:bCs/>
        </w:rPr>
        <w:t xml:space="preserve">Read the middle column to revise. Read the right column the night before.</w:t>
      </w:r>
      <w:r>
        <w:t xml:space="preserve"> The right column is where marks are actually won and lost.</w:t>
      </w:r>
    </w:p>
    <w:p>
      <w:pPr>
        <w:pStyle w:val="Heading3"/>
        <w:keepNext/>
        <w:spacing w:after="80" w:before="180"/>
      </w:pPr>
      <w:r>
        <w:t xml:space="preserve">Definitions and scope</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050"/>
        <w:gridCol w:w="3700"/>
        <w:gridCol w:w="4100"/>
      </w:tblGrid>
      <w:tr>
        <w:trPr>
          <w:tblHeader/>
        </w:trPr>
        <w:tc>
          <w:tcPr>
            <w:tcW w:type="dxa" w:w="1050"/>
            <w:tcMar>
              <w:top w:type="dxa" w:w="70"/>
              <w:left w:type="dxa" w:w="100"/>
              <w:bottom w:type="dxa" w:w="70"/>
              <w:right w:type="dxa" w:w="100"/>
            </w:tcMar>
          </w:tcPr>
          <w:p>
            <w:pPr>
              <w:spacing w:after="0" w:line="240"/>
            </w:pPr>
            <w:r>
              <w:rPr>
                <w:b/>
                <w:bCs/>
                <w:color w:val="1F3864"/>
                <w:sz w:val="18"/>
                <w:szCs w:val="18"/>
              </w:rPr>
              <w:t xml:space="preserve">Section</w:t>
            </w:r>
          </w:p>
        </w:tc>
        <w:tc>
          <w:tcPr>
            <w:tcW w:type="dxa" w:w="3700"/>
            <w:tcMar>
              <w:top w:type="dxa" w:w="70"/>
              <w:left w:type="dxa" w:w="100"/>
              <w:bottom w:type="dxa" w:w="70"/>
              <w:right w:type="dxa" w:w="100"/>
            </w:tcMar>
          </w:tcPr>
          <w:p>
            <w:pPr>
              <w:spacing w:after="0" w:line="240"/>
            </w:pPr>
            <w:r>
              <w:rPr>
                <w:b/>
                <w:bCs/>
                <w:color w:val="1F3864"/>
                <w:sz w:val="18"/>
                <w:szCs w:val="18"/>
              </w:rPr>
              <w:t xml:space="preserve">Rule in one line</w:t>
            </w:r>
          </w:p>
        </w:tc>
        <w:tc>
          <w:tcPr>
            <w:tcW w:type="dxa" w:w="4100"/>
            <w:tcMar>
              <w:top w:type="dxa" w:w="70"/>
              <w:left w:type="dxa" w:w="100"/>
              <w:bottom w:type="dxa" w:w="70"/>
              <w:right w:type="dxa" w:w="100"/>
            </w:tcMar>
          </w:tcPr>
          <w:p>
            <w:pPr>
              <w:spacing w:after="0" w:line="240"/>
            </w:pPr>
            <w:r>
              <w:rPr>
                <w:b/>
                <w:bCs/>
                <w:color w:val="1F3864"/>
                <w:sz w:val="18"/>
                <w:szCs w:val="18"/>
              </w:rPr>
              <w:t xml:space="preserve">Nuance or trap</w:t>
            </w:r>
          </w:p>
        </w:tc>
      </w:tr>
      <w:tr>
        <w:tc>
          <w:tcPr>
            <w:tcW w:type="dxa" w:w="1050"/>
            <w:tcMar>
              <w:top w:type="dxa" w:w="70"/>
              <w:left w:type="dxa" w:w="100"/>
              <w:bottom w:type="dxa" w:w="70"/>
              <w:right w:type="dxa" w:w="100"/>
            </w:tcMar>
          </w:tcPr>
          <w:p>
            <w:pPr>
              <w:spacing w:after="0" w:line="240"/>
            </w:pPr>
            <w:r>
              <w:rPr>
                <w:b/>
                <w:bCs/>
                <w:sz w:val="18"/>
                <w:szCs w:val="18"/>
              </w:rPr>
              <w:t xml:space="preserve">2(1)(e)</w:t>
            </w:r>
          </w:p>
        </w:tc>
        <w:tc>
          <w:tcPr>
            <w:tcW w:type="dxa" w:w="3700"/>
            <w:tcMar>
              <w:top w:type="dxa" w:w="70"/>
              <w:left w:type="dxa" w:w="100"/>
              <w:bottom w:type="dxa" w:w="70"/>
              <w:right w:type="dxa" w:w="100"/>
            </w:tcMar>
          </w:tcPr>
          <w:p>
            <w:pPr>
              <w:spacing w:after="0" w:line="240"/>
            </w:pPr>
            <w:r>
              <w:rPr>
                <w:sz w:val="18"/>
                <w:szCs w:val="18"/>
              </w:rPr>
              <w:t xml:space="preserve">Defines “Court” — principal civil court in a district, or HC with ordinary original civil jurisdiction; HC for ICA.</w:t>
            </w:r>
          </w:p>
        </w:tc>
        <w:tc>
          <w:tcPr>
            <w:tcW w:type="dxa" w:w="4100"/>
            <w:tcMar>
              <w:top w:type="dxa" w:w="70"/>
              <w:left w:type="dxa" w:w="100"/>
              <w:bottom w:type="dxa" w:w="70"/>
              <w:right w:type="dxa" w:w="100"/>
            </w:tcMar>
          </w:tcPr>
          <w:p>
            <w:pPr>
              <w:spacing w:after="0" w:line="240"/>
            </w:pPr>
            <w:r>
              <w:rPr>
                <w:sz w:val="18"/>
                <w:szCs w:val="18"/>
              </w:rPr>
              <w:t xml:space="preserve">Creates a </w:t>
            </w:r>
            <w:r>
              <w:rPr>
                <w:b/>
                <w:bCs/>
                <w:sz w:val="18"/>
                <w:szCs w:val="18"/>
              </w:rPr>
              <w:t xml:space="preserve">special forum</w:t>
            </w:r>
            <w:r>
              <w:rPr>
                <w:sz w:val="18"/>
                <w:szCs w:val="18"/>
              </w:rPr>
              <w:t xml:space="preserve">; it is not every civil court.</w:t>
            </w:r>
          </w:p>
        </w:tc>
      </w:tr>
      <w:tr>
        <w:tc>
          <w:tcPr>
            <w:tcW w:type="dxa" w:w="1050"/>
            <w:tcMar>
              <w:top w:type="dxa" w:w="70"/>
              <w:left w:type="dxa" w:w="100"/>
              <w:bottom w:type="dxa" w:w="70"/>
              <w:right w:type="dxa" w:w="100"/>
            </w:tcMar>
          </w:tcPr>
          <w:p>
            <w:pPr>
              <w:spacing w:after="0" w:line="240"/>
            </w:pPr>
            <w:r>
              <w:rPr>
                <w:b/>
                <w:bCs/>
                <w:sz w:val="18"/>
                <w:szCs w:val="18"/>
              </w:rPr>
              <w:t xml:space="preserve">2(1)(f)</w:t>
            </w:r>
          </w:p>
        </w:tc>
        <w:tc>
          <w:tcPr>
            <w:tcW w:type="dxa" w:w="3700"/>
            <w:tcMar>
              <w:top w:type="dxa" w:w="70"/>
              <w:left w:type="dxa" w:w="100"/>
              <w:bottom w:type="dxa" w:w="70"/>
              <w:right w:type="dxa" w:w="100"/>
            </w:tcMar>
          </w:tcPr>
          <w:p>
            <w:pPr>
              <w:spacing w:after="0" w:line="240"/>
            </w:pPr>
            <w:r>
              <w:rPr>
                <w:sz w:val="18"/>
                <w:szCs w:val="18"/>
              </w:rPr>
              <w:t xml:space="preserve">ICA = commercial relationship + one foreign party (four ways).</w:t>
            </w:r>
          </w:p>
        </w:tc>
        <w:tc>
          <w:tcPr>
            <w:tcW w:type="dxa" w:w="4100"/>
            <w:tcMar>
              <w:top w:type="dxa" w:w="70"/>
              <w:left w:type="dxa" w:w="100"/>
              <w:bottom w:type="dxa" w:w="70"/>
              <w:right w:type="dxa" w:w="100"/>
            </w:tcMar>
          </w:tcPr>
          <w:p>
            <w:pPr>
              <w:spacing w:after="0" w:line="240"/>
            </w:pPr>
            <w:r>
              <w:rPr>
                <w:sz w:val="18"/>
                <w:szCs w:val="18"/>
              </w:rPr>
              <w:t xml:space="preserve">“</w:t>
            </w:r>
            <w:r>
              <w:rPr>
                <w:b/>
                <w:bCs/>
                <w:sz w:val="18"/>
                <w:szCs w:val="18"/>
              </w:rPr>
              <w:t xml:space="preserve">a company or</w:t>
            </w:r>
            <w:r>
              <w:rPr>
                <w:sz w:val="18"/>
                <w:szCs w:val="18"/>
              </w:rPr>
              <w:t xml:space="preserve">” deleted from clause (iii) in 2015; company = place of incorporation.</w:t>
            </w:r>
          </w:p>
        </w:tc>
      </w:tr>
      <w:tr>
        <w:tc>
          <w:tcPr>
            <w:tcW w:type="dxa" w:w="1050"/>
            <w:tcMar>
              <w:top w:type="dxa" w:w="70"/>
              <w:left w:type="dxa" w:w="100"/>
              <w:bottom w:type="dxa" w:w="70"/>
              <w:right w:type="dxa" w:w="100"/>
            </w:tcMar>
          </w:tcPr>
          <w:p>
            <w:pPr>
              <w:spacing w:after="0" w:line="240"/>
            </w:pPr>
            <w:r>
              <w:rPr>
                <w:b/>
                <w:bCs/>
                <w:sz w:val="18"/>
                <w:szCs w:val="18"/>
              </w:rPr>
              <w:t xml:space="preserve">2(1)(h)</w:t>
            </w:r>
          </w:p>
        </w:tc>
        <w:tc>
          <w:tcPr>
            <w:tcW w:type="dxa" w:w="3700"/>
            <w:tcMar>
              <w:top w:type="dxa" w:w="70"/>
              <w:left w:type="dxa" w:w="100"/>
              <w:bottom w:type="dxa" w:w="70"/>
              <w:right w:type="dxa" w:w="100"/>
            </w:tcMar>
          </w:tcPr>
          <w:p>
            <w:pPr>
              <w:spacing w:after="0" w:line="240"/>
            </w:pPr>
            <w:r>
              <w:rPr>
                <w:sz w:val="18"/>
                <w:szCs w:val="18"/>
              </w:rPr>
              <w:t xml:space="preserve">“Party” = a party to the arbitration agreement.</w:t>
            </w:r>
          </w:p>
        </w:tc>
        <w:tc>
          <w:tcPr>
            <w:tcW w:type="dxa" w:w="4100"/>
            <w:tcMar>
              <w:top w:type="dxa" w:w="70"/>
              <w:left w:type="dxa" w:w="100"/>
              <w:bottom w:type="dxa" w:w="70"/>
              <w:right w:type="dxa" w:w="100"/>
            </w:tcMar>
          </w:tcPr>
          <w:p>
            <w:pPr>
              <w:spacing w:after="0" w:line="240"/>
            </w:pPr>
            <w:r>
              <w:rPr>
                <w:sz w:val="18"/>
                <w:szCs w:val="18"/>
              </w:rPr>
              <w:t xml:space="preserve">Basis of the </w:t>
            </w:r>
            <w:r>
              <w:rPr>
                <w:b/>
                <w:bCs/>
                <w:sz w:val="18"/>
                <w:szCs w:val="18"/>
              </w:rPr>
              <w:t xml:space="preserve">group of companies doctrine</w:t>
            </w:r>
            <w:r>
              <w:rPr>
                <w:sz w:val="18"/>
                <w:szCs w:val="18"/>
              </w:rPr>
              <w:t xml:space="preserve"> in </w:t>
            </w:r>
            <w:r>
              <w:rPr>
                <w:i/>
                <w:iCs/>
                <w:sz w:val="18"/>
                <w:szCs w:val="18"/>
              </w:rPr>
              <w:t xml:space="preserve">Cox and Kings</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2(2)</w:t>
            </w:r>
          </w:p>
        </w:tc>
        <w:tc>
          <w:tcPr>
            <w:tcW w:type="dxa" w:w="3700"/>
            <w:tcMar>
              <w:top w:type="dxa" w:w="70"/>
              <w:left w:type="dxa" w:w="100"/>
              <w:bottom w:type="dxa" w:w="70"/>
              <w:right w:type="dxa" w:w="100"/>
            </w:tcMar>
          </w:tcPr>
          <w:p>
            <w:pPr>
              <w:spacing w:after="0" w:line="240"/>
            </w:pPr>
            <w:r>
              <w:rPr>
                <w:sz w:val="18"/>
                <w:szCs w:val="18"/>
              </w:rPr>
              <w:t xml:space="preserve">Part I applies where the place of arbitration is India.</w:t>
            </w:r>
          </w:p>
        </w:tc>
        <w:tc>
          <w:tcPr>
            <w:tcW w:type="dxa" w:w="4100"/>
            <w:tcMar>
              <w:top w:type="dxa" w:w="70"/>
              <w:left w:type="dxa" w:w="100"/>
              <w:bottom w:type="dxa" w:w="70"/>
              <w:right w:type="dxa" w:w="100"/>
            </w:tcMar>
          </w:tcPr>
          <w:p>
            <w:pPr>
              <w:spacing w:after="0" w:line="240"/>
            </w:pPr>
            <w:r>
              <w:rPr>
                <w:sz w:val="18"/>
                <w:szCs w:val="18"/>
              </w:rPr>
              <w:t xml:space="preserve">It does </w:t>
            </w:r>
            <w:r>
              <w:rPr>
                <w:b/>
                <w:bCs/>
                <w:sz w:val="18"/>
                <w:szCs w:val="18"/>
              </w:rPr>
              <w:t xml:space="preserve">not</w:t>
            </w:r>
            <w:r>
              <w:rPr>
                <w:sz w:val="18"/>
                <w:szCs w:val="18"/>
              </w:rPr>
              <w:t xml:space="preserve"> say “only”; that omission caused the whole </w:t>
            </w:r>
            <w:r>
              <w:rPr>
                <w:i/>
                <w:iCs/>
                <w:sz w:val="18"/>
                <w:szCs w:val="18"/>
              </w:rPr>
              <w:t xml:space="preserve">Bhatia</w:t>
            </w:r>
            <w:r>
              <w:rPr>
                <w:sz w:val="18"/>
                <w:szCs w:val="18"/>
              </w:rPr>
              <w:t xml:space="preserve"> controversy. </w:t>
            </w:r>
            <w:r>
              <w:rPr>
                <w:b/>
                <w:bCs/>
                <w:sz w:val="18"/>
                <w:szCs w:val="18"/>
              </w:rPr>
              <w:t xml:space="preserve">Proviso</w:t>
            </w:r>
            <w:r>
              <w:rPr>
                <w:sz w:val="18"/>
                <w:szCs w:val="18"/>
              </w:rPr>
              <w:t xml:space="preserve"> (2015) applies ss. 9, 27, 37(1)(a) and (3) to foreign-seated ICA.</w:t>
            </w:r>
          </w:p>
        </w:tc>
      </w:tr>
      <w:tr>
        <w:tc>
          <w:tcPr>
            <w:tcW w:type="dxa" w:w="1050"/>
            <w:tcMar>
              <w:top w:type="dxa" w:w="70"/>
              <w:left w:type="dxa" w:w="100"/>
              <w:bottom w:type="dxa" w:w="70"/>
              <w:right w:type="dxa" w:w="100"/>
            </w:tcMar>
          </w:tcPr>
          <w:p>
            <w:pPr>
              <w:spacing w:after="0" w:line="240"/>
            </w:pPr>
            <w:r>
              <w:rPr>
                <w:b/>
                <w:bCs/>
                <w:sz w:val="18"/>
                <w:szCs w:val="18"/>
              </w:rPr>
              <w:t xml:space="preserve">2(7)</w:t>
            </w:r>
          </w:p>
        </w:tc>
        <w:tc>
          <w:tcPr>
            <w:tcW w:type="dxa" w:w="3700"/>
            <w:tcMar>
              <w:top w:type="dxa" w:w="70"/>
              <w:left w:type="dxa" w:w="100"/>
              <w:bottom w:type="dxa" w:w="70"/>
              <w:right w:type="dxa" w:w="100"/>
            </w:tcMar>
          </w:tcPr>
          <w:p>
            <w:pPr>
              <w:spacing w:after="0" w:line="240"/>
            </w:pPr>
            <w:r>
              <w:rPr>
                <w:sz w:val="18"/>
                <w:szCs w:val="18"/>
              </w:rPr>
              <w:t xml:space="preserve">An award under Part I is a </w:t>
            </w:r>
            <w:r>
              <w:rPr>
                <w:b/>
                <w:bCs/>
                <w:sz w:val="18"/>
                <w:szCs w:val="18"/>
              </w:rPr>
              <w:t xml:space="preserve">domestic award</w:t>
            </w:r>
            <w:r>
              <w:rPr>
                <w:sz w:val="18"/>
                <w:szCs w:val="18"/>
              </w:rPr>
              <w:t xml:space="preserve">.</w:t>
            </w:r>
          </w:p>
        </w:tc>
        <w:tc>
          <w:tcPr>
            <w:tcW w:type="dxa" w:w="4100"/>
            <w:tcMar>
              <w:top w:type="dxa" w:w="70"/>
              <w:left w:type="dxa" w:w="100"/>
              <w:bottom w:type="dxa" w:w="70"/>
              <w:right w:type="dxa" w:w="100"/>
            </w:tcMar>
          </w:tcPr>
          <w:p>
            <w:pPr>
              <w:spacing w:after="0" w:line="240"/>
            </w:pPr>
            <w:r>
              <w:rPr>
                <w:sz w:val="18"/>
                <w:szCs w:val="18"/>
              </w:rPr>
              <w:t xml:space="preserve">Used in </w:t>
            </w:r>
            <w:r>
              <w:rPr>
                <w:i/>
                <w:iCs/>
                <w:sz w:val="18"/>
                <w:szCs w:val="18"/>
              </w:rPr>
              <w:t xml:space="preserve">BALCO</w:t>
            </w:r>
            <w:r>
              <w:rPr>
                <w:sz w:val="18"/>
                <w:szCs w:val="18"/>
              </w:rPr>
              <w:t xml:space="preserve"> to support the territorial reading.</w:t>
            </w:r>
          </w:p>
        </w:tc>
      </w:tr>
    </w:tbl>
    <w:p>
      <w:pPr>
        <w:spacing w:after="120"/>
      </w:pPr>
      <w:r>
        <w:rPr>
          <w:sz w:val="10"/>
          <w:szCs w:val="10"/>
        </w:rPr>
        <w:t xml:space="preserve"/>
      </w:r>
    </w:p>
    <w:p>
      <w:pPr>
        <w:pStyle w:val="Heading3"/>
        <w:keepNext/>
        <w:spacing w:after="80" w:before="180"/>
      </w:pPr>
      <w:r>
        <w:t xml:space="preserve">Agreement, waiver and the courts</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050"/>
        <w:gridCol w:w="3700"/>
        <w:gridCol w:w="4100"/>
      </w:tblGrid>
      <w:tr>
        <w:trPr>
          <w:tblHeader/>
        </w:trPr>
        <w:tc>
          <w:tcPr>
            <w:tcW w:type="dxa" w:w="1050"/>
            <w:tcMar>
              <w:top w:type="dxa" w:w="70"/>
              <w:left w:type="dxa" w:w="100"/>
              <w:bottom w:type="dxa" w:w="70"/>
              <w:right w:type="dxa" w:w="100"/>
            </w:tcMar>
          </w:tcPr>
          <w:p>
            <w:pPr>
              <w:spacing w:after="0" w:line="240"/>
            </w:pPr>
            <w:r>
              <w:rPr>
                <w:b/>
                <w:bCs/>
                <w:color w:val="1F3864"/>
                <w:sz w:val="18"/>
                <w:szCs w:val="18"/>
              </w:rPr>
              <w:t xml:space="preserve">Section</w:t>
            </w:r>
          </w:p>
        </w:tc>
        <w:tc>
          <w:tcPr>
            <w:tcW w:type="dxa" w:w="3700"/>
            <w:tcMar>
              <w:top w:type="dxa" w:w="70"/>
              <w:left w:type="dxa" w:w="100"/>
              <w:bottom w:type="dxa" w:w="70"/>
              <w:right w:type="dxa" w:w="100"/>
            </w:tcMar>
          </w:tcPr>
          <w:p>
            <w:pPr>
              <w:spacing w:after="0" w:line="240"/>
            </w:pPr>
            <w:r>
              <w:rPr>
                <w:b/>
                <w:bCs/>
                <w:color w:val="1F3864"/>
                <w:sz w:val="18"/>
                <w:szCs w:val="18"/>
              </w:rPr>
              <w:t xml:space="preserve">Rule in one line</w:t>
            </w:r>
          </w:p>
        </w:tc>
        <w:tc>
          <w:tcPr>
            <w:tcW w:type="dxa" w:w="4100"/>
            <w:tcMar>
              <w:top w:type="dxa" w:w="70"/>
              <w:left w:type="dxa" w:w="100"/>
              <w:bottom w:type="dxa" w:w="70"/>
              <w:right w:type="dxa" w:w="100"/>
            </w:tcMar>
          </w:tcPr>
          <w:p>
            <w:pPr>
              <w:spacing w:after="0" w:line="240"/>
            </w:pPr>
            <w:r>
              <w:rPr>
                <w:b/>
                <w:bCs/>
                <w:color w:val="1F3864"/>
                <w:sz w:val="18"/>
                <w:szCs w:val="18"/>
              </w:rPr>
              <w:t xml:space="preserve">Nuance or trap</w:t>
            </w:r>
          </w:p>
        </w:tc>
      </w:tr>
      <w:tr>
        <w:tc>
          <w:tcPr>
            <w:tcW w:type="dxa" w:w="1050"/>
            <w:tcMar>
              <w:top w:type="dxa" w:w="70"/>
              <w:left w:type="dxa" w:w="100"/>
              <w:bottom w:type="dxa" w:w="70"/>
              <w:right w:type="dxa" w:w="100"/>
            </w:tcMar>
          </w:tcPr>
          <w:p>
            <w:pPr>
              <w:spacing w:after="0" w:line="240"/>
            </w:pPr>
            <w:r>
              <w:rPr>
                <w:b/>
                <w:bCs/>
                <w:sz w:val="18"/>
                <w:szCs w:val="18"/>
              </w:rPr>
              <w:t xml:space="preserve">4</w:t>
            </w:r>
          </w:p>
        </w:tc>
        <w:tc>
          <w:tcPr>
            <w:tcW w:type="dxa" w:w="3700"/>
            <w:tcMar>
              <w:top w:type="dxa" w:w="70"/>
              <w:left w:type="dxa" w:w="100"/>
              <w:bottom w:type="dxa" w:w="70"/>
              <w:right w:type="dxa" w:w="100"/>
            </w:tcMar>
          </w:tcPr>
          <w:p>
            <w:pPr>
              <w:spacing w:after="0" w:line="240"/>
            </w:pPr>
            <w:r>
              <w:rPr>
                <w:sz w:val="18"/>
                <w:szCs w:val="18"/>
              </w:rPr>
              <w:t xml:space="preserve">Knowing of non-compliance and proceeding without timely objection = </w:t>
            </w:r>
            <w:r>
              <w:rPr>
                <w:b/>
                <w:bCs/>
                <w:sz w:val="18"/>
                <w:szCs w:val="18"/>
              </w:rPr>
              <w:t xml:space="preserve">deemed waiver</w:t>
            </w:r>
            <w:r>
              <w:rPr>
                <w:sz w:val="18"/>
                <w:szCs w:val="18"/>
              </w:rPr>
              <w:t xml:space="preserve">.</w:t>
            </w:r>
          </w:p>
        </w:tc>
        <w:tc>
          <w:tcPr>
            <w:tcW w:type="dxa" w:w="4100"/>
            <w:tcMar>
              <w:top w:type="dxa" w:w="70"/>
              <w:left w:type="dxa" w:w="100"/>
              <w:bottom w:type="dxa" w:w="70"/>
              <w:right w:type="dxa" w:w="100"/>
            </w:tcMar>
          </w:tcPr>
          <w:p>
            <w:pPr>
              <w:spacing w:after="0" w:line="240"/>
            </w:pPr>
            <w:r>
              <w:rPr>
                <w:sz w:val="18"/>
                <w:szCs w:val="18"/>
              </w:rPr>
              <w:t xml:space="preserve">Works </w:t>
            </w:r>
            <w:r>
              <w:rPr>
                <w:b/>
                <w:bCs/>
                <w:sz w:val="18"/>
                <w:szCs w:val="18"/>
              </w:rPr>
              <w:t xml:space="preserve">only on derogable provisions</w:t>
            </w:r>
            <w:r>
              <w:rPr>
                <w:sz w:val="18"/>
                <w:szCs w:val="18"/>
              </w:rPr>
              <w:t xml:space="preserve">. Deeming is automatic; no intention needed.</w:t>
            </w:r>
          </w:p>
        </w:tc>
      </w:tr>
      <w:tr>
        <w:tc>
          <w:tcPr>
            <w:tcW w:type="dxa" w:w="1050"/>
            <w:tcMar>
              <w:top w:type="dxa" w:w="70"/>
              <w:left w:type="dxa" w:w="100"/>
              <w:bottom w:type="dxa" w:w="70"/>
              <w:right w:type="dxa" w:w="100"/>
            </w:tcMar>
          </w:tcPr>
          <w:p>
            <w:pPr>
              <w:spacing w:after="0" w:line="240"/>
            </w:pPr>
            <w:r>
              <w:rPr>
                <w:b/>
                <w:bCs/>
                <w:sz w:val="18"/>
                <w:szCs w:val="18"/>
              </w:rPr>
              <w:t xml:space="preserve">5</w:t>
            </w:r>
          </w:p>
        </w:tc>
        <w:tc>
          <w:tcPr>
            <w:tcW w:type="dxa" w:w="3700"/>
            <w:tcMar>
              <w:top w:type="dxa" w:w="70"/>
              <w:left w:type="dxa" w:w="100"/>
              <w:bottom w:type="dxa" w:w="70"/>
              <w:right w:type="dxa" w:w="100"/>
            </w:tcMar>
          </w:tcPr>
          <w:p>
            <w:pPr>
              <w:spacing w:after="0" w:line="240"/>
            </w:pPr>
            <w:r>
              <w:rPr>
                <w:sz w:val="18"/>
                <w:szCs w:val="18"/>
              </w:rPr>
              <w:t xml:space="preserve">No judicial intervention in Part I matters except as Part I allows.</w:t>
            </w:r>
          </w:p>
        </w:tc>
        <w:tc>
          <w:tcPr>
            <w:tcW w:type="dxa" w:w="4100"/>
            <w:tcMar>
              <w:top w:type="dxa" w:w="70"/>
              <w:left w:type="dxa" w:w="100"/>
              <w:bottom w:type="dxa" w:w="70"/>
              <w:right w:type="dxa" w:w="100"/>
            </w:tcMar>
          </w:tcPr>
          <w:p>
            <w:pPr>
              <w:spacing w:after="0" w:line="240"/>
            </w:pPr>
            <w:r>
              <w:rPr>
                <w:sz w:val="18"/>
                <w:szCs w:val="18"/>
              </w:rPr>
              <w:t xml:space="preserve">Non obstante, but </w:t>
            </w:r>
            <w:r>
              <w:rPr>
                <w:b/>
                <w:bCs/>
                <w:sz w:val="18"/>
                <w:szCs w:val="18"/>
              </w:rPr>
              <w:t xml:space="preserve">cannot touch Articles 226, 227, 32</w:t>
            </w:r>
            <w:r>
              <w:rPr>
                <w:sz w:val="18"/>
                <w:szCs w:val="18"/>
              </w:rPr>
              <w:t xml:space="preserve"> (</w:t>
            </w:r>
            <w:r>
              <w:rPr>
                <w:i/>
                <w:iCs/>
                <w:sz w:val="18"/>
                <w:szCs w:val="18"/>
              </w:rPr>
              <w:t xml:space="preserve">Tantia Construction</w:t>
            </w:r>
            <w:r>
              <w:rPr>
                <w:sz w:val="18"/>
                <w:szCs w:val="18"/>
              </w:rPr>
              <w:t xml:space="preserve">). Closed list: 8, 9, 11, 14(2), 27, 34, 36, 37.</w:t>
            </w:r>
          </w:p>
        </w:tc>
      </w:tr>
      <w:tr>
        <w:tc>
          <w:tcPr>
            <w:tcW w:type="dxa" w:w="1050"/>
            <w:tcMar>
              <w:top w:type="dxa" w:w="70"/>
              <w:left w:type="dxa" w:w="100"/>
              <w:bottom w:type="dxa" w:w="70"/>
              <w:right w:type="dxa" w:w="100"/>
            </w:tcMar>
          </w:tcPr>
          <w:p>
            <w:pPr>
              <w:spacing w:after="0" w:line="240"/>
            </w:pPr>
            <w:r>
              <w:rPr>
                <w:b/>
                <w:bCs/>
                <w:sz w:val="18"/>
                <w:szCs w:val="18"/>
              </w:rPr>
              <w:t xml:space="preserve">7(1)</w:t>
            </w:r>
          </w:p>
        </w:tc>
        <w:tc>
          <w:tcPr>
            <w:tcW w:type="dxa" w:w="3700"/>
            <w:tcMar>
              <w:top w:type="dxa" w:w="70"/>
              <w:left w:type="dxa" w:w="100"/>
              <w:bottom w:type="dxa" w:w="70"/>
              <w:right w:type="dxa" w:w="100"/>
            </w:tcMar>
          </w:tcPr>
          <w:p>
            <w:pPr>
              <w:spacing w:after="0" w:line="240"/>
            </w:pPr>
            <w:r>
              <w:rPr>
                <w:sz w:val="18"/>
                <w:szCs w:val="18"/>
              </w:rPr>
              <w:t xml:space="preserve">Agreement to refer present or future disputes from a defined legal relationship, contractual or not.</w:t>
            </w:r>
          </w:p>
        </w:tc>
        <w:tc>
          <w:tcPr>
            <w:tcW w:type="dxa" w:w="4100"/>
            <w:tcMar>
              <w:top w:type="dxa" w:w="70"/>
              <w:left w:type="dxa" w:w="100"/>
              <w:bottom w:type="dxa" w:w="70"/>
              <w:right w:type="dxa" w:w="100"/>
            </w:tcMar>
          </w:tcPr>
          <w:p>
            <w:pPr>
              <w:spacing w:after="0" w:line="240"/>
            </w:pPr>
            <w:r>
              <w:rPr>
                <w:b/>
                <w:bCs/>
                <w:sz w:val="18"/>
                <w:szCs w:val="18"/>
              </w:rPr>
              <w:t xml:space="preserve">No contract needed</w:t>
            </w:r>
            <w:r>
              <w:rPr>
                <w:sz w:val="18"/>
                <w:szCs w:val="18"/>
              </w:rPr>
              <w:t xml:space="preserve"> — an MoU suffices.</w:t>
            </w:r>
          </w:p>
        </w:tc>
      </w:tr>
      <w:tr>
        <w:tc>
          <w:tcPr>
            <w:tcW w:type="dxa" w:w="1050"/>
            <w:tcMar>
              <w:top w:type="dxa" w:w="70"/>
              <w:left w:type="dxa" w:w="100"/>
              <w:bottom w:type="dxa" w:w="70"/>
              <w:right w:type="dxa" w:w="100"/>
            </w:tcMar>
          </w:tcPr>
          <w:p>
            <w:pPr>
              <w:spacing w:after="0" w:line="240"/>
            </w:pPr>
            <w:r>
              <w:rPr>
                <w:b/>
                <w:bCs/>
                <w:sz w:val="18"/>
                <w:szCs w:val="18"/>
              </w:rPr>
              <w:t xml:space="preserve">7(2)</w:t>
            </w:r>
          </w:p>
        </w:tc>
        <w:tc>
          <w:tcPr>
            <w:tcW w:type="dxa" w:w="3700"/>
            <w:tcMar>
              <w:top w:type="dxa" w:w="70"/>
              <w:left w:type="dxa" w:w="100"/>
              <w:bottom w:type="dxa" w:w="70"/>
              <w:right w:type="dxa" w:w="100"/>
            </w:tcMar>
          </w:tcPr>
          <w:p>
            <w:pPr>
              <w:spacing w:after="0" w:line="240"/>
            </w:pPr>
            <w:r>
              <w:rPr>
                <w:sz w:val="18"/>
                <w:szCs w:val="18"/>
              </w:rPr>
              <w:t xml:space="preserve">Clause in a contract, or a separate agreement.</w:t>
            </w:r>
          </w:p>
        </w:tc>
        <w:tc>
          <w:tcPr>
            <w:tcW w:type="dxa" w:w="4100"/>
            <w:tcMar>
              <w:top w:type="dxa" w:w="70"/>
              <w:left w:type="dxa" w:w="100"/>
              <w:bottom w:type="dxa" w:w="70"/>
              <w:right w:type="dxa" w:w="100"/>
            </w:tcMar>
          </w:tcPr>
          <w:p>
            <w:pPr>
              <w:spacing w:after="0" w:line="240"/>
            </w:pPr>
            <w:r>
              <w:rPr>
                <w:sz w:val="18"/>
                <w:szCs w:val="18"/>
              </w:rPr>
              <w:t xml:space="preserve">Same validity; matters only for </w:t>
            </w:r>
            <w:r>
              <w:rPr>
                <w:b/>
                <w:bCs/>
                <w:sz w:val="18"/>
                <w:szCs w:val="18"/>
              </w:rPr>
              <w:t xml:space="preserve">separability</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7(3)–(4)</w:t>
            </w:r>
          </w:p>
        </w:tc>
        <w:tc>
          <w:tcPr>
            <w:tcW w:type="dxa" w:w="3700"/>
            <w:tcMar>
              <w:top w:type="dxa" w:w="70"/>
              <w:left w:type="dxa" w:w="100"/>
              <w:bottom w:type="dxa" w:w="70"/>
              <w:right w:type="dxa" w:w="100"/>
            </w:tcMar>
          </w:tcPr>
          <w:p>
            <w:pPr>
              <w:spacing w:after="0" w:line="240"/>
            </w:pPr>
            <w:r>
              <w:rPr>
                <w:sz w:val="18"/>
                <w:szCs w:val="18"/>
              </w:rPr>
              <w:t xml:space="preserve">Must be in writing; signed document, recorded communication including electronic, or claim and defence.</w:t>
            </w:r>
          </w:p>
        </w:tc>
        <w:tc>
          <w:tcPr>
            <w:tcW w:type="dxa" w:w="4100"/>
            <w:tcMar>
              <w:top w:type="dxa" w:w="70"/>
              <w:left w:type="dxa" w:w="100"/>
              <w:bottom w:type="dxa" w:w="70"/>
              <w:right w:type="dxa" w:w="100"/>
            </w:tcMar>
          </w:tcPr>
          <w:p>
            <w:pPr>
              <w:spacing w:after="0" w:line="240"/>
            </w:pPr>
            <w:r>
              <w:rPr>
                <w:b/>
                <w:bCs/>
                <w:sz w:val="18"/>
                <w:szCs w:val="18"/>
              </w:rPr>
              <w:t xml:space="preserve">7(4)(c)</w:t>
            </w:r>
            <w:r>
              <w:rPr>
                <w:sz w:val="18"/>
                <w:szCs w:val="18"/>
              </w:rPr>
              <w:t xml:space="preserve"> — the pleadings themselves can create the agreement. Writing = </w:t>
            </w:r>
            <w:r>
              <w:rPr>
                <w:b/>
                <w:bCs/>
                <w:sz w:val="18"/>
                <w:szCs w:val="18"/>
              </w:rPr>
              <w:t xml:space="preserve">record, not formality</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7(5)</w:t>
            </w:r>
          </w:p>
        </w:tc>
        <w:tc>
          <w:tcPr>
            <w:tcW w:type="dxa" w:w="3700"/>
            <w:tcMar>
              <w:top w:type="dxa" w:w="70"/>
              <w:left w:type="dxa" w:w="100"/>
              <w:bottom w:type="dxa" w:w="70"/>
              <w:right w:type="dxa" w:w="100"/>
            </w:tcMar>
          </w:tcPr>
          <w:p>
            <w:pPr>
              <w:spacing w:after="0" w:line="240"/>
            </w:pPr>
            <w:r>
              <w:rPr>
                <w:sz w:val="18"/>
                <w:szCs w:val="18"/>
              </w:rPr>
              <w:t xml:space="preserve">Incorporation by reference.</w:t>
            </w:r>
          </w:p>
        </w:tc>
        <w:tc>
          <w:tcPr>
            <w:tcW w:type="dxa" w:w="4100"/>
            <w:tcMar>
              <w:top w:type="dxa" w:w="70"/>
              <w:left w:type="dxa" w:w="100"/>
              <w:bottom w:type="dxa" w:w="70"/>
              <w:right w:type="dxa" w:w="100"/>
            </w:tcMar>
          </w:tcPr>
          <w:p>
            <w:pPr>
              <w:spacing w:after="0" w:line="240"/>
            </w:pPr>
            <w:r>
              <w:rPr>
                <w:sz w:val="18"/>
                <w:szCs w:val="18"/>
              </w:rPr>
              <w:t xml:space="preserve">The reference must </w:t>
            </w:r>
            <w:r>
              <w:rPr>
                <w:b/>
                <w:bCs/>
                <w:sz w:val="18"/>
                <w:szCs w:val="18"/>
              </w:rPr>
              <w:t xml:space="preserve">make the clause part of the contract</w:t>
            </w:r>
            <w:r>
              <w:rPr>
                <w:sz w:val="18"/>
                <w:szCs w:val="18"/>
              </w:rPr>
              <w:t xml:space="preserve">, not merely mention the document.</w:t>
            </w:r>
          </w:p>
        </w:tc>
      </w:tr>
      <w:tr>
        <w:tc>
          <w:tcPr>
            <w:tcW w:type="dxa" w:w="1050"/>
            <w:tcMar>
              <w:top w:type="dxa" w:w="70"/>
              <w:left w:type="dxa" w:w="100"/>
              <w:bottom w:type="dxa" w:w="70"/>
              <w:right w:type="dxa" w:w="100"/>
            </w:tcMar>
          </w:tcPr>
          <w:p>
            <w:pPr>
              <w:spacing w:after="0" w:line="240"/>
            </w:pPr>
            <w:r>
              <w:rPr>
                <w:b/>
                <w:bCs/>
                <w:sz w:val="18"/>
                <w:szCs w:val="18"/>
              </w:rPr>
              <w:t xml:space="preserve">8(1)</w:t>
            </w:r>
          </w:p>
        </w:tc>
        <w:tc>
          <w:tcPr>
            <w:tcW w:type="dxa" w:w="3700"/>
            <w:tcMar>
              <w:top w:type="dxa" w:w="70"/>
              <w:left w:type="dxa" w:w="100"/>
              <w:bottom w:type="dxa" w:w="70"/>
              <w:right w:type="dxa" w:w="100"/>
            </w:tcMar>
          </w:tcPr>
          <w:p>
            <w:pPr>
              <w:spacing w:after="0" w:line="240"/>
            </w:pPr>
            <w:r>
              <w:rPr>
                <w:sz w:val="18"/>
                <w:szCs w:val="18"/>
              </w:rPr>
              <w:t xml:space="preserve">Judicial authority </w:t>
            </w:r>
            <w:r>
              <w:rPr>
                <w:b/>
                <w:bCs/>
                <w:sz w:val="18"/>
                <w:szCs w:val="18"/>
              </w:rPr>
              <w:t xml:space="preserve">must</w:t>
            </w:r>
            <w:r>
              <w:rPr>
                <w:sz w:val="18"/>
                <w:szCs w:val="18"/>
              </w:rPr>
              <w:t xml:space="preserve"> refer, unless prima facie no valid agreement exists.</w:t>
            </w:r>
          </w:p>
        </w:tc>
        <w:tc>
          <w:tcPr>
            <w:tcW w:type="dxa" w:w="4100"/>
            <w:tcMar>
              <w:top w:type="dxa" w:w="70"/>
              <w:left w:type="dxa" w:w="100"/>
              <w:bottom w:type="dxa" w:w="70"/>
              <w:right w:type="dxa" w:w="100"/>
            </w:tcMar>
          </w:tcPr>
          <w:p>
            <w:pPr>
              <w:spacing w:after="0" w:line="240"/>
            </w:pPr>
            <w:r>
              <w:rPr>
                <w:sz w:val="18"/>
                <w:szCs w:val="18"/>
              </w:rPr>
              <w:t xml:space="preserve">Apply </w:t>
            </w:r>
            <w:r>
              <w:rPr>
                <w:b/>
                <w:bCs/>
                <w:sz w:val="18"/>
                <w:szCs w:val="18"/>
              </w:rPr>
              <w:t xml:space="preserve">before the first statement on the substance</w:t>
            </w:r>
            <w:r>
              <w:rPr>
                <w:sz w:val="18"/>
                <w:szCs w:val="18"/>
              </w:rPr>
              <w:t xml:space="preserve">. “Judicial authority” is </w:t>
            </w:r>
            <w:r>
              <w:rPr>
                <w:b/>
                <w:bCs/>
                <w:sz w:val="18"/>
                <w:szCs w:val="18"/>
              </w:rPr>
              <w:t xml:space="preserve">wider than court</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8(2)</w:t>
            </w:r>
          </w:p>
        </w:tc>
        <w:tc>
          <w:tcPr>
            <w:tcW w:type="dxa" w:w="3700"/>
            <w:tcMar>
              <w:top w:type="dxa" w:w="70"/>
              <w:left w:type="dxa" w:w="100"/>
              <w:bottom w:type="dxa" w:w="70"/>
              <w:right w:type="dxa" w:w="100"/>
            </w:tcMar>
          </w:tcPr>
          <w:p>
            <w:pPr>
              <w:spacing w:after="0" w:line="240"/>
            </w:pPr>
            <w:r>
              <w:rPr>
                <w:sz w:val="18"/>
                <w:szCs w:val="18"/>
              </w:rPr>
              <w:t xml:space="preserve">File the original agreement or a certified copy.</w:t>
            </w:r>
          </w:p>
        </w:tc>
        <w:tc>
          <w:tcPr>
            <w:tcW w:type="dxa" w:w="4100"/>
            <w:tcMar>
              <w:top w:type="dxa" w:w="70"/>
              <w:left w:type="dxa" w:w="100"/>
              <w:bottom w:type="dxa" w:w="70"/>
              <w:right w:type="dxa" w:w="100"/>
            </w:tcMar>
          </w:tcPr>
          <w:p>
            <w:pPr>
              <w:spacing w:after="0" w:line="240"/>
            </w:pPr>
            <w:r>
              <w:rPr>
                <w:sz w:val="18"/>
                <w:szCs w:val="18"/>
              </w:rPr>
              <w:t xml:space="preserve">Proviso covers the case where the </w:t>
            </w:r>
            <w:r>
              <w:rPr>
                <w:b/>
                <w:bCs/>
                <w:sz w:val="18"/>
                <w:szCs w:val="18"/>
              </w:rPr>
              <w:t xml:space="preserve">other side holds</w:t>
            </w:r>
            <w:r>
              <w:rPr>
                <w:sz w:val="18"/>
                <w:szCs w:val="18"/>
              </w:rPr>
              <w:t xml:space="preserve"> the original.</w:t>
            </w:r>
          </w:p>
        </w:tc>
      </w:tr>
      <w:tr>
        <w:tc>
          <w:tcPr>
            <w:tcW w:type="dxa" w:w="1050"/>
            <w:tcMar>
              <w:top w:type="dxa" w:w="70"/>
              <w:left w:type="dxa" w:w="100"/>
              <w:bottom w:type="dxa" w:w="70"/>
              <w:right w:type="dxa" w:w="100"/>
            </w:tcMar>
          </w:tcPr>
          <w:p>
            <w:pPr>
              <w:spacing w:after="0" w:line="240"/>
            </w:pPr>
            <w:r>
              <w:rPr>
                <w:b/>
                <w:bCs/>
                <w:sz w:val="18"/>
                <w:szCs w:val="18"/>
              </w:rPr>
              <w:t xml:space="preserve">8(3)</w:t>
            </w:r>
          </w:p>
        </w:tc>
        <w:tc>
          <w:tcPr>
            <w:tcW w:type="dxa" w:w="3700"/>
            <w:tcMar>
              <w:top w:type="dxa" w:w="70"/>
              <w:left w:type="dxa" w:w="100"/>
              <w:bottom w:type="dxa" w:w="70"/>
              <w:right w:type="dxa" w:w="100"/>
            </w:tcMar>
          </w:tcPr>
          <w:p>
            <w:pPr>
              <w:spacing w:after="0" w:line="240"/>
            </w:pPr>
            <w:r>
              <w:rPr>
                <w:sz w:val="18"/>
                <w:szCs w:val="18"/>
              </w:rPr>
              <w:t xml:space="preserve">Arbitration may proceed while the s. 8 application is pending.</w:t>
            </w:r>
          </w:p>
        </w:tc>
        <w:tc>
          <w:tcPr>
            <w:tcW w:type="dxa" w:w="4100"/>
            <w:tcMar>
              <w:top w:type="dxa" w:w="70"/>
              <w:left w:type="dxa" w:w="100"/>
              <w:bottom w:type="dxa" w:w="70"/>
              <w:right w:type="dxa" w:w="100"/>
            </w:tcMar>
          </w:tcPr>
          <w:p>
            <w:pPr>
              <w:spacing w:after="0" w:line="240"/>
            </w:pPr>
            <w:r>
              <w:rPr>
                <w:sz w:val="18"/>
                <w:szCs w:val="18"/>
              </w:rPr>
              <w:t xml:space="preserve">Reflects the principle that arbitration does not stop for collateral court proceedings.</w:t>
            </w:r>
          </w:p>
        </w:tc>
      </w:tr>
    </w:tbl>
    <w:p>
      <w:pPr>
        <w:spacing w:after="120"/>
      </w:pPr>
      <w:r>
        <w:rPr>
          <w:sz w:val="10"/>
          <w:szCs w:val="10"/>
        </w:rPr>
        <w:t xml:space="preserve"/>
      </w:r>
    </w:p>
    <w:p>
      <w:pPr>
        <w:pStyle w:val="Heading3"/>
        <w:keepNext/>
        <w:spacing w:after="80" w:before="180"/>
      </w:pPr>
      <w:r>
        <w:t xml:space="preserve">Interim measures</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050"/>
        <w:gridCol w:w="3700"/>
        <w:gridCol w:w="4100"/>
      </w:tblGrid>
      <w:tr>
        <w:trPr>
          <w:tblHeader/>
        </w:trPr>
        <w:tc>
          <w:tcPr>
            <w:tcW w:type="dxa" w:w="1050"/>
            <w:tcMar>
              <w:top w:type="dxa" w:w="70"/>
              <w:left w:type="dxa" w:w="100"/>
              <w:bottom w:type="dxa" w:w="70"/>
              <w:right w:type="dxa" w:w="100"/>
            </w:tcMar>
          </w:tcPr>
          <w:p>
            <w:pPr>
              <w:spacing w:after="0" w:line="240"/>
            </w:pPr>
            <w:r>
              <w:rPr>
                <w:b/>
                <w:bCs/>
                <w:color w:val="1F3864"/>
                <w:sz w:val="18"/>
                <w:szCs w:val="18"/>
              </w:rPr>
              <w:t xml:space="preserve">Section</w:t>
            </w:r>
          </w:p>
        </w:tc>
        <w:tc>
          <w:tcPr>
            <w:tcW w:type="dxa" w:w="3700"/>
            <w:tcMar>
              <w:top w:type="dxa" w:w="70"/>
              <w:left w:type="dxa" w:w="100"/>
              <w:bottom w:type="dxa" w:w="70"/>
              <w:right w:type="dxa" w:w="100"/>
            </w:tcMar>
          </w:tcPr>
          <w:p>
            <w:pPr>
              <w:spacing w:after="0" w:line="240"/>
            </w:pPr>
            <w:r>
              <w:rPr>
                <w:b/>
                <w:bCs/>
                <w:color w:val="1F3864"/>
                <w:sz w:val="18"/>
                <w:szCs w:val="18"/>
              </w:rPr>
              <w:t xml:space="preserve">Rule in one line</w:t>
            </w:r>
          </w:p>
        </w:tc>
        <w:tc>
          <w:tcPr>
            <w:tcW w:type="dxa" w:w="4100"/>
            <w:tcMar>
              <w:top w:type="dxa" w:w="70"/>
              <w:left w:type="dxa" w:w="100"/>
              <w:bottom w:type="dxa" w:w="70"/>
              <w:right w:type="dxa" w:w="100"/>
            </w:tcMar>
          </w:tcPr>
          <w:p>
            <w:pPr>
              <w:spacing w:after="0" w:line="240"/>
            </w:pPr>
            <w:r>
              <w:rPr>
                <w:b/>
                <w:bCs/>
                <w:color w:val="1F3864"/>
                <w:sz w:val="18"/>
                <w:szCs w:val="18"/>
              </w:rPr>
              <w:t xml:space="preserve">Nuance or trap</w:t>
            </w:r>
          </w:p>
        </w:tc>
      </w:tr>
      <w:tr>
        <w:tc>
          <w:tcPr>
            <w:tcW w:type="dxa" w:w="1050"/>
            <w:tcMar>
              <w:top w:type="dxa" w:w="70"/>
              <w:left w:type="dxa" w:w="100"/>
              <w:bottom w:type="dxa" w:w="70"/>
              <w:right w:type="dxa" w:w="100"/>
            </w:tcMar>
          </w:tcPr>
          <w:p>
            <w:pPr>
              <w:spacing w:after="0" w:line="240"/>
            </w:pPr>
            <w:r>
              <w:rPr>
                <w:b/>
                <w:bCs/>
                <w:sz w:val="18"/>
                <w:szCs w:val="18"/>
              </w:rPr>
              <w:t xml:space="preserve">9(1)</w:t>
            </w:r>
          </w:p>
        </w:tc>
        <w:tc>
          <w:tcPr>
            <w:tcW w:type="dxa" w:w="3700"/>
            <w:tcMar>
              <w:top w:type="dxa" w:w="70"/>
              <w:left w:type="dxa" w:w="100"/>
              <w:bottom w:type="dxa" w:w="70"/>
              <w:right w:type="dxa" w:w="100"/>
            </w:tcMar>
          </w:tcPr>
          <w:p>
            <w:pPr>
              <w:spacing w:after="0" w:line="240"/>
            </w:pPr>
            <w:r>
              <w:rPr>
                <w:sz w:val="18"/>
                <w:szCs w:val="18"/>
              </w:rPr>
              <w:t xml:space="preserve">Court may order a guardian, or five heads of interim protection, before, during or after the award but before enforcement.</w:t>
            </w:r>
          </w:p>
        </w:tc>
        <w:tc>
          <w:tcPr>
            <w:tcW w:type="dxa" w:w="4100"/>
            <w:tcMar>
              <w:top w:type="dxa" w:w="70"/>
              <w:left w:type="dxa" w:w="100"/>
              <w:bottom w:type="dxa" w:w="70"/>
              <w:right w:type="dxa" w:w="100"/>
            </w:tcMar>
          </w:tcPr>
          <w:p>
            <w:pPr>
              <w:spacing w:after="0" w:line="240"/>
            </w:pPr>
            <w:r>
              <w:rPr>
                <w:sz w:val="18"/>
                <w:szCs w:val="18"/>
              </w:rPr>
              <w:t xml:space="preserve">Head (e), “just and convenient”, is the </w:t>
            </w:r>
            <w:r>
              <w:rPr>
                <w:b/>
                <w:bCs/>
                <w:sz w:val="18"/>
                <w:szCs w:val="18"/>
              </w:rPr>
              <w:t xml:space="preserve">residuary</w:t>
            </w:r>
            <w:r>
              <w:rPr>
                <w:sz w:val="18"/>
                <w:szCs w:val="18"/>
              </w:rPr>
              <w:t xml:space="preserve"> head. Pre-commencement relief allowed — </w:t>
            </w:r>
            <w:r>
              <w:rPr>
                <w:i/>
                <w:iCs/>
                <w:sz w:val="18"/>
                <w:szCs w:val="18"/>
              </w:rPr>
              <w:t xml:space="preserve">Sundaram Finance</w:t>
            </w:r>
            <w:r>
              <w:rPr>
                <w:sz w:val="18"/>
                <w:szCs w:val="18"/>
              </w:rPr>
              <w:t xml:space="preserve">, on </w:t>
            </w:r>
            <w:r>
              <w:rPr>
                <w:b/>
                <w:bCs/>
                <w:sz w:val="18"/>
                <w:szCs w:val="18"/>
              </w:rPr>
              <w:t xml:space="preserve">manifest intention</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9(2)</w:t>
            </w:r>
          </w:p>
        </w:tc>
        <w:tc>
          <w:tcPr>
            <w:tcW w:type="dxa" w:w="3700"/>
            <w:tcMar>
              <w:top w:type="dxa" w:w="70"/>
              <w:left w:type="dxa" w:w="100"/>
              <w:bottom w:type="dxa" w:w="70"/>
              <w:right w:type="dxa" w:w="100"/>
            </w:tcMar>
          </w:tcPr>
          <w:p>
            <w:pPr>
              <w:spacing w:after="0" w:line="240"/>
            </w:pPr>
            <w:r>
              <w:rPr>
                <w:sz w:val="18"/>
                <w:szCs w:val="18"/>
              </w:rPr>
              <w:t xml:space="preserve">Arbitration must start within </w:t>
            </w:r>
            <w:r>
              <w:rPr>
                <w:b/>
                <w:bCs/>
                <w:sz w:val="18"/>
                <w:szCs w:val="18"/>
              </w:rPr>
              <w:t xml:space="preserve">ninety days</w:t>
            </w:r>
            <w:r>
              <w:rPr>
                <w:sz w:val="18"/>
                <w:szCs w:val="18"/>
              </w:rPr>
              <w:t xml:space="preserve"> of a pre-commencement order.</w:t>
            </w:r>
          </w:p>
        </w:tc>
        <w:tc>
          <w:tcPr>
            <w:tcW w:type="dxa" w:w="4100"/>
            <w:tcMar>
              <w:top w:type="dxa" w:w="70"/>
              <w:left w:type="dxa" w:w="100"/>
              <w:bottom w:type="dxa" w:w="70"/>
              <w:right w:type="dxa" w:w="100"/>
            </w:tcMar>
          </w:tcPr>
          <w:p>
            <w:pPr>
              <w:spacing w:after="0" w:line="240"/>
            </w:pPr>
            <w:r>
              <w:rPr>
                <w:sz w:val="18"/>
                <w:szCs w:val="18"/>
              </w:rPr>
              <w:t xml:space="preserve">Statutory replacement for the </w:t>
            </w:r>
            <w:r>
              <w:rPr>
                <w:b/>
                <w:bCs/>
                <w:sz w:val="18"/>
                <w:szCs w:val="18"/>
              </w:rPr>
              <w:t xml:space="preserve">conditional order</w:t>
            </w:r>
            <w:r>
              <w:rPr>
                <w:sz w:val="18"/>
                <w:szCs w:val="18"/>
              </w:rPr>
              <w:t xml:space="preserve"> the court used to make.</w:t>
            </w:r>
          </w:p>
        </w:tc>
      </w:tr>
      <w:tr>
        <w:tc>
          <w:tcPr>
            <w:tcW w:type="dxa" w:w="1050"/>
            <w:tcMar>
              <w:top w:type="dxa" w:w="70"/>
              <w:left w:type="dxa" w:w="100"/>
              <w:bottom w:type="dxa" w:w="70"/>
              <w:right w:type="dxa" w:w="100"/>
            </w:tcMar>
          </w:tcPr>
          <w:p>
            <w:pPr>
              <w:spacing w:after="0" w:line="240"/>
            </w:pPr>
            <w:r>
              <w:rPr>
                <w:b/>
                <w:bCs/>
                <w:sz w:val="18"/>
                <w:szCs w:val="18"/>
              </w:rPr>
              <w:t xml:space="preserve">9(3)</w:t>
            </w:r>
          </w:p>
        </w:tc>
        <w:tc>
          <w:tcPr>
            <w:tcW w:type="dxa" w:w="3700"/>
            <w:tcMar>
              <w:top w:type="dxa" w:w="70"/>
              <w:left w:type="dxa" w:w="100"/>
              <w:bottom w:type="dxa" w:w="70"/>
              <w:right w:type="dxa" w:w="100"/>
            </w:tcMar>
          </w:tcPr>
          <w:p>
            <w:pPr>
              <w:spacing w:after="0" w:line="240"/>
            </w:pPr>
            <w:r>
              <w:rPr>
                <w:sz w:val="18"/>
                <w:szCs w:val="18"/>
              </w:rPr>
              <w:t xml:space="preserve">Once the tribunal exists, no s. 9 application unless s. 17 would be inefficacious.</w:t>
            </w:r>
          </w:p>
        </w:tc>
        <w:tc>
          <w:tcPr>
            <w:tcW w:type="dxa" w:w="4100"/>
            <w:tcMar>
              <w:top w:type="dxa" w:w="70"/>
              <w:left w:type="dxa" w:w="100"/>
              <w:bottom w:type="dxa" w:w="70"/>
              <w:right w:type="dxa" w:w="100"/>
            </w:tcMar>
          </w:tcPr>
          <w:p>
            <w:pPr>
              <w:spacing w:after="0" w:line="240"/>
            </w:pPr>
            <w:r>
              <w:rPr>
                <w:sz w:val="18"/>
                <w:szCs w:val="18"/>
              </w:rPr>
              <w:t xml:space="preserve">The </w:t>
            </w:r>
            <w:r>
              <w:rPr>
                <w:b/>
                <w:bCs/>
                <w:sz w:val="18"/>
                <w:szCs w:val="18"/>
              </w:rPr>
              <w:t xml:space="preserve">burden is on the applicant</w:t>
            </w:r>
            <w:r>
              <w:rPr>
                <w:sz w:val="18"/>
                <w:szCs w:val="18"/>
              </w:rPr>
              <w:t xml:space="preserve"> to show inefficacy.</w:t>
            </w:r>
          </w:p>
        </w:tc>
      </w:tr>
      <w:tr>
        <w:tc>
          <w:tcPr>
            <w:tcW w:type="dxa" w:w="1050"/>
            <w:tcMar>
              <w:top w:type="dxa" w:w="70"/>
              <w:left w:type="dxa" w:w="100"/>
              <w:bottom w:type="dxa" w:w="70"/>
              <w:right w:type="dxa" w:w="100"/>
            </w:tcMar>
          </w:tcPr>
          <w:p>
            <w:pPr>
              <w:spacing w:after="0" w:line="240"/>
            </w:pPr>
            <w:r>
              <w:rPr>
                <w:b/>
                <w:bCs/>
                <w:sz w:val="18"/>
                <w:szCs w:val="18"/>
              </w:rPr>
              <w:t xml:space="preserve">17(1)</w:t>
            </w:r>
          </w:p>
        </w:tc>
        <w:tc>
          <w:tcPr>
            <w:tcW w:type="dxa" w:w="3700"/>
            <w:tcMar>
              <w:top w:type="dxa" w:w="70"/>
              <w:left w:type="dxa" w:w="100"/>
              <w:bottom w:type="dxa" w:w="70"/>
              <w:right w:type="dxa" w:w="100"/>
            </w:tcMar>
          </w:tcPr>
          <w:p>
            <w:pPr>
              <w:spacing w:after="0" w:line="240"/>
            </w:pPr>
            <w:r>
              <w:rPr>
                <w:sz w:val="18"/>
                <w:szCs w:val="18"/>
              </w:rPr>
              <w:t xml:space="preserve">Tribunal has the same interim powers as the court.</w:t>
            </w:r>
          </w:p>
        </w:tc>
        <w:tc>
          <w:tcPr>
            <w:tcW w:type="dxa" w:w="4100"/>
            <w:tcMar>
              <w:top w:type="dxa" w:w="70"/>
              <w:left w:type="dxa" w:w="100"/>
              <w:bottom w:type="dxa" w:w="70"/>
              <w:right w:type="dxa" w:w="100"/>
            </w:tcMar>
          </w:tcPr>
          <w:p>
            <w:pPr>
              <w:spacing w:after="0" w:line="240"/>
            </w:pPr>
            <w:r>
              <w:rPr>
                <w:sz w:val="18"/>
                <w:szCs w:val="18"/>
              </w:rPr>
              <w:t xml:space="preserve">Only </w:t>
            </w:r>
            <w:r>
              <w:rPr>
                <w:b/>
                <w:bCs/>
                <w:sz w:val="18"/>
                <w:szCs w:val="18"/>
              </w:rPr>
              <w:t xml:space="preserve">during</w:t>
            </w:r>
            <w:r>
              <w:rPr>
                <w:sz w:val="18"/>
                <w:szCs w:val="18"/>
              </w:rPr>
              <w:t xml:space="preserve"> the proceedings. After the award it is </w:t>
            </w:r>
            <w:r>
              <w:rPr>
                <w:i/>
                <w:iCs/>
                <w:sz w:val="18"/>
                <w:szCs w:val="18"/>
              </w:rPr>
              <w:t xml:space="preserve">functus officio</w:t>
            </w:r>
            <w:r>
              <w:rPr>
                <w:sz w:val="18"/>
                <w:szCs w:val="18"/>
              </w:rPr>
              <w:t xml:space="preserve">, so go back to s. 9.</w:t>
            </w:r>
          </w:p>
        </w:tc>
      </w:tr>
      <w:tr>
        <w:tc>
          <w:tcPr>
            <w:tcW w:type="dxa" w:w="1050"/>
            <w:tcMar>
              <w:top w:type="dxa" w:w="70"/>
              <w:left w:type="dxa" w:w="100"/>
              <w:bottom w:type="dxa" w:w="70"/>
              <w:right w:type="dxa" w:w="100"/>
            </w:tcMar>
          </w:tcPr>
          <w:p>
            <w:pPr>
              <w:spacing w:after="0" w:line="240"/>
            </w:pPr>
            <w:r>
              <w:rPr>
                <w:b/>
                <w:bCs/>
                <w:sz w:val="18"/>
                <w:szCs w:val="18"/>
              </w:rPr>
              <w:t xml:space="preserve">17(2)</w:t>
            </w:r>
          </w:p>
        </w:tc>
        <w:tc>
          <w:tcPr>
            <w:tcW w:type="dxa" w:w="3700"/>
            <w:tcMar>
              <w:top w:type="dxa" w:w="70"/>
              <w:left w:type="dxa" w:w="100"/>
              <w:bottom w:type="dxa" w:w="70"/>
              <w:right w:type="dxa" w:w="100"/>
            </w:tcMar>
          </w:tcPr>
          <w:p>
            <w:pPr>
              <w:spacing w:after="0" w:line="240"/>
            </w:pPr>
            <w:r>
              <w:rPr>
                <w:sz w:val="18"/>
                <w:szCs w:val="18"/>
              </w:rPr>
              <w:t xml:space="preserve">A tribunal order is deemed a court order and enforceable as such.</w:t>
            </w:r>
          </w:p>
        </w:tc>
        <w:tc>
          <w:tcPr>
            <w:tcW w:type="dxa" w:w="4100"/>
            <w:tcMar>
              <w:top w:type="dxa" w:w="70"/>
              <w:left w:type="dxa" w:w="100"/>
              <w:bottom w:type="dxa" w:w="70"/>
              <w:right w:type="dxa" w:w="100"/>
            </w:tcMar>
          </w:tcPr>
          <w:p>
            <w:pPr>
              <w:spacing w:after="0" w:line="240"/>
            </w:pPr>
            <w:r>
              <w:rPr>
                <w:sz w:val="18"/>
                <w:szCs w:val="18"/>
              </w:rPr>
              <w:t xml:space="preserve">This is </w:t>
            </w:r>
            <w:r>
              <w:rPr>
                <w:b/>
                <w:bCs/>
                <w:sz w:val="18"/>
                <w:szCs w:val="18"/>
              </w:rPr>
              <w:t xml:space="preserve">the</w:t>
            </w:r>
            <w:r>
              <w:rPr>
                <w:sz w:val="18"/>
                <w:szCs w:val="18"/>
              </w:rPr>
              <w:t xml:space="preserve"> 2015 change. It cured the old provision's fatal defect.</w:t>
            </w:r>
          </w:p>
        </w:tc>
      </w:tr>
    </w:tbl>
    <w:p>
      <w:pPr>
        <w:spacing w:after="120"/>
      </w:pPr>
      <w:r>
        <w:rPr>
          <w:sz w:val="10"/>
          <w:szCs w:val="10"/>
        </w:rPr>
        <w:t xml:space="preserve"/>
      </w:r>
    </w:p>
    <w:p>
      <w:pPr>
        <w:pStyle w:val="Heading3"/>
        <w:keepNext/>
        <w:spacing w:after="80" w:before="180"/>
      </w:pPr>
      <w:r>
        <w:t xml:space="preserve">Constituting the tribunal</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050"/>
        <w:gridCol w:w="3700"/>
        <w:gridCol w:w="4100"/>
      </w:tblGrid>
      <w:tr>
        <w:trPr>
          <w:tblHeader/>
        </w:trPr>
        <w:tc>
          <w:tcPr>
            <w:tcW w:type="dxa" w:w="1050"/>
            <w:tcMar>
              <w:top w:type="dxa" w:w="70"/>
              <w:left w:type="dxa" w:w="100"/>
              <w:bottom w:type="dxa" w:w="70"/>
              <w:right w:type="dxa" w:w="100"/>
            </w:tcMar>
          </w:tcPr>
          <w:p>
            <w:pPr>
              <w:spacing w:after="0" w:line="240"/>
            </w:pPr>
            <w:r>
              <w:rPr>
                <w:b/>
                <w:bCs/>
                <w:color w:val="1F3864"/>
                <w:sz w:val="18"/>
                <w:szCs w:val="18"/>
              </w:rPr>
              <w:t xml:space="preserve">Section</w:t>
            </w:r>
          </w:p>
        </w:tc>
        <w:tc>
          <w:tcPr>
            <w:tcW w:type="dxa" w:w="3700"/>
            <w:tcMar>
              <w:top w:type="dxa" w:w="70"/>
              <w:left w:type="dxa" w:w="100"/>
              <w:bottom w:type="dxa" w:w="70"/>
              <w:right w:type="dxa" w:w="100"/>
            </w:tcMar>
          </w:tcPr>
          <w:p>
            <w:pPr>
              <w:spacing w:after="0" w:line="240"/>
            </w:pPr>
            <w:r>
              <w:rPr>
                <w:b/>
                <w:bCs/>
                <w:color w:val="1F3864"/>
                <w:sz w:val="18"/>
                <w:szCs w:val="18"/>
              </w:rPr>
              <w:t xml:space="preserve">Rule in one line</w:t>
            </w:r>
          </w:p>
        </w:tc>
        <w:tc>
          <w:tcPr>
            <w:tcW w:type="dxa" w:w="4100"/>
            <w:tcMar>
              <w:top w:type="dxa" w:w="70"/>
              <w:left w:type="dxa" w:w="100"/>
              <w:bottom w:type="dxa" w:w="70"/>
              <w:right w:type="dxa" w:w="100"/>
            </w:tcMar>
          </w:tcPr>
          <w:p>
            <w:pPr>
              <w:spacing w:after="0" w:line="240"/>
            </w:pPr>
            <w:r>
              <w:rPr>
                <w:b/>
                <w:bCs/>
                <w:color w:val="1F3864"/>
                <w:sz w:val="18"/>
                <w:szCs w:val="18"/>
              </w:rPr>
              <w:t xml:space="preserve">Nuance or trap</w:t>
            </w:r>
          </w:p>
        </w:tc>
      </w:tr>
      <w:tr>
        <w:tc>
          <w:tcPr>
            <w:tcW w:type="dxa" w:w="1050"/>
            <w:tcMar>
              <w:top w:type="dxa" w:w="70"/>
              <w:left w:type="dxa" w:w="100"/>
              <w:bottom w:type="dxa" w:w="70"/>
              <w:right w:type="dxa" w:w="100"/>
            </w:tcMar>
          </w:tcPr>
          <w:p>
            <w:pPr>
              <w:spacing w:after="0" w:line="240"/>
            </w:pPr>
            <w:r>
              <w:rPr>
                <w:b/>
                <w:bCs/>
                <w:sz w:val="18"/>
                <w:szCs w:val="18"/>
              </w:rPr>
              <w:t xml:space="preserve">10</w:t>
            </w:r>
          </w:p>
        </w:tc>
        <w:tc>
          <w:tcPr>
            <w:tcW w:type="dxa" w:w="3700"/>
            <w:tcMar>
              <w:top w:type="dxa" w:w="70"/>
              <w:left w:type="dxa" w:w="100"/>
              <w:bottom w:type="dxa" w:w="70"/>
              <w:right w:type="dxa" w:w="100"/>
            </w:tcMar>
          </w:tcPr>
          <w:p>
            <w:pPr>
              <w:spacing w:after="0" w:line="240"/>
            </w:pPr>
            <w:r>
              <w:rPr>
                <w:sz w:val="18"/>
                <w:szCs w:val="18"/>
              </w:rPr>
              <w:t xml:space="preserve">Parties fix the number, but not an even number; failing that, a sole arbitrator.</w:t>
            </w:r>
          </w:p>
        </w:tc>
        <w:tc>
          <w:tcPr>
            <w:tcW w:type="dxa" w:w="4100"/>
            <w:tcMar>
              <w:top w:type="dxa" w:w="70"/>
              <w:left w:type="dxa" w:w="100"/>
              <w:bottom w:type="dxa" w:w="70"/>
              <w:right w:type="dxa" w:w="100"/>
            </w:tcMar>
          </w:tcPr>
          <w:p>
            <w:pPr>
              <w:spacing w:after="0" w:line="240"/>
            </w:pPr>
            <w:r>
              <w:rPr>
                <w:b/>
                <w:bCs/>
                <w:sz w:val="18"/>
                <w:szCs w:val="18"/>
              </w:rPr>
              <w:t xml:space="preserve">Derogable</w:t>
            </w:r>
            <w:r>
              <w:rPr>
                <w:sz w:val="18"/>
                <w:szCs w:val="18"/>
              </w:rPr>
              <w:t xml:space="preserve"> (</w:t>
            </w:r>
            <w:r>
              <w:rPr>
                <w:i/>
                <w:iCs/>
                <w:sz w:val="18"/>
                <w:szCs w:val="18"/>
              </w:rPr>
              <w:t xml:space="preserve">Lohia</w:t>
            </w:r>
            <w:r>
              <w:rPr>
                <w:sz w:val="18"/>
                <w:szCs w:val="18"/>
              </w:rPr>
              <w:t xml:space="preserve">). Indian default is </w:t>
            </w:r>
            <w:r>
              <w:rPr>
                <w:b/>
                <w:bCs/>
                <w:sz w:val="18"/>
                <w:szCs w:val="18"/>
              </w:rPr>
              <w:t xml:space="preserve">one</w:t>
            </w:r>
            <w:r>
              <w:rPr>
                <w:sz w:val="18"/>
                <w:szCs w:val="18"/>
              </w:rPr>
              <w:t xml:space="preserve">; the Model Law's is </w:t>
            </w:r>
            <w:r>
              <w:rPr>
                <w:b/>
                <w:bCs/>
                <w:sz w:val="18"/>
                <w:szCs w:val="18"/>
              </w:rPr>
              <w:t xml:space="preserve">three</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11(1)–(3)</w:t>
            </w:r>
          </w:p>
        </w:tc>
        <w:tc>
          <w:tcPr>
            <w:tcW w:type="dxa" w:w="3700"/>
            <w:tcMar>
              <w:top w:type="dxa" w:w="70"/>
              <w:left w:type="dxa" w:w="100"/>
              <w:bottom w:type="dxa" w:w="70"/>
              <w:right w:type="dxa" w:w="100"/>
            </w:tcMar>
          </w:tcPr>
          <w:p>
            <w:pPr>
              <w:spacing w:after="0" w:line="240"/>
            </w:pPr>
            <w:r>
              <w:rPr>
                <w:sz w:val="18"/>
                <w:szCs w:val="18"/>
              </w:rPr>
              <w:t xml:space="preserve">Any nationality; parties may agree the procedure; default is one each plus a presiding arbitrator.</w:t>
            </w:r>
          </w:p>
        </w:tc>
        <w:tc>
          <w:tcPr>
            <w:tcW w:type="dxa" w:w="4100"/>
            <w:tcMar>
              <w:top w:type="dxa" w:w="70"/>
              <w:left w:type="dxa" w:w="100"/>
              <w:bottom w:type="dxa" w:w="70"/>
              <w:right w:type="dxa" w:w="100"/>
            </w:tcMar>
          </w:tcPr>
          <w:p>
            <w:pPr>
              <w:spacing w:after="0" w:line="240"/>
            </w:pPr>
            <w:r>
              <w:rPr>
                <w:sz w:val="18"/>
                <w:szCs w:val="18"/>
              </w:rPr>
              <w:t xml:space="preserve">The third is a </w:t>
            </w:r>
            <w:r>
              <w:rPr>
                <w:b/>
                <w:bCs/>
                <w:sz w:val="18"/>
                <w:szCs w:val="18"/>
              </w:rPr>
              <w:t xml:space="preserve">presiding arbitrator, not an umpire</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11(3A)</w:t>
            </w:r>
          </w:p>
        </w:tc>
        <w:tc>
          <w:tcPr>
            <w:tcW w:type="dxa" w:w="3700"/>
            <w:tcMar>
              <w:top w:type="dxa" w:w="70"/>
              <w:left w:type="dxa" w:w="100"/>
              <w:bottom w:type="dxa" w:w="70"/>
              <w:right w:type="dxa" w:w="100"/>
            </w:tcMar>
          </w:tcPr>
          <w:p>
            <w:pPr>
              <w:spacing w:after="0" w:line="240"/>
            </w:pPr>
            <w:r>
              <w:rPr>
                <w:sz w:val="18"/>
                <w:szCs w:val="18"/>
              </w:rPr>
              <w:t xml:space="preserve">SC and HCs may designate graded arbitral institutions.</w:t>
            </w:r>
          </w:p>
        </w:tc>
        <w:tc>
          <w:tcPr>
            <w:tcW w:type="dxa" w:w="4100"/>
            <w:tcMar>
              <w:top w:type="dxa" w:w="70"/>
              <w:left w:type="dxa" w:w="100"/>
              <w:bottom w:type="dxa" w:w="70"/>
              <w:right w:type="dxa" w:w="100"/>
            </w:tcMar>
          </w:tcPr>
          <w:p>
            <w:pPr>
              <w:spacing w:after="0" w:line="240"/>
            </w:pPr>
            <w:r>
              <w:rPr>
                <w:sz w:val="18"/>
                <w:szCs w:val="18"/>
              </w:rPr>
              <w:t xml:space="preserve">Inserted 2019. </w:t>
            </w:r>
            <w:r>
              <w:rPr>
                <w:b/>
                <w:bCs/>
                <w:sz w:val="18"/>
                <w:szCs w:val="18"/>
              </w:rPr>
              <w:t xml:space="preserve">Not operational</w:t>
            </w:r>
            <w:r>
              <w:rPr>
                <w:sz w:val="18"/>
                <w:szCs w:val="18"/>
              </w:rPr>
              <w:t xml:space="preserve"> — no Council, no graded institutions.</w:t>
            </w:r>
          </w:p>
        </w:tc>
      </w:tr>
      <w:tr>
        <w:tc>
          <w:tcPr>
            <w:tcW w:type="dxa" w:w="1050"/>
            <w:tcMar>
              <w:top w:type="dxa" w:w="70"/>
              <w:left w:type="dxa" w:w="100"/>
              <w:bottom w:type="dxa" w:w="70"/>
              <w:right w:type="dxa" w:w="100"/>
            </w:tcMar>
          </w:tcPr>
          <w:p>
            <w:pPr>
              <w:spacing w:after="0" w:line="240"/>
            </w:pPr>
            <w:r>
              <w:rPr>
                <w:b/>
                <w:bCs/>
                <w:sz w:val="18"/>
                <w:szCs w:val="18"/>
              </w:rPr>
              <w:t xml:space="preserve">11(4)–(6)</w:t>
            </w:r>
          </w:p>
        </w:tc>
        <w:tc>
          <w:tcPr>
            <w:tcW w:type="dxa" w:w="3700"/>
            <w:tcMar>
              <w:top w:type="dxa" w:w="70"/>
              <w:left w:type="dxa" w:w="100"/>
              <w:bottom w:type="dxa" w:w="70"/>
              <w:right w:type="dxa" w:w="100"/>
            </w:tcMar>
          </w:tcPr>
          <w:p>
            <w:pPr>
              <w:spacing w:after="0" w:line="240"/>
            </w:pPr>
            <w:r>
              <w:rPr>
                <w:sz w:val="18"/>
                <w:szCs w:val="18"/>
              </w:rPr>
              <w:t xml:space="preserve">Application where the machinery fails — 30 days in (4) and (5); three failure grounds in (6).</w:t>
            </w:r>
          </w:p>
        </w:tc>
        <w:tc>
          <w:tcPr>
            <w:tcW w:type="dxa" w:w="4100"/>
            <w:tcMar>
              <w:top w:type="dxa" w:w="70"/>
              <w:left w:type="dxa" w:w="100"/>
              <w:bottom w:type="dxa" w:w="70"/>
              <w:right w:type="dxa" w:w="100"/>
            </w:tcMar>
          </w:tcPr>
          <w:p>
            <w:pPr>
              <w:spacing w:after="0" w:line="240"/>
            </w:pPr>
            <w:r>
              <w:rPr>
                <w:b/>
                <w:bCs/>
                <w:sz w:val="18"/>
                <w:szCs w:val="18"/>
              </w:rPr>
              <w:t xml:space="preserve">(6)(c) is the residuary ground.</w:t>
            </w:r>
            <w:r>
              <w:rPr>
                <w:sz w:val="18"/>
                <w:szCs w:val="18"/>
              </w:rPr>
              <w:t xml:space="preserve"> (5) simply borrows the procedure in (4).</w:t>
            </w:r>
          </w:p>
        </w:tc>
      </w:tr>
      <w:tr>
        <w:tc>
          <w:tcPr>
            <w:tcW w:type="dxa" w:w="1050"/>
            <w:tcMar>
              <w:top w:type="dxa" w:w="70"/>
              <w:left w:type="dxa" w:w="100"/>
              <w:bottom w:type="dxa" w:w="70"/>
              <w:right w:type="dxa" w:w="100"/>
            </w:tcMar>
          </w:tcPr>
          <w:p>
            <w:pPr>
              <w:spacing w:after="0" w:line="240"/>
            </w:pPr>
            <w:r>
              <w:rPr>
                <w:b/>
                <w:bCs/>
                <w:sz w:val="18"/>
                <w:szCs w:val="18"/>
              </w:rPr>
              <w:t xml:space="preserve">11(6A)</w:t>
            </w:r>
          </w:p>
        </w:tc>
        <w:tc>
          <w:tcPr>
            <w:tcW w:type="dxa" w:w="3700"/>
            <w:tcMar>
              <w:top w:type="dxa" w:w="70"/>
              <w:left w:type="dxa" w:w="100"/>
              <w:bottom w:type="dxa" w:w="70"/>
              <w:right w:type="dxa" w:w="100"/>
            </w:tcMar>
          </w:tcPr>
          <w:p>
            <w:pPr>
              <w:spacing w:after="0" w:line="240"/>
            </w:pPr>
            <w:r>
              <w:rPr>
                <w:sz w:val="18"/>
                <w:szCs w:val="18"/>
              </w:rPr>
              <w:t xml:space="preserve">Court confines itself to the </w:t>
            </w:r>
            <w:r>
              <w:rPr>
                <w:b/>
                <w:bCs/>
                <w:sz w:val="18"/>
                <w:szCs w:val="18"/>
              </w:rPr>
              <w:t xml:space="preserve">existence</w:t>
            </w:r>
            <w:r>
              <w:rPr>
                <w:sz w:val="18"/>
                <w:szCs w:val="18"/>
              </w:rPr>
              <w:t xml:space="preserve"> of the arbitration agreement.</w:t>
            </w:r>
          </w:p>
        </w:tc>
        <w:tc>
          <w:tcPr>
            <w:tcW w:type="dxa" w:w="4100"/>
            <w:tcMar>
              <w:top w:type="dxa" w:w="70"/>
              <w:left w:type="dxa" w:w="100"/>
              <w:bottom w:type="dxa" w:w="70"/>
              <w:right w:type="dxa" w:w="100"/>
            </w:tcMar>
          </w:tcPr>
          <w:p>
            <w:pPr>
              <w:spacing w:after="0" w:line="240"/>
            </w:pPr>
            <w:r>
              <w:rPr>
                <w:b/>
                <w:bCs/>
                <w:sz w:val="18"/>
                <w:szCs w:val="18"/>
                <w:shd w:fill="FFF2CC" w:color="auto" w:val="clear"/>
              </w:rPr>
              <w:t xml:space="preserve">The 2019 omission was never notified, so it is still in force.</w:t>
            </w:r>
            <w:r>
              <w:rPr>
                <w:sz w:val="18"/>
                <w:szCs w:val="18"/>
              </w:rPr>
              <w:t xml:space="preserve"> </w:t>
            </w:r>
            <w:r>
              <w:rPr>
                <w:i/>
                <w:iCs/>
                <w:sz w:val="18"/>
                <w:szCs w:val="18"/>
              </w:rPr>
              <w:t xml:space="preserve">Vidya Drolia</w:t>
            </w:r>
            <w:r>
              <w:rPr>
                <w:sz w:val="18"/>
                <w:szCs w:val="18"/>
              </w:rPr>
              <w:t xml:space="preserve"> assumed otherwise and was corrected.</w:t>
            </w:r>
          </w:p>
        </w:tc>
      </w:tr>
      <w:tr>
        <w:tc>
          <w:tcPr>
            <w:tcW w:type="dxa" w:w="1050"/>
            <w:tcMar>
              <w:top w:type="dxa" w:w="70"/>
              <w:left w:type="dxa" w:w="100"/>
              <w:bottom w:type="dxa" w:w="70"/>
              <w:right w:type="dxa" w:w="100"/>
            </w:tcMar>
          </w:tcPr>
          <w:p>
            <w:pPr>
              <w:spacing w:after="0" w:line="240"/>
            </w:pPr>
            <w:r>
              <w:rPr>
                <w:b/>
                <w:bCs/>
                <w:sz w:val="18"/>
                <w:szCs w:val="18"/>
              </w:rPr>
              <w:t xml:space="preserve">11(6B)</w:t>
            </w:r>
          </w:p>
        </w:tc>
        <w:tc>
          <w:tcPr>
            <w:tcW w:type="dxa" w:w="3700"/>
            <w:tcMar>
              <w:top w:type="dxa" w:w="70"/>
              <w:left w:type="dxa" w:w="100"/>
              <w:bottom w:type="dxa" w:w="70"/>
              <w:right w:type="dxa" w:w="100"/>
            </w:tcMar>
          </w:tcPr>
          <w:p>
            <w:pPr>
              <w:spacing w:after="0" w:line="240"/>
            </w:pPr>
            <w:r>
              <w:rPr>
                <w:sz w:val="18"/>
                <w:szCs w:val="18"/>
              </w:rPr>
              <w:t xml:space="preserve">Designation is not a delegation of judicial power.</w:t>
            </w:r>
          </w:p>
        </w:tc>
        <w:tc>
          <w:tcPr>
            <w:tcW w:type="dxa" w:w="4100"/>
            <w:tcMar>
              <w:top w:type="dxa" w:w="70"/>
              <w:left w:type="dxa" w:w="100"/>
              <w:bottom w:type="dxa" w:w="70"/>
              <w:right w:type="dxa" w:w="100"/>
            </w:tcMar>
          </w:tcPr>
          <w:p>
            <w:pPr>
              <w:spacing w:after="0" w:line="240"/>
            </w:pPr>
            <w:r>
              <w:rPr>
                <w:sz w:val="18"/>
                <w:szCs w:val="18"/>
              </w:rPr>
              <w:t xml:space="preserve">Limited to </w:t>
            </w:r>
            <w:r>
              <w:rPr>
                <w:b/>
                <w:bCs/>
                <w:sz w:val="18"/>
                <w:szCs w:val="18"/>
              </w:rPr>
              <w:t xml:space="preserve">the act of designation</w:t>
            </w:r>
            <w:r>
              <w:rPr>
                <w:sz w:val="18"/>
                <w:szCs w:val="18"/>
              </w:rPr>
              <w:t xml:space="preserve"> only.</w:t>
            </w:r>
          </w:p>
        </w:tc>
      </w:tr>
      <w:tr>
        <w:tc>
          <w:tcPr>
            <w:tcW w:type="dxa" w:w="1050"/>
            <w:tcMar>
              <w:top w:type="dxa" w:w="70"/>
              <w:left w:type="dxa" w:w="100"/>
              <w:bottom w:type="dxa" w:w="70"/>
              <w:right w:type="dxa" w:w="100"/>
            </w:tcMar>
          </w:tcPr>
          <w:p>
            <w:pPr>
              <w:spacing w:after="0" w:line="240"/>
            </w:pPr>
            <w:r>
              <w:rPr>
                <w:b/>
                <w:bCs/>
                <w:sz w:val="18"/>
                <w:szCs w:val="18"/>
              </w:rPr>
              <w:t xml:space="preserve">11(7)–(14)</w:t>
            </w:r>
          </w:p>
        </w:tc>
        <w:tc>
          <w:tcPr>
            <w:tcW w:type="dxa" w:w="3700"/>
            <w:tcMar>
              <w:top w:type="dxa" w:w="70"/>
              <w:left w:type="dxa" w:w="100"/>
              <w:bottom w:type="dxa" w:w="70"/>
              <w:right w:type="dxa" w:w="100"/>
            </w:tcMar>
          </w:tcPr>
          <w:p>
            <w:pPr>
              <w:spacing w:after="0" w:line="240"/>
            </w:pPr>
            <w:r>
              <w:rPr>
                <w:sz w:val="18"/>
                <w:szCs w:val="18"/>
              </w:rPr>
              <w:t xml:space="preserve">Finality; disclosure before appointment; third nationality; first-in-time; SC for ICA; 30 days; Fourth Schedule fees.</w:t>
            </w:r>
          </w:p>
        </w:tc>
        <w:tc>
          <w:tcPr>
            <w:tcW w:type="dxa" w:w="4100"/>
            <w:tcMar>
              <w:top w:type="dxa" w:w="70"/>
              <w:left w:type="dxa" w:w="100"/>
              <w:bottom w:type="dxa" w:w="70"/>
              <w:right w:type="dxa" w:w="100"/>
            </w:tcMar>
          </w:tcPr>
          <w:p>
            <w:pPr>
              <w:spacing w:after="0" w:line="240"/>
            </w:pPr>
            <w:r>
              <w:rPr>
                <w:sz w:val="18"/>
                <w:szCs w:val="18"/>
              </w:rPr>
              <w:t xml:space="preserve">“Final” in (7) bars </w:t>
            </w:r>
            <w:r>
              <w:rPr>
                <w:b/>
                <w:bCs/>
                <w:sz w:val="18"/>
                <w:szCs w:val="18"/>
              </w:rPr>
              <w:t xml:space="preserve">statutory</w:t>
            </w:r>
            <w:r>
              <w:rPr>
                <w:sz w:val="18"/>
                <w:szCs w:val="18"/>
              </w:rPr>
              <w:t xml:space="preserve"> appeals, not Article 136 or 226. (11) prevents </w:t>
            </w:r>
            <w:r>
              <w:rPr>
                <w:b/>
                <w:bCs/>
                <w:sz w:val="18"/>
                <w:szCs w:val="18"/>
              </w:rPr>
              <w:t xml:space="preserve">forum shopping</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12(1)–(2)</w:t>
            </w:r>
          </w:p>
        </w:tc>
        <w:tc>
          <w:tcPr>
            <w:tcW w:type="dxa" w:w="3700"/>
            <w:tcMar>
              <w:top w:type="dxa" w:w="70"/>
              <w:left w:type="dxa" w:w="100"/>
              <w:bottom w:type="dxa" w:w="70"/>
              <w:right w:type="dxa" w:w="100"/>
            </w:tcMar>
          </w:tcPr>
          <w:p>
            <w:pPr>
              <w:spacing w:after="0" w:line="240"/>
            </w:pPr>
            <w:r>
              <w:rPr>
                <w:sz w:val="18"/>
                <w:szCs w:val="18"/>
              </w:rPr>
              <w:t xml:space="preserve">Written disclosure of relationships, interests and availability; a continuing duty.</w:t>
            </w:r>
          </w:p>
        </w:tc>
        <w:tc>
          <w:tcPr>
            <w:tcW w:type="dxa" w:w="4100"/>
            <w:tcMar>
              <w:top w:type="dxa" w:w="70"/>
              <w:left w:type="dxa" w:w="100"/>
              <w:bottom w:type="dxa" w:w="70"/>
              <w:right w:type="dxa" w:w="100"/>
            </w:tcMar>
          </w:tcPr>
          <w:p>
            <w:pPr>
              <w:spacing w:after="0" w:line="240"/>
            </w:pPr>
            <w:r>
              <w:rPr>
                <w:b/>
                <w:bCs/>
                <w:sz w:val="18"/>
                <w:szCs w:val="18"/>
              </w:rPr>
              <w:t xml:space="preserve">Fifth Schedule</w:t>
            </w:r>
            <w:r>
              <w:rPr>
                <w:sz w:val="18"/>
                <w:szCs w:val="18"/>
              </w:rPr>
              <w:t xml:space="preserve"> guides; </w:t>
            </w:r>
            <w:r>
              <w:rPr>
                <w:b/>
                <w:bCs/>
                <w:sz w:val="18"/>
                <w:szCs w:val="18"/>
              </w:rPr>
              <w:t xml:space="preserve">Sixth Schedule</w:t>
            </w:r>
            <w:r>
              <w:rPr>
                <w:sz w:val="18"/>
                <w:szCs w:val="18"/>
              </w:rPr>
              <w:t xml:space="preserve"> is the form. Twelve-month availability is a separate limb.</w:t>
            </w:r>
          </w:p>
        </w:tc>
      </w:tr>
      <w:tr>
        <w:tc>
          <w:tcPr>
            <w:tcW w:type="dxa" w:w="1050"/>
            <w:tcMar>
              <w:top w:type="dxa" w:w="70"/>
              <w:left w:type="dxa" w:w="100"/>
              <w:bottom w:type="dxa" w:w="70"/>
              <w:right w:type="dxa" w:w="100"/>
            </w:tcMar>
          </w:tcPr>
          <w:p>
            <w:pPr>
              <w:spacing w:after="0" w:line="240"/>
            </w:pPr>
            <w:r>
              <w:rPr>
                <w:b/>
                <w:bCs/>
                <w:sz w:val="18"/>
                <w:szCs w:val="18"/>
              </w:rPr>
              <w:t xml:space="preserve">12(3)</w:t>
            </w:r>
          </w:p>
        </w:tc>
        <w:tc>
          <w:tcPr>
            <w:tcW w:type="dxa" w:w="3700"/>
            <w:tcMar>
              <w:top w:type="dxa" w:w="70"/>
              <w:left w:type="dxa" w:w="100"/>
              <w:bottom w:type="dxa" w:w="70"/>
              <w:right w:type="dxa" w:w="100"/>
            </w:tcMar>
          </w:tcPr>
          <w:p>
            <w:pPr>
              <w:spacing w:after="0" w:line="240"/>
            </w:pPr>
            <w:r>
              <w:rPr>
                <w:sz w:val="18"/>
                <w:szCs w:val="18"/>
              </w:rPr>
              <w:t xml:space="preserve">Challenge </w:t>
            </w:r>
            <w:r>
              <w:rPr>
                <w:b/>
                <w:bCs/>
                <w:sz w:val="18"/>
                <w:szCs w:val="18"/>
              </w:rPr>
              <w:t xml:space="preserve">only</w:t>
            </w:r>
            <w:r>
              <w:rPr>
                <w:sz w:val="18"/>
                <w:szCs w:val="18"/>
              </w:rPr>
              <w:t xml:space="preserve"> for justifiable doubts, or want of agreed qualifications.</w:t>
            </w:r>
          </w:p>
        </w:tc>
        <w:tc>
          <w:tcPr>
            <w:tcW w:type="dxa" w:w="4100"/>
            <w:tcMar>
              <w:top w:type="dxa" w:w="70"/>
              <w:left w:type="dxa" w:w="100"/>
              <w:bottom w:type="dxa" w:w="70"/>
              <w:right w:type="dxa" w:w="100"/>
            </w:tcMar>
          </w:tcPr>
          <w:p>
            <w:pPr>
              <w:spacing w:after="0" w:line="240"/>
            </w:pPr>
            <w:r>
              <w:rPr>
                <w:sz w:val="18"/>
                <w:szCs w:val="18"/>
              </w:rPr>
              <w:t xml:space="preserve">“Only” makes it a </w:t>
            </w:r>
            <w:r>
              <w:rPr>
                <w:b/>
                <w:bCs/>
                <w:sz w:val="18"/>
                <w:szCs w:val="18"/>
              </w:rPr>
              <w:t xml:space="preserve">filter</w:t>
            </w:r>
            <w:r>
              <w:rPr>
                <w:sz w:val="18"/>
                <w:szCs w:val="18"/>
              </w:rPr>
              <w:t xml:space="preserve">. The test is appearance, not actual bias.</w:t>
            </w:r>
          </w:p>
        </w:tc>
      </w:tr>
      <w:tr>
        <w:tc>
          <w:tcPr>
            <w:tcW w:type="dxa" w:w="1050"/>
            <w:tcMar>
              <w:top w:type="dxa" w:w="70"/>
              <w:left w:type="dxa" w:w="100"/>
              <w:bottom w:type="dxa" w:w="70"/>
              <w:right w:type="dxa" w:w="100"/>
            </w:tcMar>
          </w:tcPr>
          <w:p>
            <w:pPr>
              <w:spacing w:after="0" w:line="240"/>
            </w:pPr>
            <w:r>
              <w:rPr>
                <w:b/>
                <w:bCs/>
                <w:sz w:val="18"/>
                <w:szCs w:val="18"/>
              </w:rPr>
              <w:t xml:space="preserve">12(4)</w:t>
            </w:r>
          </w:p>
        </w:tc>
        <w:tc>
          <w:tcPr>
            <w:tcW w:type="dxa" w:w="3700"/>
            <w:tcMar>
              <w:top w:type="dxa" w:w="70"/>
              <w:left w:type="dxa" w:w="100"/>
              <w:bottom w:type="dxa" w:w="70"/>
              <w:right w:type="dxa" w:w="100"/>
            </w:tcMar>
          </w:tcPr>
          <w:p>
            <w:pPr>
              <w:spacing w:after="0" w:line="240"/>
            </w:pPr>
            <w:r>
              <w:rPr>
                <w:sz w:val="18"/>
                <w:szCs w:val="18"/>
              </w:rPr>
              <w:t xml:space="preserve">You may challenge your own appointee only on grounds learnt afterwards.</w:t>
            </w:r>
          </w:p>
        </w:tc>
        <w:tc>
          <w:tcPr>
            <w:tcW w:type="dxa" w:w="4100"/>
            <w:tcMar>
              <w:top w:type="dxa" w:w="70"/>
              <w:left w:type="dxa" w:w="100"/>
              <w:bottom w:type="dxa" w:w="70"/>
              <w:right w:type="dxa" w:w="100"/>
            </w:tcMar>
          </w:tcPr>
          <w:p>
            <w:pPr>
              <w:spacing w:after="0" w:line="240"/>
            </w:pPr>
            <w:r>
              <w:rPr>
                <w:sz w:val="18"/>
                <w:szCs w:val="18"/>
              </w:rPr>
              <w:t xml:space="preserve">Stops a party from appointing with knowledge and objecting later.</w:t>
            </w:r>
          </w:p>
        </w:tc>
      </w:tr>
      <w:tr>
        <w:tc>
          <w:tcPr>
            <w:tcW w:type="dxa" w:w="1050"/>
            <w:tcMar>
              <w:top w:type="dxa" w:w="70"/>
              <w:left w:type="dxa" w:w="100"/>
              <w:bottom w:type="dxa" w:w="70"/>
              <w:right w:type="dxa" w:w="100"/>
            </w:tcMar>
          </w:tcPr>
          <w:p>
            <w:pPr>
              <w:spacing w:after="0" w:line="240"/>
            </w:pPr>
            <w:r>
              <w:rPr>
                <w:b/>
                <w:bCs/>
                <w:sz w:val="18"/>
                <w:szCs w:val="18"/>
              </w:rPr>
              <w:t xml:space="preserve">12(5)</w:t>
            </w:r>
          </w:p>
        </w:tc>
        <w:tc>
          <w:tcPr>
            <w:tcW w:type="dxa" w:w="3700"/>
            <w:tcMar>
              <w:top w:type="dxa" w:w="70"/>
              <w:left w:type="dxa" w:w="100"/>
              <w:bottom w:type="dxa" w:w="70"/>
              <w:right w:type="dxa" w:w="100"/>
            </w:tcMar>
          </w:tcPr>
          <w:p>
            <w:pPr>
              <w:spacing w:after="0" w:line="240"/>
            </w:pPr>
            <w:r>
              <w:rPr>
                <w:sz w:val="18"/>
                <w:szCs w:val="18"/>
              </w:rPr>
              <w:t xml:space="preserve">Seventh Schedule relationship = </w:t>
            </w:r>
            <w:r>
              <w:rPr>
                <w:b/>
                <w:bCs/>
                <w:sz w:val="18"/>
                <w:szCs w:val="18"/>
              </w:rPr>
              <w:t xml:space="preserve">ineligible</w:t>
            </w:r>
            <w:r>
              <w:rPr>
                <w:sz w:val="18"/>
                <w:szCs w:val="18"/>
              </w:rPr>
              <w:t xml:space="preserve">, notwithstanding prior agreement.</w:t>
            </w:r>
          </w:p>
        </w:tc>
        <w:tc>
          <w:tcPr>
            <w:tcW w:type="dxa" w:w="4100"/>
            <w:tcMar>
              <w:top w:type="dxa" w:w="70"/>
              <w:left w:type="dxa" w:w="100"/>
              <w:bottom w:type="dxa" w:w="70"/>
              <w:right w:type="dxa" w:w="100"/>
            </w:tcMar>
          </w:tcPr>
          <w:p>
            <w:pPr>
              <w:spacing w:after="0" w:line="240"/>
            </w:pPr>
            <w:r>
              <w:rPr>
                <w:sz w:val="18"/>
                <w:szCs w:val="18"/>
              </w:rPr>
              <w:t xml:space="preserve">Waiver </w:t>
            </w:r>
            <w:r>
              <w:rPr>
                <w:b/>
                <w:bCs/>
                <w:sz w:val="18"/>
                <w:szCs w:val="18"/>
              </w:rPr>
              <w:t xml:space="preserve">only by express written agreement after the dispute arises</w:t>
            </w:r>
            <w:r>
              <w:rPr>
                <w:sz w:val="18"/>
                <w:szCs w:val="18"/>
              </w:rPr>
              <w:t xml:space="preserve">. Produces </w:t>
            </w:r>
            <w:r>
              <w:rPr>
                <w:i/>
                <w:iCs/>
                <w:sz w:val="18"/>
                <w:szCs w:val="18"/>
              </w:rPr>
              <w:t xml:space="preserve">de jure</w:t>
            </w:r>
            <w:r>
              <w:rPr>
                <w:sz w:val="18"/>
                <w:szCs w:val="18"/>
              </w:rPr>
              <w:t xml:space="preserve"> inability under s. 14.</w:t>
            </w:r>
          </w:p>
        </w:tc>
      </w:tr>
      <w:tr>
        <w:tc>
          <w:tcPr>
            <w:tcW w:type="dxa" w:w="1050"/>
            <w:tcMar>
              <w:top w:type="dxa" w:w="70"/>
              <w:left w:type="dxa" w:w="100"/>
              <w:bottom w:type="dxa" w:w="70"/>
              <w:right w:type="dxa" w:w="100"/>
            </w:tcMar>
          </w:tcPr>
          <w:p>
            <w:pPr>
              <w:spacing w:after="0" w:line="240"/>
            </w:pPr>
            <w:r>
              <w:rPr>
                <w:b/>
                <w:bCs/>
                <w:sz w:val="18"/>
                <w:szCs w:val="18"/>
              </w:rPr>
              <w:t xml:space="preserve">13(1)–(6)</w:t>
            </w:r>
          </w:p>
        </w:tc>
        <w:tc>
          <w:tcPr>
            <w:tcW w:type="dxa" w:w="3700"/>
            <w:tcMar>
              <w:top w:type="dxa" w:w="70"/>
              <w:left w:type="dxa" w:w="100"/>
              <w:bottom w:type="dxa" w:w="70"/>
              <w:right w:type="dxa" w:w="100"/>
            </w:tcMar>
          </w:tcPr>
          <w:p>
            <w:pPr>
              <w:spacing w:after="0" w:line="240"/>
            </w:pPr>
            <w:r>
              <w:rPr>
                <w:sz w:val="18"/>
                <w:szCs w:val="18"/>
              </w:rPr>
              <w:t xml:space="preserve">Fifteen days, written reasons to the tribunal; the tribunal decides; if it fails, continue and challenge the award under s. 34.</w:t>
            </w:r>
          </w:p>
        </w:tc>
        <w:tc>
          <w:tcPr>
            <w:tcW w:type="dxa" w:w="4100"/>
            <w:tcMar>
              <w:top w:type="dxa" w:w="70"/>
              <w:left w:type="dxa" w:w="100"/>
              <w:bottom w:type="dxa" w:w="70"/>
              <w:right w:type="dxa" w:w="100"/>
            </w:tcMar>
          </w:tcPr>
          <w:p>
            <w:pPr>
              <w:spacing w:after="0" w:line="240"/>
            </w:pPr>
            <w:r>
              <w:rPr>
                <w:b/>
                <w:bCs/>
                <w:sz w:val="18"/>
                <w:szCs w:val="18"/>
              </w:rPr>
              <w:t xml:space="preserve">Anti-dilatory by design.</w:t>
            </w:r>
            <w:r>
              <w:rPr>
                <w:sz w:val="18"/>
                <w:szCs w:val="18"/>
              </w:rPr>
              <w:t xml:space="preserve"> The tribunal judging its own member is tolerated only because s. 34 follows.</w:t>
            </w:r>
          </w:p>
        </w:tc>
      </w:tr>
      <w:tr>
        <w:tc>
          <w:tcPr>
            <w:tcW w:type="dxa" w:w="1050"/>
            <w:tcMar>
              <w:top w:type="dxa" w:w="70"/>
              <w:left w:type="dxa" w:w="100"/>
              <w:bottom w:type="dxa" w:w="70"/>
              <w:right w:type="dxa" w:w="100"/>
            </w:tcMar>
          </w:tcPr>
          <w:p>
            <w:pPr>
              <w:spacing w:after="0" w:line="240"/>
            </w:pPr>
            <w:r>
              <w:rPr>
                <w:b/>
                <w:bCs/>
                <w:sz w:val="18"/>
                <w:szCs w:val="18"/>
              </w:rPr>
              <w:t xml:space="preserve">14</w:t>
            </w:r>
          </w:p>
        </w:tc>
        <w:tc>
          <w:tcPr>
            <w:tcW w:type="dxa" w:w="3700"/>
            <w:tcMar>
              <w:top w:type="dxa" w:w="70"/>
              <w:left w:type="dxa" w:w="100"/>
              <w:bottom w:type="dxa" w:w="70"/>
              <w:right w:type="dxa" w:w="100"/>
            </w:tcMar>
          </w:tcPr>
          <w:p>
            <w:pPr>
              <w:spacing w:after="0" w:line="240"/>
            </w:pPr>
            <w:r>
              <w:rPr>
                <w:sz w:val="18"/>
                <w:szCs w:val="18"/>
              </w:rPr>
              <w:t xml:space="preserve">Mandate ends on de jure or de facto inability, failure to act without undue delay, withdrawal or agreement.</w:t>
            </w:r>
          </w:p>
        </w:tc>
        <w:tc>
          <w:tcPr>
            <w:tcW w:type="dxa" w:w="4100"/>
            <w:tcMar>
              <w:top w:type="dxa" w:w="70"/>
              <w:left w:type="dxa" w:w="100"/>
              <w:bottom w:type="dxa" w:w="70"/>
              <w:right w:type="dxa" w:w="100"/>
            </w:tcMar>
          </w:tcPr>
          <w:p>
            <w:pPr>
              <w:spacing w:after="0" w:line="240"/>
            </w:pPr>
            <w:r>
              <w:rPr>
                <w:b/>
                <w:bCs/>
                <w:sz w:val="18"/>
                <w:szCs w:val="18"/>
              </w:rPr>
              <w:t xml:space="preserve">14(2)</w:t>
            </w:r>
            <w:r>
              <w:rPr>
                <w:sz w:val="18"/>
                <w:szCs w:val="18"/>
              </w:rPr>
              <w:t xml:space="preserve"> court decides a contested ground. </w:t>
            </w:r>
            <w:r>
              <w:rPr>
                <w:b/>
                <w:bCs/>
                <w:sz w:val="18"/>
                <w:szCs w:val="18"/>
              </w:rPr>
              <w:t xml:space="preserve">14(3)</w:t>
            </w:r>
            <w:r>
              <w:rPr>
                <w:sz w:val="18"/>
                <w:szCs w:val="18"/>
              </w:rPr>
              <w:t xml:space="preserve"> withdrawal is </w:t>
            </w:r>
            <w:r>
              <w:rPr>
                <w:b/>
                <w:bCs/>
                <w:sz w:val="18"/>
                <w:szCs w:val="18"/>
              </w:rPr>
              <w:t xml:space="preserve">not</w:t>
            </w:r>
            <w:r>
              <w:rPr>
                <w:sz w:val="18"/>
                <w:szCs w:val="18"/>
              </w:rPr>
              <w:t xml:space="preserve"> an admission.</w:t>
            </w:r>
          </w:p>
        </w:tc>
      </w:tr>
      <w:tr>
        <w:tc>
          <w:tcPr>
            <w:tcW w:type="dxa" w:w="1050"/>
            <w:tcMar>
              <w:top w:type="dxa" w:w="70"/>
              <w:left w:type="dxa" w:w="100"/>
              <w:bottom w:type="dxa" w:w="70"/>
              <w:right w:type="dxa" w:w="100"/>
            </w:tcMar>
          </w:tcPr>
          <w:p>
            <w:pPr>
              <w:spacing w:after="0" w:line="240"/>
            </w:pPr>
            <w:r>
              <w:rPr>
                <w:b/>
                <w:bCs/>
                <w:sz w:val="18"/>
                <w:szCs w:val="18"/>
              </w:rPr>
              <w:t xml:space="preserve">15</w:t>
            </w:r>
          </w:p>
        </w:tc>
        <w:tc>
          <w:tcPr>
            <w:tcW w:type="dxa" w:w="3700"/>
            <w:tcMar>
              <w:top w:type="dxa" w:w="70"/>
              <w:left w:type="dxa" w:w="100"/>
              <w:bottom w:type="dxa" w:w="70"/>
              <w:right w:type="dxa" w:w="100"/>
            </w:tcMar>
          </w:tcPr>
          <w:p>
            <w:pPr>
              <w:spacing w:after="0" w:line="240"/>
            </w:pPr>
            <w:r>
              <w:rPr>
                <w:sz w:val="18"/>
                <w:szCs w:val="18"/>
              </w:rPr>
              <w:t xml:space="preserve">Other modes of termination; substitute by the same route; hearings may be repeated; earlier orders survive.</w:t>
            </w:r>
          </w:p>
        </w:tc>
        <w:tc>
          <w:tcPr>
            <w:tcW w:type="dxa" w:w="4100"/>
            <w:tcMar>
              <w:top w:type="dxa" w:w="70"/>
              <w:left w:type="dxa" w:w="100"/>
              <w:bottom w:type="dxa" w:w="70"/>
              <w:right w:type="dxa" w:w="100"/>
            </w:tcMar>
          </w:tcPr>
          <w:p>
            <w:pPr>
              <w:spacing w:after="0" w:line="240"/>
            </w:pPr>
            <w:r>
              <w:rPr>
                <w:b/>
                <w:bCs/>
                <w:sz w:val="18"/>
                <w:szCs w:val="18"/>
              </w:rPr>
              <w:t xml:space="preserve">15(2) is why s. 11 matters later.</w:t>
            </w:r>
            <w:r>
              <w:rPr>
                <w:sz w:val="18"/>
                <w:szCs w:val="18"/>
              </w:rPr>
              <w:t xml:space="preserve"> </w:t>
            </w:r>
            <w:r>
              <w:rPr>
                <w:b/>
                <w:bCs/>
                <w:sz w:val="18"/>
                <w:szCs w:val="18"/>
              </w:rPr>
              <w:t xml:space="preserve">15(3)</w:t>
            </w:r>
            <w:r>
              <w:rPr>
                <w:sz w:val="18"/>
                <w:szCs w:val="18"/>
              </w:rPr>
              <w:t xml:space="preserve"> reflects </w:t>
            </w:r>
            <w:r>
              <w:rPr>
                <w:i/>
                <w:iCs/>
                <w:sz w:val="18"/>
                <w:szCs w:val="18"/>
              </w:rPr>
              <w:t xml:space="preserve">Gullapalli-I</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16</w:t>
            </w:r>
          </w:p>
        </w:tc>
        <w:tc>
          <w:tcPr>
            <w:tcW w:type="dxa" w:w="3700"/>
            <w:tcMar>
              <w:top w:type="dxa" w:w="70"/>
              <w:left w:type="dxa" w:w="100"/>
              <w:bottom w:type="dxa" w:w="70"/>
              <w:right w:type="dxa" w:w="100"/>
            </w:tcMar>
          </w:tcPr>
          <w:p>
            <w:pPr>
              <w:spacing w:after="0" w:line="240"/>
            </w:pPr>
            <w:r>
              <w:rPr>
                <w:sz w:val="18"/>
                <w:szCs w:val="18"/>
              </w:rPr>
              <w:t xml:space="preserve">Tribunal rules on its own jurisdiction; the clause is separable.</w:t>
            </w:r>
          </w:p>
        </w:tc>
        <w:tc>
          <w:tcPr>
            <w:tcW w:type="dxa" w:w="4100"/>
            <w:tcMar>
              <w:top w:type="dxa" w:w="70"/>
              <w:left w:type="dxa" w:w="100"/>
              <w:bottom w:type="dxa" w:w="70"/>
              <w:right w:type="dxa" w:w="100"/>
            </w:tcMar>
          </w:tcPr>
          <w:p>
            <w:pPr>
              <w:spacing w:after="0" w:line="240"/>
            </w:pPr>
            <w:r>
              <w:rPr>
                <w:sz w:val="18"/>
                <w:szCs w:val="18"/>
              </w:rPr>
              <w:t xml:space="preserve">Plea of no jurisdiction by the </w:t>
            </w:r>
            <w:r>
              <w:rPr>
                <w:b/>
                <w:bCs/>
                <w:sz w:val="18"/>
                <w:szCs w:val="18"/>
              </w:rPr>
              <w:t xml:space="preserve">statement of defence</w:t>
            </w:r>
            <w:r>
              <w:rPr>
                <w:sz w:val="18"/>
                <w:szCs w:val="18"/>
              </w:rPr>
              <w:t xml:space="preserve">; excess of authority </w:t>
            </w:r>
            <w:r>
              <w:rPr>
                <w:b/>
                <w:bCs/>
                <w:sz w:val="18"/>
                <w:szCs w:val="18"/>
              </w:rPr>
              <w:t xml:space="preserve">as it arises</w:t>
            </w:r>
            <w:r>
              <w:rPr>
                <w:sz w:val="18"/>
                <w:szCs w:val="18"/>
              </w:rPr>
              <w:t xml:space="preserve">. Rejection → s. 34 only; acceptance → appeal under s. 37(2)(a).</w:t>
            </w:r>
          </w:p>
        </w:tc>
      </w:tr>
    </w:tbl>
    <w:p>
      <w:pPr>
        <w:spacing w:after="120"/>
      </w:pPr>
      <w:r>
        <w:rPr>
          <w:sz w:val="10"/>
          <w:szCs w:val="10"/>
        </w:rPr>
        <w:t xml:space="preserve"/>
      </w:r>
    </w:p>
    <w:p>
      <w:pPr>
        <w:pStyle w:val="Heading3"/>
        <w:keepNext/>
        <w:spacing w:after="80" w:before="180"/>
      </w:pPr>
      <w:r>
        <w:t xml:space="preserve">Conduct of the proceedings</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050"/>
        <w:gridCol w:w="3700"/>
        <w:gridCol w:w="4100"/>
      </w:tblGrid>
      <w:tr>
        <w:trPr>
          <w:tblHeader/>
        </w:trPr>
        <w:tc>
          <w:tcPr>
            <w:tcW w:type="dxa" w:w="1050"/>
            <w:tcMar>
              <w:top w:type="dxa" w:w="70"/>
              <w:left w:type="dxa" w:w="100"/>
              <w:bottom w:type="dxa" w:w="70"/>
              <w:right w:type="dxa" w:w="100"/>
            </w:tcMar>
          </w:tcPr>
          <w:p>
            <w:pPr>
              <w:spacing w:after="0" w:line="240"/>
            </w:pPr>
            <w:r>
              <w:rPr>
                <w:b/>
                <w:bCs/>
                <w:color w:val="1F3864"/>
                <w:sz w:val="18"/>
                <w:szCs w:val="18"/>
              </w:rPr>
              <w:t xml:space="preserve">Section</w:t>
            </w:r>
          </w:p>
        </w:tc>
        <w:tc>
          <w:tcPr>
            <w:tcW w:type="dxa" w:w="3700"/>
            <w:tcMar>
              <w:top w:type="dxa" w:w="70"/>
              <w:left w:type="dxa" w:w="100"/>
              <w:bottom w:type="dxa" w:w="70"/>
              <w:right w:type="dxa" w:w="100"/>
            </w:tcMar>
          </w:tcPr>
          <w:p>
            <w:pPr>
              <w:spacing w:after="0" w:line="240"/>
            </w:pPr>
            <w:r>
              <w:rPr>
                <w:b/>
                <w:bCs/>
                <w:color w:val="1F3864"/>
                <w:sz w:val="18"/>
                <w:szCs w:val="18"/>
              </w:rPr>
              <w:t xml:space="preserve">Rule in one line</w:t>
            </w:r>
          </w:p>
        </w:tc>
        <w:tc>
          <w:tcPr>
            <w:tcW w:type="dxa" w:w="4100"/>
            <w:tcMar>
              <w:top w:type="dxa" w:w="70"/>
              <w:left w:type="dxa" w:w="100"/>
              <w:bottom w:type="dxa" w:w="70"/>
              <w:right w:type="dxa" w:w="100"/>
            </w:tcMar>
          </w:tcPr>
          <w:p>
            <w:pPr>
              <w:spacing w:after="0" w:line="240"/>
            </w:pPr>
            <w:r>
              <w:rPr>
                <w:b/>
                <w:bCs/>
                <w:color w:val="1F3864"/>
                <w:sz w:val="18"/>
                <w:szCs w:val="18"/>
              </w:rPr>
              <w:t xml:space="preserve">Nuance or trap</w:t>
            </w:r>
          </w:p>
        </w:tc>
      </w:tr>
      <w:tr>
        <w:tc>
          <w:tcPr>
            <w:tcW w:type="dxa" w:w="1050"/>
            <w:tcMar>
              <w:top w:type="dxa" w:w="70"/>
              <w:left w:type="dxa" w:w="100"/>
              <w:bottom w:type="dxa" w:w="70"/>
              <w:right w:type="dxa" w:w="100"/>
            </w:tcMar>
          </w:tcPr>
          <w:p>
            <w:pPr>
              <w:spacing w:after="0" w:line="240"/>
            </w:pPr>
            <w:r>
              <w:rPr>
                <w:b/>
                <w:bCs/>
                <w:sz w:val="18"/>
                <w:szCs w:val="18"/>
              </w:rPr>
              <w:t xml:space="preserve">18</w:t>
            </w:r>
          </w:p>
        </w:tc>
        <w:tc>
          <w:tcPr>
            <w:tcW w:type="dxa" w:w="3700"/>
            <w:tcMar>
              <w:top w:type="dxa" w:w="70"/>
              <w:left w:type="dxa" w:w="100"/>
              <w:bottom w:type="dxa" w:w="70"/>
              <w:right w:type="dxa" w:w="100"/>
            </w:tcMar>
          </w:tcPr>
          <w:p>
            <w:pPr>
              <w:spacing w:after="0" w:line="240"/>
            </w:pPr>
            <w:r>
              <w:rPr>
                <w:sz w:val="18"/>
                <w:szCs w:val="18"/>
              </w:rPr>
              <w:t xml:space="preserve">Equal treatment and a full opportunity to present the case.</w:t>
            </w:r>
          </w:p>
        </w:tc>
        <w:tc>
          <w:tcPr>
            <w:tcW w:type="dxa" w:w="4100"/>
            <w:tcMar>
              <w:top w:type="dxa" w:w="70"/>
              <w:left w:type="dxa" w:w="100"/>
              <w:bottom w:type="dxa" w:w="70"/>
              <w:right w:type="dxa" w:w="100"/>
            </w:tcMar>
          </w:tcPr>
          <w:p>
            <w:pPr>
              <w:spacing w:after="0" w:line="240"/>
            </w:pPr>
            <w:r>
              <w:rPr>
                <w:b/>
                <w:bCs/>
                <w:sz w:val="18"/>
                <w:szCs w:val="18"/>
                <w:shd w:fill="FFF2CC" w:color="auto" w:val="clear"/>
              </w:rPr>
              <w:t xml:space="preserve">Non-derogable.</w:t>
            </w:r>
            <w:r>
              <w:rPr>
                <w:sz w:val="18"/>
                <w:szCs w:val="18"/>
              </w:rPr>
              <w:t xml:space="preserve"> Breach feeds </w:t>
            </w:r>
            <w:r>
              <w:rPr>
                <w:b/>
                <w:bCs/>
                <w:sz w:val="18"/>
                <w:szCs w:val="18"/>
              </w:rPr>
              <w:t xml:space="preserve">s. 34(2)(a)(iii)</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19</w:t>
            </w:r>
          </w:p>
        </w:tc>
        <w:tc>
          <w:tcPr>
            <w:tcW w:type="dxa" w:w="3700"/>
            <w:tcMar>
              <w:top w:type="dxa" w:w="70"/>
              <w:left w:type="dxa" w:w="100"/>
              <w:bottom w:type="dxa" w:w="70"/>
              <w:right w:type="dxa" w:w="100"/>
            </w:tcMar>
          </w:tcPr>
          <w:p>
            <w:pPr>
              <w:spacing w:after="0" w:line="240"/>
            </w:pPr>
            <w:r>
              <w:rPr>
                <w:sz w:val="18"/>
                <w:szCs w:val="18"/>
              </w:rPr>
              <w:t xml:space="preserve">Not bound by the CPC or the law of evidence; parties or tribunal choose the procedure; tribunal is master of the evidence.</w:t>
            </w:r>
          </w:p>
        </w:tc>
        <w:tc>
          <w:tcPr>
            <w:tcW w:type="dxa" w:w="4100"/>
            <w:tcMar>
              <w:top w:type="dxa" w:w="70"/>
              <w:left w:type="dxa" w:w="100"/>
              <w:bottom w:type="dxa" w:w="70"/>
              <w:right w:type="dxa" w:w="100"/>
            </w:tcMar>
          </w:tcPr>
          <w:p>
            <w:pPr>
              <w:spacing w:after="0" w:line="240"/>
            </w:pPr>
            <w:r>
              <w:rPr>
                <w:sz w:val="18"/>
                <w:szCs w:val="18"/>
              </w:rPr>
              <w:t xml:space="preserve">“Not bound” does </w:t>
            </w:r>
            <w:r>
              <w:rPr>
                <w:b/>
                <w:bCs/>
                <w:sz w:val="18"/>
                <w:szCs w:val="18"/>
              </w:rPr>
              <w:t xml:space="preserve">not</w:t>
            </w:r>
            <w:r>
              <w:rPr>
                <w:sz w:val="18"/>
                <w:szCs w:val="18"/>
              </w:rPr>
              <w:t xml:space="preserve"> mean forbidden. </w:t>
            </w:r>
            <w:r>
              <w:rPr>
                <w:b/>
                <w:bCs/>
                <w:sz w:val="18"/>
                <w:szCs w:val="18"/>
              </w:rPr>
              <w:t xml:space="preserve">Subject to s. 18</w:t>
            </w:r>
            <w:r>
              <w:rPr>
                <w:sz w:val="18"/>
                <w:szCs w:val="18"/>
              </w:rPr>
              <w:t xml:space="preserve"> throughout.</w:t>
            </w:r>
          </w:p>
        </w:tc>
      </w:tr>
      <w:tr>
        <w:tc>
          <w:tcPr>
            <w:tcW w:type="dxa" w:w="1050"/>
            <w:tcMar>
              <w:top w:type="dxa" w:w="70"/>
              <w:left w:type="dxa" w:w="100"/>
              <w:bottom w:type="dxa" w:w="70"/>
              <w:right w:type="dxa" w:w="100"/>
            </w:tcMar>
          </w:tcPr>
          <w:p>
            <w:pPr>
              <w:spacing w:after="0" w:line="240"/>
            </w:pPr>
            <w:r>
              <w:rPr>
                <w:b/>
                <w:bCs/>
                <w:sz w:val="18"/>
                <w:szCs w:val="18"/>
              </w:rPr>
              <w:t xml:space="preserve">20</w:t>
            </w:r>
          </w:p>
        </w:tc>
        <w:tc>
          <w:tcPr>
            <w:tcW w:type="dxa" w:w="3700"/>
            <w:tcMar>
              <w:top w:type="dxa" w:w="70"/>
              <w:left w:type="dxa" w:w="100"/>
              <w:bottom w:type="dxa" w:w="70"/>
              <w:right w:type="dxa" w:w="100"/>
            </w:tcMar>
          </w:tcPr>
          <w:p>
            <w:pPr>
              <w:spacing w:after="0" w:line="240"/>
            </w:pPr>
            <w:r>
              <w:rPr>
                <w:sz w:val="18"/>
                <w:szCs w:val="18"/>
              </w:rPr>
              <w:t xml:space="preserve">Parties choose the place; failing that the tribunal; the tribunal may meet anywhere.</w:t>
            </w:r>
          </w:p>
        </w:tc>
        <w:tc>
          <w:tcPr>
            <w:tcW w:type="dxa" w:w="4100"/>
            <w:tcMar>
              <w:top w:type="dxa" w:w="70"/>
              <w:left w:type="dxa" w:w="100"/>
              <w:bottom w:type="dxa" w:w="70"/>
              <w:right w:type="dxa" w:w="100"/>
            </w:tcMar>
          </w:tcPr>
          <w:p>
            <w:pPr>
              <w:spacing w:after="0" w:line="240"/>
            </w:pPr>
            <w:r>
              <w:rPr>
                <w:sz w:val="18"/>
                <w:szCs w:val="18"/>
              </w:rPr>
              <w:t xml:space="preserve">“Place” in (1) and (2) = </w:t>
            </w:r>
            <w:r>
              <w:rPr>
                <w:b/>
                <w:bCs/>
                <w:sz w:val="18"/>
                <w:szCs w:val="18"/>
              </w:rPr>
              <w:t xml:space="preserve">seat</w:t>
            </w:r>
            <w:r>
              <w:rPr>
                <w:sz w:val="18"/>
                <w:szCs w:val="18"/>
              </w:rPr>
              <w:t xml:space="preserve">; (3) = </w:t>
            </w:r>
            <w:r>
              <w:rPr>
                <w:b/>
                <w:bCs/>
                <w:sz w:val="18"/>
                <w:szCs w:val="18"/>
              </w:rPr>
              <w:t xml:space="preserve">venue</w:t>
            </w:r>
            <w:r>
              <w:rPr>
                <w:sz w:val="18"/>
                <w:szCs w:val="18"/>
              </w:rPr>
              <w:t xml:space="preserve">. Consequences follow the seat.</w:t>
            </w:r>
          </w:p>
        </w:tc>
      </w:tr>
      <w:tr>
        <w:tc>
          <w:tcPr>
            <w:tcW w:type="dxa" w:w="1050"/>
            <w:tcMar>
              <w:top w:type="dxa" w:w="70"/>
              <w:left w:type="dxa" w:w="100"/>
              <w:bottom w:type="dxa" w:w="70"/>
              <w:right w:type="dxa" w:w="100"/>
            </w:tcMar>
          </w:tcPr>
          <w:p>
            <w:pPr>
              <w:spacing w:after="0" w:line="240"/>
            </w:pPr>
            <w:r>
              <w:rPr>
                <w:b/>
                <w:bCs/>
                <w:sz w:val="18"/>
                <w:szCs w:val="18"/>
              </w:rPr>
              <w:t xml:space="preserve">21</w:t>
            </w:r>
          </w:p>
        </w:tc>
        <w:tc>
          <w:tcPr>
            <w:tcW w:type="dxa" w:w="3700"/>
            <w:tcMar>
              <w:top w:type="dxa" w:w="70"/>
              <w:left w:type="dxa" w:w="100"/>
              <w:bottom w:type="dxa" w:w="70"/>
              <w:right w:type="dxa" w:w="100"/>
            </w:tcMar>
          </w:tcPr>
          <w:p>
            <w:pPr>
              <w:spacing w:after="0" w:line="240"/>
            </w:pPr>
            <w:r>
              <w:rPr>
                <w:sz w:val="18"/>
                <w:szCs w:val="18"/>
              </w:rPr>
              <w:t xml:space="preserve">Proceedings commence when the respondent </w:t>
            </w:r>
            <w:r>
              <w:rPr>
                <w:b/>
                <w:bCs/>
                <w:sz w:val="18"/>
                <w:szCs w:val="18"/>
              </w:rPr>
              <w:t xml:space="preserve">receives</w:t>
            </w:r>
            <w:r>
              <w:rPr>
                <w:sz w:val="18"/>
                <w:szCs w:val="18"/>
              </w:rPr>
              <w:t xml:space="preserve"> the request to refer.</w:t>
            </w:r>
          </w:p>
        </w:tc>
        <w:tc>
          <w:tcPr>
            <w:tcW w:type="dxa" w:w="4100"/>
            <w:tcMar>
              <w:top w:type="dxa" w:w="70"/>
              <w:left w:type="dxa" w:w="100"/>
              <w:bottom w:type="dxa" w:w="70"/>
              <w:right w:type="dxa" w:w="100"/>
            </w:tcMar>
          </w:tcPr>
          <w:p>
            <w:pPr>
              <w:spacing w:after="0" w:line="240"/>
            </w:pPr>
            <w:r>
              <w:rPr>
                <w:sz w:val="18"/>
                <w:szCs w:val="18"/>
              </w:rPr>
              <w:t xml:space="preserve">Receipt, not despatch. </w:t>
            </w:r>
            <w:r>
              <w:rPr>
                <w:b/>
                <w:bCs/>
                <w:sz w:val="18"/>
                <w:szCs w:val="18"/>
              </w:rPr>
              <w:t xml:space="preserve">Notice of arbitration</w:t>
            </w:r>
            <w:r>
              <w:rPr>
                <w:sz w:val="18"/>
                <w:szCs w:val="18"/>
              </w:rPr>
              <w:t xml:space="preserve">, not notice of dispute.</w:t>
            </w:r>
          </w:p>
        </w:tc>
      </w:tr>
      <w:tr>
        <w:tc>
          <w:tcPr>
            <w:tcW w:type="dxa" w:w="1050"/>
            <w:tcMar>
              <w:top w:type="dxa" w:w="70"/>
              <w:left w:type="dxa" w:w="100"/>
              <w:bottom w:type="dxa" w:w="70"/>
              <w:right w:type="dxa" w:w="100"/>
            </w:tcMar>
          </w:tcPr>
          <w:p>
            <w:pPr>
              <w:spacing w:after="0" w:line="240"/>
            </w:pPr>
            <w:r>
              <w:rPr>
                <w:b/>
                <w:bCs/>
                <w:sz w:val="18"/>
                <w:szCs w:val="18"/>
              </w:rPr>
              <w:t xml:space="preserve">22</w:t>
            </w:r>
          </w:p>
        </w:tc>
        <w:tc>
          <w:tcPr>
            <w:tcW w:type="dxa" w:w="3700"/>
            <w:tcMar>
              <w:top w:type="dxa" w:w="70"/>
              <w:left w:type="dxa" w:w="100"/>
              <w:bottom w:type="dxa" w:w="70"/>
              <w:right w:type="dxa" w:w="100"/>
            </w:tcMar>
          </w:tcPr>
          <w:p>
            <w:pPr>
              <w:spacing w:after="0" w:line="240"/>
            </w:pPr>
            <w:r>
              <w:rPr>
                <w:sz w:val="18"/>
                <w:szCs w:val="18"/>
              </w:rPr>
              <w:t xml:space="preserve">Parties or tribunal choose the language; it covers statements, hearings, awards and communications; translations may be ordered.</w:t>
            </w:r>
          </w:p>
        </w:tc>
        <w:tc>
          <w:tcPr>
            <w:tcW w:type="dxa" w:w="4100"/>
            <w:tcMar>
              <w:top w:type="dxa" w:w="70"/>
              <w:left w:type="dxa" w:w="100"/>
              <w:bottom w:type="dxa" w:w="70"/>
              <w:right w:type="dxa" w:w="100"/>
            </w:tcMar>
          </w:tcPr>
          <w:p>
            <w:pPr>
              <w:spacing w:after="0" w:line="240"/>
            </w:pPr>
            <w:r>
              <w:rPr>
                <w:sz w:val="18"/>
                <w:szCs w:val="18"/>
              </w:rPr>
              <w:t xml:space="preserve">It binds the </w:t>
            </w:r>
            <w:r>
              <w:rPr>
                <w:b/>
                <w:bCs/>
                <w:sz w:val="18"/>
                <w:szCs w:val="18"/>
              </w:rPr>
              <w:t xml:space="preserve">tribunal's own output</w:t>
            </w:r>
            <w:r>
              <w:rPr>
                <w:sz w:val="18"/>
                <w:szCs w:val="18"/>
              </w:rPr>
              <w:t xml:space="preserve">, not just the parties' filings.</w:t>
            </w:r>
          </w:p>
        </w:tc>
      </w:tr>
      <w:tr>
        <w:tc>
          <w:tcPr>
            <w:tcW w:type="dxa" w:w="1050"/>
            <w:tcMar>
              <w:top w:type="dxa" w:w="70"/>
              <w:left w:type="dxa" w:w="100"/>
              <w:bottom w:type="dxa" w:w="70"/>
              <w:right w:type="dxa" w:w="100"/>
            </w:tcMar>
          </w:tcPr>
          <w:p>
            <w:pPr>
              <w:spacing w:after="0" w:line="240"/>
            </w:pPr>
            <w:r>
              <w:rPr>
                <w:b/>
                <w:bCs/>
                <w:sz w:val="18"/>
                <w:szCs w:val="18"/>
              </w:rPr>
              <w:t xml:space="preserve">23(1)–(2)</w:t>
            </w:r>
          </w:p>
        </w:tc>
        <w:tc>
          <w:tcPr>
            <w:tcW w:type="dxa" w:w="3700"/>
            <w:tcMar>
              <w:top w:type="dxa" w:w="70"/>
              <w:left w:type="dxa" w:w="100"/>
              <w:bottom w:type="dxa" w:w="70"/>
              <w:right w:type="dxa" w:w="100"/>
            </w:tcMar>
          </w:tcPr>
          <w:p>
            <w:pPr>
              <w:spacing w:after="0" w:line="240"/>
            </w:pPr>
            <w:r>
              <w:rPr>
                <w:sz w:val="18"/>
                <w:szCs w:val="18"/>
              </w:rPr>
              <w:t xml:space="preserve">Claimant states facts, issues and relief; respondent answers; documents may be filed.</w:t>
            </w:r>
          </w:p>
        </w:tc>
        <w:tc>
          <w:tcPr>
            <w:tcW w:type="dxa" w:w="4100"/>
            <w:tcMar>
              <w:top w:type="dxa" w:w="70"/>
              <w:left w:type="dxa" w:w="100"/>
              <w:bottom w:type="dxa" w:w="70"/>
              <w:right w:type="dxa" w:w="100"/>
            </w:tcMar>
          </w:tcPr>
          <w:p>
            <w:pPr>
              <w:spacing w:after="0" w:line="240"/>
            </w:pPr>
            <w:r>
              <w:rPr>
                <w:sz w:val="18"/>
                <w:szCs w:val="18"/>
              </w:rPr>
              <w:t xml:space="preserve">The arbitral </w:t>
            </w:r>
            <w:r>
              <w:rPr>
                <w:b/>
                <w:bCs/>
                <w:sz w:val="18"/>
                <w:szCs w:val="18"/>
              </w:rPr>
              <w:t xml:space="preserve">plaint and written statement</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23(2A)</w:t>
            </w:r>
          </w:p>
        </w:tc>
        <w:tc>
          <w:tcPr>
            <w:tcW w:type="dxa" w:w="3700"/>
            <w:tcMar>
              <w:top w:type="dxa" w:w="70"/>
              <w:left w:type="dxa" w:w="100"/>
              <w:bottom w:type="dxa" w:w="70"/>
              <w:right w:type="dxa" w:w="100"/>
            </w:tcMar>
          </w:tcPr>
          <w:p>
            <w:pPr>
              <w:spacing w:after="0" w:line="240"/>
            </w:pPr>
            <w:r>
              <w:rPr>
                <w:sz w:val="18"/>
                <w:szCs w:val="18"/>
              </w:rPr>
              <w:t xml:space="preserve">Counterclaim or set-off allowed.</w:t>
            </w:r>
          </w:p>
        </w:tc>
        <w:tc>
          <w:tcPr>
            <w:tcW w:type="dxa" w:w="4100"/>
            <w:tcMar>
              <w:top w:type="dxa" w:w="70"/>
              <w:left w:type="dxa" w:w="100"/>
              <w:bottom w:type="dxa" w:w="70"/>
              <w:right w:type="dxa" w:w="100"/>
            </w:tcMar>
          </w:tcPr>
          <w:p>
            <w:pPr>
              <w:spacing w:after="0" w:line="240"/>
            </w:pPr>
            <w:r>
              <w:rPr>
                <w:b/>
                <w:bCs/>
                <w:sz w:val="18"/>
                <w:szCs w:val="18"/>
              </w:rPr>
              <w:t xml:space="preserve">Only within the scope of the arbitration agreement.</w:t>
            </w:r>
            <w:r>
              <w:rPr>
                <w:sz w:val="18"/>
                <w:szCs w:val="18"/>
              </w:rPr>
              <w:t xml:space="preserve"> Counterclaim recovers; set-off only reduces.</w:t>
            </w:r>
          </w:p>
        </w:tc>
      </w:tr>
      <w:tr>
        <w:tc>
          <w:tcPr>
            <w:tcW w:type="dxa" w:w="1050"/>
            <w:tcMar>
              <w:top w:type="dxa" w:w="70"/>
              <w:left w:type="dxa" w:w="100"/>
              <w:bottom w:type="dxa" w:w="70"/>
              <w:right w:type="dxa" w:w="100"/>
            </w:tcMar>
          </w:tcPr>
          <w:p>
            <w:pPr>
              <w:spacing w:after="0" w:line="240"/>
            </w:pPr>
            <w:r>
              <w:rPr>
                <w:b/>
                <w:bCs/>
                <w:sz w:val="18"/>
                <w:szCs w:val="18"/>
              </w:rPr>
              <w:t xml:space="preserve">23(3)</w:t>
            </w:r>
          </w:p>
        </w:tc>
        <w:tc>
          <w:tcPr>
            <w:tcW w:type="dxa" w:w="3700"/>
            <w:tcMar>
              <w:top w:type="dxa" w:w="70"/>
              <w:left w:type="dxa" w:w="100"/>
              <w:bottom w:type="dxa" w:w="70"/>
              <w:right w:type="dxa" w:w="100"/>
            </w:tcMar>
          </w:tcPr>
          <w:p>
            <w:pPr>
              <w:spacing w:after="0" w:line="240"/>
            </w:pPr>
            <w:r>
              <w:rPr>
                <w:sz w:val="18"/>
                <w:szCs w:val="18"/>
              </w:rPr>
              <w:t xml:space="preserve">Amendment allowed unless inappropriate having regard to </w:t>
            </w:r>
            <w:r>
              <w:rPr>
                <w:b/>
                <w:bCs/>
                <w:sz w:val="18"/>
                <w:szCs w:val="18"/>
              </w:rPr>
              <w:t xml:space="preserve">delay</w:t>
            </w:r>
            <w:r>
              <w:rPr>
                <w:sz w:val="18"/>
                <w:szCs w:val="18"/>
              </w:rPr>
              <w:t xml:space="preserve">.</w:t>
            </w:r>
          </w:p>
        </w:tc>
        <w:tc>
          <w:tcPr>
            <w:tcW w:type="dxa" w:w="4100"/>
            <w:tcMar>
              <w:top w:type="dxa" w:w="70"/>
              <w:left w:type="dxa" w:w="100"/>
              <w:bottom w:type="dxa" w:w="70"/>
              <w:right w:type="dxa" w:w="100"/>
            </w:tcMar>
          </w:tcPr>
          <w:p>
            <w:pPr>
              <w:spacing w:after="0" w:line="240"/>
            </w:pPr>
            <w:r>
              <w:rPr>
                <w:sz w:val="18"/>
                <w:szCs w:val="18"/>
              </w:rPr>
              <w:t xml:space="preserve">Permission is the rule. CPC test: the </w:t>
            </w:r>
            <w:r>
              <w:rPr>
                <w:b/>
                <w:bCs/>
                <w:sz w:val="18"/>
                <w:szCs w:val="18"/>
              </w:rPr>
              <w:t xml:space="preserve">real question in controversy</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23(4)</w:t>
            </w:r>
          </w:p>
        </w:tc>
        <w:tc>
          <w:tcPr>
            <w:tcW w:type="dxa" w:w="3700"/>
            <w:tcMar>
              <w:top w:type="dxa" w:w="70"/>
              <w:left w:type="dxa" w:w="100"/>
              <w:bottom w:type="dxa" w:w="70"/>
              <w:right w:type="dxa" w:w="100"/>
            </w:tcMar>
          </w:tcPr>
          <w:p>
            <w:pPr>
              <w:spacing w:after="0" w:line="240"/>
            </w:pPr>
            <w:r>
              <w:rPr>
                <w:sz w:val="18"/>
                <w:szCs w:val="18"/>
              </w:rPr>
              <w:t xml:space="preserve">Claim and defence within </w:t>
            </w:r>
            <w:r>
              <w:rPr>
                <w:b/>
                <w:bCs/>
                <w:sz w:val="18"/>
                <w:szCs w:val="18"/>
              </w:rPr>
              <w:t xml:space="preserve">six months</w:t>
            </w:r>
            <w:r>
              <w:rPr>
                <w:sz w:val="18"/>
                <w:szCs w:val="18"/>
              </w:rPr>
              <w:t xml:space="preserve"> of the arbitrators receiving written notice of appointment.</w:t>
            </w:r>
          </w:p>
        </w:tc>
        <w:tc>
          <w:tcPr>
            <w:tcW w:type="dxa" w:w="4100"/>
            <w:tcMar>
              <w:top w:type="dxa" w:w="70"/>
              <w:left w:type="dxa" w:w="100"/>
              <w:bottom w:type="dxa" w:w="70"/>
              <w:right w:type="dxa" w:w="100"/>
            </w:tcMar>
          </w:tcPr>
          <w:p>
            <w:pPr>
              <w:spacing w:after="0" w:line="240"/>
            </w:pPr>
            <w:r>
              <w:rPr>
                <w:b/>
                <w:bCs/>
                <w:sz w:val="18"/>
                <w:szCs w:val="18"/>
                <w:shd w:fill="FFF2CC" w:color="auto" w:val="clear"/>
              </w:rPr>
              <w:t xml:space="preserve">There is no s. 23(9).</w:t>
            </w:r>
            <w:r>
              <w:rPr>
                <w:sz w:val="18"/>
                <w:szCs w:val="18"/>
              </w:rPr>
              <w:t xml:space="preserve"> Feeds s. 29A(1); the two periods are </w:t>
            </w:r>
            <w:r>
              <w:rPr>
                <w:b/>
                <w:bCs/>
                <w:sz w:val="18"/>
                <w:szCs w:val="18"/>
              </w:rPr>
              <w:t xml:space="preserve">consecutive</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24(1)</w:t>
            </w:r>
          </w:p>
        </w:tc>
        <w:tc>
          <w:tcPr>
            <w:tcW w:type="dxa" w:w="3700"/>
            <w:tcMar>
              <w:top w:type="dxa" w:w="70"/>
              <w:left w:type="dxa" w:w="100"/>
              <w:bottom w:type="dxa" w:w="70"/>
              <w:right w:type="dxa" w:w="100"/>
            </w:tcMar>
          </w:tcPr>
          <w:p>
            <w:pPr>
              <w:spacing w:after="0" w:line="240"/>
            </w:pPr>
            <w:r>
              <w:rPr>
                <w:sz w:val="18"/>
                <w:szCs w:val="18"/>
              </w:rPr>
              <w:t xml:space="preserve">Tribunal chooses oral hearings or documents-only.</w:t>
            </w:r>
          </w:p>
        </w:tc>
        <w:tc>
          <w:tcPr>
            <w:tcW w:type="dxa" w:w="4100"/>
            <w:tcMar>
              <w:top w:type="dxa" w:w="70"/>
              <w:left w:type="dxa" w:w="100"/>
              <w:bottom w:type="dxa" w:w="70"/>
              <w:right w:type="dxa" w:w="100"/>
            </w:tcMar>
          </w:tcPr>
          <w:p>
            <w:pPr>
              <w:spacing w:after="0" w:line="240"/>
            </w:pPr>
            <w:r>
              <w:rPr>
                <w:b/>
                <w:bCs/>
                <w:sz w:val="18"/>
                <w:szCs w:val="18"/>
              </w:rPr>
              <w:t xml:space="preserve">First proviso:</w:t>
            </w:r>
            <w:r>
              <w:rPr>
                <w:sz w:val="18"/>
                <w:szCs w:val="18"/>
              </w:rPr>
              <w:t xml:space="preserve"> oral hearing </w:t>
            </w:r>
            <w:r>
              <w:rPr>
                <w:b/>
                <w:bCs/>
                <w:sz w:val="18"/>
                <w:szCs w:val="18"/>
              </w:rPr>
              <w:t xml:space="preserve">on a party's request</w:t>
            </w:r>
            <w:r>
              <w:rPr>
                <w:sz w:val="18"/>
                <w:szCs w:val="18"/>
              </w:rPr>
              <w:t xml:space="preserve">. </w:t>
            </w:r>
            <w:r>
              <w:rPr>
                <w:b/>
                <w:bCs/>
                <w:sz w:val="18"/>
                <w:szCs w:val="18"/>
              </w:rPr>
              <w:t xml:space="preserve">Second proviso:</w:t>
            </w:r>
            <w:r>
              <w:rPr>
                <w:sz w:val="18"/>
                <w:szCs w:val="18"/>
              </w:rPr>
              <w:t xml:space="preserve"> day-to-day hearings, no adjournment without cause, </w:t>
            </w:r>
            <w:r>
              <w:rPr>
                <w:b/>
                <w:bCs/>
                <w:sz w:val="18"/>
                <w:szCs w:val="18"/>
              </w:rPr>
              <w:t xml:space="preserve">exemplary costs</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24(2)–(3)</w:t>
            </w:r>
          </w:p>
        </w:tc>
        <w:tc>
          <w:tcPr>
            <w:tcW w:type="dxa" w:w="3700"/>
            <w:tcMar>
              <w:top w:type="dxa" w:w="70"/>
              <w:left w:type="dxa" w:w="100"/>
              <w:bottom w:type="dxa" w:w="70"/>
              <w:right w:type="dxa" w:w="100"/>
            </w:tcMar>
          </w:tcPr>
          <w:p>
            <w:pPr>
              <w:spacing w:after="0" w:line="240"/>
            </w:pPr>
            <w:r>
              <w:rPr>
                <w:sz w:val="18"/>
                <w:szCs w:val="18"/>
              </w:rPr>
              <w:t xml:space="preserve">Advance notice of hearings; everything shared with the other party.</w:t>
            </w:r>
          </w:p>
        </w:tc>
        <w:tc>
          <w:tcPr>
            <w:tcW w:type="dxa" w:w="4100"/>
            <w:tcMar>
              <w:top w:type="dxa" w:w="70"/>
              <w:left w:type="dxa" w:w="100"/>
              <w:bottom w:type="dxa" w:w="70"/>
              <w:right w:type="dxa" w:w="100"/>
            </w:tcMar>
          </w:tcPr>
          <w:p>
            <w:pPr>
              <w:spacing w:after="0" w:line="240"/>
            </w:pPr>
            <w:r>
              <w:rPr>
                <w:sz w:val="18"/>
                <w:szCs w:val="18"/>
              </w:rPr>
              <w:t xml:space="preserve">This is </w:t>
            </w:r>
            <w:r>
              <w:rPr>
                <w:b/>
                <w:bCs/>
                <w:sz w:val="18"/>
                <w:szCs w:val="18"/>
              </w:rPr>
              <w:t xml:space="preserve">s. 18 in operation</w:t>
            </w:r>
            <w:r>
              <w:rPr>
                <w:sz w:val="18"/>
                <w:szCs w:val="18"/>
              </w:rPr>
              <w:t xml:space="preserve">. The tribunal cannot rely on unseen material.</w:t>
            </w:r>
          </w:p>
        </w:tc>
      </w:tr>
      <w:tr>
        <w:tc>
          <w:tcPr>
            <w:tcW w:type="dxa" w:w="1050"/>
            <w:tcMar>
              <w:top w:type="dxa" w:w="70"/>
              <w:left w:type="dxa" w:w="100"/>
              <w:bottom w:type="dxa" w:w="70"/>
              <w:right w:type="dxa" w:w="100"/>
            </w:tcMar>
          </w:tcPr>
          <w:p>
            <w:pPr>
              <w:spacing w:after="0" w:line="240"/>
            </w:pPr>
            <w:r>
              <w:rPr>
                <w:b/>
                <w:bCs/>
                <w:sz w:val="18"/>
                <w:szCs w:val="18"/>
              </w:rPr>
              <w:t xml:space="preserve">25</w:t>
            </w:r>
          </w:p>
        </w:tc>
        <w:tc>
          <w:tcPr>
            <w:tcW w:type="dxa" w:w="3700"/>
            <w:tcMar>
              <w:top w:type="dxa" w:w="70"/>
              <w:left w:type="dxa" w:w="100"/>
              <w:bottom w:type="dxa" w:w="70"/>
              <w:right w:type="dxa" w:w="100"/>
            </w:tcMar>
          </w:tcPr>
          <w:p>
            <w:pPr>
              <w:spacing w:after="0" w:line="240"/>
            </w:pPr>
            <w:r>
              <w:rPr>
                <w:sz w:val="18"/>
                <w:szCs w:val="18"/>
              </w:rPr>
              <w:t xml:space="preserve">Claimant's default → terminate. Respondent's default → continue. Non-appearance → decide on the evidence.</w:t>
            </w:r>
          </w:p>
        </w:tc>
        <w:tc>
          <w:tcPr>
            <w:tcW w:type="dxa" w:w="4100"/>
            <w:tcMar>
              <w:top w:type="dxa" w:w="70"/>
              <w:left w:type="dxa" w:w="100"/>
              <w:bottom w:type="dxa" w:w="70"/>
              <w:right w:type="dxa" w:w="100"/>
            </w:tcMar>
          </w:tcPr>
          <w:p>
            <w:pPr>
              <w:spacing w:after="0" w:line="240"/>
            </w:pPr>
            <w:r>
              <w:rPr>
                <w:b/>
                <w:bCs/>
                <w:sz w:val="18"/>
                <w:szCs w:val="18"/>
                <w:shd w:fill="FFF2CC" w:color="auto" w:val="clear"/>
              </w:rPr>
              <w:t xml:space="preserve">Respondent's default is not an admission</w:t>
            </w:r>
            <w:r>
              <w:rPr>
                <w:sz w:val="18"/>
                <w:szCs w:val="18"/>
              </w:rPr>
              <w:t xml:space="preserve"> (2015 wording). Forfeiture and costs are </w:t>
            </w:r>
            <w:r>
              <w:rPr>
                <w:b/>
                <w:bCs/>
                <w:sz w:val="18"/>
                <w:szCs w:val="18"/>
              </w:rPr>
              <w:t xml:space="preserve">procedural, not penal</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26</w:t>
            </w:r>
          </w:p>
        </w:tc>
        <w:tc>
          <w:tcPr>
            <w:tcW w:type="dxa" w:w="3700"/>
            <w:tcMar>
              <w:top w:type="dxa" w:w="70"/>
              <w:left w:type="dxa" w:w="100"/>
              <w:bottom w:type="dxa" w:w="70"/>
              <w:right w:type="dxa" w:w="100"/>
            </w:tcMar>
          </w:tcPr>
          <w:p>
            <w:pPr>
              <w:spacing w:after="0" w:line="240"/>
            </w:pPr>
            <w:r>
              <w:rPr>
                <w:sz w:val="18"/>
                <w:szCs w:val="18"/>
              </w:rPr>
              <w:t xml:space="preserve">Tribunal may appoint an expert on specific issues; he may be questioned; his material is open to inspection.</w:t>
            </w:r>
          </w:p>
        </w:tc>
        <w:tc>
          <w:tcPr>
            <w:tcW w:type="dxa" w:w="4100"/>
            <w:tcMar>
              <w:top w:type="dxa" w:w="70"/>
              <w:left w:type="dxa" w:w="100"/>
              <w:bottom w:type="dxa" w:w="70"/>
              <w:right w:type="dxa" w:w="100"/>
            </w:tcMar>
          </w:tcPr>
          <w:p>
            <w:pPr>
              <w:spacing w:after="0" w:line="240"/>
            </w:pPr>
            <w:r>
              <w:rPr>
                <w:sz w:val="18"/>
                <w:szCs w:val="18"/>
              </w:rPr>
              <w:t xml:space="preserve">Distinguish the </w:t>
            </w:r>
            <w:r>
              <w:rPr>
                <w:b/>
                <w:bCs/>
                <w:sz w:val="18"/>
                <w:szCs w:val="18"/>
              </w:rPr>
              <w:t xml:space="preserve">party-appointed</w:t>
            </w:r>
            <w:r>
              <w:rPr>
                <w:sz w:val="18"/>
                <w:szCs w:val="18"/>
              </w:rPr>
              <w:t xml:space="preserve"> expert (a witness). </w:t>
            </w:r>
            <w:r>
              <w:rPr>
                <w:b/>
                <w:bCs/>
                <w:sz w:val="18"/>
                <w:szCs w:val="18"/>
                <w:shd w:fill="FFF2CC" w:color="auto" w:val="clear"/>
              </w:rPr>
              <w:t xml:space="preserve">The expert reports; he does not decide.</w:t>
            </w:r>
          </w:p>
        </w:tc>
      </w:tr>
    </w:tbl>
    <w:p>
      <w:pPr>
        <w:spacing w:after="120"/>
      </w:pPr>
      <w:r>
        <w:rPr>
          <w:sz w:val="10"/>
          <w:szCs w:val="10"/>
        </w:rPr>
        <w:t xml:space="preserve"/>
      </w:r>
    </w:p>
    <w:p>
      <w:pPr>
        <w:pStyle w:val="Heading3"/>
        <w:keepNext/>
        <w:spacing w:after="80" w:before="180"/>
      </w:pPr>
      <w:r>
        <w:t xml:space="preserve">Sections outside the syllabus you will still need to cite</w:t>
      </w:r>
    </w:p>
    <w:tbl>
      <w:tblPr>
        <w:tblW w:type="dxa" w:w="8850"/>
        <w:tblBorders>
          <w:top w:val="single" w:color="1F3864" w:sz="3"/>
          <w:left w:val="single" w:color="1F3864" w:sz="3"/>
          <w:bottom w:val="single" w:color="1F3864" w:sz="3"/>
          <w:right w:val="single" w:color="1F3864" w:sz="3"/>
          <w:insideH w:val="single" w:color="AAAAAA" w:sz="2"/>
          <w:insideV w:val="single" w:color="AAAAAA" w:sz="2"/>
        </w:tblBorders>
      </w:tblPr>
      <w:tblGrid>
        <w:gridCol w:w="1050"/>
        <w:gridCol w:w="3700"/>
        <w:gridCol w:w="4100"/>
      </w:tblGrid>
      <w:tr>
        <w:trPr>
          <w:tblHeader/>
        </w:trPr>
        <w:tc>
          <w:tcPr>
            <w:tcW w:type="dxa" w:w="1050"/>
            <w:tcMar>
              <w:top w:type="dxa" w:w="70"/>
              <w:left w:type="dxa" w:w="100"/>
              <w:bottom w:type="dxa" w:w="70"/>
              <w:right w:type="dxa" w:w="100"/>
            </w:tcMar>
          </w:tcPr>
          <w:p>
            <w:pPr>
              <w:spacing w:after="0" w:line="240"/>
            </w:pPr>
            <w:r>
              <w:rPr>
                <w:b/>
                <w:bCs/>
                <w:color w:val="1F3864"/>
                <w:sz w:val="18"/>
                <w:szCs w:val="18"/>
              </w:rPr>
              <w:t xml:space="preserve">Section</w:t>
            </w:r>
          </w:p>
        </w:tc>
        <w:tc>
          <w:tcPr>
            <w:tcW w:type="dxa" w:w="3700"/>
            <w:tcMar>
              <w:top w:type="dxa" w:w="70"/>
              <w:left w:type="dxa" w:w="100"/>
              <w:bottom w:type="dxa" w:w="70"/>
              <w:right w:type="dxa" w:w="100"/>
            </w:tcMar>
          </w:tcPr>
          <w:p>
            <w:pPr>
              <w:spacing w:after="0" w:line="240"/>
            </w:pPr>
            <w:r>
              <w:rPr>
                <w:b/>
                <w:bCs/>
                <w:color w:val="1F3864"/>
                <w:sz w:val="18"/>
                <w:szCs w:val="18"/>
              </w:rPr>
              <w:t xml:space="preserve">Rule in one line</w:t>
            </w:r>
          </w:p>
        </w:tc>
        <w:tc>
          <w:tcPr>
            <w:tcW w:type="dxa" w:w="4100"/>
            <w:tcMar>
              <w:top w:type="dxa" w:w="70"/>
              <w:left w:type="dxa" w:w="100"/>
              <w:bottom w:type="dxa" w:w="70"/>
              <w:right w:type="dxa" w:w="100"/>
            </w:tcMar>
          </w:tcPr>
          <w:p>
            <w:pPr>
              <w:spacing w:after="0" w:line="240"/>
            </w:pPr>
            <w:r>
              <w:rPr>
                <w:b/>
                <w:bCs/>
                <w:color w:val="1F3864"/>
                <w:sz w:val="18"/>
                <w:szCs w:val="18"/>
              </w:rPr>
              <w:t xml:space="preserve">Why it matters here</w:t>
            </w:r>
          </w:p>
        </w:tc>
      </w:tr>
      <w:tr>
        <w:tc>
          <w:tcPr>
            <w:tcW w:type="dxa" w:w="1050"/>
            <w:tcMar>
              <w:top w:type="dxa" w:w="70"/>
              <w:left w:type="dxa" w:w="100"/>
              <w:bottom w:type="dxa" w:w="70"/>
              <w:right w:type="dxa" w:w="100"/>
            </w:tcMar>
          </w:tcPr>
          <w:p>
            <w:pPr>
              <w:spacing w:after="0" w:line="240"/>
            </w:pPr>
            <w:r>
              <w:rPr>
                <w:b/>
                <w:bCs/>
                <w:sz w:val="18"/>
                <w:szCs w:val="18"/>
              </w:rPr>
              <w:t xml:space="preserve">27</w:t>
            </w:r>
          </w:p>
        </w:tc>
        <w:tc>
          <w:tcPr>
            <w:tcW w:type="dxa" w:w="3700"/>
            <w:tcMar>
              <w:top w:type="dxa" w:w="70"/>
              <w:left w:type="dxa" w:w="100"/>
              <w:bottom w:type="dxa" w:w="70"/>
              <w:right w:type="dxa" w:w="100"/>
            </w:tcMar>
          </w:tcPr>
          <w:p>
            <w:pPr>
              <w:spacing w:after="0" w:line="240"/>
            </w:pPr>
            <w:r>
              <w:rPr>
                <w:sz w:val="18"/>
                <w:szCs w:val="18"/>
              </w:rPr>
              <w:t xml:space="preserve">Court assistance in taking evidence.</w:t>
            </w:r>
          </w:p>
        </w:tc>
        <w:tc>
          <w:tcPr>
            <w:tcW w:type="dxa" w:w="4100"/>
            <w:tcMar>
              <w:top w:type="dxa" w:w="70"/>
              <w:left w:type="dxa" w:w="100"/>
              <w:bottom w:type="dxa" w:w="70"/>
              <w:right w:type="dxa" w:w="100"/>
            </w:tcMar>
          </w:tcPr>
          <w:p>
            <w:pPr>
              <w:spacing w:after="0" w:line="240"/>
            </w:pPr>
            <w:r>
              <w:rPr>
                <w:sz w:val="18"/>
                <w:szCs w:val="18"/>
              </w:rPr>
              <w:t xml:space="preserve">Applies to foreign-seated ICA through the </w:t>
            </w:r>
            <w:r>
              <w:rPr>
                <w:b/>
                <w:bCs/>
                <w:sz w:val="18"/>
                <w:szCs w:val="18"/>
              </w:rPr>
              <w:t xml:space="preserve">proviso to s. 2(2)</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29A</w:t>
            </w:r>
          </w:p>
        </w:tc>
        <w:tc>
          <w:tcPr>
            <w:tcW w:type="dxa" w:w="3700"/>
            <w:tcMar>
              <w:top w:type="dxa" w:w="70"/>
              <w:left w:type="dxa" w:w="100"/>
              <w:bottom w:type="dxa" w:w="70"/>
              <w:right w:type="dxa" w:w="100"/>
            </w:tcMar>
          </w:tcPr>
          <w:p>
            <w:pPr>
              <w:spacing w:after="0" w:line="240"/>
            </w:pPr>
            <w:r>
              <w:rPr>
                <w:sz w:val="18"/>
                <w:szCs w:val="18"/>
              </w:rPr>
              <w:t xml:space="preserve">Twelve months from close of pleadings; six more by consent; then the court.</w:t>
            </w:r>
          </w:p>
        </w:tc>
        <w:tc>
          <w:tcPr>
            <w:tcW w:type="dxa" w:w="4100"/>
            <w:tcMar>
              <w:top w:type="dxa" w:w="70"/>
              <w:left w:type="dxa" w:w="100"/>
              <w:bottom w:type="dxa" w:w="70"/>
              <w:right w:type="dxa" w:w="100"/>
            </w:tcMar>
          </w:tcPr>
          <w:p>
            <w:pPr>
              <w:spacing w:after="0" w:line="240"/>
            </w:pPr>
            <w:r>
              <w:rPr>
                <w:sz w:val="18"/>
                <w:szCs w:val="18"/>
              </w:rPr>
              <w:t xml:space="preserve">Counted from </w:t>
            </w:r>
            <w:r>
              <w:rPr>
                <w:b/>
                <w:bCs/>
                <w:sz w:val="18"/>
                <w:szCs w:val="18"/>
              </w:rPr>
              <w:t xml:space="preserve">s. 23(4)</w:t>
            </w:r>
            <w:r>
              <w:rPr>
                <w:sz w:val="18"/>
                <w:szCs w:val="18"/>
              </w:rPr>
              <w:t xml:space="preserve">. Only a </w:t>
            </w:r>
            <w:r>
              <w:rPr>
                <w:b/>
                <w:bCs/>
                <w:sz w:val="18"/>
                <w:szCs w:val="18"/>
              </w:rPr>
              <w:t xml:space="preserve">target</w:t>
            </w:r>
            <w:r>
              <w:rPr>
                <w:sz w:val="18"/>
                <w:szCs w:val="18"/>
              </w:rPr>
              <w:t xml:space="preserve"> for ICA — </w:t>
            </w:r>
            <w:r>
              <w:rPr>
                <w:i/>
                <w:iCs/>
                <w:sz w:val="18"/>
                <w:szCs w:val="18"/>
              </w:rPr>
              <w:t xml:space="preserve">Tata Sons v. Siva Industries</w:t>
            </w:r>
            <w:r>
              <w:rPr>
                <w:sz w:val="18"/>
                <w:szCs w:val="18"/>
              </w:rPr>
              <w:t xml:space="preserve">.</w:t>
            </w:r>
          </w:p>
        </w:tc>
      </w:tr>
      <w:tr>
        <w:tc>
          <w:tcPr>
            <w:tcW w:type="dxa" w:w="1050"/>
            <w:tcMar>
              <w:top w:type="dxa" w:w="70"/>
              <w:left w:type="dxa" w:w="100"/>
              <w:bottom w:type="dxa" w:w="70"/>
              <w:right w:type="dxa" w:w="100"/>
            </w:tcMar>
          </w:tcPr>
          <w:p>
            <w:pPr>
              <w:spacing w:after="0" w:line="240"/>
            </w:pPr>
            <w:r>
              <w:rPr>
                <w:b/>
                <w:bCs/>
                <w:sz w:val="18"/>
                <w:szCs w:val="18"/>
              </w:rPr>
              <w:t xml:space="preserve">34</w:t>
            </w:r>
          </w:p>
        </w:tc>
        <w:tc>
          <w:tcPr>
            <w:tcW w:type="dxa" w:w="3700"/>
            <w:tcMar>
              <w:top w:type="dxa" w:w="70"/>
              <w:left w:type="dxa" w:w="100"/>
              <w:bottom w:type="dxa" w:w="70"/>
              <w:right w:type="dxa" w:w="100"/>
            </w:tcMar>
          </w:tcPr>
          <w:p>
            <w:pPr>
              <w:spacing w:after="0" w:line="240"/>
            </w:pPr>
            <w:r>
              <w:rPr>
                <w:sz w:val="18"/>
                <w:szCs w:val="18"/>
              </w:rPr>
              <w:t xml:space="preserve">Setting aside an award on a short list of grounds.</w:t>
            </w:r>
          </w:p>
        </w:tc>
        <w:tc>
          <w:tcPr>
            <w:tcW w:type="dxa" w:w="4100"/>
            <w:tcMar>
              <w:top w:type="dxa" w:w="70"/>
              <w:left w:type="dxa" w:w="100"/>
              <w:bottom w:type="dxa" w:w="70"/>
              <w:right w:type="dxa" w:w="100"/>
            </w:tcMar>
          </w:tcPr>
          <w:p>
            <w:pPr>
              <w:spacing w:after="0" w:line="240"/>
            </w:pPr>
            <w:r>
              <w:rPr>
                <w:sz w:val="18"/>
                <w:szCs w:val="18"/>
              </w:rPr>
              <w:t xml:space="preserve">The </w:t>
            </w:r>
            <w:r>
              <w:rPr>
                <w:b/>
                <w:bCs/>
                <w:sz w:val="18"/>
                <w:szCs w:val="18"/>
              </w:rPr>
              <w:t xml:space="preserve">non-derogable</w:t>
            </w:r>
            <w:r>
              <w:rPr>
                <w:sz w:val="18"/>
                <w:szCs w:val="18"/>
              </w:rPr>
              <w:t xml:space="preserve"> safeguard behind ss. 13(5), 16(6) and 12. </w:t>
            </w:r>
            <w:r>
              <w:rPr>
                <w:b/>
                <w:bCs/>
                <w:sz w:val="18"/>
                <w:szCs w:val="18"/>
              </w:rPr>
              <w:t xml:space="preserve">No review on merits.</w:t>
            </w:r>
          </w:p>
        </w:tc>
      </w:tr>
      <w:tr>
        <w:tc>
          <w:tcPr>
            <w:tcW w:type="dxa" w:w="1050"/>
            <w:tcMar>
              <w:top w:type="dxa" w:w="70"/>
              <w:left w:type="dxa" w:w="100"/>
              <w:bottom w:type="dxa" w:w="70"/>
              <w:right w:type="dxa" w:w="100"/>
            </w:tcMar>
          </w:tcPr>
          <w:p>
            <w:pPr>
              <w:spacing w:after="0" w:line="240"/>
            </w:pPr>
            <w:r>
              <w:rPr>
                <w:b/>
                <w:bCs/>
                <w:sz w:val="18"/>
                <w:szCs w:val="18"/>
              </w:rPr>
              <w:t xml:space="preserve">36</w:t>
            </w:r>
          </w:p>
        </w:tc>
        <w:tc>
          <w:tcPr>
            <w:tcW w:type="dxa" w:w="3700"/>
            <w:tcMar>
              <w:top w:type="dxa" w:w="70"/>
              <w:left w:type="dxa" w:w="100"/>
              <w:bottom w:type="dxa" w:w="70"/>
              <w:right w:type="dxa" w:w="100"/>
            </w:tcMar>
          </w:tcPr>
          <w:p>
            <w:pPr>
              <w:spacing w:after="0" w:line="240"/>
            </w:pPr>
            <w:r>
              <w:rPr>
                <w:sz w:val="18"/>
                <w:szCs w:val="18"/>
              </w:rPr>
              <w:t xml:space="preserve">Enforcement of the award.</w:t>
            </w:r>
          </w:p>
        </w:tc>
        <w:tc>
          <w:tcPr>
            <w:tcW w:type="dxa" w:w="4100"/>
            <w:tcMar>
              <w:top w:type="dxa" w:w="70"/>
              <w:left w:type="dxa" w:w="100"/>
              <w:bottom w:type="dxa" w:w="70"/>
              <w:right w:type="dxa" w:w="100"/>
            </w:tcMar>
          </w:tcPr>
          <w:p>
            <w:pPr>
              <w:spacing w:after="0" w:line="240"/>
            </w:pPr>
            <w:r>
              <w:rPr>
                <w:sz w:val="18"/>
                <w:szCs w:val="18"/>
              </w:rPr>
              <w:t xml:space="preserve">Marks the outer limit of s. 9 relief.</w:t>
            </w:r>
          </w:p>
        </w:tc>
      </w:tr>
      <w:tr>
        <w:tc>
          <w:tcPr>
            <w:tcW w:type="dxa" w:w="1050"/>
            <w:tcMar>
              <w:top w:type="dxa" w:w="70"/>
              <w:left w:type="dxa" w:w="100"/>
              <w:bottom w:type="dxa" w:w="70"/>
              <w:right w:type="dxa" w:w="100"/>
            </w:tcMar>
          </w:tcPr>
          <w:p>
            <w:pPr>
              <w:spacing w:after="0" w:line="240"/>
            </w:pPr>
            <w:r>
              <w:rPr>
                <w:b/>
                <w:bCs/>
                <w:sz w:val="18"/>
                <w:szCs w:val="18"/>
              </w:rPr>
              <w:t xml:space="preserve">37</w:t>
            </w:r>
          </w:p>
        </w:tc>
        <w:tc>
          <w:tcPr>
            <w:tcW w:type="dxa" w:w="3700"/>
            <w:tcMar>
              <w:top w:type="dxa" w:w="70"/>
              <w:left w:type="dxa" w:w="100"/>
              <w:bottom w:type="dxa" w:w="70"/>
              <w:right w:type="dxa" w:w="100"/>
            </w:tcMar>
          </w:tcPr>
          <w:p>
            <w:pPr>
              <w:spacing w:after="0" w:line="240"/>
            </w:pPr>
            <w:r>
              <w:rPr>
                <w:sz w:val="18"/>
                <w:szCs w:val="18"/>
              </w:rPr>
              <w:t xml:space="preserve">Appealable orders.</w:t>
            </w:r>
          </w:p>
        </w:tc>
        <w:tc>
          <w:tcPr>
            <w:tcW w:type="dxa" w:w="4100"/>
            <w:tcMar>
              <w:top w:type="dxa" w:w="70"/>
              <w:left w:type="dxa" w:w="100"/>
              <w:bottom w:type="dxa" w:w="70"/>
              <w:right w:type="dxa" w:w="100"/>
            </w:tcMar>
          </w:tcPr>
          <w:p>
            <w:pPr>
              <w:spacing w:after="0" w:line="240"/>
            </w:pPr>
            <w:r>
              <w:rPr>
                <w:b/>
                <w:bCs/>
                <w:sz w:val="18"/>
                <w:szCs w:val="18"/>
              </w:rPr>
              <w:t xml:space="preserve">37(1)(b)</w:t>
            </w:r>
            <w:r>
              <w:rPr>
                <w:sz w:val="18"/>
                <w:szCs w:val="18"/>
              </w:rPr>
              <w:t xml:space="preserve"> s. 9; </w:t>
            </w:r>
            <w:r>
              <w:rPr>
                <w:b/>
                <w:bCs/>
                <w:sz w:val="18"/>
                <w:szCs w:val="18"/>
              </w:rPr>
              <w:t xml:space="preserve">37(2)(a)</w:t>
            </w:r>
            <w:r>
              <w:rPr>
                <w:sz w:val="18"/>
                <w:szCs w:val="18"/>
              </w:rPr>
              <w:t xml:space="preserve"> acceptance of a jurisdictional plea; </w:t>
            </w:r>
            <w:r>
              <w:rPr>
                <w:b/>
                <w:bCs/>
                <w:sz w:val="18"/>
                <w:szCs w:val="18"/>
              </w:rPr>
              <w:t xml:space="preserve">37(2)(b)</w:t>
            </w:r>
            <w:r>
              <w:rPr>
                <w:sz w:val="18"/>
                <w:szCs w:val="18"/>
              </w:rPr>
              <w:t xml:space="preserve"> s. 17.</w:t>
            </w:r>
          </w:p>
        </w:tc>
      </w:tr>
      <w:tr>
        <w:tc>
          <w:tcPr>
            <w:tcW w:type="dxa" w:w="1050"/>
            <w:tcMar>
              <w:top w:type="dxa" w:w="70"/>
              <w:left w:type="dxa" w:w="100"/>
              <w:bottom w:type="dxa" w:w="70"/>
              <w:right w:type="dxa" w:w="100"/>
            </w:tcMar>
          </w:tcPr>
          <w:p>
            <w:pPr>
              <w:spacing w:after="0" w:line="240"/>
            </w:pPr>
            <w:r>
              <w:rPr>
                <w:b/>
                <w:bCs/>
                <w:sz w:val="18"/>
                <w:szCs w:val="18"/>
              </w:rPr>
              <w:t xml:space="preserve">48</w:t>
            </w:r>
          </w:p>
        </w:tc>
        <w:tc>
          <w:tcPr>
            <w:tcW w:type="dxa" w:w="3700"/>
            <w:tcMar>
              <w:top w:type="dxa" w:w="70"/>
              <w:left w:type="dxa" w:w="100"/>
              <w:bottom w:type="dxa" w:w="70"/>
              <w:right w:type="dxa" w:w="100"/>
            </w:tcMar>
          </w:tcPr>
          <w:p>
            <w:pPr>
              <w:spacing w:after="0" w:line="240"/>
            </w:pPr>
            <w:r>
              <w:rPr>
                <w:sz w:val="18"/>
                <w:szCs w:val="18"/>
              </w:rPr>
              <w:t xml:space="preserve">Grounds for refusing enforcement of a </w:t>
            </w:r>
            <w:r>
              <w:rPr>
                <w:b/>
                <w:bCs/>
                <w:sz w:val="18"/>
                <w:szCs w:val="18"/>
              </w:rPr>
              <w:t xml:space="preserve">foreign</w:t>
            </w:r>
            <w:r>
              <w:rPr>
                <w:sz w:val="18"/>
                <w:szCs w:val="18"/>
              </w:rPr>
              <w:t xml:space="preserve"> award (Part II).</w:t>
            </w:r>
          </w:p>
        </w:tc>
        <w:tc>
          <w:tcPr>
            <w:tcW w:type="dxa" w:w="4100"/>
            <w:tcMar>
              <w:top w:type="dxa" w:w="70"/>
              <w:left w:type="dxa" w:w="100"/>
              <w:bottom w:type="dxa" w:w="70"/>
              <w:right w:type="dxa" w:w="100"/>
            </w:tcMar>
          </w:tcPr>
          <w:p>
            <w:pPr>
              <w:spacing w:after="0" w:line="240"/>
            </w:pPr>
            <w:r>
              <w:rPr>
                <w:sz w:val="18"/>
                <w:szCs w:val="18"/>
              </w:rPr>
              <w:t xml:space="preserve">Part II has </w:t>
            </w:r>
            <w:r>
              <w:rPr>
                <w:b/>
                <w:bCs/>
                <w:sz w:val="18"/>
                <w:szCs w:val="18"/>
              </w:rPr>
              <w:t xml:space="preserve">no set-aside provision</w:t>
            </w:r>
            <w:r>
              <w:rPr>
                <w:sz w:val="18"/>
                <w:szCs w:val="18"/>
              </w:rPr>
              <w:t xml:space="preserve"> — the point </w:t>
            </w:r>
            <w:r>
              <w:rPr>
                <w:i/>
                <w:iCs/>
                <w:sz w:val="18"/>
                <w:szCs w:val="18"/>
              </w:rPr>
              <w:t xml:space="preserve">Venture Global</w:t>
            </w:r>
            <w:r>
              <w:rPr>
                <w:sz w:val="18"/>
                <w:szCs w:val="18"/>
              </w:rPr>
              <w:t xml:space="preserve"> missed.</w:t>
            </w:r>
          </w:p>
        </w:tc>
      </w:tr>
    </w:tbl>
    <w:p>
      <w:pPr>
        <w:spacing w:after="120"/>
      </w:pPr>
      <w:r>
        <w:rPr>
          <w:sz w:val="10"/>
          <w:szCs w:val="10"/>
        </w:rPr>
        <w:t xml:space="preserve"/>
      </w:r>
    </w:p>
    <w:p>
      <w:pPr>
        <w:pStyle w:val="Heading2"/>
        <w:keepNext/>
        <w:spacing w:after="100" w:before="250"/>
      </w:pPr>
      <w:r>
        <w:t xml:space="preserve">C.3  The five traps</w:t>
      </w:r>
    </w:p>
    <w:p>
      <w:pPr>
        <w:pStyle w:val="ListParagraph"/>
        <w:numPr>
          <w:ilvl w:val="0"/>
          <w:numId w:val="10"/>
        </w:numPr>
        <w:spacing w:after="70" w:line="264"/>
        <w:jc w:val="both"/>
      </w:pPr>
      <w:r>
        <w:rPr>
          <w:b/>
          <w:bCs/>
          <w:shd w:fill="FFF2CC" w:color="auto" w:val="clear"/>
        </w:rPr>
        <w:t xml:space="preserve">Section 11(6A) is still in force.</w:t>
      </w:r>
      <w:r>
        <w:t xml:space="preserve"> The 2019 omission was never notified.</w:t>
      </w:r>
    </w:p>
    <w:p>
      <w:pPr>
        <w:pStyle w:val="ListParagraph"/>
        <w:numPr>
          <w:ilvl w:val="0"/>
          <w:numId w:val="10"/>
        </w:numPr>
        <w:spacing w:after="70" w:line="264"/>
        <w:jc w:val="both"/>
      </w:pPr>
      <w:r>
        <w:rPr>
          <w:b/>
          <w:bCs/>
          <w:shd w:fill="FFF2CC" w:color="auto" w:val="clear"/>
        </w:rPr>
        <w:t xml:space="preserve">The six-month pleading limit is s. 23(4). There is no s. 23(9).</w:t>
      </w:r>
    </w:p>
    <w:p>
      <w:pPr>
        <w:pStyle w:val="ListParagraph"/>
        <w:numPr>
          <w:ilvl w:val="0"/>
          <w:numId w:val="10"/>
        </w:numPr>
        <w:spacing w:after="70" w:line="264"/>
        <w:jc w:val="both"/>
      </w:pPr>
      <w:r>
        <w:rPr>
          <w:b/>
          <w:bCs/>
          <w:shd w:fill="FFF2CC" w:color="auto" w:val="clear"/>
        </w:rPr>
        <w:t xml:space="preserve">BALCO applies only to arbitration agreements made on or after 6 September 2012.</w:t>
      </w:r>
    </w:p>
    <w:p>
      <w:pPr>
        <w:pStyle w:val="ListParagraph"/>
        <w:numPr>
          <w:ilvl w:val="0"/>
          <w:numId w:val="10"/>
        </w:numPr>
        <w:spacing w:after="70" w:line="264"/>
        <w:jc w:val="both"/>
      </w:pPr>
      <w:r>
        <w:rPr>
          <w:b/>
          <w:bCs/>
          <w:shd w:fill="FFF2CC" w:color="auto" w:val="clear"/>
        </w:rPr>
        <w:t xml:space="preserve">Section 10 is derogable; section 18 and section 34 are not.</w:t>
      </w:r>
    </w:p>
    <w:p>
      <w:pPr>
        <w:pStyle w:val="ListParagraph"/>
        <w:numPr>
          <w:ilvl w:val="0"/>
          <w:numId w:val="10"/>
        </w:numPr>
        <w:spacing w:after="70" w:line="264"/>
        <w:jc w:val="both"/>
      </w:pPr>
      <w:r>
        <w:rPr>
          <w:b/>
          <w:bCs/>
          <w:i/>
          <w:iCs/>
        </w:rPr>
        <w:t xml:space="preserve">Union of India v. Tantia Construction</w:t>
      </w:r>
      <w:r>
        <w:t xml:space="preserve"> (2011) and </w:t>
      </w:r>
      <w:r>
        <w:rPr>
          <w:b/>
          <w:bCs/>
          <w:i/>
          <w:iCs/>
        </w:rPr>
        <w:t xml:space="preserve">Union of India v. Tantia Constructions</w:t>
      </w:r>
      <w:r>
        <w:t xml:space="preserve"> (2021) are </w:t>
      </w:r>
      <w:r>
        <w:rPr>
          <w:b/>
          <w:bCs/>
        </w:rPr>
        <w:t xml:space="preserve">two different cases</w:t>
      </w:r>
      <w:r>
        <w:t xml:space="preserve"> on two different questions.</w:t>
      </w:r>
    </w:p>
    <w:sectPr>
      <w:headerReference w:type="default" r:id="rId7"/>
      <w:headerReference w:type="first" r:id="rId8"/>
      <w:footerReference w:type="default" r:id="rId9"/>
      <w:footerReference w:type="first" r:id="rId10"/>
      <w:pgSz w:w="11906" w:h="16838" w:orient="portrait"/>
      <w:pgMar w:top="1250" w:right="1300" w:bottom="125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5"/>
      </w:pBdr>
      <w:tabs>
        <w:tab w:val="right" w:pos="9306"/>
      </w:tabs>
      <w:spacing w:before="60"/>
    </w:pPr>
    <w:r>
      <w:rPr>
        <w:rFonts w:ascii="Arial" w:cs="Arial" w:eastAsia="Arial" w:hAnsi="Arial"/>
        <w:color w:val="1F3864"/>
        <w:sz w:val="17"/>
        <w:szCs w:val="17"/>
      </w:rPr>
      <w:t xml:space="preserve">Surendra Mundvadiya | Alternative Dispute Resolution</w:t>
    </w:r>
    <w:r>
      <w:rPr>
        <w:sz w:val="17"/>
        <w:szCs w:val="17"/>
      </w:rPr>
      <w:t xml:space="preserve">	</w:t>
    </w:r>
    <w:r>
      <w:rPr>
        <w:rFonts w:ascii="Arial" w:cs="Arial" w:eastAsia="Arial" w:hAnsi="Arial"/>
        <w:color w:val="1F3864"/>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75" w:hanging="302"/>
      </w:pPr>
    </w:lvl>
  </w:abstractNum>
  <w:abstractNum w:abstractNumId="3" w15:restartNumberingAfterBreak="0">
    <w:multiLevelType w:val="hybridMultilevel"/>
    <w:lvl w:ilvl="0" w15:tentative="1">
      <w:start w:val="1"/>
      <w:numFmt w:val="lowerLetter"/>
      <w:lvlText w:val="(%1)"/>
      <w:lvlJc w:val="start"/>
      <w:pPr>
        <w:ind w:left="576" w:hanging="3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rFonts w:ascii="Arial" w:cs="Arial" w:eastAsia="Arial" w:hAnsi="Arial"/>
      <w:b/>
      <w:bCs/>
      <w:color w:val="1F3864"/>
      <w:sz w:val="28"/>
      <w:szCs w:val="28"/>
    </w:rPr>
  </w:style>
  <w:style w:type="paragraph" w:styleId="Heading2">
    <w:name w:val="Heading 2"/>
    <w:basedOn w:val="Normal"/>
    <w:next w:val="Normal"/>
    <w:qFormat/>
    <w:pPr>
      <w:outlineLvl w:val="1"/>
    </w:pPr>
    <w:rPr>
      <w:rFonts w:ascii="Arial" w:cs="Arial" w:eastAsia="Arial" w:hAnsi="Arial"/>
      <w:b/>
      <w:bCs/>
      <w:color w:val="1F3864"/>
      <w:sz w:val="23"/>
      <w:szCs w:val="23"/>
    </w:rPr>
  </w:style>
  <w:style w:type="paragraph" w:styleId="Heading3">
    <w:name w:val="Heading 3"/>
    <w:basedOn w:val="Normal"/>
    <w:next w:val="Normal"/>
    <w:qFormat/>
    <w:pPr>
      <w:outlineLvl w:val="2"/>
    </w:pPr>
    <w:rPr>
      <w:rFonts w:ascii="Arial" w:cs="Arial" w:eastAsia="Arial" w:hAnsi="Arial"/>
      <w:b/>
      <w:bCs/>
      <w:color w:val="1F3864"/>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Alternative Dispute Resolution</dc:title>
  <dc:creator>Surendra Mundvadiya</dc:creator>
  <cp:lastModifiedBy>Un-named</cp:lastModifiedBy>
  <cp:revision>1</cp:revision>
  <dcterms:created xsi:type="dcterms:W3CDTF">2026-09-22T19:22:10.405Z</dcterms:created>
  <dcterms:modified xsi:type="dcterms:W3CDTF">2026-09-22T19:22:10.417Z</dcterms:modified>
</cp:coreProperties>
</file>

<file path=docProps/custom.xml><?xml version="1.0" encoding="utf-8"?>
<Properties xmlns="http://schemas.openxmlformats.org/officeDocument/2006/custom-properties" xmlns:vt="http://schemas.openxmlformats.org/officeDocument/2006/docPropsVTypes"/>
</file>