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800"/>
      </w:pPr>
      <w:r>
        <w:t xml:space="preserve"/>
      </w:r>
    </w:p>
    <w:p>
      <w:pPr>
        <w:spacing w:after="220"/>
        <w:jc w:val="center"/>
      </w:pPr>
      <w:r>
        <w:rPr>
          <w:rFonts w:ascii="Arial" w:cs="Arial" w:eastAsia="Arial" w:hAnsi="Arial"/>
          <w:b/>
          <w:bCs/>
          <w:color w:val="1F3864"/>
          <w:sz w:val="36"/>
          <w:szCs w:val="36"/>
        </w:rPr>
        <w:t xml:space="preserve">ALTERNATIVE DISPUTE RESOLUTION</w:t>
      </w:r>
    </w:p>
    <w:p>
      <w:pPr>
        <w:spacing w:after="620"/>
        <w:jc w:val="center"/>
      </w:pPr>
      <w:r>
        <w:rPr>
          <w:rFonts w:ascii="Arial" w:cs="Arial" w:eastAsia="Arial" w:hAnsi="Arial"/>
          <w:color w:val="1F3864"/>
          <w:sz w:val="28"/>
          <w:szCs w:val="28"/>
        </w:rPr>
        <w:t xml:space="preserve">Revision Notes</w:t>
      </w:r>
    </w:p>
    <w:p>
      <w:pPr>
        <w:jc w:val="center"/>
      </w:pPr>
      <w:r>
        <w:rPr>
          <w:rFonts w:ascii="Arial" w:cs="Arial" w:eastAsia="Arial" w:hAnsi="Arial"/>
          <w:sz w:val="24"/>
          <w:szCs w:val="24"/>
        </w:rPr>
        <w:t xml:space="preserve">Surendra Mundvadiya</w:t>
      </w:r>
    </w:p>
    <w:p>
      <w:r>
        <w:br w:type="page"/>
      </w:r>
    </w:p>
    <w:p>
      <w:pPr>
        <w:pStyle w:val="Heading1"/>
        <w:keepNext/>
        <w:pBdr>
          <w:bottom w:val="single" w:color="1F3864" w:sz="6" w:space="4"/>
        </w:pBdr>
        <w:spacing w:after="160" w:before="420"/>
      </w:pPr>
      <w:r>
        <w:t xml:space="preserve">Quick Map</w:t>
      </w:r>
    </w:p>
    <w:p>
      <w:pPr>
        <w:spacing w:after="120" w:line="264"/>
        <w:jc w:val="both"/>
      </w:pPr>
      <w:r>
        <w:rPr>
          <w:b/>
          <w:bCs/>
        </w:rPr>
        <w:t xml:space="preserve">Arbitration</w:t>
      </w:r>
      <w:r>
        <w:t xml:space="preserve"> = the parties pick a private judge. He hears both sides and gives an </w:t>
      </w:r>
      <w:r>
        <w:rPr>
          <w:b/>
          <w:bCs/>
        </w:rPr>
        <w:t xml:space="preserve">award</w:t>
      </w:r>
      <w:r>
        <w:t xml:space="preserve">. </w:t>
      </w:r>
      <w:r>
        <w:rPr>
          <w:b/>
          <w:bCs/>
          <w:shd w:fill="FFF2CC" w:color="auto" w:val="clear"/>
        </w:rPr>
        <w:t xml:space="preserve">The award binds them and is enforced like a civil court decree.</w:t>
      </w:r>
      <w:r>
        <w:t xml:space="preserve"> In mediation and conciliation the neutral only helps them settle. </w:t>
      </w:r>
      <w:r>
        <w:rPr>
          <w:b/>
          <w:bCs/>
        </w:rPr>
        <w:t xml:space="preserve">In arbitration he decides.</w:t>
      </w:r>
    </w:p>
    <w:p>
      <w:pPr>
        <w:spacing w:after="120" w:line="264"/>
        <w:jc w:val="both"/>
      </w:pPr>
      <w:r>
        <w:rPr>
          <w:b/>
          <w:bCs/>
        </w:rPr>
        <w:t xml:space="preserve">Law</w:t>
      </w:r>
      <w:r>
        <w:t xml:space="preserve"> = Arbitration and Conciliation Act, 1996, amended in </w:t>
      </w:r>
      <w:r>
        <w:rPr>
          <w:b/>
          <w:bCs/>
        </w:rPr>
        <w:t xml:space="preserve">2015, 2019 and 2021</w:t>
      </w:r>
      <w:r>
        <w:t xml:space="preserve">. </w:t>
      </w:r>
      <w:r>
        <w:rPr>
          <w:b/>
          <w:bCs/>
        </w:rPr>
        <w:t xml:space="preserve">Part I (ss. 2 to 43)</w:t>
      </w:r>
      <w:r>
        <w:t xml:space="preserve"> = arbitration held in India, and all our sections are here. </w:t>
      </w:r>
      <w:r>
        <w:rPr>
          <w:b/>
          <w:bCs/>
        </w:rPr>
        <w:t xml:space="preserve">Part II (ss. 44 to 60)</w:t>
      </w:r>
      <w:r>
        <w:t xml:space="preserve"> = enforcing foreign awards.</w:t>
      </w:r>
    </w:p>
    <w:p>
      <w:pPr>
        <w:pStyle w:val="Heading2"/>
        <w:keepNext/>
        <w:spacing w:after="100" w:before="250"/>
      </w:pPr>
      <w:r>
        <w:t xml:space="preserve">Sections you will meet everywhere</w:t>
      </w:r>
    </w:p>
    <w:tbl>
      <w:tblPr>
        <w:tblW w:type="dxa" w:w="8850"/>
        <w:tblBorders>
          <w:top w:val="single" w:color="1F3864" w:sz="3"/>
          <w:left w:val="single" w:color="1F3864" w:sz="3"/>
          <w:bottom w:val="single" w:color="1F3864" w:sz="3"/>
          <w:right w:val="single" w:color="1F3864" w:sz="3"/>
          <w:insideH w:val="single" w:color="AAAAAA" w:sz="2"/>
          <w:insideV w:val="single" w:color="AAAAAA" w:sz="2"/>
        </w:tblBorders>
      </w:tblPr>
      <w:tblGrid>
        <w:gridCol w:w="1500"/>
        <w:gridCol w:w="7350"/>
      </w:tblGrid>
      <w:tr>
        <w:trPr>
          <w:tblHeader/>
        </w:trPr>
        <w:tc>
          <w:tcPr>
            <w:tcW w:type="dxa" w:w="1500"/>
            <w:tcMar>
              <w:top w:type="dxa" w:w="70"/>
              <w:left w:type="dxa" w:w="100"/>
              <w:bottom w:type="dxa" w:w="70"/>
              <w:right w:type="dxa" w:w="100"/>
            </w:tcMar>
          </w:tcPr>
          <w:p>
            <w:pPr>
              <w:spacing w:after="0" w:line="240"/>
            </w:pPr>
            <w:r>
              <w:rPr>
                <w:b/>
                <w:bCs/>
                <w:color w:val="1F3864"/>
                <w:sz w:val="18"/>
                <w:szCs w:val="18"/>
              </w:rPr>
              <w:t xml:space="preserve">Section</w:t>
            </w:r>
          </w:p>
        </w:tc>
        <w:tc>
          <w:tcPr>
            <w:tcW w:type="dxa" w:w="7350"/>
            <w:tcMar>
              <w:top w:type="dxa" w:w="70"/>
              <w:left w:type="dxa" w:w="100"/>
              <w:bottom w:type="dxa" w:w="70"/>
              <w:right w:type="dxa" w:w="100"/>
            </w:tcMar>
          </w:tcPr>
          <w:p>
            <w:pPr>
              <w:spacing w:after="0" w:line="240"/>
            </w:pPr>
            <w:r>
              <w:rPr>
                <w:b/>
                <w:bCs/>
                <w:color w:val="1F3864"/>
                <w:sz w:val="18"/>
                <w:szCs w:val="18"/>
              </w:rPr>
              <w:t xml:space="preserve">In one line</w:t>
            </w:r>
          </w:p>
        </w:tc>
      </w:tr>
      <w:tr>
        <w:tc>
          <w:tcPr>
            <w:tcW w:type="dxa" w:w="1500"/>
            <w:tcMar>
              <w:top w:type="dxa" w:w="70"/>
              <w:left w:type="dxa" w:w="100"/>
              <w:bottom w:type="dxa" w:w="70"/>
              <w:right w:type="dxa" w:w="100"/>
            </w:tcMar>
          </w:tcPr>
          <w:p>
            <w:pPr>
              <w:spacing w:after="0" w:line="240"/>
            </w:pPr>
            <w:r>
              <w:rPr>
                <w:b/>
                <w:bCs/>
                <w:sz w:val="18"/>
                <w:szCs w:val="18"/>
              </w:rPr>
              <w:t xml:space="preserve">9 and 17</w:t>
            </w:r>
          </w:p>
        </w:tc>
        <w:tc>
          <w:tcPr>
            <w:tcW w:type="dxa" w:w="7350"/>
            <w:tcMar>
              <w:top w:type="dxa" w:w="70"/>
              <w:left w:type="dxa" w:w="100"/>
              <w:bottom w:type="dxa" w:w="70"/>
              <w:right w:type="dxa" w:w="100"/>
            </w:tcMar>
          </w:tcPr>
          <w:p>
            <w:pPr>
              <w:spacing w:after="0" w:line="240"/>
            </w:pPr>
            <w:r>
              <w:rPr>
                <w:sz w:val="18"/>
                <w:szCs w:val="18"/>
              </w:rPr>
              <w:t xml:space="preserve">Temporary protective orders — from the </w:t>
            </w:r>
            <w:r>
              <w:rPr>
                <w:b/>
                <w:bCs/>
                <w:sz w:val="18"/>
                <w:szCs w:val="18"/>
              </w:rPr>
              <w:t xml:space="preserve">court</w:t>
            </w:r>
            <w:r>
              <w:rPr>
                <w:sz w:val="18"/>
                <w:szCs w:val="18"/>
              </w:rPr>
              <w:t xml:space="preserve"> (9) or the </w:t>
            </w:r>
            <w:r>
              <w:rPr>
                <w:b/>
                <w:bCs/>
                <w:sz w:val="18"/>
                <w:szCs w:val="18"/>
              </w:rPr>
              <w:t xml:space="preserve">tribunal</w:t>
            </w:r>
            <w:r>
              <w:rPr>
                <w:sz w:val="18"/>
                <w:szCs w:val="18"/>
              </w:rPr>
              <w:t xml:space="preserve"> (17).</w:t>
            </w:r>
          </w:p>
        </w:tc>
      </w:tr>
      <w:tr>
        <w:tc>
          <w:tcPr>
            <w:tcW w:type="dxa" w:w="1500"/>
            <w:tcMar>
              <w:top w:type="dxa" w:w="70"/>
              <w:left w:type="dxa" w:w="100"/>
              <w:bottom w:type="dxa" w:w="70"/>
              <w:right w:type="dxa" w:w="100"/>
            </w:tcMar>
          </w:tcPr>
          <w:p>
            <w:pPr>
              <w:spacing w:after="0" w:line="240"/>
            </w:pPr>
            <w:r>
              <w:rPr>
                <w:b/>
                <w:bCs/>
                <w:sz w:val="18"/>
                <w:szCs w:val="18"/>
              </w:rPr>
              <w:t xml:space="preserve">27</w:t>
            </w:r>
          </w:p>
        </w:tc>
        <w:tc>
          <w:tcPr>
            <w:tcW w:type="dxa" w:w="7350"/>
            <w:tcMar>
              <w:top w:type="dxa" w:w="70"/>
              <w:left w:type="dxa" w:w="100"/>
              <w:bottom w:type="dxa" w:w="70"/>
              <w:right w:type="dxa" w:w="100"/>
            </w:tcMar>
          </w:tcPr>
          <w:p>
            <w:pPr>
              <w:spacing w:after="0" w:line="240"/>
            </w:pPr>
            <w:r>
              <w:rPr>
                <w:sz w:val="18"/>
                <w:szCs w:val="18"/>
              </w:rPr>
              <w:t xml:space="preserve">Court helps the tribunal collect evidence.</w:t>
            </w:r>
          </w:p>
        </w:tc>
      </w:tr>
      <w:tr>
        <w:tc>
          <w:tcPr>
            <w:tcW w:type="dxa" w:w="1500"/>
            <w:tcMar>
              <w:top w:type="dxa" w:w="70"/>
              <w:left w:type="dxa" w:w="100"/>
              <w:bottom w:type="dxa" w:w="70"/>
              <w:right w:type="dxa" w:w="100"/>
            </w:tcMar>
          </w:tcPr>
          <w:p>
            <w:pPr>
              <w:spacing w:after="0" w:line="240"/>
            </w:pPr>
            <w:r>
              <w:rPr>
                <w:b/>
                <w:bCs/>
                <w:sz w:val="18"/>
                <w:szCs w:val="18"/>
              </w:rPr>
              <w:t xml:space="preserve">29A</w:t>
            </w:r>
          </w:p>
        </w:tc>
        <w:tc>
          <w:tcPr>
            <w:tcW w:type="dxa" w:w="7350"/>
            <w:tcMar>
              <w:top w:type="dxa" w:w="70"/>
              <w:left w:type="dxa" w:w="100"/>
              <w:bottom w:type="dxa" w:w="70"/>
              <w:right w:type="dxa" w:w="100"/>
            </w:tcMar>
          </w:tcPr>
          <w:p>
            <w:pPr>
              <w:spacing w:after="0" w:line="240"/>
            </w:pPr>
            <w:r>
              <w:rPr>
                <w:sz w:val="18"/>
                <w:szCs w:val="18"/>
              </w:rPr>
              <w:t xml:space="preserve">Time limit for making the award.</w:t>
            </w:r>
          </w:p>
        </w:tc>
      </w:tr>
      <w:tr>
        <w:tc>
          <w:tcPr>
            <w:tcW w:type="dxa" w:w="1500"/>
            <w:tcMar>
              <w:top w:type="dxa" w:w="70"/>
              <w:left w:type="dxa" w:w="100"/>
              <w:bottom w:type="dxa" w:w="70"/>
              <w:right w:type="dxa" w:w="100"/>
            </w:tcMar>
          </w:tcPr>
          <w:p>
            <w:pPr>
              <w:spacing w:after="0" w:line="240"/>
            </w:pPr>
            <w:r>
              <w:rPr>
                <w:b/>
                <w:bCs/>
                <w:sz w:val="18"/>
                <w:szCs w:val="18"/>
              </w:rPr>
              <w:t xml:space="preserve">34</w:t>
            </w:r>
          </w:p>
        </w:tc>
        <w:tc>
          <w:tcPr>
            <w:tcW w:type="dxa" w:w="7350"/>
            <w:tcMar>
              <w:top w:type="dxa" w:w="70"/>
              <w:left w:type="dxa" w:w="100"/>
              <w:bottom w:type="dxa" w:w="70"/>
              <w:right w:type="dxa" w:w="100"/>
            </w:tcMar>
          </w:tcPr>
          <w:p>
            <w:pPr>
              <w:spacing w:after="0" w:line="240"/>
            </w:pPr>
            <w:r>
              <w:rPr>
                <w:sz w:val="18"/>
                <w:szCs w:val="18"/>
              </w:rPr>
              <w:t xml:space="preserve">The </w:t>
            </w:r>
            <w:r>
              <w:rPr>
                <w:b/>
                <w:bCs/>
                <w:sz w:val="18"/>
                <w:szCs w:val="18"/>
              </w:rPr>
              <w:t xml:space="preserve">only</w:t>
            </w:r>
            <w:r>
              <w:rPr>
                <w:sz w:val="18"/>
                <w:szCs w:val="18"/>
              </w:rPr>
              <w:t xml:space="preserve"> way to attack an award — apply to court to set it aside. </w:t>
            </w:r>
            <w:r>
              <w:rPr>
                <w:b/>
                <w:bCs/>
                <w:sz w:val="18"/>
                <w:szCs w:val="18"/>
                <w:shd w:fill="FFF2CC" w:color="auto" w:val="clear"/>
              </w:rPr>
              <w:t xml:space="preserve">No appeal on merits, so a wrong award is still enforceable.</w:t>
            </w:r>
          </w:p>
        </w:tc>
      </w:tr>
      <w:tr>
        <w:tc>
          <w:tcPr>
            <w:tcW w:type="dxa" w:w="1500"/>
            <w:tcMar>
              <w:top w:type="dxa" w:w="70"/>
              <w:left w:type="dxa" w:w="100"/>
              <w:bottom w:type="dxa" w:w="70"/>
              <w:right w:type="dxa" w:w="100"/>
            </w:tcMar>
          </w:tcPr>
          <w:p>
            <w:pPr>
              <w:spacing w:after="0" w:line="240"/>
            </w:pPr>
            <w:r>
              <w:rPr>
                <w:b/>
                <w:bCs/>
                <w:sz w:val="18"/>
                <w:szCs w:val="18"/>
              </w:rPr>
              <w:t xml:space="preserve">36</w:t>
            </w:r>
          </w:p>
        </w:tc>
        <w:tc>
          <w:tcPr>
            <w:tcW w:type="dxa" w:w="7350"/>
            <w:tcMar>
              <w:top w:type="dxa" w:w="70"/>
              <w:left w:type="dxa" w:w="100"/>
              <w:bottom w:type="dxa" w:w="70"/>
              <w:right w:type="dxa" w:w="100"/>
            </w:tcMar>
          </w:tcPr>
          <w:p>
            <w:pPr>
              <w:spacing w:after="0" w:line="240"/>
            </w:pPr>
            <w:r>
              <w:rPr>
                <w:sz w:val="18"/>
                <w:szCs w:val="18"/>
              </w:rPr>
              <w:t xml:space="preserve">Enforcement of the award, like a decree.</w:t>
            </w:r>
          </w:p>
        </w:tc>
      </w:tr>
      <w:tr>
        <w:tc>
          <w:tcPr>
            <w:tcW w:type="dxa" w:w="1500"/>
            <w:tcMar>
              <w:top w:type="dxa" w:w="70"/>
              <w:left w:type="dxa" w:w="100"/>
              <w:bottom w:type="dxa" w:w="70"/>
              <w:right w:type="dxa" w:w="100"/>
            </w:tcMar>
          </w:tcPr>
          <w:p>
            <w:pPr>
              <w:spacing w:after="0" w:line="240"/>
            </w:pPr>
            <w:r>
              <w:rPr>
                <w:b/>
                <w:bCs/>
                <w:sz w:val="18"/>
                <w:szCs w:val="18"/>
              </w:rPr>
              <w:t xml:space="preserve">37</w:t>
            </w:r>
          </w:p>
        </w:tc>
        <w:tc>
          <w:tcPr>
            <w:tcW w:type="dxa" w:w="7350"/>
            <w:tcMar>
              <w:top w:type="dxa" w:w="70"/>
              <w:left w:type="dxa" w:w="100"/>
              <w:bottom w:type="dxa" w:w="70"/>
              <w:right w:type="dxa" w:w="100"/>
            </w:tcMar>
          </w:tcPr>
          <w:p>
            <w:pPr>
              <w:spacing w:after="0" w:line="240"/>
            </w:pPr>
            <w:r>
              <w:rPr>
                <w:sz w:val="18"/>
                <w:szCs w:val="18"/>
              </w:rPr>
              <w:t xml:space="preserve">The short list of orders that can be appealed.</w:t>
            </w:r>
          </w:p>
        </w:tc>
      </w:tr>
      <w:tr>
        <w:tc>
          <w:tcPr>
            <w:tcW w:type="dxa" w:w="1500"/>
            <w:tcMar>
              <w:top w:type="dxa" w:w="70"/>
              <w:left w:type="dxa" w:w="100"/>
              <w:bottom w:type="dxa" w:w="70"/>
              <w:right w:type="dxa" w:w="100"/>
            </w:tcMar>
          </w:tcPr>
          <w:p>
            <w:pPr>
              <w:spacing w:after="0" w:line="240"/>
            </w:pPr>
            <w:r>
              <w:rPr>
                <w:b/>
                <w:bCs/>
                <w:sz w:val="18"/>
                <w:szCs w:val="18"/>
              </w:rPr>
              <w:t xml:space="preserve">89 CPC</w:t>
            </w:r>
          </w:p>
        </w:tc>
        <w:tc>
          <w:tcPr>
            <w:tcW w:type="dxa" w:w="7350"/>
            <w:tcMar>
              <w:top w:type="dxa" w:w="70"/>
              <w:left w:type="dxa" w:w="100"/>
              <w:bottom w:type="dxa" w:w="70"/>
              <w:right w:type="dxa" w:w="100"/>
            </w:tcMar>
          </w:tcPr>
          <w:p>
            <w:pPr>
              <w:spacing w:after="0" w:line="240"/>
            </w:pPr>
            <w:r>
              <w:rPr>
                <w:sz w:val="18"/>
                <w:szCs w:val="18"/>
              </w:rPr>
              <w:t xml:space="preserve">Court may send a pending case to arbitration, conciliation, mediation or judicial settlement.</w:t>
            </w:r>
          </w:p>
        </w:tc>
      </w:tr>
    </w:tbl>
    <w:p>
      <w:pPr>
        <w:spacing w:after="120"/>
      </w:pPr>
      <w:r>
        <w:rPr>
          <w:sz w:val="10"/>
          <w:szCs w:val="10"/>
        </w:rPr>
        <w:t xml:space="preserve"/>
      </w:r>
    </w:p>
    <w:p>
      <w:pPr>
        <w:pStyle w:val="Heading2"/>
        <w:keepNext/>
        <w:spacing w:after="100" w:before="250"/>
      </w:pPr>
      <w:r>
        <w:t xml:space="preserve">Words to know</w:t>
      </w:r>
    </w:p>
    <w:tbl>
      <w:tblPr>
        <w:tblW w:type="dxa" w:w="8850"/>
        <w:tblBorders>
          <w:top w:val="single" w:color="1F3864" w:sz="3"/>
          <w:left w:val="single" w:color="1F3864" w:sz="3"/>
          <w:bottom w:val="single" w:color="1F3864" w:sz="3"/>
          <w:right w:val="single" w:color="1F3864" w:sz="3"/>
          <w:insideH w:val="single" w:color="AAAAAA" w:sz="2"/>
          <w:insideV w:val="single" w:color="AAAAAA" w:sz="2"/>
        </w:tblBorders>
      </w:tblPr>
      <w:tblGrid>
        <w:gridCol w:w="1900"/>
        <w:gridCol w:w="6950"/>
      </w:tblGrid>
      <w:tr>
        <w:trPr>
          <w:tblHeader/>
        </w:trPr>
        <w:tc>
          <w:tcPr>
            <w:tcW w:type="dxa" w:w="1900"/>
            <w:tcMar>
              <w:top w:type="dxa" w:w="70"/>
              <w:left w:type="dxa" w:w="100"/>
              <w:bottom w:type="dxa" w:w="70"/>
              <w:right w:type="dxa" w:w="100"/>
            </w:tcMar>
          </w:tcPr>
          <w:p>
            <w:pPr>
              <w:spacing w:after="0" w:line="240"/>
            </w:pPr>
            <w:r>
              <w:rPr>
                <w:b/>
                <w:bCs/>
                <w:color w:val="1F3864"/>
                <w:sz w:val="18"/>
                <w:szCs w:val="18"/>
              </w:rPr>
              <w:t xml:space="preserve">Term</w:t>
            </w:r>
          </w:p>
        </w:tc>
        <w:tc>
          <w:tcPr>
            <w:tcW w:type="dxa" w:w="6950"/>
            <w:tcMar>
              <w:top w:type="dxa" w:w="70"/>
              <w:left w:type="dxa" w:w="100"/>
              <w:bottom w:type="dxa" w:w="70"/>
              <w:right w:type="dxa" w:w="100"/>
            </w:tcMar>
          </w:tcPr>
          <w:p>
            <w:pPr>
              <w:spacing w:after="0" w:line="240"/>
            </w:pPr>
            <w:r>
              <w:rPr>
                <w:b/>
                <w:bCs/>
                <w:color w:val="1F3864"/>
                <w:sz w:val="18"/>
                <w:szCs w:val="18"/>
              </w:rPr>
              <w:t xml:space="preserve">Plain meaning</w:t>
            </w:r>
          </w:p>
        </w:tc>
      </w:tr>
      <w:tr>
        <w:tc>
          <w:tcPr>
            <w:tcW w:type="dxa" w:w="1900"/>
            <w:tcMar>
              <w:top w:type="dxa" w:w="70"/>
              <w:left w:type="dxa" w:w="100"/>
              <w:bottom w:type="dxa" w:w="70"/>
              <w:right w:type="dxa" w:w="100"/>
            </w:tcMar>
          </w:tcPr>
          <w:p>
            <w:pPr>
              <w:spacing w:after="0" w:line="240"/>
            </w:pPr>
            <w:r>
              <w:rPr>
                <w:b/>
                <w:bCs/>
                <w:sz w:val="18"/>
                <w:szCs w:val="18"/>
              </w:rPr>
              <w:t xml:space="preserve">Seat</w:t>
            </w:r>
          </w:p>
        </w:tc>
        <w:tc>
          <w:tcPr>
            <w:tcW w:type="dxa" w:w="6950"/>
            <w:tcMar>
              <w:top w:type="dxa" w:w="70"/>
              <w:left w:type="dxa" w:w="100"/>
              <w:bottom w:type="dxa" w:w="70"/>
              <w:right w:type="dxa" w:w="100"/>
            </w:tcMar>
          </w:tcPr>
          <w:p>
            <w:pPr>
              <w:spacing w:after="0" w:line="240"/>
            </w:pPr>
            <w:r>
              <w:rPr>
                <w:sz w:val="18"/>
                <w:szCs w:val="18"/>
              </w:rPr>
              <w:t xml:space="preserve">The country whose law runs the arbitration and whose courts supervise it. A legal idea, not a place on a map.</w:t>
            </w:r>
          </w:p>
        </w:tc>
      </w:tr>
      <w:tr>
        <w:tc>
          <w:tcPr>
            <w:tcW w:type="dxa" w:w="1900"/>
            <w:tcMar>
              <w:top w:type="dxa" w:w="70"/>
              <w:left w:type="dxa" w:w="100"/>
              <w:bottom w:type="dxa" w:w="70"/>
              <w:right w:type="dxa" w:w="100"/>
            </w:tcMar>
          </w:tcPr>
          <w:p>
            <w:pPr>
              <w:spacing w:after="0" w:line="240"/>
            </w:pPr>
            <w:r>
              <w:rPr>
                <w:b/>
                <w:bCs/>
                <w:sz w:val="18"/>
                <w:szCs w:val="18"/>
              </w:rPr>
              <w:t xml:space="preserve">Venue</w:t>
            </w:r>
          </w:p>
        </w:tc>
        <w:tc>
          <w:tcPr>
            <w:tcW w:type="dxa" w:w="6950"/>
            <w:tcMar>
              <w:top w:type="dxa" w:w="70"/>
              <w:left w:type="dxa" w:w="100"/>
              <w:bottom w:type="dxa" w:w="70"/>
              <w:right w:type="dxa" w:w="100"/>
            </w:tcMar>
          </w:tcPr>
          <w:p>
            <w:pPr>
              <w:spacing w:after="0" w:line="240"/>
            </w:pPr>
            <w:r>
              <w:rPr>
                <w:sz w:val="18"/>
                <w:szCs w:val="18"/>
              </w:rPr>
              <w:t xml:space="preserve">Where hearings are physically held. Can differ from the seat.</w:t>
            </w:r>
          </w:p>
        </w:tc>
      </w:tr>
      <w:tr>
        <w:tc>
          <w:tcPr>
            <w:tcW w:type="dxa" w:w="1900"/>
            <w:tcMar>
              <w:top w:type="dxa" w:w="70"/>
              <w:left w:type="dxa" w:w="100"/>
              <w:bottom w:type="dxa" w:w="70"/>
              <w:right w:type="dxa" w:w="100"/>
            </w:tcMar>
          </w:tcPr>
          <w:p>
            <w:pPr>
              <w:spacing w:after="0" w:line="240"/>
            </w:pPr>
            <w:r>
              <w:rPr>
                <w:b/>
                <w:bCs/>
                <w:sz w:val="18"/>
                <w:szCs w:val="18"/>
              </w:rPr>
              <w:t xml:space="preserve">Derogable</w:t>
            </w:r>
          </w:p>
        </w:tc>
        <w:tc>
          <w:tcPr>
            <w:tcW w:type="dxa" w:w="6950"/>
            <w:tcMar>
              <w:top w:type="dxa" w:w="70"/>
              <w:left w:type="dxa" w:w="100"/>
              <w:bottom w:type="dxa" w:w="70"/>
              <w:right w:type="dxa" w:w="100"/>
            </w:tcMar>
          </w:tcPr>
          <w:p>
            <w:pPr>
              <w:spacing w:after="0" w:line="240"/>
            </w:pPr>
            <w:r>
              <w:rPr>
                <w:sz w:val="18"/>
                <w:szCs w:val="18"/>
              </w:rPr>
              <w:t xml:space="preserve">A rule the parties may change by agreement. </w:t>
            </w:r>
            <w:r>
              <w:rPr>
                <w:b/>
                <w:bCs/>
                <w:sz w:val="18"/>
                <w:szCs w:val="18"/>
              </w:rPr>
              <w:t xml:space="preserve">Non-derogable</w:t>
            </w:r>
            <w:r>
              <w:rPr>
                <w:sz w:val="18"/>
                <w:szCs w:val="18"/>
              </w:rPr>
              <w:t xml:space="preserve"> means they cannot.</w:t>
            </w:r>
          </w:p>
        </w:tc>
      </w:tr>
      <w:tr>
        <w:tc>
          <w:tcPr>
            <w:tcW w:type="dxa" w:w="1900"/>
            <w:tcMar>
              <w:top w:type="dxa" w:w="70"/>
              <w:left w:type="dxa" w:w="100"/>
              <w:bottom w:type="dxa" w:w="70"/>
              <w:right w:type="dxa" w:w="100"/>
            </w:tcMar>
          </w:tcPr>
          <w:p>
            <w:pPr>
              <w:spacing w:after="0" w:line="240"/>
            </w:pPr>
            <w:r>
              <w:rPr>
                <w:b/>
                <w:bCs/>
                <w:i/>
                <w:iCs/>
                <w:sz w:val="18"/>
                <w:szCs w:val="18"/>
              </w:rPr>
              <w:t xml:space="preserve">Prima facie</w:t>
            </w:r>
          </w:p>
        </w:tc>
        <w:tc>
          <w:tcPr>
            <w:tcW w:type="dxa" w:w="6950"/>
            <w:tcMar>
              <w:top w:type="dxa" w:w="70"/>
              <w:left w:type="dxa" w:w="100"/>
              <w:bottom w:type="dxa" w:w="70"/>
              <w:right w:type="dxa" w:w="100"/>
            </w:tcMar>
          </w:tcPr>
          <w:p>
            <w:pPr>
              <w:spacing w:after="0" w:line="240"/>
            </w:pPr>
            <w:r>
              <w:rPr>
                <w:sz w:val="18"/>
                <w:szCs w:val="18"/>
              </w:rPr>
              <w:t xml:space="preserve">On the face of it — a quick first look, not a full decision.</w:t>
            </w:r>
          </w:p>
        </w:tc>
      </w:tr>
      <w:tr>
        <w:tc>
          <w:tcPr>
            <w:tcW w:type="dxa" w:w="1900"/>
            <w:tcMar>
              <w:top w:type="dxa" w:w="70"/>
              <w:left w:type="dxa" w:w="100"/>
              <w:bottom w:type="dxa" w:w="70"/>
              <w:right w:type="dxa" w:w="100"/>
            </w:tcMar>
          </w:tcPr>
          <w:p>
            <w:pPr>
              <w:spacing w:after="0" w:line="240"/>
            </w:pPr>
            <w:r>
              <w:rPr>
                <w:b/>
                <w:bCs/>
                <w:sz w:val="18"/>
                <w:szCs w:val="18"/>
              </w:rPr>
              <w:t xml:space="preserve">Unable in law</w:t>
            </w:r>
            <w:r>
              <w:rPr>
                <w:sz w:val="18"/>
                <w:szCs w:val="18"/>
              </w:rPr>
              <w:t xml:space="preserve"> (</w:t>
            </w:r>
            <w:r>
              <w:rPr>
                <w:i/>
                <w:iCs/>
                <w:sz w:val="18"/>
                <w:szCs w:val="18"/>
              </w:rPr>
              <w:t xml:space="preserve">de jure</w:t>
            </w:r>
            <w:r>
              <w:rPr>
                <w:sz w:val="18"/>
                <w:szCs w:val="18"/>
              </w:rPr>
              <w:t xml:space="preserve">)</w:t>
            </w:r>
          </w:p>
        </w:tc>
        <w:tc>
          <w:tcPr>
            <w:tcW w:type="dxa" w:w="6950"/>
            <w:tcMar>
              <w:top w:type="dxa" w:w="70"/>
              <w:left w:type="dxa" w:w="100"/>
              <w:bottom w:type="dxa" w:w="70"/>
              <w:right w:type="dxa" w:w="100"/>
            </w:tcMar>
          </w:tcPr>
          <w:p>
            <w:pPr>
              <w:spacing w:after="0" w:line="240"/>
            </w:pPr>
            <w:r>
              <w:rPr>
                <w:sz w:val="18"/>
                <w:szCs w:val="18"/>
              </w:rPr>
              <w:t xml:space="preserve">His legal position stops him, for example disqualification or insolvency.</w:t>
            </w:r>
          </w:p>
        </w:tc>
      </w:tr>
      <w:tr>
        <w:tc>
          <w:tcPr>
            <w:tcW w:type="dxa" w:w="1900"/>
            <w:tcMar>
              <w:top w:type="dxa" w:w="70"/>
              <w:left w:type="dxa" w:w="100"/>
              <w:bottom w:type="dxa" w:w="70"/>
              <w:right w:type="dxa" w:w="100"/>
            </w:tcMar>
          </w:tcPr>
          <w:p>
            <w:pPr>
              <w:spacing w:after="0" w:line="240"/>
            </w:pPr>
            <w:r>
              <w:rPr>
                <w:b/>
                <w:bCs/>
                <w:sz w:val="18"/>
                <w:szCs w:val="18"/>
              </w:rPr>
              <w:t xml:space="preserve">Unable in fact</w:t>
            </w:r>
            <w:r>
              <w:rPr>
                <w:sz w:val="18"/>
                <w:szCs w:val="18"/>
              </w:rPr>
              <w:t xml:space="preserve"> (</w:t>
            </w:r>
            <w:r>
              <w:rPr>
                <w:i/>
                <w:iCs/>
                <w:sz w:val="18"/>
                <w:szCs w:val="18"/>
              </w:rPr>
              <w:t xml:space="preserve">de facto</w:t>
            </w:r>
            <w:r>
              <w:rPr>
                <w:sz w:val="18"/>
                <w:szCs w:val="18"/>
              </w:rPr>
              <w:t xml:space="preserve">)</w:t>
            </w:r>
          </w:p>
        </w:tc>
        <w:tc>
          <w:tcPr>
            <w:tcW w:type="dxa" w:w="6950"/>
            <w:tcMar>
              <w:top w:type="dxa" w:w="70"/>
              <w:left w:type="dxa" w:w="100"/>
              <w:bottom w:type="dxa" w:w="70"/>
              <w:right w:type="dxa" w:w="100"/>
            </w:tcMar>
          </w:tcPr>
          <w:p>
            <w:pPr>
              <w:spacing w:after="0" w:line="240"/>
            </w:pPr>
            <w:r>
              <w:rPr>
                <w:sz w:val="18"/>
                <w:szCs w:val="18"/>
              </w:rPr>
              <w:t xml:space="preserve">Still qualified, but cannot actually work — illness, arrest.</w:t>
            </w:r>
          </w:p>
        </w:tc>
      </w:tr>
      <w:tr>
        <w:tc>
          <w:tcPr>
            <w:tcW w:type="dxa" w:w="1900"/>
            <w:tcMar>
              <w:top w:type="dxa" w:w="70"/>
              <w:left w:type="dxa" w:w="100"/>
              <w:bottom w:type="dxa" w:w="70"/>
              <w:right w:type="dxa" w:w="100"/>
            </w:tcMar>
          </w:tcPr>
          <w:p>
            <w:pPr>
              <w:spacing w:after="0" w:line="240"/>
            </w:pPr>
            <w:r>
              <w:rPr>
                <w:b/>
                <w:bCs/>
                <w:i/>
                <w:iCs/>
                <w:sz w:val="18"/>
                <w:szCs w:val="18"/>
              </w:rPr>
              <w:t xml:space="preserve">Functus officio</w:t>
            </w:r>
          </w:p>
        </w:tc>
        <w:tc>
          <w:tcPr>
            <w:tcW w:type="dxa" w:w="6950"/>
            <w:tcMar>
              <w:top w:type="dxa" w:w="70"/>
              <w:left w:type="dxa" w:w="100"/>
              <w:bottom w:type="dxa" w:w="70"/>
              <w:right w:type="dxa" w:w="100"/>
            </w:tcMar>
          </w:tcPr>
          <w:p>
            <w:pPr>
              <w:spacing w:after="0" w:line="240"/>
            </w:pPr>
            <w:r>
              <w:rPr>
                <w:sz w:val="18"/>
                <w:szCs w:val="18"/>
              </w:rPr>
              <w:t xml:space="preserve">Job over. Once the award is made, the tribunal has no power left.</w:t>
            </w:r>
          </w:p>
        </w:tc>
      </w:tr>
      <w:tr>
        <w:tc>
          <w:tcPr>
            <w:tcW w:type="dxa" w:w="1900"/>
            <w:tcMar>
              <w:top w:type="dxa" w:w="70"/>
              <w:left w:type="dxa" w:w="100"/>
              <w:bottom w:type="dxa" w:w="70"/>
              <w:right w:type="dxa" w:w="100"/>
            </w:tcMar>
          </w:tcPr>
          <w:p>
            <w:pPr>
              <w:spacing w:after="0" w:line="240"/>
            </w:pPr>
            <w:r>
              <w:rPr>
                <w:b/>
                <w:bCs/>
                <w:i/>
                <w:iCs/>
                <w:sz w:val="18"/>
                <w:szCs w:val="18"/>
              </w:rPr>
              <w:t xml:space="preserve">Ipso jure</w:t>
            </w:r>
          </w:p>
        </w:tc>
        <w:tc>
          <w:tcPr>
            <w:tcW w:type="dxa" w:w="6950"/>
            <w:tcMar>
              <w:top w:type="dxa" w:w="70"/>
              <w:left w:type="dxa" w:w="100"/>
              <w:bottom w:type="dxa" w:w="70"/>
              <w:right w:type="dxa" w:w="100"/>
            </w:tcMar>
          </w:tcPr>
          <w:p>
            <w:pPr>
              <w:spacing w:after="0" w:line="240"/>
            </w:pPr>
            <w:r>
              <w:rPr>
                <w:sz w:val="18"/>
                <w:szCs w:val="18"/>
              </w:rPr>
              <w:t xml:space="preserve">Automatically, by the operation of law itself.</w:t>
            </w:r>
          </w:p>
        </w:tc>
      </w:tr>
      <w:tr>
        <w:tc>
          <w:tcPr>
            <w:tcW w:type="dxa" w:w="1900"/>
            <w:tcMar>
              <w:top w:type="dxa" w:w="70"/>
              <w:left w:type="dxa" w:w="100"/>
              <w:bottom w:type="dxa" w:w="70"/>
              <w:right w:type="dxa" w:w="100"/>
            </w:tcMar>
          </w:tcPr>
          <w:p>
            <w:pPr>
              <w:spacing w:after="0" w:line="240"/>
            </w:pPr>
            <w:r>
              <w:rPr>
                <w:b/>
                <w:bCs/>
                <w:sz w:val="18"/>
                <w:szCs w:val="18"/>
              </w:rPr>
              <w:t xml:space="preserve">Non obstante clause</w:t>
            </w:r>
          </w:p>
        </w:tc>
        <w:tc>
          <w:tcPr>
            <w:tcW w:type="dxa" w:w="6950"/>
            <w:tcMar>
              <w:top w:type="dxa" w:w="70"/>
              <w:left w:type="dxa" w:w="100"/>
              <w:bottom w:type="dxa" w:w="70"/>
              <w:right w:type="dxa" w:w="100"/>
            </w:tcMar>
          </w:tcPr>
          <w:p>
            <w:pPr>
              <w:spacing w:after="0" w:line="240"/>
            </w:pPr>
            <w:r>
              <w:rPr>
                <w:sz w:val="18"/>
                <w:szCs w:val="18"/>
              </w:rPr>
              <w:t xml:space="preserve">Begins “notwithstanding…”. It overrides any conflicting law.</w:t>
            </w:r>
          </w:p>
        </w:tc>
      </w:tr>
    </w:tbl>
    <w:p>
      <w:pPr>
        <w:spacing w:after="120"/>
      </w:pPr>
      <w:r>
        <w:rPr>
          <w:sz w:val="10"/>
          <w:szCs w:val="10"/>
        </w:rPr>
        <w:t xml:space="preserve"/>
      </w:r>
    </w:p>
    <w:p>
      <w:pPr>
        <w:pStyle w:val="Heading2"/>
        <w:keepNext/>
        <w:spacing w:after="100" w:before="250"/>
      </w:pPr>
      <w:r>
        <w:t xml:space="preserve">Numbers to remember</w:t>
      </w:r>
    </w:p>
    <w:tbl>
      <w:tblPr>
        <w:tblW w:type="dxa" w:w="8850"/>
        <w:tblBorders>
          <w:top w:val="single" w:color="1F3864" w:sz="3"/>
          <w:left w:val="single" w:color="1F3864" w:sz="3"/>
          <w:bottom w:val="single" w:color="1F3864" w:sz="3"/>
          <w:right w:val="single" w:color="1F3864" w:sz="3"/>
          <w:insideH w:val="single" w:color="AAAAAA" w:sz="2"/>
          <w:insideV w:val="single" w:color="AAAAAA" w:sz="2"/>
        </w:tblBorders>
      </w:tblPr>
      <w:tblGrid>
        <w:gridCol w:w="1500"/>
        <w:gridCol w:w="7350"/>
      </w:tblGrid>
      <w:tr>
        <w:trPr>
          <w:tblHeader/>
        </w:trPr>
        <w:tc>
          <w:tcPr>
            <w:tcW w:type="dxa" w:w="1500"/>
            <w:tcMar>
              <w:top w:type="dxa" w:w="70"/>
              <w:left w:type="dxa" w:w="100"/>
              <w:bottom w:type="dxa" w:w="70"/>
              <w:right w:type="dxa" w:w="100"/>
            </w:tcMar>
          </w:tcPr>
          <w:p>
            <w:pPr>
              <w:spacing w:after="0" w:line="240"/>
            </w:pPr>
            <w:r>
              <w:rPr>
                <w:b/>
                <w:bCs/>
                <w:color w:val="1F3864"/>
                <w:sz w:val="18"/>
                <w:szCs w:val="18"/>
              </w:rPr>
              <w:t xml:space="preserve">Period</w:t>
            </w:r>
          </w:p>
        </w:tc>
        <w:tc>
          <w:tcPr>
            <w:tcW w:type="dxa" w:w="7350"/>
            <w:tcMar>
              <w:top w:type="dxa" w:w="70"/>
              <w:left w:type="dxa" w:w="100"/>
              <w:bottom w:type="dxa" w:w="70"/>
              <w:right w:type="dxa" w:w="100"/>
            </w:tcMar>
          </w:tcPr>
          <w:p>
            <w:pPr>
              <w:spacing w:after="0" w:line="240"/>
            </w:pPr>
            <w:r>
              <w:rPr>
                <w:b/>
                <w:bCs/>
                <w:color w:val="1F3864"/>
                <w:sz w:val="18"/>
                <w:szCs w:val="18"/>
              </w:rPr>
              <w:t xml:space="preserve">Where it applies</w:t>
            </w:r>
          </w:p>
        </w:tc>
      </w:tr>
      <w:tr>
        <w:tc>
          <w:tcPr>
            <w:tcW w:type="dxa" w:w="1500"/>
            <w:tcMar>
              <w:top w:type="dxa" w:w="70"/>
              <w:left w:type="dxa" w:w="100"/>
              <w:bottom w:type="dxa" w:w="70"/>
              <w:right w:type="dxa" w:w="100"/>
            </w:tcMar>
          </w:tcPr>
          <w:p>
            <w:pPr>
              <w:spacing w:after="0" w:line="240"/>
            </w:pPr>
            <w:r>
              <w:rPr>
                <w:b/>
                <w:bCs/>
                <w:sz w:val="18"/>
                <w:szCs w:val="18"/>
              </w:rPr>
              <w:t xml:space="preserve">30 days</w:t>
            </w:r>
          </w:p>
        </w:tc>
        <w:tc>
          <w:tcPr>
            <w:tcW w:type="dxa" w:w="7350"/>
            <w:tcMar>
              <w:top w:type="dxa" w:w="70"/>
              <w:left w:type="dxa" w:w="100"/>
              <w:bottom w:type="dxa" w:w="70"/>
              <w:right w:type="dxa" w:w="100"/>
            </w:tcMar>
          </w:tcPr>
          <w:p>
            <w:pPr>
              <w:spacing w:after="0" w:line="240"/>
            </w:pPr>
            <w:r>
              <w:rPr>
                <w:sz w:val="18"/>
                <w:szCs w:val="18"/>
              </w:rPr>
              <w:t xml:space="preserve">To appoint your arbitrator, or for the two to agree on the third — s. 11(4) and (5).</w:t>
            </w:r>
          </w:p>
        </w:tc>
      </w:tr>
      <w:tr>
        <w:tc>
          <w:tcPr>
            <w:tcW w:type="dxa" w:w="1500"/>
            <w:tcMar>
              <w:top w:type="dxa" w:w="70"/>
              <w:left w:type="dxa" w:w="100"/>
              <w:bottom w:type="dxa" w:w="70"/>
              <w:right w:type="dxa" w:w="100"/>
            </w:tcMar>
          </w:tcPr>
          <w:p>
            <w:pPr>
              <w:spacing w:after="0" w:line="240"/>
            </w:pPr>
            <w:r>
              <w:rPr>
                <w:b/>
                <w:bCs/>
                <w:sz w:val="18"/>
                <w:szCs w:val="18"/>
              </w:rPr>
              <w:t xml:space="preserve">30 days</w:t>
            </w:r>
          </w:p>
        </w:tc>
        <w:tc>
          <w:tcPr>
            <w:tcW w:type="dxa" w:w="7350"/>
            <w:tcMar>
              <w:top w:type="dxa" w:w="70"/>
              <w:left w:type="dxa" w:w="100"/>
              <w:bottom w:type="dxa" w:w="70"/>
              <w:right w:type="dxa" w:w="100"/>
            </w:tcMar>
          </w:tcPr>
          <w:p>
            <w:pPr>
              <w:spacing w:after="0" w:line="240"/>
            </w:pPr>
            <w:r>
              <w:rPr>
                <w:sz w:val="18"/>
                <w:szCs w:val="18"/>
              </w:rPr>
              <w:t xml:space="preserve">To decide a s. 11 appointment application — s. 11(13).</w:t>
            </w:r>
          </w:p>
        </w:tc>
      </w:tr>
      <w:tr>
        <w:tc>
          <w:tcPr>
            <w:tcW w:type="dxa" w:w="1500"/>
            <w:tcMar>
              <w:top w:type="dxa" w:w="70"/>
              <w:left w:type="dxa" w:w="100"/>
              <w:bottom w:type="dxa" w:w="70"/>
              <w:right w:type="dxa" w:w="100"/>
            </w:tcMar>
          </w:tcPr>
          <w:p>
            <w:pPr>
              <w:spacing w:after="0" w:line="240"/>
            </w:pPr>
            <w:r>
              <w:rPr>
                <w:b/>
                <w:bCs/>
                <w:sz w:val="18"/>
                <w:szCs w:val="18"/>
              </w:rPr>
              <w:t xml:space="preserve">15 days</w:t>
            </w:r>
          </w:p>
        </w:tc>
        <w:tc>
          <w:tcPr>
            <w:tcW w:type="dxa" w:w="7350"/>
            <w:tcMar>
              <w:top w:type="dxa" w:w="70"/>
              <w:left w:type="dxa" w:w="100"/>
              <w:bottom w:type="dxa" w:w="70"/>
              <w:right w:type="dxa" w:w="100"/>
            </w:tcMar>
          </w:tcPr>
          <w:p>
            <w:pPr>
              <w:spacing w:after="0" w:line="240"/>
            </w:pPr>
            <w:r>
              <w:rPr>
                <w:sz w:val="18"/>
                <w:szCs w:val="18"/>
              </w:rPr>
              <w:t xml:space="preserve">To challenge an arbitrator — s. 13(2).</w:t>
            </w:r>
          </w:p>
        </w:tc>
      </w:tr>
      <w:tr>
        <w:tc>
          <w:tcPr>
            <w:tcW w:type="dxa" w:w="1500"/>
            <w:tcMar>
              <w:top w:type="dxa" w:w="70"/>
              <w:left w:type="dxa" w:w="100"/>
              <w:bottom w:type="dxa" w:w="70"/>
              <w:right w:type="dxa" w:w="100"/>
            </w:tcMar>
          </w:tcPr>
          <w:p>
            <w:pPr>
              <w:spacing w:after="0" w:line="240"/>
            </w:pPr>
            <w:r>
              <w:rPr>
                <w:b/>
                <w:bCs/>
                <w:sz w:val="18"/>
                <w:szCs w:val="18"/>
              </w:rPr>
              <w:t xml:space="preserve">90 days</w:t>
            </w:r>
          </w:p>
        </w:tc>
        <w:tc>
          <w:tcPr>
            <w:tcW w:type="dxa" w:w="7350"/>
            <w:tcMar>
              <w:top w:type="dxa" w:w="70"/>
              <w:left w:type="dxa" w:w="100"/>
              <w:bottom w:type="dxa" w:w="70"/>
              <w:right w:type="dxa" w:w="100"/>
            </w:tcMar>
          </w:tcPr>
          <w:p>
            <w:pPr>
              <w:spacing w:after="0" w:line="240"/>
            </w:pPr>
            <w:r>
              <w:rPr>
                <w:sz w:val="18"/>
                <w:szCs w:val="18"/>
              </w:rPr>
              <w:t xml:space="preserve">To start the arbitration after a pre-arbitration court order — s. 9(2).</w:t>
            </w:r>
          </w:p>
        </w:tc>
      </w:tr>
      <w:tr>
        <w:tc>
          <w:tcPr>
            <w:tcW w:type="dxa" w:w="1500"/>
            <w:tcMar>
              <w:top w:type="dxa" w:w="70"/>
              <w:left w:type="dxa" w:w="100"/>
              <w:bottom w:type="dxa" w:w="70"/>
              <w:right w:type="dxa" w:w="100"/>
            </w:tcMar>
          </w:tcPr>
          <w:p>
            <w:pPr>
              <w:spacing w:after="0" w:line="240"/>
            </w:pPr>
            <w:r>
              <w:rPr>
                <w:b/>
                <w:bCs/>
                <w:sz w:val="18"/>
                <w:szCs w:val="18"/>
              </w:rPr>
              <w:t xml:space="preserve">6 months</w:t>
            </w:r>
          </w:p>
        </w:tc>
        <w:tc>
          <w:tcPr>
            <w:tcW w:type="dxa" w:w="7350"/>
            <w:tcMar>
              <w:top w:type="dxa" w:w="70"/>
              <w:left w:type="dxa" w:w="100"/>
              <w:bottom w:type="dxa" w:w="70"/>
              <w:right w:type="dxa" w:w="100"/>
            </w:tcMar>
          </w:tcPr>
          <w:p>
            <w:pPr>
              <w:spacing w:after="0" w:line="240"/>
            </w:pPr>
            <w:r>
              <w:rPr>
                <w:sz w:val="18"/>
                <w:szCs w:val="18"/>
              </w:rPr>
              <w:t xml:space="preserve">To complete claim and defence — </w:t>
            </w:r>
            <w:r>
              <w:rPr>
                <w:b/>
                <w:bCs/>
                <w:sz w:val="18"/>
                <w:szCs w:val="18"/>
                <w:shd w:fill="FFF2CC" w:color="auto" w:val="clear"/>
              </w:rPr>
              <w:t xml:space="preserve">s. 23(4), and there is no s. 23(9).</w:t>
            </w:r>
          </w:p>
        </w:tc>
      </w:tr>
      <w:tr>
        <w:tc>
          <w:tcPr>
            <w:tcW w:type="dxa" w:w="1500"/>
            <w:tcMar>
              <w:top w:type="dxa" w:w="70"/>
              <w:left w:type="dxa" w:w="100"/>
              <w:bottom w:type="dxa" w:w="70"/>
              <w:right w:type="dxa" w:w="100"/>
            </w:tcMar>
          </w:tcPr>
          <w:p>
            <w:pPr>
              <w:spacing w:after="0" w:line="240"/>
            </w:pPr>
            <w:r>
              <w:rPr>
                <w:b/>
                <w:bCs/>
                <w:sz w:val="18"/>
                <w:szCs w:val="18"/>
              </w:rPr>
              <w:t xml:space="preserve">12 months</w:t>
            </w:r>
          </w:p>
        </w:tc>
        <w:tc>
          <w:tcPr>
            <w:tcW w:type="dxa" w:w="7350"/>
            <w:tcMar>
              <w:top w:type="dxa" w:w="70"/>
              <w:left w:type="dxa" w:w="100"/>
              <w:bottom w:type="dxa" w:w="70"/>
              <w:right w:type="dxa" w:w="100"/>
            </w:tcMar>
          </w:tcPr>
          <w:p>
            <w:pPr>
              <w:spacing w:after="0" w:line="240"/>
            </w:pPr>
            <w:r>
              <w:rPr>
                <w:sz w:val="18"/>
                <w:szCs w:val="18"/>
              </w:rPr>
              <w:t xml:space="preserve">To make the award, counted from completion of pleadings — s. 29A(1). Parties may add </w:t>
            </w:r>
            <w:r>
              <w:rPr>
                <w:b/>
                <w:bCs/>
                <w:sz w:val="18"/>
                <w:szCs w:val="18"/>
              </w:rPr>
              <w:t xml:space="preserve">6 months</w:t>
            </w:r>
            <w:r>
              <w:rPr>
                <w:sz w:val="18"/>
                <w:szCs w:val="18"/>
              </w:rPr>
              <w:t xml:space="preserve"> by consent under s. 29A(3).</w:t>
            </w:r>
          </w:p>
        </w:tc>
      </w:tr>
      <w:tr>
        <w:tc>
          <w:tcPr>
            <w:tcW w:type="dxa" w:w="1500"/>
            <w:tcMar>
              <w:top w:type="dxa" w:w="70"/>
              <w:left w:type="dxa" w:w="100"/>
              <w:bottom w:type="dxa" w:w="70"/>
              <w:right w:type="dxa" w:w="100"/>
            </w:tcMar>
          </w:tcPr>
          <w:p>
            <w:pPr>
              <w:spacing w:after="0" w:line="240"/>
            </w:pPr>
            <w:r>
              <w:rPr>
                <w:b/>
                <w:bCs/>
                <w:sz w:val="18"/>
                <w:szCs w:val="18"/>
              </w:rPr>
              <w:t xml:space="preserve">6 Sept 2012</w:t>
            </w:r>
          </w:p>
        </w:tc>
        <w:tc>
          <w:tcPr>
            <w:tcW w:type="dxa" w:w="7350"/>
            <w:tcMar>
              <w:top w:type="dxa" w:w="70"/>
              <w:left w:type="dxa" w:w="100"/>
              <w:bottom w:type="dxa" w:w="70"/>
              <w:right w:type="dxa" w:w="100"/>
            </w:tcMar>
          </w:tcPr>
          <w:p>
            <w:pPr>
              <w:spacing w:after="0" w:line="240"/>
            </w:pPr>
            <w:r>
              <w:rPr>
                <w:sz w:val="18"/>
                <w:szCs w:val="18"/>
              </w:rPr>
              <w:t xml:space="preserve">BALCO applies only to arbitration agreements made on or after this date.</w:t>
            </w:r>
          </w:p>
        </w:tc>
      </w:tr>
    </w:tbl>
    <w:p>
      <w:pPr>
        <w:spacing w:after="120"/>
      </w:pPr>
      <w:r>
        <w:rPr>
          <w:sz w:val="10"/>
          <w:szCs w:val="10"/>
        </w:rPr>
        <w:t xml:space="preserve"/>
      </w:r>
    </w:p>
    <w:p>
      <w:pPr>
        <w:pStyle w:val="Heading1"/>
        <w:keepNext/>
        <w:pBdr>
          <w:bottom w:val="single" w:color="1F3864" w:sz="6" w:space="4"/>
        </w:pBdr>
        <w:spacing w:after="160" w:before="420"/>
      </w:pPr>
      <w:r>
        <w:t xml:space="preserve">1.  International Commercial Arbitration — s. 2(1)(f)</w:t>
      </w:r>
    </w:p>
    <w:p>
      <w:pPr>
        <w:pStyle w:val="Heading2"/>
        <w:keepNext/>
        <w:spacing w:after="100" w:before="250"/>
      </w:pPr>
      <w:r>
        <w:t xml:space="preserve">Three requirements, all of which must be met</w:t>
      </w:r>
    </w:p>
    <w:p>
      <w:pPr>
        <w:pStyle w:val="ListParagraph"/>
        <w:numPr>
          <w:ilvl w:val="0"/>
          <w:numId w:val="2"/>
        </w:numPr>
        <w:spacing w:after="70" w:line="264"/>
        <w:jc w:val="both"/>
      </w:pPr>
      <w:r>
        <w:t xml:space="preserve">A </w:t>
      </w:r>
      <w:r>
        <w:rPr>
          <w:b/>
          <w:bCs/>
        </w:rPr>
        <w:t xml:space="preserve">legal relationship, contractual or not</w:t>
      </w:r>
      <w:r>
        <w:t xml:space="preserve">. An MoU, partnership, bailment or agency will do.</w:t>
      </w:r>
    </w:p>
    <w:p>
      <w:pPr>
        <w:pStyle w:val="ListParagraph"/>
        <w:numPr>
          <w:ilvl w:val="0"/>
          <w:numId w:val="2"/>
        </w:numPr>
        <w:spacing w:after="70" w:line="264"/>
        <w:jc w:val="both"/>
      </w:pPr>
      <w:r>
        <w:t xml:space="preserve">The relationship is </w:t>
      </w:r>
      <w:r>
        <w:rPr>
          <w:b/>
          <w:bCs/>
        </w:rPr>
        <w:t xml:space="preserve">commercial under Indian law</w:t>
      </w:r>
      <w:r>
        <w:t xml:space="preserve">, and this is read broadly.</w:t>
      </w:r>
    </w:p>
    <w:p>
      <w:pPr>
        <w:pStyle w:val="ListParagraph"/>
        <w:numPr>
          <w:ilvl w:val="0"/>
          <w:numId w:val="2"/>
        </w:numPr>
        <w:spacing w:after="70" w:line="264"/>
        <w:jc w:val="both"/>
      </w:pPr>
      <w:r>
        <w:rPr>
          <w:b/>
          <w:bCs/>
        </w:rPr>
        <w:t xml:space="preserve">At least one party is foreign</w:t>
      </w:r>
      <w:r>
        <w:t xml:space="preserve"> — (a) a foreign national or resident; (b) a company incorporated abroad; (c) an association or body managed and controlled from abroad; (d) a foreign government.</w:t>
      </w:r>
    </w:p>
    <w:p>
      <w:pPr>
        <w:spacing w:after="120" w:line="264"/>
        <w:jc w:val="both"/>
      </w:pPr>
      <w:r>
        <w:rPr>
          <w:b/>
          <w:bCs/>
        </w:rPr>
        <w:t xml:space="preserve">2015 change.</w:t>
      </w:r>
      <w:r>
        <w:t xml:space="preserve"> The words “a company or” were deleted from clause (c). </w:t>
      </w:r>
      <w:r>
        <w:rPr>
          <w:b/>
          <w:bCs/>
          <w:shd w:fill="FFF2CC" w:color="auto" w:val="clear"/>
        </w:rPr>
        <w:t xml:space="preserve">So a company's nationality depends only on where it was incorporated.</w:t>
      </w:r>
      <w:r>
        <w:t xml:space="preserve"> Two Indian-incorporated companies are both Indian, even if one is foreign-owned.</w:t>
      </w:r>
    </w:p>
    <w:p>
      <w:pPr>
        <w:pStyle w:val="Heading2"/>
        <w:keepNext/>
        <w:spacing w:after="100" w:before="250"/>
      </w:pPr>
      <w:r>
        <w:t xml:space="preserve">Three laws in one arbitration</w:t>
      </w:r>
    </w:p>
    <w:p>
      <w:pPr>
        <w:pStyle w:val="ListParagraph"/>
        <w:numPr>
          <w:ilvl w:val="0"/>
          <w:numId w:val="3"/>
        </w:numPr>
        <w:spacing w:after="70" w:line="264"/>
        <w:jc w:val="both"/>
      </w:pPr>
      <w:r>
        <w:rPr>
          <w:b/>
          <w:bCs/>
        </w:rPr>
        <w:t xml:space="preserve">Substantive law</w:t>
      </w:r>
      <w:r>
        <w:t xml:space="preserve"> — decides who wins on the merits.</w:t>
      </w:r>
    </w:p>
    <w:p>
      <w:pPr>
        <w:pStyle w:val="ListParagraph"/>
        <w:numPr>
          <w:ilvl w:val="0"/>
          <w:numId w:val="3"/>
        </w:numPr>
        <w:spacing w:after="70" w:line="264"/>
        <w:jc w:val="both"/>
      </w:pPr>
      <w:r>
        <w:rPr>
          <w:b/>
          <w:bCs/>
        </w:rPr>
        <w:t xml:space="preserve">Law of the arbitration agreement</w:t>
      </w:r>
      <w:r>
        <w:t xml:space="preserve"> — may differ from the main contract, because the clause is separable.</w:t>
      </w:r>
    </w:p>
    <w:p>
      <w:pPr>
        <w:pStyle w:val="ListParagraph"/>
        <w:numPr>
          <w:ilvl w:val="0"/>
          <w:numId w:val="3"/>
        </w:numPr>
        <w:spacing w:after="70" w:line="264"/>
        <w:jc w:val="both"/>
      </w:pPr>
      <w:r>
        <w:rPr>
          <w:b/>
          <w:bCs/>
        </w:rPr>
        <w:t xml:space="preserve">Procedural law</w:t>
      </w:r>
      <w:r>
        <w:t xml:space="preserve">, the </w:t>
      </w:r>
      <w:r>
        <w:rPr>
          <w:i/>
          <w:iCs/>
        </w:rPr>
        <w:t xml:space="preserve">lex arbitri</w:t>
      </w:r>
      <w:r>
        <w:t xml:space="preserve"> — how the arbitration is run. It follows the </w:t>
      </w:r>
      <w:r>
        <w:rPr>
          <w:b/>
          <w:bCs/>
        </w:rPr>
        <w:t xml:space="preserve">seat</w:t>
      </w:r>
      <w:r>
        <w:t xml:space="preserve">.</w:t>
      </w:r>
    </w:p>
    <w:p>
      <w:pPr>
        <w:spacing w:after="120" w:line="264"/>
        <w:jc w:val="both"/>
      </w:pPr>
      <w:r>
        <w:t xml:space="preserve">The parties may also let the tribunal decide by fairness rather than strict law, </w:t>
      </w:r>
      <w:r>
        <w:rPr>
          <w:i/>
          <w:iCs/>
        </w:rPr>
        <w:t xml:space="preserve">ex aequo et bono</w:t>
      </w:r>
      <w:r>
        <w:t xml:space="preserve">, or as </w:t>
      </w:r>
      <w:r>
        <w:rPr>
          <w:i/>
          <w:iCs/>
        </w:rPr>
        <w:t xml:space="preserve">amiable compositeur</w:t>
      </w:r>
      <w:r>
        <w:t xml:space="preserve">. </w:t>
      </w:r>
      <w:r>
        <w:rPr>
          <w:b/>
          <w:bCs/>
          <w:shd w:fill="FFF2CC" w:color="auto" w:val="clear"/>
        </w:rPr>
        <w:t xml:space="preserve">This power must be given, and is never assumed.</w:t>
      </w:r>
    </w:p>
    <w:p>
      <w:pPr>
        <w:pStyle w:val="Heading2"/>
        <w:keepNext/>
        <w:spacing w:after="100" w:before="250"/>
      </w:pPr>
      <w:r>
        <w:t xml:space="preserve">Seat and venue</w:t>
      </w:r>
    </w:p>
    <w:p>
      <w:pPr>
        <w:spacing w:after="120" w:line="264"/>
        <w:jc w:val="both"/>
      </w:pPr>
      <w:r>
        <w:t xml:space="preserve">S. 20 says “place”, read as the </w:t>
      </w:r>
      <w:r>
        <w:rPr>
          <w:b/>
          <w:bCs/>
        </w:rPr>
        <w:t xml:space="preserve">seat</w:t>
      </w:r>
      <w:r>
        <w:t xml:space="preserve">. </w:t>
      </w:r>
      <w:r>
        <w:rPr>
          <w:b/>
          <w:bCs/>
          <w:shd w:fill="FFF2CC" w:color="auto" w:val="clear"/>
        </w:rPr>
        <w:t xml:space="preserve">The seat fixes the procedural law and the supervising court, including the court that can set the award aside.</w:t>
      </w:r>
      <w:r>
        <w:t xml:space="preserve"> The </w:t>
      </w:r>
      <w:r>
        <w:rPr>
          <w:b/>
          <w:bCs/>
        </w:rPr>
        <w:t xml:space="preserve">venue</w:t>
      </w:r>
      <w:r>
        <w:t xml:space="preserve"> is only where hearings happen, and s. 20(3) lets the tribunal sit anywhere without moving the seat.</w:t>
      </w:r>
    </w:p>
    <w:p>
      <w:pPr>
        <w:pStyle w:val="Heading2"/>
        <w:keepNext/>
        <w:spacing w:after="100" w:before="250"/>
      </w:pPr>
      <w:r>
        <w:t xml:space="preserve">Salient features, the standard question</w:t>
      </w:r>
    </w:p>
    <w:p>
      <w:pPr>
        <w:pStyle w:val="ListParagraph"/>
        <w:numPr>
          <w:ilvl w:val="0"/>
          <w:numId w:val="4"/>
        </w:numPr>
        <w:spacing w:after="70" w:line="264"/>
        <w:jc w:val="both"/>
      </w:pPr>
      <w:r>
        <w:t xml:space="preserve">A </w:t>
      </w:r>
      <w:r>
        <w:rPr>
          <w:b/>
          <w:bCs/>
        </w:rPr>
        <w:t xml:space="preserve">private</w:t>
      </w:r>
      <w:r>
        <w:t xml:space="preserve"> process built for international business.</w:t>
      </w:r>
    </w:p>
    <w:p>
      <w:pPr>
        <w:pStyle w:val="ListParagraph"/>
        <w:numPr>
          <w:ilvl w:val="0"/>
          <w:numId w:val="4"/>
        </w:numPr>
        <w:spacing w:after="70" w:line="264"/>
        <w:jc w:val="both"/>
      </w:pPr>
      <w:r>
        <w:t xml:space="preserve">Rests on </w:t>
      </w:r>
      <w:r>
        <w:rPr>
          <w:b/>
          <w:bCs/>
        </w:rPr>
        <w:t xml:space="preserve">consent</w:t>
      </w:r>
      <w:r>
        <w:t xml:space="preserve">, with party autonomy as the foundation, limited only by non-derogable provisions, chiefly s. 34.</w:t>
      </w:r>
    </w:p>
    <w:p>
      <w:pPr>
        <w:pStyle w:val="ListParagraph"/>
        <w:numPr>
          <w:ilvl w:val="0"/>
          <w:numId w:val="4"/>
        </w:numPr>
        <w:spacing w:after="70" w:line="264"/>
        <w:jc w:val="both"/>
      </w:pPr>
      <w:r>
        <w:rPr>
          <w:b/>
          <w:bCs/>
        </w:rPr>
        <w:t xml:space="preserve">The State supports it</w:t>
      </w:r>
      <w:r>
        <w:t xml:space="preserve"> — an enabling statute, courts kept out, and s. 89 CPC.</w:t>
      </w:r>
    </w:p>
    <w:p>
      <w:pPr>
        <w:pStyle w:val="ListParagraph"/>
        <w:numPr>
          <w:ilvl w:val="0"/>
          <w:numId w:val="4"/>
        </w:numPr>
        <w:spacing w:after="70" w:line="264"/>
        <w:jc w:val="both"/>
      </w:pPr>
      <w:r>
        <w:rPr>
          <w:b/>
          <w:bCs/>
        </w:rPr>
        <w:t xml:space="preserve">Uniform law</w:t>
      </w:r>
      <w:r>
        <w:t xml:space="preserve">, because most countries follow the UNCITRAL Model Law.</w:t>
      </w:r>
    </w:p>
    <w:p>
      <w:pPr>
        <w:pStyle w:val="ListParagraph"/>
        <w:numPr>
          <w:ilvl w:val="0"/>
          <w:numId w:val="4"/>
        </w:numPr>
        <w:spacing w:after="70" w:line="264"/>
        <w:jc w:val="both"/>
      </w:pPr>
      <w:r>
        <w:rPr>
          <w:b/>
          <w:bCs/>
        </w:rPr>
        <w:t xml:space="preserve">Courts excluded</w:t>
      </w:r>
      <w:r>
        <w:t xml:space="preserve"> (Article 5 of the Model Law equals s. 5), but </w:t>
      </w:r>
      <w:r>
        <w:rPr>
          <w:b/>
          <w:bCs/>
        </w:rPr>
        <w:t xml:space="preserve">courts also help</w:t>
      </w:r>
      <w:r>
        <w:t xml:space="preserve"> through ss. 9, 27 and enforcement.</w:t>
      </w:r>
    </w:p>
    <w:p>
      <w:pPr>
        <w:pStyle w:val="ListParagraph"/>
        <w:numPr>
          <w:ilvl w:val="0"/>
          <w:numId w:val="4"/>
        </w:numPr>
        <w:spacing w:after="70" w:line="264"/>
        <w:jc w:val="both"/>
      </w:pPr>
      <w:r>
        <w:t xml:space="preserve">The tribunal </w:t>
      </w:r>
      <w:r>
        <w:rPr>
          <w:b/>
          <w:bCs/>
        </w:rPr>
        <w:t xml:space="preserve">rules on its own jurisdiction</w:t>
      </w:r>
      <w:r>
        <w:t xml:space="preserve">, and the clause is </w:t>
      </w:r>
      <w:r>
        <w:rPr>
          <w:b/>
          <w:bCs/>
        </w:rPr>
        <w:t xml:space="preserve">separable</w:t>
      </w:r>
      <w:r>
        <w:t xml:space="preserve"> (s. 16).</w:t>
      </w:r>
    </w:p>
    <w:p>
      <w:pPr>
        <w:pStyle w:val="ListParagraph"/>
        <w:numPr>
          <w:ilvl w:val="0"/>
          <w:numId w:val="4"/>
        </w:numPr>
        <w:spacing w:after="70" w:line="264"/>
        <w:jc w:val="both"/>
      </w:pPr>
      <w:r>
        <w:rPr>
          <w:b/>
          <w:bCs/>
        </w:rPr>
        <w:t xml:space="preserve">A reasoned award, with almost no challenge.</w:t>
      </w:r>
      <w:r>
        <w:t xml:space="preserve"> Even a wrong award is enforceable.</w:t>
      </w:r>
    </w:p>
    <w:p>
      <w:pPr>
        <w:pStyle w:val="ListParagraph"/>
        <w:numPr>
          <w:ilvl w:val="0"/>
          <w:numId w:val="4"/>
        </w:numPr>
        <w:spacing w:after="70" w:line="264"/>
        <w:jc w:val="both"/>
      </w:pPr>
      <w:r>
        <w:rPr>
          <w:b/>
          <w:bCs/>
        </w:rPr>
        <w:t xml:space="preserve">Two presumptions</w:t>
      </w:r>
      <w:r>
        <w:t xml:space="preserve"> — give effect to the agreement, and enforce the award.</w:t>
      </w:r>
    </w:p>
    <w:p>
      <w:pPr>
        <w:spacing w:after="120" w:line="264"/>
        <w:jc w:val="both"/>
      </w:pPr>
      <w:r>
        <w:rPr>
          <w:b/>
          <w:bCs/>
        </w:rPr>
        <w:t xml:space="preserve">Two cautions.</w:t>
      </w:r>
      <w:r>
        <w:t xml:space="preserve"> </w:t>
      </w:r>
      <w:r>
        <w:rPr>
          <w:i/>
          <w:iCs/>
        </w:rPr>
        <w:t xml:space="preserve">Confidentiality</w:t>
      </w:r>
      <w:r>
        <w:t xml:space="preserve"> is not universal, because investment treaty awards are published. </w:t>
      </w:r>
      <w:r>
        <w:rPr>
          <w:i/>
          <w:iCs/>
        </w:rPr>
        <w:t xml:space="preserve">Limited appeals</w:t>
      </w:r>
      <w:r>
        <w:t xml:space="preserve"> is true within the Act, but Articles 226, 227 and 32 survive.</w:t>
      </w:r>
    </w:p>
    <w:p>
      <w:pPr>
        <w:pStyle w:val="Heading2"/>
        <w:keepNext/>
        <w:spacing w:after="100" w:before="250"/>
      </w:pPr>
      <w:r>
        <w:t xml:space="preserve">Cases</w:t>
      </w:r>
    </w:p>
    <w:p>
      <w:pPr>
        <w:pStyle w:val="ListParagraph"/>
        <w:numPr>
          <w:ilvl w:val="0"/>
          <w:numId w:val="5"/>
        </w:numPr>
        <w:spacing w:after="70" w:line="264"/>
        <w:jc w:val="both"/>
      </w:pPr>
      <w:r>
        <w:rPr>
          <w:b/>
          <w:bCs/>
          <w:i/>
          <w:iCs/>
        </w:rPr>
        <w:t xml:space="preserve">R.M. Investments &amp; Trading Co. v. Boeing Co.</w:t>
      </w:r>
      <w:r>
        <w:t xml:space="preserve">, (1994) 4 SCC 541 — consultancy to promote aircraft sales was held </w:t>
      </w:r>
      <w:r>
        <w:rPr>
          <w:b/>
          <w:bCs/>
        </w:rPr>
        <w:t xml:space="preserve">commercial</w:t>
      </w:r>
      <w:r>
        <w:t xml:space="preserve">. The word is read broadly.</w:t>
      </w:r>
    </w:p>
    <w:p>
      <w:pPr>
        <w:pStyle w:val="ListParagraph"/>
        <w:numPr>
          <w:ilvl w:val="0"/>
          <w:numId w:val="5"/>
        </w:numPr>
        <w:spacing w:after="70" w:line="264"/>
        <w:jc w:val="both"/>
      </w:pPr>
      <w:r>
        <w:rPr>
          <w:b/>
          <w:bCs/>
          <w:i/>
          <w:iCs/>
        </w:rPr>
        <w:t xml:space="preserve">TDM Infrastructure v. UE Development India</w:t>
      </w:r>
      <w:r>
        <w:t xml:space="preserve">, (2008) 14 SCC 271 — both companies incorporated in India, so </w:t>
      </w:r>
      <w:r>
        <w:rPr>
          <w:b/>
          <w:bCs/>
        </w:rPr>
        <w:t xml:space="preserve">not</w:t>
      </w:r>
      <w:r>
        <w:t xml:space="preserve"> an ICA. Place of incorporation decides.</w:t>
      </w:r>
    </w:p>
    <w:p>
      <w:pPr>
        <w:pStyle w:val="ListParagraph"/>
        <w:numPr>
          <w:ilvl w:val="0"/>
          <w:numId w:val="5"/>
        </w:numPr>
        <w:spacing w:after="70" w:line="264"/>
        <w:jc w:val="both"/>
      </w:pPr>
      <w:r>
        <w:rPr>
          <w:b/>
          <w:bCs/>
          <w:i/>
          <w:iCs/>
        </w:rPr>
        <w:t xml:space="preserve">Bhatia International v. Bulk Trading</w:t>
      </w:r>
      <w:r>
        <w:t xml:space="preserve">, (2002) 4 SCC 105 (3 Judges) — Part I applies to foreign-seated arbitration unless excluded. </w:t>
      </w:r>
      <w:r>
        <w:rPr>
          <w:b/>
          <w:bCs/>
        </w:rPr>
        <w:t xml:space="preserve">Overruled.</w:t>
      </w:r>
    </w:p>
    <w:p>
      <w:pPr>
        <w:pStyle w:val="ListParagraph"/>
        <w:numPr>
          <w:ilvl w:val="0"/>
          <w:numId w:val="5"/>
        </w:numPr>
        <w:spacing w:after="70" w:line="264"/>
        <w:jc w:val="both"/>
      </w:pPr>
      <w:r>
        <w:rPr>
          <w:b/>
          <w:bCs/>
          <w:i/>
          <w:iCs/>
        </w:rPr>
        <w:t xml:space="preserve">Venture Global v. Satyam</w:t>
      </w:r>
      <w:r>
        <w:t xml:space="preserve">, (2008) 4 SCC 190 — s. 34 used against a </w:t>
      </w:r>
      <w:r>
        <w:rPr>
          <w:b/>
          <w:bCs/>
        </w:rPr>
        <w:t xml:space="preserve">foreign</w:t>
      </w:r>
      <w:r>
        <w:t xml:space="preserve"> award. This clashed with the New York Convention: refusing to enforce affects one country, but </w:t>
      </w:r>
      <w:r>
        <w:rPr>
          <w:b/>
          <w:bCs/>
        </w:rPr>
        <w:t xml:space="preserve">setting aside destroys the award everywhere</w:t>
      </w:r>
      <w:r>
        <w:t xml:space="preserve">. </w:t>
      </w:r>
      <w:r>
        <w:rPr>
          <w:b/>
          <w:bCs/>
        </w:rPr>
        <w:t xml:space="preserve">Overruled.</w:t>
      </w:r>
    </w:p>
    <w:p>
      <w:pPr>
        <w:pStyle w:val="ListParagraph"/>
        <w:numPr>
          <w:ilvl w:val="0"/>
          <w:numId w:val="5"/>
        </w:numPr>
        <w:spacing w:after="70" w:line="264"/>
        <w:jc w:val="both"/>
      </w:pPr>
      <w:r>
        <w:rPr>
          <w:b/>
          <w:bCs/>
          <w:i/>
          <w:iCs/>
        </w:rPr>
        <w:t xml:space="preserve">BALCO</w:t>
      </w:r>
      <w:r>
        <w:t xml:space="preserve">, (2012) 9 SCC 552 (Constitution Bench of 5) — </w:t>
      </w:r>
      <w:r>
        <w:rPr>
          <w:b/>
          <w:bCs/>
          <w:shd w:fill="FFF2CC" w:color="auto" w:val="clear"/>
        </w:rPr>
        <w:t xml:space="preserve">Part I applies only to arbitrations seated in India.</w:t>
      </w:r>
      <w:r>
        <w:t xml:space="preserve"> Seat-centred approach. Applies to agreements made </w:t>
      </w:r>
      <w:r>
        <w:rPr>
          <w:b/>
          <w:bCs/>
        </w:rPr>
        <w:t xml:space="preserve">on or after 6 September 2012</w:t>
      </w:r>
      <w:r>
        <w:t xml:space="preserve">.</w:t>
      </w:r>
    </w:p>
    <w:p>
      <w:pPr>
        <w:pStyle w:val="ListParagraph"/>
        <w:numPr>
          <w:ilvl w:val="0"/>
          <w:numId w:val="5"/>
        </w:numPr>
        <w:spacing w:after="70" w:line="264"/>
        <w:jc w:val="both"/>
      </w:pPr>
      <w:r>
        <w:rPr>
          <w:b/>
          <w:bCs/>
          <w:i/>
          <w:iCs/>
        </w:rPr>
        <w:t xml:space="preserve">Saipem v. Bangladesh</w:t>
      </w:r>
      <w:r>
        <w:t xml:space="preserve">, ICSID ARB/05/7, Award 30 June 2009 — Bangladeshi courts killed the award; held to be </w:t>
      </w:r>
      <w:r>
        <w:rPr>
          <w:b/>
          <w:bCs/>
        </w:rPr>
        <w:t xml:space="preserve">expropriation</w:t>
      </w:r>
      <w:r>
        <w:t xml:space="preserve">. Excessive court interference can be an international wrong.</w:t>
      </w:r>
    </w:p>
    <w:p>
      <w:pPr>
        <w:pStyle w:val="ListParagraph"/>
        <w:numPr>
          <w:ilvl w:val="0"/>
          <w:numId w:val="5"/>
        </w:numPr>
        <w:spacing w:after="70" w:line="264"/>
        <w:jc w:val="both"/>
      </w:pPr>
      <w:r>
        <w:rPr>
          <w:b/>
          <w:bCs/>
          <w:i/>
          <w:iCs/>
        </w:rPr>
        <w:t xml:space="preserve">White Industries v. India</w:t>
      </w:r>
      <w:r>
        <w:t xml:space="preserve">, Final Award 30 November 2011 — nine years of Indian court delay denied </w:t>
      </w:r>
      <w:r>
        <w:rPr>
          <w:b/>
          <w:bCs/>
        </w:rPr>
        <w:t xml:space="preserve">effective means</w:t>
      </w:r>
      <w:r>
        <w:t xml:space="preserve"> of enforcing rights, a standard borrowed through the MFN clause. First treaty award against India.</w:t>
      </w:r>
    </w:p>
    <w:p>
      <w:pPr>
        <w:spacing w:after="120" w:line="264"/>
        <w:jc w:val="both"/>
      </w:pPr>
      <w:r>
        <w:rPr>
          <w:b/>
          <w:bCs/>
        </w:rPr>
        <w:t xml:space="preserve">Today.</w:t>
      </w:r>
      <w:r>
        <w:t xml:space="preserve"> Part I applies to India-seated arbitration. For a foreign-seated ICA, the </w:t>
      </w:r>
      <w:r>
        <w:rPr>
          <w:b/>
          <w:bCs/>
        </w:rPr>
        <w:t xml:space="preserve">proviso to s. 2(2)</w:t>
      </w:r>
      <w:r>
        <w:t xml:space="preserve"> (2015) applies only </w:t>
      </w:r>
      <w:r>
        <w:rPr>
          <w:b/>
          <w:bCs/>
          <w:shd w:fill="FFF2CC" w:color="auto" w:val="clear"/>
        </w:rPr>
        <w:t xml:space="preserve">ss. 9, 27 and 37(1)(a) and (3)</w:t>
      </w:r>
      <w:r>
        <w:t xml:space="preserve"> unless excluded. So Indian courts </w:t>
      </w:r>
      <w:r>
        <w:rPr>
          <w:b/>
          <w:bCs/>
        </w:rPr>
        <w:t xml:space="preserve">can</w:t>
      </w:r>
      <w:r>
        <w:t xml:space="preserve"> give interim relief and help with evidence, but </w:t>
      </w:r>
      <w:r>
        <w:rPr>
          <w:b/>
          <w:bCs/>
        </w:rPr>
        <w:t xml:space="preserve">cannot</w:t>
      </w:r>
      <w:r>
        <w:t xml:space="preserve"> set the award aside.</w:t>
      </w:r>
    </w:p>
    <w:p>
      <w:pPr>
        <w:pStyle w:val="Heading1"/>
        <w:keepNext/>
        <w:pBdr>
          <w:bottom w:val="single" w:color="1F3864" w:sz="6" w:space="4"/>
        </w:pBdr>
        <w:spacing w:after="160" w:before="420"/>
      </w:pPr>
      <w:r>
        <w:t xml:space="preserve">2.  Waiver of the Right to Object — s. 4</w:t>
      </w:r>
    </w:p>
    <w:p>
      <w:pPr>
        <w:spacing w:after="120" w:line="264"/>
        <w:jc w:val="both"/>
      </w:pPr>
      <w:r>
        <w:rPr>
          <w:b/>
          <w:bCs/>
        </w:rPr>
        <w:t xml:space="preserve">Rule.</w:t>
      </w:r>
      <w:r>
        <w:t xml:space="preserve"> A party who knows of a defect and carries on without objecting </w:t>
      </w:r>
      <w:r>
        <w:rPr>
          <w:b/>
          <w:bCs/>
        </w:rPr>
        <w:t xml:space="preserve">loses the right to complain later</w:t>
      </w:r>
      <w:r>
        <w:t xml:space="preserve">. </w:t>
      </w:r>
      <w:r>
        <w:rPr>
          <w:b/>
          <w:bCs/>
          <w:shd w:fill="FFF2CC" w:color="auto" w:val="clear"/>
        </w:rPr>
        <w:t xml:space="preserve">Object when it arises, or not at all.</w:t>
      </w:r>
    </w:p>
    <w:p>
      <w:pPr>
        <w:pStyle w:val="Heading2"/>
        <w:keepNext/>
        <w:spacing w:after="100" w:before="250"/>
      </w:pPr>
      <w:r>
        <w:t xml:space="preserve">Four conditions</w:t>
      </w:r>
    </w:p>
    <w:p>
      <w:pPr>
        <w:pStyle w:val="ListParagraph"/>
        <w:numPr>
          <w:ilvl w:val="0"/>
          <w:numId w:val="6"/>
        </w:numPr>
        <w:spacing w:after="70" w:line="264"/>
        <w:jc w:val="both"/>
      </w:pPr>
      <w:r>
        <w:t xml:space="preserve">He </w:t>
      </w:r>
      <w:r>
        <w:rPr>
          <w:b/>
          <w:bCs/>
        </w:rPr>
        <w:t xml:space="preserve">knows</w:t>
      </w:r>
      <w:r>
        <w:t xml:space="preserve"> of the non-compliance.</w:t>
      </w:r>
    </w:p>
    <w:p>
      <w:pPr>
        <w:pStyle w:val="ListParagraph"/>
        <w:numPr>
          <w:ilvl w:val="0"/>
          <w:numId w:val="6"/>
        </w:numPr>
        <w:spacing w:after="70" w:line="264"/>
        <w:jc w:val="both"/>
      </w:pPr>
      <w:r>
        <w:t xml:space="preserve">It is of a </w:t>
      </w:r>
      <w:r>
        <w:rPr>
          <w:b/>
          <w:bCs/>
        </w:rPr>
        <w:t xml:space="preserve">derogable</w:t>
      </w:r>
      <w:r>
        <w:t xml:space="preserve"> provision of Part I, </w:t>
      </w:r>
      <w:r>
        <w:rPr>
          <w:b/>
          <w:bCs/>
        </w:rPr>
        <w:t xml:space="preserve">or</w:t>
      </w:r>
      <w:r>
        <w:t xml:space="preserve"> of a requirement of the arbitration agreement.</w:t>
      </w:r>
    </w:p>
    <w:p>
      <w:pPr>
        <w:pStyle w:val="ListParagraph"/>
        <w:numPr>
          <w:ilvl w:val="0"/>
          <w:numId w:val="6"/>
        </w:numPr>
        <w:spacing w:after="70" w:line="264"/>
        <w:jc w:val="both"/>
      </w:pPr>
      <w:r>
        <w:t xml:space="preserve">He </w:t>
      </w:r>
      <w:r>
        <w:rPr>
          <w:b/>
          <w:bCs/>
        </w:rPr>
        <w:t xml:space="preserve">proceeds</w:t>
      </w:r>
      <w:r>
        <w:t xml:space="preserve"> with the arbitration.</w:t>
      </w:r>
    </w:p>
    <w:p>
      <w:pPr>
        <w:pStyle w:val="ListParagraph"/>
        <w:numPr>
          <w:ilvl w:val="0"/>
          <w:numId w:val="6"/>
        </w:numPr>
        <w:spacing w:after="70" w:line="264"/>
        <w:jc w:val="both"/>
      </w:pPr>
      <w:r>
        <w:t xml:space="preserve">He makes </w:t>
      </w:r>
      <w:r>
        <w:rPr>
          <w:b/>
          <w:bCs/>
        </w:rPr>
        <w:t xml:space="preserve">no objection</w:t>
      </w:r>
      <w:r>
        <w:t xml:space="preserve"> without undue delay, or within any time fixed.</w:t>
      </w:r>
    </w:p>
    <w:p>
      <w:pPr>
        <w:spacing w:after="120" w:line="264"/>
        <w:jc w:val="both"/>
      </w:pPr>
      <w:r>
        <w:t xml:space="preserve">The right is then </w:t>
      </w:r>
      <w:r>
        <w:rPr>
          <w:b/>
          <w:bCs/>
        </w:rPr>
        <w:t xml:space="preserve">deemed</w:t>
      </w:r>
      <w:r>
        <w:t xml:space="preserve"> waived. It happens automatically, with no need to prove any intention to give it up.</w:t>
      </w:r>
    </w:p>
    <w:p>
      <w:pPr>
        <w:pStyle w:val="Heading2"/>
        <w:keepNext/>
        <w:spacing w:after="100" w:before="250"/>
      </w:pPr>
      <w:r>
        <w:t xml:space="preserve">Key points</w:t>
      </w:r>
    </w:p>
    <w:p>
      <w:pPr>
        <w:pStyle w:val="ListParagraph"/>
        <w:numPr>
          <w:ilvl w:val="0"/>
          <w:numId w:val="7"/>
        </w:numPr>
        <w:spacing w:after="70" w:line="264"/>
        <w:jc w:val="both"/>
      </w:pPr>
      <w:r>
        <w:rPr>
          <w:b/>
          <w:bCs/>
          <w:shd w:fill="FFF2CC" w:color="auto" w:val="clear"/>
        </w:rPr>
        <w:t xml:space="preserve">It works only on derogable provisions.</w:t>
      </w:r>
      <w:r>
        <w:t xml:space="preserve"> Non-derogable examples are </w:t>
      </w:r>
      <w:r>
        <w:rPr>
          <w:b/>
          <w:bCs/>
        </w:rPr>
        <w:t xml:space="preserve">s. 34</w:t>
      </w:r>
      <w:r>
        <w:t xml:space="preserve">, the right to challenge an award, and </w:t>
      </w:r>
      <w:r>
        <w:rPr>
          <w:b/>
          <w:bCs/>
        </w:rPr>
        <w:t xml:space="preserve">s. 18</w:t>
      </w:r>
      <w:r>
        <w:t xml:space="preserve">, equal treatment.</w:t>
      </w:r>
    </w:p>
    <w:p>
      <w:pPr>
        <w:pStyle w:val="ListParagraph"/>
        <w:numPr>
          <w:ilvl w:val="0"/>
          <w:numId w:val="7"/>
        </w:numPr>
        <w:spacing w:after="70" w:line="264"/>
        <w:jc w:val="both"/>
      </w:pPr>
      <w:r>
        <w:rPr>
          <w:b/>
          <w:bCs/>
          <w:i/>
          <w:iCs/>
        </w:rPr>
        <w:t xml:space="preserve">Scott v. Avery</w:t>
      </w:r>
      <w:r>
        <w:t xml:space="preserve">, (1856) 5 HL Cas 811 — a clause making an award or a certificate a </w:t>
      </w:r>
      <w:r>
        <w:rPr>
          <w:b/>
          <w:bCs/>
        </w:rPr>
        <w:t xml:space="preserve">condition before suing</w:t>
      </w:r>
      <w:r>
        <w:t xml:space="preserve"> is valid. It delays going to court; it does not oust the court. Example: a stage payment falls due only on the engineer's certificate.</w:t>
      </w:r>
    </w:p>
    <w:p>
      <w:pPr>
        <w:pStyle w:val="ListParagraph"/>
        <w:numPr>
          <w:ilvl w:val="0"/>
          <w:numId w:val="7"/>
        </w:numPr>
        <w:spacing w:after="70" w:line="264"/>
        <w:jc w:val="both"/>
      </w:pPr>
      <w:r>
        <w:rPr>
          <w:b/>
          <w:bCs/>
        </w:rPr>
        <w:t xml:space="preserve">Related deadlines:</w:t>
      </w:r>
      <w:r>
        <w:t xml:space="preserve"> s. 16(2), jurisdiction plea by the statement of defence; s. 13(2), challenge within fifteen days; proviso to s. 12(5), waiver only by express written agreement made after the dispute arises.</w:t>
      </w:r>
    </w:p>
    <w:p>
      <w:pPr>
        <w:pStyle w:val="ListParagraph"/>
        <w:numPr>
          <w:ilvl w:val="0"/>
          <w:numId w:val="7"/>
        </w:numPr>
        <w:spacing w:after="70" w:line="264"/>
        <w:jc w:val="both"/>
      </w:pPr>
      <w:r>
        <w:rPr>
          <w:b/>
          <w:bCs/>
          <w:i/>
          <w:iCs/>
        </w:rPr>
        <w:t xml:space="preserve">Narayan Prasad Lohia</w:t>
      </w:r>
      <w:r>
        <w:t xml:space="preserve">, (2002) 3 SCC 572 — s. 4 in action. An objection to two arbitrators, not taken under s. 16(2), was lost.</w:t>
      </w:r>
    </w:p>
    <w:p>
      <w:pPr>
        <w:pStyle w:val="Heading1"/>
        <w:keepNext/>
        <w:pBdr>
          <w:bottom w:val="single" w:color="1F3864" w:sz="6" w:space="4"/>
        </w:pBdr>
        <w:spacing w:after="160" w:before="420"/>
      </w:pPr>
      <w:r>
        <w:t xml:space="preserve">3.  Reference and Judicial Intervention — ss. 8 and 5</w:t>
      </w:r>
    </w:p>
    <w:p>
      <w:pPr>
        <w:pStyle w:val="Heading2"/>
        <w:keepNext/>
        <w:spacing w:after="100" w:before="250"/>
      </w:pPr>
      <w:r>
        <w:t xml:space="preserve">Section 5, keeping courts out</w:t>
      </w:r>
    </w:p>
    <w:p>
      <w:pPr>
        <w:spacing w:after="120" w:line="264"/>
        <w:jc w:val="both"/>
      </w:pPr>
      <w:r>
        <w:t xml:space="preserve">“Notwithstanding any other law… no judicial authority shall intervene except where so provided in this Part.” This is an </w:t>
      </w:r>
      <w:r>
        <w:rPr>
          <w:b/>
          <w:bCs/>
        </w:rPr>
        <w:t xml:space="preserve">overriding clause</w:t>
      </w:r>
      <w:r>
        <w:t xml:space="preserve">. </w:t>
      </w:r>
      <w:r>
        <w:rPr>
          <w:b/>
          <w:bCs/>
          <w:shd w:fill="FFF2CC" w:color="auto" w:val="clear"/>
        </w:rPr>
        <w:t xml:space="preserve">Courts may act only where Part I allows: ss. 8, 9, 11, 14(2), 27, 34, 36 and 37.</w:t>
      </w:r>
    </w:p>
    <w:p>
      <w:pPr>
        <w:pStyle w:val="ListParagraph"/>
        <w:numPr>
          <w:ilvl w:val="0"/>
          <w:numId w:val="8"/>
        </w:numPr>
        <w:spacing w:after="70" w:line="264"/>
        <w:jc w:val="both"/>
      </w:pPr>
      <w:r>
        <w:t xml:space="preserve">It covers only </w:t>
      </w:r>
      <w:r>
        <w:rPr>
          <w:b/>
          <w:bCs/>
        </w:rPr>
        <w:t xml:space="preserve">Part I</w:t>
      </w:r>
      <w:r>
        <w:t xml:space="preserve">. Its effect on Part II is unclear.</w:t>
      </w:r>
    </w:p>
    <w:p>
      <w:pPr>
        <w:pStyle w:val="ListParagraph"/>
        <w:numPr>
          <w:ilvl w:val="0"/>
          <w:numId w:val="8"/>
        </w:numPr>
        <w:spacing w:after="70" w:line="264"/>
        <w:jc w:val="both"/>
      </w:pPr>
      <w:r>
        <w:rPr>
          <w:b/>
          <w:bCs/>
        </w:rPr>
        <w:t xml:space="preserve">It cannot cut down constitutional powers</w:t>
      </w:r>
      <w:r>
        <w:t xml:space="preserve"> under Articles 226, 227 and 32.</w:t>
      </w:r>
    </w:p>
    <w:p>
      <w:pPr>
        <w:pStyle w:val="ListParagraph"/>
        <w:numPr>
          <w:ilvl w:val="0"/>
          <w:numId w:val="8"/>
        </w:numPr>
        <w:spacing w:after="70" w:line="264"/>
        <w:jc w:val="both"/>
      </w:pPr>
      <w:r>
        <w:rPr>
          <w:b/>
          <w:bCs/>
          <w:i/>
          <w:iCs/>
        </w:rPr>
        <w:t xml:space="preserve">Union of India v. Tantia Construction</w:t>
      </w:r>
      <w:r>
        <w:t xml:space="preserve">, (2011) 5 SCC 697 — an arbitration clause is </w:t>
      </w:r>
      <w:r>
        <w:rPr>
          <w:b/>
          <w:bCs/>
        </w:rPr>
        <w:t xml:space="preserve">no absolute bar to a writ petition</w:t>
      </w:r>
      <w:r>
        <w:t xml:space="preserve">, and the alternative remedy need not be used first. This marks the constitutional limit of s. 5.</w:t>
      </w:r>
    </w:p>
    <w:p>
      <w:pPr>
        <w:pStyle w:val="ListParagraph"/>
        <w:numPr>
          <w:ilvl w:val="0"/>
          <w:numId w:val="8"/>
        </w:numPr>
        <w:spacing w:after="70" w:line="264"/>
        <w:jc w:val="both"/>
      </w:pPr>
      <w:r>
        <w:rPr>
          <w:b/>
          <w:bCs/>
        </w:rPr>
        <w:t xml:space="preserve">Do not confuse this</w:t>
      </w:r>
      <w:r>
        <w:t xml:space="preserve"> with </w:t>
      </w:r>
      <w:r>
        <w:rPr>
          <w:b/>
          <w:bCs/>
          <w:i/>
          <w:iCs/>
        </w:rPr>
        <w:t xml:space="preserve">Union of India v. Tantia Constructions</w:t>
      </w:r>
      <w:r>
        <w:t xml:space="preserve">, 2021 SCC OnLine SC 271, a different case on one-sided appointment clauses, referred to a larger Bench.</w:t>
      </w:r>
    </w:p>
    <w:p>
      <w:pPr>
        <w:pStyle w:val="Heading2"/>
        <w:keepNext/>
        <w:spacing w:after="100" w:before="250"/>
      </w:pPr>
      <w:r>
        <w:t xml:space="preserve">Section 8, the duty to refer</w:t>
      </w:r>
    </w:p>
    <w:p>
      <w:pPr>
        <w:spacing w:after="70" w:line="264"/>
        <w:ind w:left="547" w:hanging="547"/>
        <w:jc w:val="both"/>
      </w:pPr>
      <w:r>
        <w:rPr>
          <w:b/>
          <w:bCs/>
        </w:rPr>
        <w:t xml:space="preserve">8(1)</w:t>
      </w:r>
      <w:r>
        <w:t xml:space="preserve"> The court </w:t>
      </w:r>
      <w:r>
        <w:rPr>
          <w:b/>
          <w:bCs/>
        </w:rPr>
        <w:t xml:space="preserve">must</w:t>
      </w:r>
      <w:r>
        <w:t xml:space="preserve"> refer, notwithstanding any judgment of the Supreme Court or any Court, </w:t>
      </w:r>
      <w:r>
        <w:rPr>
          <w:b/>
          <w:bCs/>
          <w:shd w:fill="FFF2CC" w:color="auto" w:val="clear"/>
        </w:rPr>
        <w:t xml:space="preserve">unless it finds that prima facie no valid arbitration agreement exists.</w:t>
      </w:r>
      <w:r>
        <w:t xml:space="preserve"> Apply </w:t>
      </w:r>
      <w:r>
        <w:rPr>
          <w:b/>
          <w:bCs/>
        </w:rPr>
        <w:t xml:space="preserve">before filing your first statement on the substance</w:t>
      </w:r>
      <w:r>
        <w:t xml:space="preserve">. It is too late after arguing merits.</w:t>
      </w:r>
    </w:p>
    <w:p>
      <w:pPr>
        <w:spacing w:after="70" w:line="264"/>
        <w:ind w:left="547" w:hanging="547"/>
        <w:jc w:val="both"/>
      </w:pPr>
      <w:r>
        <w:rPr>
          <w:b/>
          <w:bCs/>
        </w:rPr>
        <w:t xml:space="preserve">8(2)</w:t>
      </w:r>
      <w:r>
        <w:t xml:space="preserve"> File the original agreement or a certified copy. If the other side holds it, file a copy with a request that the court call for the original.</w:t>
      </w:r>
    </w:p>
    <w:p>
      <w:pPr>
        <w:spacing w:after="70" w:line="264"/>
        <w:ind w:left="547" w:hanging="547"/>
        <w:jc w:val="both"/>
      </w:pPr>
      <w:r>
        <w:rPr>
          <w:b/>
          <w:bCs/>
        </w:rPr>
        <w:t xml:space="preserve">8(3)</w:t>
      </w:r>
      <w:r>
        <w:t xml:space="preserve"> </w:t>
      </w:r>
      <w:r>
        <w:rPr>
          <w:b/>
          <w:bCs/>
          <w:shd w:fill="FFF2CC" w:color="auto" w:val="clear"/>
        </w:rPr>
        <w:t xml:space="preserve">Arbitration may start or continue, and an award may be made, even while the application is pending.</w:t>
      </w:r>
    </w:p>
    <w:p>
      <w:pPr>
        <w:spacing w:after="120" w:line="264"/>
        <w:jc w:val="both"/>
      </w:pPr>
      <w:r>
        <w:rPr>
          <w:b/>
          <w:bCs/>
        </w:rPr>
        <w:t xml:space="preserve">Who may apply.</w:t>
      </w:r>
      <w:r>
        <w:t xml:space="preserve"> A party, </w:t>
      </w:r>
      <w:r>
        <w:rPr>
          <w:b/>
          <w:bCs/>
        </w:rPr>
        <w:t xml:space="preserve">or anyone claiming through or under him</w:t>
      </w:r>
      <w:r>
        <w:t xml:space="preserve">, such as an agent or a successor. </w:t>
      </w:r>
      <w:r>
        <w:rPr>
          <w:b/>
          <w:bCs/>
        </w:rPr>
        <w:t xml:space="preserve">“Judicial authority” is wider than “court”</w:t>
      </w:r>
      <w:r>
        <w:t xml:space="preserve">, and covers regulators and consumer commissions.</w:t>
      </w:r>
    </w:p>
    <w:p>
      <w:pPr>
        <w:spacing w:after="120" w:line="264"/>
        <w:jc w:val="both"/>
      </w:pPr>
      <w:r>
        <w:rPr>
          <w:b/>
          <w:bCs/>
        </w:rPr>
        <w:t xml:space="preserve">Rule of first priority.</w:t>
      </w:r>
      <w:r>
        <w:t xml:space="preserve"> Read with s. 16: </w:t>
      </w:r>
      <w:r>
        <w:rPr>
          <w:b/>
          <w:bCs/>
          <w:shd w:fill="FFF2CC" w:color="auto" w:val="clear"/>
        </w:rPr>
        <w:t xml:space="preserve">the tribunal decides jurisdiction first.</w:t>
      </w:r>
      <w:r>
        <w:t xml:space="preserve"> The court takes only a first look, so </w:t>
      </w:r>
      <w:r>
        <w:rPr>
          <w:b/>
          <w:bCs/>
        </w:rPr>
        <w:t xml:space="preserve">no mini-trial at this stage</w:t>
      </w:r>
      <w:r>
        <w:t xml:space="preserve">. Fraud in the </w:t>
      </w:r>
      <w:r>
        <w:rPr>
          <w:b/>
          <w:bCs/>
        </w:rPr>
        <w:t xml:space="preserve">main contract</w:t>
      </w:r>
      <w:r>
        <w:t xml:space="preserve"> is no bar, because the clause is separable. Fraud attacking the </w:t>
      </w:r>
      <w:r>
        <w:rPr>
          <w:b/>
          <w:bCs/>
        </w:rPr>
        <w:t xml:space="preserve">clause itself</w:t>
      </w:r>
      <w:r>
        <w:t xml:space="preserve"> may be.</w:t>
      </w:r>
    </w:p>
    <w:p>
      <w:pPr>
        <w:pStyle w:val="Heading2"/>
        <w:keepNext/>
        <w:spacing w:after="100" w:before="250"/>
      </w:pPr>
      <w:r>
        <w:t xml:space="preserve">Disputes that cannot be arbitrated</w:t>
      </w:r>
    </w:p>
    <w:p>
      <w:pPr>
        <w:pStyle w:val="ListParagraph"/>
        <w:numPr>
          <w:ilvl w:val="0"/>
          <w:numId w:val="9"/>
        </w:numPr>
        <w:spacing w:after="70" w:line="264"/>
        <w:jc w:val="both"/>
      </w:pPr>
      <w:r>
        <w:rPr>
          <w:b/>
          <w:bCs/>
          <w:i/>
          <w:iCs/>
        </w:rPr>
        <w:t xml:space="preserve">Emaar MGF Land v. Aftab Singh</w:t>
      </w:r>
      <w:r>
        <w:t xml:space="preserve">, (2019) 12 SCC 751 — flat buyers went to the consumer forum and Emaar sought reference. Held that </w:t>
      </w:r>
      <w:r>
        <w:rPr>
          <w:b/>
          <w:bCs/>
          <w:shd w:fill="FFF2CC" w:color="auto" w:val="clear"/>
        </w:rPr>
        <w:t xml:space="preserve">consumer disputes cannot be arbitrated.</w:t>
      </w:r>
      <w:r>
        <w:t xml:space="preserve"> The Consumer Protection Act gives a </w:t>
      </w:r>
      <w:r>
        <w:rPr>
          <w:b/>
          <w:bCs/>
        </w:rPr>
        <w:t xml:space="preserve">special, extra remedy</w:t>
      </w:r>
      <w:r>
        <w:t xml:space="preserve"> to a protected class, “in addition to and not in derogation of” other laws. The wider point: </w:t>
      </w:r>
      <w:r>
        <w:rPr>
          <w:b/>
          <w:bCs/>
        </w:rPr>
        <w:t xml:space="preserve">beneficent laws cannot be bypassed by an arbitration clause</w:t>
      </w:r>
      <w:r>
        <w:t xml:space="preserve">.</w:t>
      </w:r>
    </w:p>
    <w:p>
      <w:pPr>
        <w:pStyle w:val="ListParagraph"/>
        <w:numPr>
          <w:ilvl w:val="0"/>
          <w:numId w:val="9"/>
        </w:numPr>
        <w:spacing w:after="70" w:line="264"/>
        <w:jc w:val="both"/>
      </w:pPr>
      <w:r>
        <w:rPr>
          <w:b/>
          <w:bCs/>
          <w:i/>
          <w:iCs/>
        </w:rPr>
        <w:t xml:space="preserve">Booz Allen v. SBI Home Finance</w:t>
      </w:r>
      <w:r>
        <w:t xml:space="preserve">, (2011) 5 SCC 532 — listed the non-arbitrable categories.</w:t>
      </w:r>
    </w:p>
    <w:p>
      <w:pPr>
        <w:pStyle w:val="ListParagraph"/>
        <w:numPr>
          <w:ilvl w:val="0"/>
          <w:numId w:val="9"/>
        </w:numPr>
        <w:spacing w:after="70" w:line="264"/>
        <w:jc w:val="both"/>
      </w:pPr>
      <w:r>
        <w:rPr>
          <w:b/>
          <w:bCs/>
          <w:i/>
          <w:iCs/>
        </w:rPr>
        <w:t xml:space="preserve">Vidya Drolia v. Durga Trading</w:t>
      </w:r>
      <w:r>
        <w:t xml:space="preserve">, (2021) 2 SCC 1 — the </w:t>
      </w:r>
      <w:r>
        <w:rPr>
          <w:b/>
          <w:bCs/>
        </w:rPr>
        <w:t xml:space="preserve">fourfold test</w:t>
      </w:r>
      <w:r>
        <w:t xml:space="preserve">: (i) a right good against the whole world, </w:t>
      </w:r>
      <w:r>
        <w:rPr>
          <w:i/>
          <w:iCs/>
        </w:rPr>
        <w:t xml:space="preserve">in rem</w:t>
      </w:r>
      <w:r>
        <w:t xml:space="preserve">; (ii) affects non-parties or needs one central decision; (iii) an inalienable State function; (iv) barred by statute. </w:t>
      </w:r>
      <w:r>
        <w:rPr>
          <w:b/>
          <w:bCs/>
        </w:rPr>
        <w:t xml:space="preserve">Consumer disputes fall in limb (iv).</w:t>
      </w:r>
    </w:p>
    <w:p>
      <w:pPr>
        <w:pStyle w:val="Heading1"/>
        <w:keepNext/>
        <w:pBdr>
          <w:bottom w:val="single" w:color="1F3864" w:sz="6" w:space="4"/>
        </w:pBdr>
        <w:spacing w:after="160" w:before="420"/>
      </w:pPr>
      <w:r>
        <w:t xml:space="preserve">4.  The Arbitration Agreement — s. 7</w:t>
      </w:r>
    </w:p>
    <w:p>
      <w:pPr>
        <w:spacing w:after="120" w:line="264"/>
        <w:jc w:val="both"/>
      </w:pPr>
      <w:r>
        <w:rPr>
          <w:b/>
          <w:bCs/>
        </w:rPr>
        <w:t xml:space="preserve">Why it matters.</w:t>
      </w:r>
      <w:r>
        <w:t xml:space="preserve"> An arbitrator has no natural authority. </w:t>
      </w:r>
      <w:r>
        <w:rPr>
          <w:b/>
          <w:bCs/>
          <w:shd w:fill="FFF2CC" w:color="auto" w:val="clear"/>
        </w:rPr>
        <w:t xml:space="preserve">It comes only from the parties' consent, recorded in this agreement.</w:t>
      </w:r>
      <w:r>
        <w:t xml:space="preserve"> With no agreement there is nothing for ss. 8 or 11 to work on, and any award is made without jurisdiction.</w:t>
      </w:r>
    </w:p>
    <w:p>
      <w:pPr>
        <w:spacing w:after="70" w:line="264"/>
        <w:ind w:left="547" w:hanging="547"/>
        <w:jc w:val="both"/>
      </w:pPr>
      <w:r>
        <w:rPr>
          <w:b/>
          <w:bCs/>
        </w:rPr>
        <w:t xml:space="preserve">7(1)</w:t>
      </w:r>
      <w:r>
        <w:t xml:space="preserve"> An agreement to refer present or future disputes arising from a </w:t>
      </w:r>
      <w:r>
        <w:rPr>
          <w:b/>
          <w:bCs/>
        </w:rPr>
        <w:t xml:space="preserve">defined legal relationship, contractual or not</w:t>
      </w:r>
      <w:r>
        <w:t xml:space="preserve">.</w:t>
      </w:r>
    </w:p>
    <w:p>
      <w:pPr>
        <w:spacing w:after="70" w:line="264"/>
        <w:ind w:left="547" w:hanging="547"/>
        <w:jc w:val="both"/>
      </w:pPr>
      <w:r>
        <w:rPr>
          <w:b/>
          <w:bCs/>
        </w:rPr>
        <w:t xml:space="preserve">7(2)</w:t>
      </w:r>
      <w:r>
        <w:t xml:space="preserve"> It may be a </w:t>
      </w:r>
      <w:r>
        <w:rPr>
          <w:b/>
          <w:bCs/>
        </w:rPr>
        <w:t xml:space="preserve">clause in a contract</w:t>
      </w:r>
      <w:r>
        <w:t xml:space="preserve"> or a </w:t>
      </w:r>
      <w:r>
        <w:rPr>
          <w:b/>
          <w:bCs/>
        </w:rPr>
        <w:t xml:space="preserve">separate agreement</w:t>
      </w:r>
      <w:r>
        <w:t xml:space="preserve">. Validity is the same either way; the difference matters only for separability.</w:t>
      </w:r>
    </w:p>
    <w:p>
      <w:pPr>
        <w:spacing w:after="70" w:line="264"/>
        <w:ind w:left="547" w:hanging="547"/>
        <w:jc w:val="both"/>
      </w:pPr>
      <w:r>
        <w:rPr>
          <w:b/>
          <w:bCs/>
        </w:rPr>
        <w:t xml:space="preserve">7(3)</w:t>
      </w:r>
      <w:r>
        <w:t xml:space="preserve"> It must be </w:t>
      </w:r>
      <w:r>
        <w:rPr>
          <w:b/>
          <w:bCs/>
        </w:rPr>
        <w:t xml:space="preserve">in writing</w:t>
      </w:r>
      <w:r>
        <w:t xml:space="preserve">.</w:t>
      </w:r>
    </w:p>
    <w:p>
      <w:pPr>
        <w:spacing w:after="70" w:line="264"/>
        <w:ind w:left="547" w:hanging="547"/>
        <w:jc w:val="both"/>
      </w:pPr>
      <w:r>
        <w:rPr>
          <w:b/>
          <w:bCs/>
        </w:rPr>
        <w:t xml:space="preserve">7(4)</w:t>
      </w:r>
      <w:r>
        <w:t xml:space="preserve"> It is in writing if contained in (a) a signed document; (b) an exchange of letters, telex or other communication </w:t>
      </w:r>
      <w:r>
        <w:rPr>
          <w:b/>
          <w:bCs/>
        </w:rPr>
        <w:t xml:space="preserve">including electronic</w:t>
      </w:r>
      <w:r>
        <w:t xml:space="preserve">, which keeps a record; or (c) </w:t>
      </w:r>
      <w:r>
        <w:rPr>
          <w:b/>
          <w:bCs/>
          <w:shd w:fill="FFF2CC" w:color="auto" w:val="clear"/>
        </w:rPr>
        <w:t xml:space="preserve">an exchange of claim and defence where one party alleges the agreement and the other does not deny it.</w:t>
      </w:r>
    </w:p>
    <w:p>
      <w:pPr>
        <w:spacing w:after="70" w:line="264"/>
        <w:ind w:left="547" w:hanging="547"/>
        <w:jc w:val="both"/>
      </w:pPr>
      <w:r>
        <w:rPr>
          <w:b/>
          <w:bCs/>
        </w:rPr>
        <w:t xml:space="preserve">7(5)</w:t>
      </w:r>
      <w:r>
        <w:t xml:space="preserve"> </w:t>
      </w:r>
      <w:r>
        <w:rPr>
          <w:b/>
          <w:bCs/>
        </w:rPr>
        <w:t xml:space="preserve">Incorporation by reference.</w:t>
      </w:r>
      <w:r>
        <w:t xml:space="preserve"> A written contract referring to another document containing an arbitration clause, if the reference makes that clause part of the contract.</w:t>
      </w:r>
    </w:p>
    <w:p>
      <w:pPr>
        <w:spacing w:after="120" w:line="264"/>
        <w:jc w:val="both"/>
      </w:pPr>
      <w:r>
        <w:rPr>
          <w:b/>
          <w:bCs/>
        </w:rPr>
        <w:t xml:space="preserve">On writing.</w:t>
      </w:r>
      <w:r>
        <w:t xml:space="preserve"> The requirement is about having a </w:t>
      </w:r>
      <w:r>
        <w:rPr>
          <w:b/>
          <w:bCs/>
        </w:rPr>
        <w:t xml:space="preserve">record, not a formality</w:t>
      </w:r>
      <w:r>
        <w:t xml:space="preserve">. Email and online contracts qualify. The New York Convention, drafted in 1958, looks narrower on its face.</w:t>
      </w:r>
    </w:p>
    <w:p>
      <w:pPr>
        <w:pStyle w:val="Heading2"/>
        <w:keepNext/>
        <w:spacing w:after="100" w:before="250"/>
      </w:pPr>
      <w:r>
        <w:t xml:space="preserve">Obligation, or only a possibility?</w:t>
      </w:r>
    </w:p>
    <w:p>
      <w:pPr>
        <w:pStyle w:val="ListParagraph"/>
        <w:numPr>
          <w:ilvl w:val="0"/>
          <w:numId w:val="10"/>
        </w:numPr>
        <w:spacing w:after="70" w:line="264"/>
        <w:jc w:val="both"/>
      </w:pPr>
      <w:r>
        <w:rPr>
          <w:b/>
          <w:bCs/>
          <w:i/>
          <w:iCs/>
        </w:rPr>
        <w:t xml:space="preserve">Jagdish Chander v. Ramesh Chander</w:t>
      </w:r>
      <w:r>
        <w:t xml:space="preserve">, (2007) 5 SCC 719 — the clause said disputes “shall be referred for arbitration </w:t>
      </w:r>
      <w:r>
        <w:rPr>
          <w:b/>
          <w:bCs/>
        </w:rPr>
        <w:t xml:space="preserve">if the parties so determine</w:t>
      </w:r>
      <w:r>
        <w:t xml:space="preserve">”. Held </w:t>
      </w:r>
      <w:r>
        <w:rPr>
          <w:b/>
          <w:bCs/>
        </w:rPr>
        <w:t xml:space="preserve">not</w:t>
      </w:r>
      <w:r>
        <w:t xml:space="preserve"> an arbitration agreement. </w:t>
      </w:r>
      <w:r>
        <w:rPr>
          <w:b/>
          <w:bCs/>
          <w:shd w:fill="FFF2CC" w:color="auto" w:val="clear"/>
        </w:rPr>
        <w:t xml:space="preserve">The words must show a binding obligation to arbitrate, not a future possibility.</w:t>
      </w:r>
      <w:r>
        <w:t xml:space="preserve"> “Shall be referred to arbitration” would have been enough.</w:t>
      </w:r>
    </w:p>
    <w:p>
      <w:pPr>
        <w:pStyle w:val="ListParagraph"/>
        <w:numPr>
          <w:ilvl w:val="0"/>
          <w:numId w:val="10"/>
        </w:numPr>
        <w:spacing w:after="70" w:line="264"/>
        <w:jc w:val="both"/>
      </w:pPr>
      <w:r>
        <w:rPr>
          <w:b/>
          <w:bCs/>
          <w:i/>
          <w:iCs/>
        </w:rPr>
        <w:t xml:space="preserve">Wellington Associates v. Kirit Mehta</w:t>
      </w:r>
      <w:r>
        <w:t xml:space="preserve">, (2000) 4 SCC 272 — “</w:t>
      </w:r>
      <w:r>
        <w:rPr>
          <w:b/>
          <w:bCs/>
        </w:rPr>
        <w:t xml:space="preserve">may</w:t>
      </w:r>
      <w:r>
        <w:t xml:space="preserve"> be referred to arbitration” is merely permissive, and is not an agreement.</w:t>
      </w:r>
    </w:p>
    <w:p>
      <w:pPr>
        <w:spacing w:after="120" w:line="264"/>
        <w:jc w:val="both"/>
      </w:pPr>
      <w:r>
        <w:rPr>
          <w:b/>
          <w:bCs/>
        </w:rPr>
        <w:t xml:space="preserve">Four essential attributes:</w:t>
      </w:r>
      <w:r>
        <w:t xml:space="preserve"> (a) in writing; (b) reference to a </w:t>
      </w:r>
      <w:r>
        <w:rPr>
          <w:b/>
          <w:bCs/>
        </w:rPr>
        <w:t xml:space="preserve">private tribunal</w:t>
      </w:r>
      <w:r>
        <w:t xml:space="preserve">; (c) that tribunal to decide </w:t>
      </w:r>
      <w:r>
        <w:rPr>
          <w:b/>
          <w:bCs/>
        </w:rPr>
        <w:t xml:space="preserve">impartially</w:t>
      </w:r>
      <w:r>
        <w:t xml:space="preserve"> after hearing both sides; (d) the decision to be </w:t>
      </w:r>
      <w:r>
        <w:rPr>
          <w:b/>
          <w:bCs/>
        </w:rPr>
        <w:t xml:space="preserve">binding</w:t>
      </w:r>
      <w:r>
        <w:t xml:space="preserve">.</w:t>
      </w:r>
    </w:p>
    <w:p>
      <w:pPr>
        <w:spacing w:after="120" w:line="264"/>
        <w:jc w:val="both"/>
      </w:pPr>
      <w:r>
        <w:rPr>
          <w:b/>
          <w:bCs/>
        </w:rPr>
        <w:t xml:space="preserve">No prescribed form.</w:t>
      </w:r>
      <w:r>
        <w:t xml:space="preserve"> The words “arbitration” and “arbitrator” need not appear. It is </w:t>
      </w:r>
      <w:r>
        <w:rPr>
          <w:b/>
          <w:bCs/>
        </w:rPr>
        <w:t xml:space="preserve">not</w:t>
      </w:r>
      <w:r>
        <w:t xml:space="preserve"> an arbitration agreement if it allows a decision </w:t>
      </w:r>
      <w:r>
        <w:rPr>
          <w:b/>
          <w:bCs/>
        </w:rPr>
        <w:t xml:space="preserve">without a hearing</w:t>
      </w:r>
      <w:r>
        <w:t xml:space="preserve">, requires acting for </w:t>
      </w:r>
      <w:r>
        <w:rPr>
          <w:b/>
          <w:bCs/>
        </w:rPr>
        <w:t xml:space="preserve">one party only</w:t>
      </w:r>
      <w:r>
        <w:t xml:space="preserve">, says the decision is </w:t>
      </w:r>
      <w:r>
        <w:rPr>
          <w:b/>
          <w:bCs/>
        </w:rPr>
        <w:t xml:space="preserve">not binding</w:t>
      </w:r>
      <w:r>
        <w:t xml:space="preserve">, or lets a party </w:t>
      </w:r>
      <w:r>
        <w:rPr>
          <w:b/>
          <w:bCs/>
        </w:rPr>
        <w:t xml:space="preserve">file a civil suit</w:t>
      </w:r>
      <w:r>
        <w:t xml:space="preserve"> anyway. </w:t>
      </w:r>
      <w:r>
        <w:rPr>
          <w:b/>
          <w:bCs/>
          <w:shd w:fill="FFF2CC" w:color="auto" w:val="clear"/>
        </w:rPr>
        <w:t xml:space="preserve">Look at the substance, not the label.</w:t>
      </w:r>
    </w:p>
    <w:p>
      <w:pPr>
        <w:pStyle w:val="Heading2"/>
        <w:keepNext/>
        <w:spacing w:after="100" w:before="250"/>
      </w:pPr>
      <w:r>
        <w:t xml:space="preserve">Two recent decisions</w:t>
      </w:r>
    </w:p>
    <w:p>
      <w:pPr>
        <w:pStyle w:val="ListParagraph"/>
        <w:numPr>
          <w:ilvl w:val="0"/>
          <w:numId w:val="11"/>
        </w:numPr>
        <w:spacing w:after="70" w:line="264"/>
        <w:jc w:val="both"/>
      </w:pPr>
      <w:r>
        <w:rPr>
          <w:b/>
          <w:bCs/>
          <w:i/>
          <w:iCs/>
        </w:rPr>
        <w:t xml:space="preserve">In Re: Interplay</w:t>
      </w:r>
      <w:r>
        <w:t xml:space="preserve"> (stamping), 2023 INSC 1066 (7 Judges, 13 December 2023) — </w:t>
      </w:r>
      <w:r>
        <w:rPr>
          <w:b/>
          <w:bCs/>
          <w:shd w:fill="FFF2CC" w:color="auto" w:val="clear"/>
        </w:rPr>
        <w:t xml:space="preserve">an unstamped document is inadmissible but not void, the defect is curable, and stamping is for the tribunal.</w:t>
      </w:r>
      <w:r>
        <w:t xml:space="preserve"> It </w:t>
      </w:r>
      <w:r>
        <w:rPr>
          <w:b/>
          <w:bCs/>
        </w:rPr>
        <w:t xml:space="preserve">overruled</w:t>
      </w:r>
      <w:r>
        <w:t xml:space="preserve"> </w:t>
      </w:r>
      <w:r>
        <w:rPr>
          <w:b/>
          <w:bCs/>
          <w:i/>
          <w:iCs/>
        </w:rPr>
        <w:t xml:space="preserve">N.N. Global</w:t>
      </w:r>
      <w:r>
        <w:t xml:space="preserve">, (2023) 7 SCC 1, </w:t>
      </w:r>
      <w:r>
        <w:rPr>
          <w:b/>
          <w:bCs/>
          <w:i/>
          <w:iCs/>
        </w:rPr>
        <w:t xml:space="preserve">SMS Tea Estates</w:t>
      </w:r>
      <w:r>
        <w:t xml:space="preserve">, (2011) 14 SCC 66, and paragraphs 22 and 29 of </w:t>
      </w:r>
      <w:r>
        <w:rPr>
          <w:b/>
          <w:bCs/>
          <w:i/>
          <w:iCs/>
        </w:rPr>
        <w:t xml:space="preserve">Garware Wall Ropes</w:t>
      </w:r>
      <w:r>
        <w:t xml:space="preserve">, (2019) 9 SCC 209.</w:t>
      </w:r>
    </w:p>
    <w:p>
      <w:pPr>
        <w:pStyle w:val="ListParagraph"/>
        <w:numPr>
          <w:ilvl w:val="0"/>
          <w:numId w:val="11"/>
        </w:numPr>
        <w:spacing w:after="70" w:line="264"/>
        <w:jc w:val="both"/>
      </w:pPr>
      <w:r>
        <w:rPr>
          <w:b/>
          <w:bCs/>
          <w:i/>
          <w:iCs/>
        </w:rPr>
        <w:t xml:space="preserve">Cox and Kings v. SAP India</w:t>
      </w:r>
      <w:r>
        <w:t xml:space="preserve">, 2023 INSC 1051 (Constitution Bench of 5, 6 December 2023) — the </w:t>
      </w:r>
      <w:r>
        <w:rPr>
          <w:b/>
          <w:bCs/>
        </w:rPr>
        <w:t xml:space="preserve">group of companies doctrine</w:t>
      </w:r>
      <w:r>
        <w:t xml:space="preserve"> is accepted, based on “parties” in s. 2(1)(h) with s. 7 and on the intention to bind a non-signatory. The tribunal decides who is bound.</w:t>
      </w:r>
    </w:p>
    <w:p>
      <w:pPr>
        <w:pStyle w:val="Heading1"/>
        <w:keepNext/>
        <w:pBdr>
          <w:bottom w:val="single" w:color="1F3864" w:sz="6" w:space="4"/>
        </w:pBdr>
        <w:spacing w:after="160" w:before="420"/>
      </w:pPr>
      <w:r>
        <w:t xml:space="preserve">5.  Interim Measures — ss. 9 and 17</w:t>
      </w:r>
    </w:p>
    <w:p>
      <w:pPr>
        <w:pStyle w:val="Heading2"/>
        <w:keepNext/>
        <w:spacing w:after="100" w:before="250"/>
      </w:pPr>
      <w:r>
        <w:t xml:space="preserve">Section 9, from the court</w:t>
      </w:r>
    </w:p>
    <w:p>
      <w:pPr>
        <w:spacing w:after="120" w:line="264"/>
        <w:jc w:val="both"/>
      </w:pPr>
      <w:r>
        <w:t xml:space="preserve">Available </w:t>
      </w:r>
      <w:r>
        <w:rPr>
          <w:b/>
          <w:bCs/>
        </w:rPr>
        <w:t xml:space="preserve">before, during, or after the award but before enforcement</w:t>
      </w:r>
      <w:r>
        <w:t xml:space="preserve"> under s. 36. Relief is either a guardian for a minor or person of unsound mind, or protection in respect of —</w:t>
      </w:r>
    </w:p>
    <w:p>
      <w:pPr>
        <w:pStyle w:val="ListParagraph"/>
        <w:numPr>
          <w:ilvl w:val="0"/>
          <w:numId w:val="12"/>
        </w:numPr>
        <w:spacing w:after="70" w:line="264"/>
        <w:jc w:val="both"/>
      </w:pPr>
      <w:r>
        <w:t xml:space="preserve">custody, preservation or sale of goods under the agreement;</w:t>
      </w:r>
    </w:p>
    <w:p>
      <w:pPr>
        <w:pStyle w:val="ListParagraph"/>
        <w:numPr>
          <w:ilvl w:val="0"/>
          <w:numId w:val="12"/>
        </w:numPr>
        <w:spacing w:after="70" w:line="264"/>
        <w:jc w:val="both"/>
      </w:pPr>
      <w:r>
        <w:rPr>
          <w:b/>
          <w:bCs/>
        </w:rPr>
        <w:t xml:space="preserve">securing the amount in dispute</w:t>
      </w:r>
      <w:r>
        <w:t xml:space="preserve">;</w:t>
      </w:r>
    </w:p>
    <w:p>
      <w:pPr>
        <w:pStyle w:val="ListParagraph"/>
        <w:numPr>
          <w:ilvl w:val="0"/>
          <w:numId w:val="12"/>
        </w:numPr>
        <w:spacing w:after="70" w:line="264"/>
        <w:jc w:val="both"/>
      </w:pPr>
      <w:r>
        <w:t xml:space="preserve">detention, preservation or inspection of property, with power to enter land and take samples;</w:t>
      </w:r>
    </w:p>
    <w:p>
      <w:pPr>
        <w:pStyle w:val="ListParagraph"/>
        <w:numPr>
          <w:ilvl w:val="0"/>
          <w:numId w:val="12"/>
        </w:numPr>
        <w:spacing w:after="70" w:line="264"/>
        <w:jc w:val="both"/>
      </w:pPr>
      <w:r>
        <w:t xml:space="preserve">an </w:t>
      </w:r>
      <w:r>
        <w:rPr>
          <w:b/>
          <w:bCs/>
        </w:rPr>
        <w:t xml:space="preserve">interim injunction or a receiver</w:t>
      </w:r>
      <w:r>
        <w:t xml:space="preserve">;</w:t>
      </w:r>
    </w:p>
    <w:p>
      <w:pPr>
        <w:pStyle w:val="ListParagraph"/>
        <w:numPr>
          <w:ilvl w:val="0"/>
          <w:numId w:val="12"/>
        </w:numPr>
        <w:spacing w:after="70" w:line="264"/>
        <w:jc w:val="both"/>
      </w:pPr>
      <w:r>
        <w:t xml:space="preserve">any other measure that is </w:t>
      </w:r>
      <w:r>
        <w:rPr>
          <w:b/>
          <w:bCs/>
        </w:rPr>
        <w:t xml:space="preserve">just and convenient</w:t>
      </w:r>
      <w:r>
        <w:t xml:space="preserve">, which is the catch-all.</w:t>
      </w:r>
    </w:p>
    <w:p>
      <w:pPr>
        <w:spacing w:after="70" w:line="264"/>
        <w:ind w:left="547" w:hanging="547"/>
        <w:jc w:val="both"/>
      </w:pPr>
      <w:r>
        <w:rPr>
          <w:b/>
          <w:bCs/>
        </w:rPr>
        <w:t xml:space="preserve">9(2)</w:t>
      </w:r>
      <w:r>
        <w:t xml:space="preserve"> After a pre-arbitration order, </w:t>
      </w:r>
      <w:r>
        <w:rPr>
          <w:b/>
          <w:bCs/>
          <w:shd w:fill="FFF2CC" w:color="auto" w:val="clear"/>
        </w:rPr>
        <w:t xml:space="preserve">the arbitration must be started within ninety days,</w:t>
      </w:r>
      <w:r>
        <w:t xml:space="preserve"> or any longer period the court allows.</w:t>
      </w:r>
    </w:p>
    <w:p>
      <w:pPr>
        <w:spacing w:after="70" w:line="264"/>
        <w:ind w:left="547" w:hanging="547"/>
        <w:jc w:val="both"/>
      </w:pPr>
      <w:r>
        <w:rPr>
          <w:b/>
          <w:bCs/>
        </w:rPr>
        <w:t xml:space="preserve">9(3)</w:t>
      </w:r>
      <w:r>
        <w:t xml:space="preserve"> </w:t>
      </w:r>
      <w:r>
        <w:rPr>
          <w:b/>
          <w:bCs/>
          <w:shd w:fill="FFF2CC" w:color="auto" w:val="clear"/>
        </w:rPr>
        <w:t xml:space="preserve">Once the tribunal exists, the court will not hear a s. 9 application unless the s. 17 remedy would not work.</w:t>
      </w:r>
    </w:p>
    <w:p>
      <w:pPr>
        <w:spacing w:after="120" w:line="264"/>
        <w:jc w:val="both"/>
      </w:pPr>
      <w:r>
        <w:rPr>
          <w:b/>
          <w:bCs/>
          <w:i/>
          <w:iCs/>
        </w:rPr>
        <w:t xml:space="preserve">Sundaram Finance v. NEPC India</w:t>
      </w:r>
      <w:r>
        <w:t xml:space="preserve">, (1999) 2 SCC 479 — hire-purchase default, and a s. 9 order for custody of wind turbines before any arbitrator was appointed. Held </w:t>
      </w:r>
      <w:r>
        <w:rPr>
          <w:b/>
          <w:bCs/>
        </w:rPr>
        <w:t xml:space="preserve">maintainable</w:t>
      </w:r>
      <w:r>
        <w:t xml:space="preserve">: relief is available </w:t>
      </w:r>
      <w:r>
        <w:rPr>
          <w:b/>
          <w:bCs/>
        </w:rPr>
        <w:t xml:space="preserve">before</w:t>
      </w:r>
      <w:r>
        <w:t xml:space="preserve"> the arbitration starts, and no s. 21 notice is needed first. </w:t>
      </w:r>
      <w:r>
        <w:rPr>
          <w:b/>
          <w:bCs/>
          <w:shd w:fill="FFF2CC" w:color="auto" w:val="clear"/>
        </w:rPr>
        <w:t xml:space="preserve">What is required is a manifest intention to arbitrate.</w:t>
      </w:r>
      <w:r>
        <w:t xml:space="preserve"> The court may attach conditions. </w:t>
      </w:r>
      <w:r>
        <w:rPr>
          <w:b/>
          <w:bCs/>
          <w:i/>
          <w:iCs/>
        </w:rPr>
        <w:t xml:space="preserve">Firm Ashok Traders</w:t>
      </w:r>
      <w:r>
        <w:t xml:space="preserve">, (2004) 3 SCC 155 — the s. 9 right is </w:t>
      </w:r>
      <w:r>
        <w:rPr>
          <w:b/>
          <w:bCs/>
        </w:rPr>
        <w:t xml:space="preserve">statutory, not contractual</w:t>
      </w:r>
      <w:r>
        <w:t xml:space="preserve">, and only a party may use it.</w:t>
      </w:r>
    </w:p>
    <w:p>
      <w:pPr>
        <w:pStyle w:val="Heading2"/>
        <w:keepNext/>
        <w:spacing w:after="100" w:before="250"/>
      </w:pPr>
      <w:r>
        <w:t xml:space="preserve">Section 17, from the tribunal</w:t>
      </w:r>
    </w:p>
    <w:p>
      <w:pPr>
        <w:pStyle w:val="ListParagraph"/>
        <w:numPr>
          <w:ilvl w:val="0"/>
          <w:numId w:val="13"/>
        </w:numPr>
        <w:spacing w:after="70" w:line="264"/>
        <w:jc w:val="both"/>
      </w:pPr>
      <w:r>
        <w:rPr>
          <w:b/>
          <w:bCs/>
        </w:rPr>
        <w:t xml:space="preserve">Before 2015</w:t>
      </w:r>
      <w:r>
        <w:t xml:space="preserve"> the tribunal could order protection, but </w:t>
      </w:r>
      <w:r>
        <w:rPr>
          <w:b/>
          <w:bCs/>
          <w:shd w:fill="FFF2CC" w:color="auto" w:val="clear"/>
        </w:rPr>
        <w:t xml:space="preserve">it had no way to enforce its own orders,</w:t>
      </w:r>
      <w:r>
        <w:t xml:space="preserve"> so they were always overtaken by court orders.</w:t>
      </w:r>
    </w:p>
    <w:p>
      <w:pPr>
        <w:pStyle w:val="ListParagraph"/>
        <w:numPr>
          <w:ilvl w:val="0"/>
          <w:numId w:val="13"/>
        </w:numPr>
        <w:spacing w:after="70" w:line="264"/>
        <w:jc w:val="both"/>
      </w:pPr>
      <w:r>
        <w:rPr>
          <w:b/>
          <w:bCs/>
        </w:rPr>
        <w:t xml:space="preserve">After 2015</w:t>
      </w:r>
      <w:r>
        <w:t xml:space="preserve"> the tribunal's powers are the </w:t>
      </w:r>
      <w:r>
        <w:rPr>
          <w:b/>
          <w:bCs/>
        </w:rPr>
        <w:t xml:space="preserve">same as the court's</w:t>
      </w:r>
      <w:r>
        <w:t xml:space="preserve">, and </w:t>
      </w:r>
      <w:r>
        <w:rPr>
          <w:b/>
          <w:bCs/>
        </w:rPr>
        <w:t xml:space="preserve">s. 17(2)</w:t>
      </w:r>
      <w:r>
        <w:t xml:space="preserve"> makes its order </w:t>
      </w:r>
      <w:r>
        <w:rPr>
          <w:b/>
          <w:bCs/>
          <w:shd w:fill="FFF2CC" w:color="auto" w:val="clear"/>
        </w:rPr>
        <w:t xml:space="preserve">deemed a court order, enforceable in the same way under the CPC.</w:t>
      </w:r>
    </w:p>
    <w:p>
      <w:pPr>
        <w:pStyle w:val="ListParagraph"/>
        <w:numPr>
          <w:ilvl w:val="0"/>
          <w:numId w:val="13"/>
        </w:numPr>
        <w:spacing w:after="70" w:line="264"/>
        <w:jc w:val="both"/>
      </w:pPr>
      <w:r>
        <w:rPr>
          <w:b/>
          <w:bCs/>
        </w:rPr>
        <w:t xml:space="preserve">One limit.</w:t>
      </w:r>
      <w:r>
        <w:t xml:space="preserve"> S. 17 works only </w:t>
      </w:r>
      <w:r>
        <w:rPr>
          <w:b/>
          <w:bCs/>
        </w:rPr>
        <w:t xml:space="preserve">during the proceedings</w:t>
      </w:r>
      <w:r>
        <w:t xml:space="preserve">. After the award the tribunal is </w:t>
      </w:r>
      <w:r>
        <w:rPr>
          <w:i/>
          <w:iCs/>
        </w:rPr>
        <w:t xml:space="preserve">functus officio</w:t>
      </w:r>
      <w:r>
        <w:t xml:space="preserve">, so the party must return to the court under s. 9. </w:t>
      </w:r>
      <w:r>
        <w:rPr>
          <w:b/>
          <w:bCs/>
        </w:rPr>
        <w:t xml:space="preserve">This is the role s. 9 still keeps.</w:t>
      </w:r>
    </w:p>
    <w:p>
      <w:pPr>
        <w:spacing w:after="120" w:line="264"/>
        <w:jc w:val="both"/>
      </w:pPr>
      <w:r>
        <w:rPr>
          <w:b/>
          <w:bCs/>
        </w:rPr>
        <w:t xml:space="preserve">Appeals.</w:t>
      </w:r>
      <w:r>
        <w:t xml:space="preserve"> A s. 9 order goes to </w:t>
      </w:r>
      <w:r>
        <w:rPr>
          <w:b/>
          <w:bCs/>
        </w:rPr>
        <w:t xml:space="preserve">s. 37(1)(b)</w:t>
      </w:r>
      <w:r>
        <w:t xml:space="preserve">; a s. 17 order to </w:t>
      </w:r>
      <w:r>
        <w:rPr>
          <w:b/>
          <w:bCs/>
        </w:rPr>
        <w:t xml:space="preserve">s. 37(2)(b)</w:t>
      </w:r>
      <w:r>
        <w:t xml:space="preserve">.</w:t>
      </w:r>
    </w:p>
    <w:p>
      <w:pPr>
        <w:pStyle w:val="Heading1"/>
        <w:keepNext/>
        <w:pBdr>
          <w:bottom w:val="single" w:color="1F3864" w:sz="6" w:space="4"/>
        </w:pBdr>
        <w:spacing w:after="160" w:before="420"/>
      </w:pPr>
      <w:r>
        <w:t xml:space="preserve">6.  Number of Arbitrators — s. 10</w:t>
      </w:r>
    </w:p>
    <w:p>
      <w:pPr>
        <w:spacing w:after="70" w:line="264"/>
        <w:ind w:left="547" w:hanging="547"/>
        <w:jc w:val="both"/>
      </w:pPr>
      <w:r>
        <w:rPr>
          <w:b/>
          <w:bCs/>
        </w:rPr>
        <w:t xml:space="preserve">10(1)</w:t>
      </w:r>
      <w:r>
        <w:t xml:space="preserve"> The parties fix the number, </w:t>
      </w:r>
      <w:r>
        <w:rPr>
          <w:b/>
          <w:bCs/>
          <w:shd w:fill="FFF2CC" w:color="auto" w:val="clear"/>
        </w:rPr>
        <w:t xml:space="preserve">but it must not be an even number,</w:t>
      </w:r>
      <w:r>
        <w:t xml:space="preserve"> because an even panel may deadlock.</w:t>
      </w:r>
    </w:p>
    <w:p>
      <w:pPr>
        <w:spacing w:after="70" w:line="264"/>
        <w:ind w:left="547" w:hanging="547"/>
        <w:jc w:val="both"/>
      </w:pPr>
      <w:r>
        <w:rPr>
          <w:b/>
          <w:bCs/>
        </w:rPr>
        <w:t xml:space="preserve">10(2)</w:t>
      </w:r>
      <w:r>
        <w:t xml:space="preserve"> If they fix nothing, there is a </w:t>
      </w:r>
      <w:r>
        <w:rPr>
          <w:b/>
          <w:bCs/>
        </w:rPr>
        <w:t xml:space="preserve">sole arbitrator</w:t>
      </w:r>
      <w:r>
        <w:t xml:space="preserve">. </w:t>
      </w:r>
      <w:r>
        <w:rPr>
          <w:b/>
          <w:bCs/>
          <w:shd w:fill="FFF2CC" w:color="auto" w:val="clear"/>
        </w:rPr>
        <w:t xml:space="preserve">India's default is one; the Model Law's default is three.</w:t>
      </w:r>
    </w:p>
    <w:p>
      <w:pPr>
        <w:spacing w:after="120" w:line="264"/>
        <w:jc w:val="both"/>
      </w:pPr>
      <w:r>
        <w:t xml:space="preserve">Where three are appointed, the third is the </w:t>
      </w:r>
      <w:r>
        <w:rPr>
          <w:b/>
          <w:bCs/>
        </w:rPr>
        <w:t xml:space="preserve">presiding arbitrator</w:t>
      </w:r>
      <w:r>
        <w:t xml:space="preserve">. </w:t>
      </w:r>
      <w:r>
        <w:rPr>
          <w:b/>
          <w:bCs/>
        </w:rPr>
        <w:t xml:space="preserve">He is not an umpire.</w:t>
      </w:r>
      <w:r>
        <w:t xml:space="preserve"> He sits and decides with the other two, and his view prevails if there is no majority.</w:t>
      </w:r>
    </w:p>
    <w:p>
      <w:pPr>
        <w:spacing w:after="120" w:line="264"/>
        <w:jc w:val="both"/>
      </w:pPr>
      <w:r>
        <w:rPr>
          <w:b/>
          <w:bCs/>
          <w:i/>
          <w:iCs/>
        </w:rPr>
        <w:t xml:space="preserve">Narayan Prasad Lohia v. Nikunj Kumar Lohia</w:t>
      </w:r>
      <w:r>
        <w:t xml:space="preserve">, (2002) 3 SCC 572 (3 Judges) — family disputes were referred to </w:t>
      </w:r>
      <w:r>
        <w:rPr>
          <w:b/>
          <w:bCs/>
        </w:rPr>
        <w:t xml:space="preserve">two</w:t>
      </w:r>
      <w:r>
        <w:t xml:space="preserve"> arbitrators, and the award was challenged for breaching s. 10. Held that </w:t>
      </w:r>
      <w:r>
        <w:rPr>
          <w:b/>
          <w:bCs/>
          <w:shd w:fill="FFF2CC" w:color="auto" w:val="clear"/>
        </w:rPr>
        <w:t xml:space="preserve">s. 10 is derogable and the award is valid.</w:t>
      </w:r>
      <w:r>
        <w:t xml:space="preserve"> Under </w:t>
      </w:r>
      <w:r>
        <w:rPr>
          <w:b/>
          <w:bCs/>
        </w:rPr>
        <w:t xml:space="preserve">s. 34(2)(a)(v)</w:t>
      </w:r>
      <w:r>
        <w:t xml:space="preserve"> the words “failing such agreement” apply only where the parties agreed nothing about composition. Here they had agreed on two, and that was followed. The Court added that a competence objection must be taken under </w:t>
      </w:r>
      <w:r>
        <w:rPr>
          <w:b/>
          <w:bCs/>
        </w:rPr>
        <w:t xml:space="preserve">s. 16(2)</w:t>
      </w:r>
      <w:r>
        <w:t xml:space="preserve"> by the statement of defence, or it is waived under s. 4. Followed in </w:t>
      </w:r>
      <w:r>
        <w:rPr>
          <w:b/>
          <w:bCs/>
          <w:i/>
          <w:iCs/>
        </w:rPr>
        <w:t xml:space="preserve">Quippo Construction</w:t>
      </w:r>
      <w:r>
        <w:t xml:space="preserve">, (2020) 18 SCC 277.</w:t>
      </w:r>
    </w:p>
    <w:p>
      <w:pPr>
        <w:spacing w:after="120" w:line="264"/>
        <w:jc w:val="both"/>
      </w:pPr>
      <w:r>
        <w:rPr>
          <w:b/>
          <w:bCs/>
        </w:rPr>
        <w:t xml:space="preserve">Test for a non-derogable provision.</w:t>
      </w:r>
      <w:r>
        <w:t xml:space="preserve"> </w:t>
      </w:r>
      <w:r>
        <w:rPr>
          <w:b/>
          <w:bCs/>
          <w:shd w:fill="FFF2CC" w:color="auto" w:val="clear"/>
        </w:rPr>
        <w:t xml:space="preserve">Not how strong the language sounds, but whether the Act lets the parties agree otherwise.</w:t>
      </w:r>
    </w:p>
    <w:p>
      <w:pPr>
        <w:pStyle w:val="Heading1"/>
        <w:keepNext/>
        <w:pBdr>
          <w:bottom w:val="single" w:color="1F3864" w:sz="6" w:space="4"/>
        </w:pBdr>
        <w:spacing w:after="160" w:before="420"/>
      </w:pPr>
      <w:r>
        <w:t xml:space="preserve">7.  Appointment of Arbitrators — s. 11</w:t>
      </w:r>
    </w:p>
    <w:p>
      <w:pPr>
        <w:spacing w:after="120" w:line="264"/>
        <w:jc w:val="both"/>
      </w:pPr>
      <w:r>
        <w:rPr>
          <w:b/>
          <w:bCs/>
        </w:rPr>
        <w:t xml:space="preserve">When it is used.</w:t>
      </w:r>
      <w:r>
        <w:t xml:space="preserve"> The parties made no provision, their machinery broke down, or an arbitrator must be replaced. Under s. 15(2) a replacement follows the same route as the original.</w:t>
      </w:r>
    </w:p>
    <w:p>
      <w:pPr>
        <w:spacing w:after="70" w:line="264"/>
        <w:ind w:left="547" w:hanging="547"/>
        <w:jc w:val="both"/>
      </w:pPr>
      <w:r>
        <w:rPr>
          <w:b/>
          <w:bCs/>
        </w:rPr>
        <w:t xml:space="preserve">11(1)</w:t>
      </w:r>
      <w:r>
        <w:t xml:space="preserve"> Any </w:t>
      </w:r>
      <w:r>
        <w:rPr>
          <w:b/>
          <w:bCs/>
        </w:rPr>
        <w:t xml:space="preserve">nationality</w:t>
      </w:r>
      <w:r>
        <w:t xml:space="preserve"> is allowed, unless otherwise agreed.</w:t>
      </w:r>
    </w:p>
    <w:p>
      <w:pPr>
        <w:spacing w:after="70" w:line="264"/>
        <w:ind w:left="547" w:hanging="547"/>
        <w:jc w:val="both"/>
      </w:pPr>
      <w:r>
        <w:rPr>
          <w:b/>
          <w:bCs/>
        </w:rPr>
        <w:t xml:space="preserve">11(2)</w:t>
      </w:r>
      <w:r>
        <w:t xml:space="preserve"> The parties are free to agree the procedure, subject to (6).</w:t>
      </w:r>
    </w:p>
    <w:p>
      <w:pPr>
        <w:spacing w:after="70" w:line="264"/>
        <w:ind w:left="547" w:hanging="547"/>
        <w:jc w:val="both"/>
      </w:pPr>
      <w:r>
        <w:rPr>
          <w:b/>
          <w:bCs/>
        </w:rPr>
        <w:t xml:space="preserve">11(3)</w:t>
      </w:r>
      <w:r>
        <w:t xml:space="preserve"> Failing that, for three arbitrators: one each, and those two pick the third as </w:t>
      </w:r>
      <w:r>
        <w:rPr>
          <w:b/>
          <w:bCs/>
        </w:rPr>
        <w:t xml:space="preserve">presiding arbitrator</w:t>
      </w:r>
      <w:r>
        <w:t xml:space="preserve">.</w:t>
      </w:r>
    </w:p>
    <w:p>
      <w:pPr>
        <w:spacing w:after="70" w:line="264"/>
        <w:ind w:left="547" w:hanging="547"/>
        <w:jc w:val="both"/>
      </w:pPr>
      <w:r>
        <w:rPr>
          <w:b/>
          <w:bCs/>
        </w:rPr>
        <w:t xml:space="preserve">11(3A)</w:t>
      </w:r>
      <w:r>
        <w:t xml:space="preserve"> The Supreme Court and High Courts may </w:t>
      </w:r>
      <w:r>
        <w:rPr>
          <w:b/>
          <w:bCs/>
        </w:rPr>
        <w:t xml:space="preserve">designate graded arbitral institutions</w:t>
      </w:r>
      <w:r>
        <w:t xml:space="preserve"> (added 2019).</w:t>
      </w:r>
    </w:p>
    <w:p>
      <w:pPr>
        <w:spacing w:after="70" w:line="264"/>
        <w:ind w:left="547" w:hanging="547"/>
        <w:jc w:val="both"/>
      </w:pPr>
      <w:r>
        <w:rPr>
          <w:b/>
          <w:bCs/>
        </w:rPr>
        <w:t xml:space="preserve">11(4)</w:t>
      </w:r>
      <w:r>
        <w:t xml:space="preserve"> If a party does not appoint within </w:t>
      </w:r>
      <w:r>
        <w:rPr>
          <w:b/>
          <w:bCs/>
        </w:rPr>
        <w:t xml:space="preserve">thirty days</w:t>
      </w:r>
      <w:r>
        <w:t xml:space="preserve"> of request, or the two cannot agree on the third within thirty days, a party may apply. </w:t>
      </w:r>
      <w:r>
        <w:rPr>
          <w:b/>
          <w:bCs/>
        </w:rPr>
        <w:t xml:space="preserve">The Supreme Court's designated authority for ICA, the High Court's for others.</w:t>
      </w:r>
    </w:p>
    <w:p>
      <w:pPr>
        <w:spacing w:after="70" w:line="264"/>
        <w:ind w:left="547" w:hanging="547"/>
        <w:jc w:val="both"/>
      </w:pPr>
      <w:r>
        <w:rPr>
          <w:b/>
          <w:bCs/>
        </w:rPr>
        <w:t xml:space="preserve">11(5)</w:t>
      </w:r>
      <w:r>
        <w:t xml:space="preserve"> Sole arbitrator: if there is no agreement within </w:t>
      </w:r>
      <w:r>
        <w:rPr>
          <w:b/>
          <w:bCs/>
        </w:rPr>
        <w:t xml:space="preserve">thirty days</w:t>
      </w:r>
      <w:r>
        <w:t xml:space="preserve"> of a request, the appointment is made as under (4).</w:t>
      </w:r>
    </w:p>
    <w:p>
      <w:pPr>
        <w:spacing w:after="70" w:line="264"/>
        <w:ind w:left="547" w:hanging="547"/>
        <w:jc w:val="both"/>
      </w:pPr>
      <w:r>
        <w:rPr>
          <w:b/>
          <w:bCs/>
        </w:rPr>
        <w:t xml:space="preserve">11(6)</w:t>
      </w:r>
      <w:r>
        <w:t xml:space="preserve"> The agreed procedure fails because (a) a party does not act, (b) the parties or the two appointees do not agree, or (c) a person or institution does not perform. </w:t>
      </w:r>
      <w:r>
        <w:rPr>
          <w:b/>
          <w:bCs/>
        </w:rPr>
        <w:t xml:space="preserve">Clause (c) is the catch-all.</w:t>
      </w:r>
    </w:p>
    <w:p>
      <w:pPr>
        <w:spacing w:after="70" w:line="264"/>
        <w:ind w:left="547" w:hanging="547"/>
        <w:jc w:val="both"/>
      </w:pPr>
      <w:r>
        <w:rPr>
          <w:b/>
          <w:bCs/>
        </w:rPr>
        <w:t xml:space="preserve">11(6A)</w:t>
      </w:r>
      <w:r>
        <w:t xml:space="preserve"> </w:t>
      </w:r>
      <w:r>
        <w:rPr>
          <w:b/>
          <w:bCs/>
          <w:shd w:fill="FFF2CC" w:color="auto" w:val="clear"/>
        </w:rPr>
        <w:t xml:space="preserve">The court must look only at whether an arbitration agreement exists</w:t>
      </w:r>
      <w:r>
        <w:t xml:space="preserve"> (added 2015).</w:t>
      </w:r>
    </w:p>
    <w:p>
      <w:pPr>
        <w:spacing w:after="70" w:line="264"/>
        <w:ind w:left="547" w:hanging="547"/>
        <w:jc w:val="both"/>
      </w:pPr>
      <w:r>
        <w:rPr>
          <w:b/>
          <w:bCs/>
        </w:rPr>
        <w:t xml:space="preserve">11(6B)</w:t>
      </w:r>
      <w:r>
        <w:t xml:space="preserve"> Designation is </w:t>
      </w:r>
      <w:r>
        <w:rPr>
          <w:b/>
          <w:bCs/>
        </w:rPr>
        <w:t xml:space="preserve">not a delegation of judicial power</w:t>
      </w:r>
      <w:r>
        <w:t xml:space="preserve">.</w:t>
      </w:r>
    </w:p>
    <w:p>
      <w:pPr>
        <w:spacing w:after="70" w:line="264"/>
        <w:ind w:left="547" w:hanging="547"/>
        <w:jc w:val="both"/>
      </w:pPr>
      <w:r>
        <w:rPr>
          <w:b/>
          <w:bCs/>
        </w:rPr>
        <w:t xml:space="preserve">11(7)</w:t>
      </w:r>
      <w:r>
        <w:t xml:space="preserve"> The decision is </w:t>
      </w:r>
      <w:r>
        <w:rPr>
          <w:b/>
          <w:bCs/>
        </w:rPr>
        <w:t xml:space="preserve">final</w:t>
      </w:r>
      <w:r>
        <w:t xml:space="preserve">, and no appeal lies, including a Letters Patent Appeal.</w:t>
      </w:r>
    </w:p>
    <w:p>
      <w:pPr>
        <w:spacing w:after="70" w:line="264"/>
        <w:ind w:left="547" w:hanging="547"/>
        <w:jc w:val="both"/>
      </w:pPr>
      <w:r>
        <w:rPr>
          <w:b/>
          <w:bCs/>
        </w:rPr>
        <w:t xml:space="preserve">11(8)</w:t>
      </w:r>
      <w:r>
        <w:t xml:space="preserve"> The authority must seek a </w:t>
      </w:r>
      <w:r>
        <w:rPr>
          <w:b/>
          <w:bCs/>
        </w:rPr>
        <w:t xml:space="preserve">written disclosure</w:t>
      </w:r>
      <w:r>
        <w:t xml:space="preserve"> under s. 12(1), and consider the agreed qualifications and that disclosure.</w:t>
      </w:r>
    </w:p>
    <w:p>
      <w:pPr>
        <w:spacing w:after="70" w:line="264"/>
        <w:ind w:left="547" w:hanging="547"/>
        <w:jc w:val="both"/>
      </w:pPr>
      <w:r>
        <w:rPr>
          <w:b/>
          <w:bCs/>
        </w:rPr>
        <w:t xml:space="preserve">11(9)</w:t>
      </w:r>
      <w:r>
        <w:t xml:space="preserve"> In an ICA with parties of different nationalities, the sole or third arbitrator may be of a </w:t>
      </w:r>
      <w:r>
        <w:rPr>
          <w:b/>
          <w:bCs/>
        </w:rPr>
        <w:t xml:space="preserve">third nationality</w:t>
      </w:r>
      <w:r>
        <w:t xml:space="preserve">.</w:t>
      </w:r>
    </w:p>
    <w:p>
      <w:pPr>
        <w:spacing w:after="70" w:line="264"/>
        <w:ind w:left="547" w:hanging="547"/>
        <w:jc w:val="both"/>
      </w:pPr>
      <w:r>
        <w:rPr>
          <w:b/>
          <w:bCs/>
        </w:rPr>
        <w:t xml:space="preserve">11(11)</w:t>
      </w:r>
      <w:r>
        <w:t xml:space="preserve"> Where several authorities are approached, </w:t>
      </w:r>
      <w:r>
        <w:rPr>
          <w:b/>
          <w:bCs/>
          <w:shd w:fill="FFF2CC" w:color="auto" w:val="clear"/>
        </w:rPr>
        <w:t xml:space="preserve">the one approached first alone may appoint.</w:t>
      </w:r>
      <w:r>
        <w:t xml:space="preserve"> This stops forum shopping.</w:t>
      </w:r>
    </w:p>
    <w:p>
      <w:pPr>
        <w:spacing w:after="70" w:line="264"/>
        <w:ind w:left="547" w:hanging="547"/>
        <w:jc w:val="both"/>
      </w:pPr>
      <w:r>
        <w:rPr>
          <w:b/>
          <w:bCs/>
        </w:rPr>
        <w:t xml:space="preserve">11(12)</w:t>
      </w:r>
      <w:r>
        <w:t xml:space="preserve"> ICA goes to the Supreme Court's designated authority; all others to the High Court's.</w:t>
      </w:r>
    </w:p>
    <w:p>
      <w:pPr>
        <w:spacing w:after="70" w:line="264"/>
        <w:ind w:left="547" w:hanging="547"/>
        <w:jc w:val="both"/>
      </w:pPr>
      <w:r>
        <w:rPr>
          <w:b/>
          <w:bCs/>
        </w:rPr>
        <w:t xml:space="preserve">11(13)</w:t>
      </w:r>
      <w:r>
        <w:t xml:space="preserve"> The application is to be decided within </w:t>
      </w:r>
      <w:r>
        <w:rPr>
          <w:b/>
          <w:bCs/>
        </w:rPr>
        <w:t xml:space="preserve">thirty days</w:t>
      </w:r>
      <w:r>
        <w:t xml:space="preserve"> of notice.</w:t>
      </w:r>
    </w:p>
    <w:p>
      <w:pPr>
        <w:spacing w:after="70" w:line="264"/>
        <w:ind w:left="547" w:hanging="547"/>
        <w:jc w:val="both"/>
      </w:pPr>
      <w:r>
        <w:rPr>
          <w:b/>
          <w:bCs/>
        </w:rPr>
        <w:t xml:space="preserve">11(14)</w:t>
      </w:r>
      <w:r>
        <w:t xml:space="preserve"> Fees follow the </w:t>
      </w:r>
      <w:r>
        <w:rPr>
          <w:b/>
          <w:bCs/>
        </w:rPr>
        <w:t xml:space="preserve">Fourth Schedule</w:t>
      </w:r>
      <w:r>
        <w:t xml:space="preserve">, except in ICA and where institutional fee rules apply.</w:t>
      </w:r>
    </w:p>
    <w:p>
      <w:pPr>
        <w:spacing w:after="120" w:line="264"/>
        <w:jc w:val="both"/>
      </w:pPr>
      <w:r>
        <w:t xml:space="preserve">Read with </w:t>
      </w:r>
      <w:r>
        <w:rPr>
          <w:b/>
          <w:bCs/>
        </w:rPr>
        <w:t xml:space="preserve">s. 2(1)(e)</w:t>
      </w:r>
      <w:r>
        <w:t xml:space="preserve">. “Court” means the principal civil court in a district, or a High Court with ordinary original civil jurisdiction, and for ICA the High Court.</w:t>
      </w:r>
    </w:p>
    <w:p>
      <w:pPr>
        <w:pStyle w:val="Heading2"/>
        <w:keepNext/>
        <w:spacing w:after="100" w:before="250"/>
      </w:pPr>
      <w:r>
        <w:t xml:space="preserve">Judicial or administrative? The line of cases</w:t>
      </w:r>
    </w:p>
    <w:p>
      <w:pPr>
        <w:spacing w:after="120" w:line="264"/>
        <w:jc w:val="both"/>
      </w:pPr>
      <w:r>
        <w:rPr>
          <w:b/>
          <w:bCs/>
        </w:rPr>
        <w:t xml:space="preserve">The problem.</w:t>
      </w:r>
      <w:r>
        <w:t xml:space="preserve"> The Act named the </w:t>
      </w:r>
      <w:r>
        <w:rPr>
          <w:b/>
          <w:bCs/>
        </w:rPr>
        <w:t xml:space="preserve">Chief Justice</w:t>
      </w:r>
      <w:r>
        <w:t xml:space="preserve">, not a court, although the Model Law says court, and it let him delegate to “any person or institution”, although judicial power normally cannot be delegated. It mattered for three things: whether a </w:t>
      </w:r>
      <w:r>
        <w:rPr>
          <w:b/>
          <w:bCs/>
        </w:rPr>
        <w:t xml:space="preserve">mini-trial</w:t>
      </w:r>
      <w:r>
        <w:t xml:space="preserve"> was allowed, whether Article 136 or mandamus applied, and how far delegation could go.</w:t>
      </w:r>
    </w:p>
    <w:p>
      <w:pPr>
        <w:pStyle w:val="ListParagraph"/>
        <w:numPr>
          <w:ilvl w:val="0"/>
          <w:numId w:val="14"/>
        </w:numPr>
        <w:spacing w:after="70" w:line="264"/>
        <w:jc w:val="both"/>
      </w:pPr>
      <w:r>
        <w:rPr>
          <w:b/>
          <w:bCs/>
          <w:i/>
          <w:iCs/>
        </w:rPr>
        <w:t xml:space="preserve">Gullapalli-I</w:t>
      </w:r>
      <w:r>
        <w:t xml:space="preserve">, AIR 1959 SC 308 (Constitution Bench of 5) — objections were heard by the Secretary but the scheme was approved by the Minister. Quashed. </w:t>
      </w:r>
      <w:r>
        <w:rPr>
          <w:b/>
          <w:bCs/>
          <w:shd w:fill="FFF2CC" w:color="auto" w:val="clear"/>
        </w:rPr>
        <w:t xml:space="preserve">The person who decides must be the person who heard.</w:t>
      </w:r>
      <w:r>
        <w:t xml:space="preserve"> Distinguish </w:t>
      </w:r>
      <w:r>
        <w:rPr>
          <w:b/>
          <w:bCs/>
        </w:rPr>
        <w:t xml:space="preserve">Gullapalli-II</w:t>
      </w:r>
      <w:r>
        <w:t xml:space="preserve">, AIR 1959 SC 1376, where the Minister both heard and decided, and it was upheld.</w:t>
      </w:r>
    </w:p>
    <w:p>
      <w:pPr>
        <w:pStyle w:val="ListParagraph"/>
        <w:numPr>
          <w:ilvl w:val="0"/>
          <w:numId w:val="14"/>
        </w:numPr>
        <w:spacing w:after="70" w:line="264"/>
        <w:jc w:val="both"/>
      </w:pPr>
      <w:r>
        <w:rPr>
          <w:b/>
          <w:bCs/>
          <w:i/>
          <w:iCs/>
        </w:rPr>
        <w:t xml:space="preserve">Konkan Railway v. Mehul Construction</w:t>
      </w:r>
      <w:r>
        <w:t xml:space="preserve">, (2000) 7 SCC 201 (3 Judges) — the power is </w:t>
      </w:r>
      <w:r>
        <w:rPr>
          <w:b/>
          <w:bCs/>
        </w:rPr>
        <w:t xml:space="preserve">administrative</w:t>
      </w:r>
      <w:r>
        <w:t xml:space="preserve">, so the remedy is mandamus, not Article 136. The job is only to get the tribunal formed, and contested issues go to the tribunal.</w:t>
      </w:r>
    </w:p>
    <w:p>
      <w:pPr>
        <w:pStyle w:val="ListParagraph"/>
        <w:numPr>
          <w:ilvl w:val="0"/>
          <w:numId w:val="14"/>
        </w:numPr>
        <w:spacing w:after="70" w:line="264"/>
        <w:jc w:val="both"/>
      </w:pPr>
      <w:r>
        <w:rPr>
          <w:b/>
          <w:bCs/>
          <w:i/>
          <w:iCs/>
        </w:rPr>
        <w:t xml:space="preserve">Konkan Railway v. Rani Construction</w:t>
      </w:r>
      <w:r>
        <w:t xml:space="preserve">, (2002) 2 SCC 388 (Constitution Bench) — approved Mehul, and added that </w:t>
      </w:r>
      <w:r>
        <w:rPr>
          <w:b/>
          <w:bCs/>
        </w:rPr>
        <w:t xml:space="preserve">rules made under s. 11 cannot interpret s. 11</w:t>
      </w:r>
      <w:r>
        <w:t xml:space="preserve">, and that “tribunal” in Article 136 means a </w:t>
      </w:r>
      <w:r>
        <w:rPr>
          <w:b/>
          <w:bCs/>
        </w:rPr>
        <w:t xml:space="preserve">public</w:t>
      </w:r>
      <w:r>
        <w:t xml:space="preserve"> tribunal.</w:t>
      </w:r>
    </w:p>
    <w:p>
      <w:pPr>
        <w:pStyle w:val="ListParagraph"/>
        <w:numPr>
          <w:ilvl w:val="0"/>
          <w:numId w:val="14"/>
        </w:numPr>
        <w:spacing w:after="70" w:line="264"/>
        <w:jc w:val="both"/>
      </w:pPr>
      <w:r>
        <w:rPr>
          <w:b/>
          <w:bCs/>
          <w:i/>
          <w:iCs/>
        </w:rPr>
        <w:t xml:space="preserve">SBP &amp; Co. v. Patel Engineering</w:t>
      </w:r>
      <w:r>
        <w:t xml:space="preserve">, (2005) 8 SCC 618 (</w:t>
      </w:r>
      <w:r>
        <w:rPr>
          <w:b/>
          <w:bCs/>
        </w:rPr>
        <w:t xml:space="preserve">7 Judges</w:t>
      </w:r>
      <w:r>
        <w:t xml:space="preserve">) — </w:t>
      </w:r>
      <w:r>
        <w:rPr>
          <w:b/>
          <w:bCs/>
          <w:shd w:fill="FFF2CC" w:color="auto" w:val="clear"/>
        </w:rPr>
        <w:t xml:space="preserve">the power is judicial.</w:t>
      </w:r>
      <w:r>
        <w:t xml:space="preserve"> Delegation only to another judge; the Chief Justice may decide the </w:t>
      </w:r>
      <w:r>
        <w:rPr>
          <w:b/>
          <w:bCs/>
        </w:rPr>
        <w:t xml:space="preserve">preliminary questions</w:t>
      </w:r>
      <w:r>
        <w:t xml:space="preserve">, namely his jurisdiction, a valid agreement, a live claim, the conditions and the qualifications; no District Judge; recourse under Article 136.</w:t>
      </w:r>
    </w:p>
    <w:p>
      <w:pPr>
        <w:pStyle w:val="ListParagraph"/>
        <w:numPr>
          <w:ilvl w:val="0"/>
          <w:numId w:val="14"/>
        </w:numPr>
        <w:spacing w:after="70" w:line="264"/>
        <w:jc w:val="both"/>
      </w:pPr>
      <w:r>
        <w:rPr>
          <w:b/>
          <w:bCs/>
          <w:i/>
          <w:iCs/>
        </w:rPr>
        <w:t xml:space="preserve">Boghara Polyfab</w:t>
      </w:r>
      <w:r>
        <w:t xml:space="preserve">, (2009) 1 SCC 267 — listed the questions decidable on that approach.</w:t>
      </w:r>
    </w:p>
    <w:p>
      <w:pPr>
        <w:pStyle w:val="ListParagraph"/>
        <w:numPr>
          <w:ilvl w:val="0"/>
          <w:numId w:val="14"/>
        </w:numPr>
        <w:spacing w:after="70" w:line="264"/>
        <w:jc w:val="both"/>
      </w:pPr>
      <w:r>
        <w:rPr>
          <w:b/>
          <w:bCs/>
        </w:rPr>
        <w:t xml:space="preserve">2015 Amendment</w:t>
      </w:r>
      <w:r>
        <w:t xml:space="preserve"> — </w:t>
      </w:r>
      <w:r>
        <w:rPr>
          <w:b/>
          <w:bCs/>
        </w:rPr>
        <w:t xml:space="preserve">s. 11(6A)</w:t>
      </w:r>
      <w:r>
        <w:t xml:space="preserve"> cuts the enquiry down to </w:t>
      </w:r>
      <w:r>
        <w:rPr>
          <w:b/>
          <w:bCs/>
        </w:rPr>
        <w:t xml:space="preserve">existence</w:t>
      </w:r>
      <w:r>
        <w:t xml:space="preserve"> only.</w:t>
      </w:r>
    </w:p>
    <w:p>
      <w:pPr>
        <w:pStyle w:val="ListParagraph"/>
        <w:numPr>
          <w:ilvl w:val="0"/>
          <w:numId w:val="14"/>
        </w:numPr>
        <w:spacing w:after="70" w:line="264"/>
        <w:jc w:val="both"/>
      </w:pPr>
      <w:r>
        <w:rPr>
          <w:b/>
          <w:bCs/>
          <w:i/>
          <w:iCs/>
        </w:rPr>
        <w:t xml:space="preserve">Duro Felguera</w:t>
      </w:r>
      <w:r>
        <w:t xml:space="preserve">, (2017) 9 SCC 729 — applies that restriction.</w:t>
      </w:r>
    </w:p>
    <w:p>
      <w:pPr>
        <w:pStyle w:val="ListParagraph"/>
        <w:numPr>
          <w:ilvl w:val="0"/>
          <w:numId w:val="14"/>
        </w:numPr>
        <w:spacing w:after="70" w:line="264"/>
        <w:jc w:val="both"/>
      </w:pPr>
      <w:r>
        <w:rPr>
          <w:b/>
          <w:bCs/>
          <w:i/>
          <w:iCs/>
        </w:rPr>
        <w:t xml:space="preserve">Mayavati Trading</w:t>
      </w:r>
      <w:r>
        <w:t xml:space="preserve">, (2019) 8 SCC 714 — the wide enquiry in </w:t>
      </w:r>
      <w:r>
        <w:rPr>
          <w:b/>
          <w:bCs/>
          <w:i/>
          <w:iCs/>
        </w:rPr>
        <w:t xml:space="preserve">Patel Engineering</w:t>
      </w:r>
      <w:r>
        <w:t xml:space="preserve"> is </w:t>
      </w:r>
      <w:r>
        <w:rPr>
          <w:b/>
          <w:bCs/>
        </w:rPr>
        <w:t xml:space="preserve">no longer good law</w:t>
      </w:r>
      <w:r>
        <w:t xml:space="preserve">.</w:t>
      </w:r>
    </w:p>
    <w:p>
      <w:pPr>
        <w:pStyle w:val="ListParagraph"/>
        <w:numPr>
          <w:ilvl w:val="0"/>
          <w:numId w:val="14"/>
        </w:numPr>
        <w:spacing w:after="70" w:line="264"/>
        <w:jc w:val="both"/>
      </w:pPr>
      <w:r>
        <w:rPr>
          <w:b/>
          <w:bCs/>
          <w:i/>
          <w:iCs/>
        </w:rPr>
        <w:t xml:space="preserve">In Re: Interplay</w:t>
      </w:r>
      <w:r>
        <w:t xml:space="preserve">, 2023 INSC 1066 (7 Judges) — narrow enquiry confirmed, and stamping is for the tribunal.</w:t>
      </w:r>
    </w:p>
    <w:p>
      <w:pPr>
        <w:spacing w:after="120" w:line="264"/>
        <w:jc w:val="both"/>
      </w:pPr>
      <w:r>
        <w:rPr>
          <w:b/>
          <w:bCs/>
        </w:rPr>
        <w:t xml:space="preserve">Present position.</w:t>
      </w:r>
      <w:r>
        <w:t xml:space="preserve"> </w:t>
      </w:r>
      <w:r>
        <w:rPr>
          <w:b/>
          <w:bCs/>
          <w:shd w:fill="FFF2CC" w:color="auto" w:val="clear"/>
        </w:rPr>
        <w:t xml:space="preserve">The court takes a quick first look, only at whether an agreement exists and appears valid.</w:t>
      </w:r>
      <w:r>
        <w:t xml:space="preserve"> Validity and arbitrability go to the tribunal under s. 16. The court refuses only where, on the face of it, there is clearly no agreement, or the claim clearly cannot be arbitrated.</w:t>
      </w:r>
    </w:p>
    <w:p>
      <w:pPr>
        <w:spacing w:after="120" w:line="264"/>
        <w:jc w:val="both"/>
      </w:pPr>
      <w:r>
        <w:rPr>
          <w:b/>
          <w:bCs/>
          <w:shd w:fill="FFF2CC" w:color="auto" w:val="clear"/>
        </w:rPr>
        <w:t xml:space="preserve">S. 11(6A) has NOT been deleted.</w:t>
      </w:r>
      <w:r>
        <w:t xml:space="preserve"> The 2019 Amendment said it would be removed, but that was </w:t>
      </w:r>
      <w:r>
        <w:rPr>
          <w:b/>
          <w:bCs/>
        </w:rPr>
        <w:t xml:space="preserve">never notified</w:t>
      </w:r>
      <w:r>
        <w:t xml:space="preserve">, so it is still in force. Confirmed in </w:t>
      </w:r>
      <w:r>
        <w:rPr>
          <w:b/>
          <w:bCs/>
          <w:i/>
          <w:iCs/>
        </w:rPr>
        <w:t xml:space="preserve">In Re: Interplay</w:t>
      </w:r>
      <w:r>
        <w:t xml:space="preserve">, which also noted that </w:t>
      </w:r>
      <w:r>
        <w:rPr>
          <w:b/>
          <w:bCs/>
          <w:i/>
          <w:iCs/>
        </w:rPr>
        <w:t xml:space="preserve">Vidya Drolia</w:t>
      </w:r>
      <w:r>
        <w:t xml:space="preserve">, (2021) 2 SCC 1, wrongly assumed it had gone.</w:t>
      </w:r>
    </w:p>
    <w:p>
      <w:pPr>
        <w:spacing w:after="120" w:line="264"/>
        <w:jc w:val="both"/>
      </w:pPr>
      <w:r>
        <w:rPr>
          <w:b/>
          <w:bCs/>
        </w:rPr>
        <w:t xml:space="preserve">The 2019 institutional scheme.</w:t>
      </w:r>
      <w:r>
        <w:t xml:space="preserve"> Appointments were to be made by graded institutions, with an Arbitration Council under </w:t>
      </w:r>
      <w:r>
        <w:rPr>
          <w:b/>
          <w:bCs/>
        </w:rPr>
        <w:t xml:space="preserve">Part IA</w:t>
      </w:r>
      <w:r>
        <w:t xml:space="preserve">. </w:t>
      </w:r>
      <w:r>
        <w:rPr>
          <w:b/>
          <w:bCs/>
          <w:shd w:fill="FFF2CC" w:color="auto" w:val="clear"/>
        </w:rPr>
        <w:t xml:space="preserve">None of it is operational. The Council does not exist, no institution has been graded, and the Supreme Court and High Courts still appoint.</w:t>
      </w:r>
    </w:p>
    <w:p>
      <w:pPr>
        <w:pStyle w:val="Heading1"/>
        <w:keepNext/>
        <w:pBdr>
          <w:bottom w:val="single" w:color="1F3864" w:sz="6" w:space="4"/>
        </w:pBdr>
        <w:spacing w:after="160" w:before="420"/>
      </w:pPr>
      <w:r>
        <w:t xml:space="preserve">8.  Challenging an Arbitrator — ss. 12 and 13</w:t>
      </w:r>
    </w:p>
    <w:p>
      <w:pPr>
        <w:spacing w:after="120" w:line="264"/>
        <w:jc w:val="both"/>
      </w:pPr>
      <w:r>
        <w:rPr>
          <w:b/>
          <w:bCs/>
        </w:rPr>
        <w:t xml:space="preserve">Two ideas first.</w:t>
      </w:r>
      <w:r>
        <w:t xml:space="preserve"> </w:t>
      </w:r>
      <w:r>
        <w:rPr>
          <w:b/>
          <w:bCs/>
          <w:shd w:fill="FFF2CC" w:color="auto" w:val="clear"/>
        </w:rPr>
        <w:t xml:space="preserve">The test is not actual bias, but whether circumstances raise a justifiable doubt.</w:t>
      </w:r>
      <w:r>
        <w:t xml:space="preserve"> And </w:t>
      </w:r>
      <w:r>
        <w:rPr>
          <w:b/>
          <w:bCs/>
        </w:rPr>
        <w:t xml:space="preserve">disclosure is a continuing duty</w:t>
      </w:r>
      <w:r>
        <w:t xml:space="preserve">, not a one-time formality.</w:t>
      </w:r>
    </w:p>
    <w:p>
      <w:pPr>
        <w:spacing w:after="70" w:line="264"/>
        <w:ind w:left="547" w:hanging="547"/>
        <w:jc w:val="both"/>
      </w:pPr>
      <w:r>
        <w:rPr>
          <w:b/>
          <w:bCs/>
        </w:rPr>
        <w:t xml:space="preserve">12(1)</w:t>
      </w:r>
      <w:r>
        <w:t xml:space="preserve"> Before appointment he must disclose in writing (a) any past or present relationship with a party, or interest in a party or the subject matter, whether financial, business, professional or other, likely to raise </w:t>
      </w:r>
      <w:r>
        <w:rPr>
          <w:b/>
          <w:bCs/>
        </w:rPr>
        <w:t xml:space="preserve">justifiable doubts</w:t>
      </w:r>
      <w:r>
        <w:t xml:space="preserve">; and (b) anything affecting his ability to give enough time, especially to finish within </w:t>
      </w:r>
      <w:r>
        <w:rPr>
          <w:b/>
          <w:bCs/>
        </w:rPr>
        <w:t xml:space="preserve">twelve months</w:t>
      </w:r>
      <w:r>
        <w:t xml:space="preserve">. </w:t>
      </w:r>
      <w:r>
        <w:rPr>
          <w:i/>
          <w:iCs/>
        </w:rPr>
        <w:t xml:space="preserve">Explanation 1</w:t>
      </w:r>
      <w:r>
        <w:t xml:space="preserve">: the </w:t>
      </w:r>
      <w:r>
        <w:rPr>
          <w:b/>
          <w:bCs/>
        </w:rPr>
        <w:t xml:space="preserve">Fifth Schedule</w:t>
      </w:r>
      <w:r>
        <w:t xml:space="preserve"> guides what raises a doubt. </w:t>
      </w:r>
      <w:r>
        <w:rPr>
          <w:i/>
          <w:iCs/>
        </w:rPr>
        <w:t xml:space="preserve">Explanation 2</w:t>
      </w:r>
      <w:r>
        <w:t xml:space="preserve">: disclose in the </w:t>
      </w:r>
      <w:r>
        <w:rPr>
          <w:b/>
          <w:bCs/>
        </w:rPr>
        <w:t xml:space="preserve">Sixth Schedule</w:t>
      </w:r>
      <w:r>
        <w:t xml:space="preserve"> form.</w:t>
      </w:r>
    </w:p>
    <w:p>
      <w:pPr>
        <w:spacing w:after="70" w:line="264"/>
        <w:ind w:left="547" w:hanging="547"/>
        <w:jc w:val="both"/>
      </w:pPr>
      <w:r>
        <w:rPr>
          <w:b/>
          <w:bCs/>
        </w:rPr>
        <w:t xml:space="preserve">12(2)</w:t>
      </w:r>
      <w:r>
        <w:t xml:space="preserve"> The duty </w:t>
      </w:r>
      <w:r>
        <w:rPr>
          <w:b/>
          <w:bCs/>
        </w:rPr>
        <w:t xml:space="preserve">continues</w:t>
      </w:r>
      <w:r>
        <w:t xml:space="preserve"> from appointment throughout the arbitration, and disclosure must be without delay.</w:t>
      </w:r>
    </w:p>
    <w:p>
      <w:pPr>
        <w:spacing w:after="70" w:line="264"/>
        <w:ind w:left="547" w:hanging="547"/>
        <w:jc w:val="both"/>
      </w:pPr>
      <w:r>
        <w:rPr>
          <w:b/>
          <w:bCs/>
        </w:rPr>
        <w:t xml:space="preserve">12(3)</w:t>
      </w:r>
      <w:r>
        <w:t xml:space="preserve"> An arbitrator may be challenged </w:t>
      </w:r>
      <w:r>
        <w:rPr>
          <w:b/>
          <w:bCs/>
        </w:rPr>
        <w:t xml:space="preserve">only</w:t>
      </w:r>
      <w:r>
        <w:t xml:space="preserve"> on two grounds: (a) </w:t>
      </w:r>
      <w:r>
        <w:rPr>
          <w:b/>
          <w:bCs/>
        </w:rPr>
        <w:t xml:space="preserve">justifiable doubts</w:t>
      </w:r>
      <w:r>
        <w:t xml:space="preserve"> about independence or impartiality; and (b) he </w:t>
      </w:r>
      <w:r>
        <w:rPr>
          <w:b/>
          <w:bCs/>
        </w:rPr>
        <w:t xml:space="preserve">lacks the agreed qualifications</w:t>
      </w:r>
      <w:r>
        <w:t xml:space="preserve">. The word “only” makes this a </w:t>
      </w:r>
      <w:r>
        <w:rPr>
          <w:b/>
          <w:bCs/>
        </w:rPr>
        <w:t xml:space="preserve">filter</w:t>
      </w:r>
      <w:r>
        <w:t xml:space="preserve"> against weak objections.</w:t>
      </w:r>
    </w:p>
    <w:p>
      <w:pPr>
        <w:spacing w:after="70" w:line="264"/>
        <w:ind w:left="547" w:hanging="547"/>
        <w:jc w:val="both"/>
      </w:pPr>
      <w:r>
        <w:rPr>
          <w:b/>
          <w:bCs/>
        </w:rPr>
        <w:t xml:space="preserve">12(4)</w:t>
      </w:r>
      <w:r>
        <w:t xml:space="preserve"> A party may challenge </w:t>
      </w:r>
      <w:r>
        <w:rPr>
          <w:b/>
          <w:bCs/>
        </w:rPr>
        <w:t xml:space="preserve">its own appointee</w:t>
      </w:r>
      <w:r>
        <w:t xml:space="preserve"> only for reasons it learnt </w:t>
      </w:r>
      <w:r>
        <w:rPr>
          <w:b/>
          <w:bCs/>
        </w:rPr>
        <w:t xml:space="preserve">after</w:t>
      </w:r>
      <w:r>
        <w:t xml:space="preserve"> the appointment.</w:t>
      </w:r>
    </w:p>
    <w:p>
      <w:pPr>
        <w:spacing w:after="70" w:line="264"/>
        <w:ind w:left="547" w:hanging="547"/>
        <w:jc w:val="both"/>
      </w:pPr>
      <w:r>
        <w:rPr>
          <w:b/>
          <w:bCs/>
        </w:rPr>
        <w:t xml:space="preserve">12(5)</w:t>
      </w:r>
      <w:r>
        <w:t xml:space="preserve"> A person whose relationship falls within the </w:t>
      </w:r>
      <w:r>
        <w:rPr>
          <w:b/>
          <w:bCs/>
        </w:rPr>
        <w:t xml:space="preserve">Seventh Schedule</w:t>
      </w:r>
      <w:r>
        <w:t xml:space="preserve"> is </w:t>
      </w:r>
      <w:r>
        <w:rPr>
          <w:b/>
          <w:bCs/>
          <w:shd w:fill="FFF2CC" w:color="auto" w:val="clear"/>
        </w:rPr>
        <w:t xml:space="preserve">ineligible, notwithstanding any prior agreement.</w:t>
      </w:r>
      <w:r>
        <w:t xml:space="preserve"> The proviso allows waiver </w:t>
      </w:r>
      <w:r>
        <w:rPr>
          <w:b/>
          <w:bCs/>
        </w:rPr>
        <w:t xml:space="preserve">only by an express written agreement made after the dispute has arisen</w:t>
      </w:r>
      <w:r>
        <w:t xml:space="preserve">.</w:t>
      </w:r>
    </w:p>
    <w:p>
      <w:pPr>
        <w:spacing w:after="120" w:line="264"/>
        <w:jc w:val="both"/>
      </w:pPr>
      <w:r>
        <w:rPr>
          <w:b/>
          <w:bCs/>
        </w:rPr>
        <w:t xml:space="preserve">Difference between (3) and (5), which must be learnt.</w:t>
      </w:r>
      <w:r>
        <w:t xml:space="preserve"> Sub-section (3) gives a </w:t>
      </w:r>
      <w:r>
        <w:rPr>
          <w:b/>
          <w:bCs/>
        </w:rPr>
        <w:t xml:space="preserve">ground of challenge</w:t>
      </w:r>
      <w:r>
        <w:t xml:space="preserve">, decided under s. 13. Sub-section (5) is an </w:t>
      </w:r>
      <w:r>
        <w:rPr>
          <w:b/>
          <w:bCs/>
        </w:rPr>
        <w:t xml:space="preserve">outright disqualification</w:t>
      </w:r>
      <w:r>
        <w:t xml:space="preserve"> operating in law. It overrides the very contract that named him, and conduct or silence will not waive it.</w:t>
      </w:r>
    </w:p>
    <w:p>
      <w:pPr>
        <w:spacing w:after="120" w:line="264"/>
        <w:jc w:val="both"/>
      </w:pPr>
      <w:r>
        <w:rPr>
          <w:b/>
          <w:bCs/>
        </w:rPr>
        <w:t xml:space="preserve">IBA traffic lights</w:t>
      </w:r>
      <w:r>
        <w:t xml:space="preserve">, which are guidance only and not Indian law: </w:t>
      </w:r>
      <w:r>
        <w:rPr>
          <w:b/>
          <w:bCs/>
        </w:rPr>
        <w:t xml:space="preserve">green</w:t>
      </w:r>
      <w:r>
        <w:t xml:space="preserve"> means no conflict and no disclosure; </w:t>
      </w:r>
      <w:r>
        <w:rPr>
          <w:b/>
          <w:bCs/>
        </w:rPr>
        <w:t xml:space="preserve">orange</w:t>
      </w:r>
      <w:r>
        <w:t xml:space="preserve"> means it must be disclosed but he may still act unless objected to; </w:t>
      </w:r>
      <w:r>
        <w:rPr>
          <w:b/>
          <w:bCs/>
        </w:rPr>
        <w:t xml:space="preserve">red</w:t>
      </w:r>
      <w:r>
        <w:t xml:space="preserve"> means serious doubt, split into waivable and non-waivable. </w:t>
      </w:r>
      <w:r>
        <w:rPr>
          <w:b/>
          <w:bCs/>
          <w:shd w:fill="FFF2CC" w:color="auto" w:val="clear"/>
        </w:rPr>
        <w:t xml:space="preserve">The Act's Seventh Schedule is a single list, with only the written waiver under s. 12(5).</w:t>
      </w:r>
    </w:p>
    <w:p>
      <w:pPr>
        <w:pStyle w:val="Heading2"/>
        <w:keepNext/>
        <w:spacing w:after="100" w:before="250"/>
      </w:pPr>
      <w:r>
        <w:t xml:space="preserve">Section 13, the procedure</w:t>
      </w:r>
    </w:p>
    <w:p>
      <w:pPr>
        <w:spacing w:after="70" w:line="264"/>
        <w:ind w:left="547" w:hanging="547"/>
        <w:jc w:val="both"/>
      </w:pPr>
      <w:r>
        <w:rPr>
          <w:b/>
          <w:bCs/>
        </w:rPr>
        <w:t xml:space="preserve">13(1)</w:t>
      </w:r>
      <w:r>
        <w:t xml:space="preserve"> The parties may agree their own procedure.</w:t>
      </w:r>
    </w:p>
    <w:p>
      <w:pPr>
        <w:spacing w:after="70" w:line="264"/>
        <w:ind w:left="547" w:hanging="547"/>
        <w:jc w:val="both"/>
      </w:pPr>
      <w:r>
        <w:rPr>
          <w:b/>
          <w:bCs/>
        </w:rPr>
        <w:t xml:space="preserve">13(2)</w:t>
      </w:r>
      <w:r>
        <w:t xml:space="preserve"> Otherwise, send the tribunal a </w:t>
      </w:r>
      <w:r>
        <w:rPr>
          <w:b/>
          <w:bCs/>
        </w:rPr>
        <w:t xml:space="preserve">written statement of reasons within fifteen days</w:t>
      </w:r>
      <w:r>
        <w:t xml:space="preserve"> of learning of the tribunal's constitution or of the circumstance.</w:t>
      </w:r>
    </w:p>
    <w:p>
      <w:pPr>
        <w:spacing w:after="70" w:line="264"/>
        <w:ind w:left="547" w:hanging="547"/>
        <w:jc w:val="both"/>
      </w:pPr>
      <w:r>
        <w:rPr>
          <w:b/>
          <w:bCs/>
        </w:rPr>
        <w:t xml:space="preserve">13(3)</w:t>
      </w:r>
      <w:r>
        <w:t xml:space="preserve"> Unless he withdraws, or the other side accepts the challenge, </w:t>
      </w:r>
      <w:r>
        <w:rPr>
          <w:b/>
          <w:bCs/>
          <w:shd w:fill="FFF2CC" w:color="auto" w:val="clear"/>
        </w:rPr>
        <w:t xml:space="preserve">the tribunal itself decides it.</w:t>
      </w:r>
    </w:p>
    <w:p>
      <w:pPr>
        <w:spacing w:after="70" w:line="264"/>
        <w:ind w:left="547" w:hanging="547"/>
        <w:jc w:val="both"/>
      </w:pPr>
      <w:r>
        <w:rPr>
          <w:b/>
          <w:bCs/>
        </w:rPr>
        <w:t xml:space="preserve">13(4)</w:t>
      </w:r>
      <w:r>
        <w:t xml:space="preserve"> If the challenge fails, the tribunal </w:t>
      </w:r>
      <w:r>
        <w:rPr>
          <w:b/>
          <w:bCs/>
        </w:rPr>
        <w:t xml:space="preserve">continues</w:t>
      </w:r>
      <w:r>
        <w:t xml:space="preserve"> and makes the award.</w:t>
      </w:r>
    </w:p>
    <w:p>
      <w:pPr>
        <w:spacing w:after="70" w:line="264"/>
        <w:ind w:left="547" w:hanging="547"/>
        <w:jc w:val="both"/>
      </w:pPr>
      <w:r>
        <w:rPr>
          <w:b/>
          <w:bCs/>
        </w:rPr>
        <w:t xml:space="preserve">13(5)</w:t>
      </w:r>
      <w:r>
        <w:t xml:space="preserve"> The challenging party then applies under </w:t>
      </w:r>
      <w:r>
        <w:rPr>
          <w:b/>
          <w:bCs/>
        </w:rPr>
        <w:t xml:space="preserve">s. 34</w:t>
      </w:r>
      <w:r>
        <w:t xml:space="preserve"> to set the award aside.</w:t>
      </w:r>
    </w:p>
    <w:p>
      <w:pPr>
        <w:spacing w:after="70" w:line="264"/>
        <w:ind w:left="547" w:hanging="547"/>
        <w:jc w:val="both"/>
      </w:pPr>
      <w:r>
        <w:rPr>
          <w:b/>
          <w:bCs/>
        </w:rPr>
        <w:t xml:space="preserve">13(6)</w:t>
      </w:r>
      <w:r>
        <w:t xml:space="preserve"> If the award is set aside, the court decides the challenged arbitrator's fees.</w:t>
      </w:r>
    </w:p>
    <w:p>
      <w:pPr>
        <w:spacing w:after="120" w:line="264"/>
        <w:jc w:val="both"/>
      </w:pPr>
      <w:r>
        <w:rPr>
          <w:b/>
          <w:bCs/>
        </w:rPr>
        <w:t xml:space="preserve">Design point.</w:t>
      </w:r>
      <w:r>
        <w:t xml:space="preserve"> </w:t>
      </w:r>
      <w:r>
        <w:rPr>
          <w:b/>
          <w:bCs/>
          <w:shd w:fill="FFF2CC" w:color="auto" w:val="clear"/>
        </w:rPr>
        <w:t xml:space="preserve">A failed challenge does not stop the arbitration,</w:t>
      </w:r>
      <w:r>
        <w:t xml:space="preserve"> because otherwise a losing party could halt everything. The safeguard comes at the end, under s. 34. The challenged arbitrator must be heard on the challenge.</w:t>
      </w:r>
    </w:p>
    <w:p>
      <w:pPr>
        <w:pStyle w:val="Heading2"/>
        <w:keepNext/>
        <w:spacing w:after="100" w:before="250"/>
      </w:pPr>
      <w:r>
        <w:t xml:space="preserve">Cases</w:t>
      </w:r>
    </w:p>
    <w:p>
      <w:pPr>
        <w:pStyle w:val="ListParagraph"/>
        <w:numPr>
          <w:ilvl w:val="0"/>
          <w:numId w:val="15"/>
        </w:numPr>
        <w:spacing w:after="70" w:line="264"/>
        <w:jc w:val="both"/>
      </w:pPr>
      <w:r>
        <w:rPr>
          <w:b/>
          <w:bCs/>
          <w:i/>
          <w:iCs/>
        </w:rPr>
        <w:t xml:space="preserve">Chagos MPA Arbitration (Mauritius v. UK)</w:t>
      </w:r>
      <w:r>
        <w:t xml:space="preserve">, PCA Case No. 2011-03, decision of 30 November 2011 — a challenge to Judge Greenwood over his long links with the UK Government. </w:t>
      </w:r>
      <w:r>
        <w:rPr>
          <w:b/>
          <w:bCs/>
        </w:rPr>
        <w:t xml:space="preserve">Rejected.</w:t>
      </w:r>
      <w:r>
        <w:t xml:space="preserve"> </w:t>
      </w:r>
      <w:r>
        <w:rPr>
          <w:b/>
          <w:bCs/>
          <w:shd w:fill="FFF2CC" w:color="auto" w:val="clear"/>
        </w:rPr>
        <w:t xml:space="preserve">The test is whether circumstances raise justifiable doubts.</w:t>
      </w:r>
      <w:r>
        <w:t xml:space="preserve"> What mattered was </w:t>
      </w:r>
      <w:r>
        <w:rPr>
          <w:b/>
          <w:bCs/>
        </w:rPr>
        <w:t xml:space="preserve">involvement in the subject matter of this dispute</w:t>
      </w:r>
      <w:r>
        <w:t xml:space="preserve">, and there was none. The arbitrator is heard on the challenge.</w:t>
      </w:r>
    </w:p>
    <w:p>
      <w:pPr>
        <w:pStyle w:val="ListParagraph"/>
        <w:numPr>
          <w:ilvl w:val="0"/>
          <w:numId w:val="15"/>
        </w:numPr>
        <w:spacing w:after="70" w:line="264"/>
        <w:jc w:val="both"/>
      </w:pPr>
      <w:r>
        <w:rPr>
          <w:b/>
          <w:bCs/>
          <w:i/>
          <w:iCs/>
        </w:rPr>
        <w:t xml:space="preserve">Indian Oil Corporation v. Raja Transport</w:t>
      </w:r>
      <w:r>
        <w:t xml:space="preserve">, (2009) 8 SCC 520 — an employee of a party is </w:t>
      </w:r>
      <w:r>
        <w:rPr>
          <w:b/>
          <w:bCs/>
        </w:rPr>
        <w:t xml:space="preserve">not automatically disqualified</w:t>
      </w:r>
      <w:r>
        <w:t xml:space="preserve">, and a named senior officer is presumed impartial unless a </w:t>
      </w:r>
      <w:r>
        <w:rPr>
          <w:b/>
          <w:bCs/>
        </w:rPr>
        <w:t xml:space="preserve">reasonable apprehension of bias</w:t>
      </w:r>
      <w:r>
        <w:t xml:space="preserve"> is shown. </w:t>
      </w:r>
      <w:r>
        <w:rPr>
          <w:b/>
          <w:bCs/>
        </w:rPr>
        <w:t xml:space="preserve">Mostly superseded after 2015.</w:t>
      </w:r>
    </w:p>
    <w:p>
      <w:pPr>
        <w:pStyle w:val="ListParagraph"/>
        <w:numPr>
          <w:ilvl w:val="0"/>
          <w:numId w:val="15"/>
        </w:numPr>
        <w:spacing w:after="70" w:line="264"/>
        <w:jc w:val="both"/>
      </w:pPr>
      <w:r>
        <w:rPr>
          <w:b/>
          <w:bCs/>
          <w:i/>
          <w:iCs/>
        </w:rPr>
        <w:t xml:space="preserve">Bharat Broadband v. United Telecoms</w:t>
      </w:r>
      <w:r>
        <w:t xml:space="preserve">, (2019) 5 SCC 755 — the CMD, himself caught by the Seventh Schedule, appointed the arbitrator. Held that he is ineligible </w:t>
      </w:r>
      <w:r>
        <w:rPr>
          <w:b/>
          <w:bCs/>
        </w:rPr>
        <w:t xml:space="preserve">in law</w:t>
      </w:r>
      <w:r>
        <w:t xml:space="preserve">, and that </w:t>
      </w:r>
      <w:r>
        <w:rPr>
          <w:b/>
          <w:bCs/>
          <w:shd w:fill="FFF2CC" w:color="auto" w:val="clear"/>
        </w:rPr>
        <w:t xml:space="preserve">a disqualified person cannot appoint anyone else.</w:t>
      </w:r>
      <w:r>
        <w:t xml:space="preserve"> Filing a claim without protest is </w:t>
      </w:r>
      <w:r>
        <w:rPr>
          <w:b/>
          <w:bCs/>
        </w:rPr>
        <w:t xml:space="preserve">not</w:t>
      </w:r>
      <w:r>
        <w:t xml:space="preserve"> waiver; only an express written agreement after the dispute will do. The mandate ended under </w:t>
      </w:r>
      <w:r>
        <w:rPr>
          <w:b/>
          <w:bCs/>
        </w:rPr>
        <w:t xml:space="preserve">s. 14</w:t>
      </w:r>
      <w:r>
        <w:t xml:space="preserve">.</w:t>
      </w:r>
    </w:p>
    <w:p>
      <w:pPr>
        <w:pStyle w:val="ListParagraph"/>
        <w:numPr>
          <w:ilvl w:val="0"/>
          <w:numId w:val="15"/>
        </w:numPr>
        <w:spacing w:after="70" w:line="264"/>
        <w:jc w:val="both"/>
      </w:pPr>
      <w:r>
        <w:rPr>
          <w:b/>
          <w:bCs/>
          <w:i/>
          <w:iCs/>
        </w:rPr>
        <w:t xml:space="preserve">TRF v. Energo Engineering</w:t>
      </w:r>
      <w:r>
        <w:t xml:space="preserve">, (2017) 8 SCC 377 (3 Judges) — a disqualified person </w:t>
      </w:r>
      <w:r>
        <w:rPr>
          <w:b/>
          <w:bCs/>
        </w:rPr>
        <w:t xml:space="preserve">cannot nominate</w:t>
      </w:r>
      <w:r>
        <w:t xml:space="preserve"> an arbitrator.</w:t>
      </w:r>
    </w:p>
    <w:p>
      <w:pPr>
        <w:pStyle w:val="ListParagraph"/>
        <w:numPr>
          <w:ilvl w:val="0"/>
          <w:numId w:val="15"/>
        </w:numPr>
        <w:spacing w:after="70" w:line="264"/>
        <w:jc w:val="both"/>
      </w:pPr>
      <w:r>
        <w:rPr>
          <w:b/>
          <w:bCs/>
          <w:i/>
          <w:iCs/>
        </w:rPr>
        <w:t xml:space="preserve">Perkins Eastman v. HSCC (India)</w:t>
      </w:r>
      <w:r>
        <w:t xml:space="preserve">, (2020) 20 SCC 760 — a party interested in the outcome </w:t>
      </w:r>
      <w:r>
        <w:rPr>
          <w:b/>
          <w:bCs/>
        </w:rPr>
        <w:t xml:space="preserve">cannot appoint the sole arbitrator alone</w:t>
      </w:r>
      <w:r>
        <w:t xml:space="preserve">. If an interest disqualifies you from deciding, it disqualifies you from choosing who decides.</w:t>
      </w:r>
    </w:p>
    <w:p>
      <w:pPr>
        <w:pStyle w:val="ListParagraph"/>
        <w:numPr>
          <w:ilvl w:val="0"/>
          <w:numId w:val="15"/>
        </w:numPr>
        <w:spacing w:after="70" w:line="264"/>
        <w:jc w:val="both"/>
      </w:pPr>
      <w:r>
        <w:rPr>
          <w:b/>
          <w:bCs/>
          <w:i/>
          <w:iCs/>
        </w:rPr>
        <w:t xml:space="preserve">CORE-II</w:t>
      </w:r>
      <w:r>
        <w:t xml:space="preserve">, 2024 INSC 857 (</w:t>
      </w:r>
      <w:r>
        <w:rPr>
          <w:b/>
          <w:bCs/>
        </w:rPr>
        <w:t xml:space="preserve">Constitution Bench of 5, 8 November 2024</w:t>
      </w:r>
      <w:r>
        <w:t xml:space="preserve">) — </w:t>
      </w:r>
      <w:r>
        <w:rPr>
          <w:b/>
          <w:bCs/>
          <w:shd w:fill="FFF2CC" w:color="auto" w:val="clear"/>
        </w:rPr>
        <w:t xml:space="preserve">one-sided appointment clauses in public-private contracts violate Article 14.</w:t>
      </w:r>
      <w:r>
        <w:t xml:space="preserve"> Prospective only. </w:t>
      </w:r>
      <w:r>
        <w:rPr>
          <w:b/>
          <w:bCs/>
        </w:rPr>
        <w:t xml:space="preserve">CORE-I</w:t>
      </w:r>
      <w:r>
        <w:t xml:space="preserve">, (2020) 14 SCC 712, is overruled on this point.</w:t>
      </w:r>
    </w:p>
    <w:p>
      <w:pPr>
        <w:spacing w:after="120" w:line="264"/>
        <w:jc w:val="both"/>
      </w:pPr>
      <w:r>
        <w:rPr>
          <w:b/>
          <w:bCs/>
        </w:rPr>
        <w:t xml:space="preserve">Conclusion.</w:t>
      </w:r>
      <w:r>
        <w:t xml:space="preserve"> </w:t>
      </w:r>
      <w:r>
        <w:rPr>
          <w:b/>
          <w:bCs/>
          <w:shd w:fill="FFF2CC" w:color="auto" w:val="clear"/>
        </w:rPr>
        <w:t xml:space="preserve">The departmental arbitrator can no longer survive.</w:t>
      </w:r>
      <w:r>
        <w:t xml:space="preserve"> A Seventh Schedule person is disqualified, a disqualified person cannot appoint, an interested party cannot appoint alone, and in public-private contracts such a clause is unconstitutional. </w:t>
      </w:r>
      <w:r>
        <w:rPr>
          <w:b/>
          <w:bCs/>
        </w:rPr>
        <w:t xml:space="preserve">The Schedule applies to government and private bodies alike.</w:t>
      </w:r>
    </w:p>
    <w:p>
      <w:pPr>
        <w:pStyle w:val="Heading1"/>
        <w:keepNext/>
        <w:pBdr>
          <w:bottom w:val="single" w:color="1F3864" w:sz="6" w:space="4"/>
        </w:pBdr>
        <w:spacing w:after="160" w:before="420"/>
      </w:pPr>
      <w:r>
        <w:t xml:space="preserve">9.  Termination and Substitution — ss. 14 and 15</w:t>
      </w:r>
    </w:p>
    <w:p>
      <w:pPr>
        <w:spacing w:after="70" w:line="264"/>
        <w:ind w:left="547" w:hanging="547"/>
        <w:jc w:val="both"/>
      </w:pPr>
      <w:r>
        <w:rPr>
          <w:b/>
          <w:bCs/>
        </w:rPr>
        <w:t xml:space="preserve">14(1)</w:t>
      </w:r>
      <w:r>
        <w:t xml:space="preserve"> The mandate ends, and he </w:t>
      </w:r>
      <w:r>
        <w:rPr>
          <w:b/>
          <w:bCs/>
        </w:rPr>
        <w:t xml:space="preserve">must be replaced</w:t>
      </w:r>
      <w:r>
        <w:t xml:space="preserve">, where (a) he becomes </w:t>
      </w:r>
      <w:r>
        <w:rPr>
          <w:b/>
          <w:bCs/>
        </w:rPr>
        <w:t xml:space="preserve">unable in law or in fact</w:t>
      </w:r>
      <w:r>
        <w:t xml:space="preserve">, or </w:t>
      </w:r>
      <w:r>
        <w:rPr>
          <w:b/>
          <w:bCs/>
        </w:rPr>
        <w:t xml:space="preserve">fails to act without undue delay</w:t>
      </w:r>
      <w:r>
        <w:t xml:space="preserve">; and (b) he </w:t>
      </w:r>
      <w:r>
        <w:rPr>
          <w:b/>
          <w:bCs/>
        </w:rPr>
        <w:t xml:space="preserve">resigns</w:t>
      </w:r>
      <w:r>
        <w:t xml:space="preserve">, or </w:t>
      </w:r>
      <w:r>
        <w:rPr>
          <w:b/>
          <w:bCs/>
        </w:rPr>
        <w:t xml:space="preserve">the parties agree</w:t>
      </w:r>
      <w:r>
        <w:t xml:space="preserve"> to end it.</w:t>
      </w:r>
    </w:p>
    <w:p>
      <w:pPr>
        <w:spacing w:after="70" w:line="264"/>
        <w:ind w:left="547" w:hanging="547"/>
        <w:jc w:val="both"/>
      </w:pPr>
      <w:r>
        <w:rPr>
          <w:b/>
          <w:bCs/>
        </w:rPr>
        <w:t xml:space="preserve">14(2)</w:t>
      </w:r>
      <w:r>
        <w:t xml:space="preserve"> If there is a dispute about ground (a), a party may ask </w:t>
      </w:r>
      <w:r>
        <w:rPr>
          <w:b/>
          <w:bCs/>
        </w:rPr>
        <w:t xml:space="preserve">the court</w:t>
      </w:r>
      <w:r>
        <w:t xml:space="preserve"> to decide. The parties may agree otherwise.</w:t>
      </w:r>
    </w:p>
    <w:p>
      <w:pPr>
        <w:spacing w:after="70" w:line="264"/>
        <w:ind w:left="547" w:hanging="547"/>
        <w:jc w:val="both"/>
      </w:pPr>
      <w:r>
        <w:rPr>
          <w:b/>
          <w:bCs/>
        </w:rPr>
        <w:t xml:space="preserve">14(3)</w:t>
      </w:r>
      <w:r>
        <w:t xml:space="preserve"> </w:t>
      </w:r>
      <w:r>
        <w:rPr>
          <w:b/>
          <w:bCs/>
          <w:shd w:fill="FFF2CC" w:color="auto" w:val="clear"/>
        </w:rPr>
        <w:t xml:space="preserve">Resignation or consent does not mean the ground is admitted.</w:t>
      </w:r>
      <w:r>
        <w:t xml:space="preserve"> This lets an arbitrator step down quietly.</w:t>
      </w:r>
    </w:p>
    <w:p>
      <w:pPr>
        <w:spacing w:after="70" w:line="264"/>
        <w:ind w:left="547" w:hanging="547"/>
        <w:jc w:val="both"/>
      </w:pPr>
      <w:r>
        <w:rPr>
          <w:b/>
          <w:bCs/>
        </w:rPr>
        <w:t xml:space="preserve">15(1)</w:t>
      </w:r>
      <w:r>
        <w:t xml:space="preserve"> </w:t>
      </w:r>
      <w:r>
        <w:rPr>
          <w:b/>
          <w:bCs/>
        </w:rPr>
        <w:t xml:space="preserve">In addition</w:t>
      </w:r>
      <w:r>
        <w:t xml:space="preserve"> to ss. 13 and 14, the mandate ends on resignation </w:t>
      </w:r>
      <w:r>
        <w:rPr>
          <w:b/>
          <w:bCs/>
        </w:rPr>
        <w:t xml:space="preserve">for any reason</w:t>
      </w:r>
      <w:r>
        <w:t xml:space="preserve">, or by agreement. The three sections </w:t>
      </w:r>
      <w:r>
        <w:rPr>
          <w:b/>
          <w:bCs/>
        </w:rPr>
        <w:t xml:space="preserve">add up</w:t>
      </w:r>
      <w:r>
        <w:t xml:space="preserve">.</w:t>
      </w:r>
    </w:p>
    <w:p>
      <w:pPr>
        <w:spacing w:after="70" w:line="264"/>
        <w:ind w:left="547" w:hanging="547"/>
        <w:jc w:val="both"/>
      </w:pPr>
      <w:r>
        <w:rPr>
          <w:b/>
          <w:bCs/>
        </w:rPr>
        <w:t xml:space="preserve">15(2)</w:t>
      </w:r>
      <w:r>
        <w:t xml:space="preserve"> A replacement is appointed </w:t>
      </w:r>
      <w:r>
        <w:rPr>
          <w:b/>
          <w:bCs/>
          <w:shd w:fill="FFF2CC" w:color="auto" w:val="clear"/>
        </w:rPr>
        <w:t xml:space="preserve">by the same route as the original appointment.</w:t>
      </w:r>
      <w:r>
        <w:t xml:space="preserve"> This is why s. 11 matters later too.</w:t>
      </w:r>
    </w:p>
    <w:p>
      <w:pPr>
        <w:spacing w:after="70" w:line="264"/>
        <w:ind w:left="547" w:hanging="547"/>
        <w:jc w:val="both"/>
      </w:pPr>
      <w:r>
        <w:rPr>
          <w:b/>
          <w:bCs/>
        </w:rPr>
        <w:t xml:space="preserve">15(3)</w:t>
      </w:r>
      <w:r>
        <w:t xml:space="preserve"> Earlier hearings </w:t>
      </w:r>
      <w:r>
        <w:rPr>
          <w:b/>
          <w:bCs/>
        </w:rPr>
        <w:t xml:space="preserve">may be repeated, at the tribunal's discretion</w:t>
      </w:r>
      <w:r>
        <w:t xml:space="preserve">, which is the </w:t>
      </w:r>
      <w:r>
        <w:rPr>
          <w:b/>
          <w:bCs/>
          <w:i/>
          <w:iCs/>
        </w:rPr>
        <w:t xml:space="preserve">Gullapalli-I</w:t>
      </w:r>
      <w:r>
        <w:t xml:space="preserve"> principle again.</w:t>
      </w:r>
    </w:p>
    <w:p>
      <w:pPr>
        <w:spacing w:after="70" w:line="264"/>
        <w:ind w:left="547" w:hanging="547"/>
        <w:jc w:val="both"/>
      </w:pPr>
      <w:r>
        <w:rPr>
          <w:b/>
          <w:bCs/>
        </w:rPr>
        <w:t xml:space="preserve">15(4)</w:t>
      </w:r>
      <w:r>
        <w:t xml:space="preserve"> Earlier orders are </w:t>
      </w:r>
      <w:r>
        <w:rPr>
          <w:b/>
          <w:bCs/>
        </w:rPr>
        <w:t xml:space="preserve">not invalid</w:t>
      </w:r>
      <w:r>
        <w:t xml:space="preserve"> merely because the membership changed.</w:t>
      </w:r>
    </w:p>
    <w:p>
      <w:pPr>
        <w:spacing w:after="120" w:line="264"/>
        <w:jc w:val="both"/>
      </w:pPr>
      <w:r>
        <w:rPr>
          <w:b/>
          <w:bCs/>
        </w:rPr>
        <w:t xml:space="preserve">Unable in law</w:t>
      </w:r>
      <w:r>
        <w:t xml:space="preserve">, </w:t>
      </w:r>
      <w:r>
        <w:rPr>
          <w:i/>
          <w:iCs/>
        </w:rPr>
        <w:t xml:space="preserve">de jure</w:t>
      </w:r>
      <w:r>
        <w:t xml:space="preserve">, means his legal position stops him — </w:t>
      </w:r>
      <w:r>
        <w:rPr>
          <w:b/>
          <w:bCs/>
        </w:rPr>
        <w:t xml:space="preserve">insolvency</w:t>
      </w:r>
      <w:r>
        <w:t xml:space="preserve">, and above all </w:t>
      </w:r>
      <w:r>
        <w:rPr>
          <w:b/>
          <w:bCs/>
          <w:shd w:fill="FFF2CC" w:color="auto" w:val="clear"/>
        </w:rPr>
        <w:t xml:space="preserve">disqualification under s. 12(5),</w:t>
      </w:r>
      <w:r>
        <w:t xml:space="preserve"> as </w:t>
      </w:r>
      <w:r>
        <w:rPr>
          <w:b/>
          <w:bCs/>
          <w:i/>
          <w:iCs/>
        </w:rPr>
        <w:t xml:space="preserve">Bharat Broadband</w:t>
      </w:r>
      <w:r>
        <w:t xml:space="preserve"> holds. </w:t>
      </w:r>
      <w:r>
        <w:rPr>
          <w:b/>
          <w:bCs/>
        </w:rPr>
        <w:t xml:space="preserve">Unable in fact</w:t>
      </w:r>
      <w:r>
        <w:t xml:space="preserve">, </w:t>
      </w:r>
      <w:r>
        <w:rPr>
          <w:i/>
          <w:iCs/>
        </w:rPr>
        <w:t xml:space="preserve">de facto</w:t>
      </w:r>
      <w:r>
        <w:t xml:space="preserve">, means he is still qualified but cannot work — </w:t>
      </w:r>
      <w:r>
        <w:rPr>
          <w:b/>
          <w:bCs/>
        </w:rPr>
        <w:t xml:space="preserve">illness, arrest or unsoundness of mind</w:t>
      </w:r>
      <w:r>
        <w:t xml:space="preserve">. </w:t>
      </w:r>
      <w:r>
        <w:rPr>
          <w:b/>
          <w:bCs/>
        </w:rPr>
        <w:t xml:space="preserve">Failure to act</w:t>
      </w:r>
      <w:r>
        <w:t xml:space="preserve"> is different again: he is able, but simply does not work.</w:t>
      </w:r>
    </w:p>
    <w:p>
      <w:pPr>
        <w:pStyle w:val="Heading1"/>
        <w:keepNext/>
        <w:pBdr>
          <w:bottom w:val="single" w:color="1F3864" w:sz="6" w:space="4"/>
        </w:pBdr>
        <w:spacing w:after="160" w:before="420"/>
      </w:pPr>
      <w:r>
        <w:t xml:space="preserve">10.  Competence of the Tribunal — s. 16</w:t>
      </w:r>
    </w:p>
    <w:p>
      <w:pPr>
        <w:spacing w:after="120" w:line="264"/>
        <w:jc w:val="both"/>
      </w:pPr>
      <w:r>
        <w:rPr>
          <w:b/>
          <w:bCs/>
        </w:rPr>
        <w:t xml:space="preserve">The problem.</w:t>
      </w:r>
      <w:r>
        <w:t xml:space="preserve"> The tribunal's power comes from the agreement, so who decides when a party says there is no agreement? The Act answers with </w:t>
      </w:r>
      <w:r>
        <w:rPr>
          <w:b/>
          <w:bCs/>
        </w:rPr>
        <w:t xml:space="preserve">competence to decide competence</w:t>
      </w:r>
      <w:r>
        <w:t xml:space="preserve">, plus </w:t>
      </w:r>
      <w:r>
        <w:rPr>
          <w:b/>
          <w:bCs/>
        </w:rPr>
        <w:t xml:space="preserve">separability</w:t>
      </w:r>
      <w:r>
        <w:t xml:space="preserve">.</w:t>
      </w:r>
    </w:p>
    <w:p>
      <w:pPr>
        <w:spacing w:after="70" w:line="264"/>
        <w:ind w:left="547" w:hanging="547"/>
        <w:jc w:val="both"/>
      </w:pPr>
      <w:r>
        <w:rPr>
          <w:b/>
          <w:bCs/>
        </w:rPr>
        <w:t xml:space="preserve">16(1)</w:t>
      </w:r>
      <w:r>
        <w:t xml:space="preserve"> The tribunal may rule on its </w:t>
      </w:r>
      <w:r>
        <w:rPr>
          <w:b/>
          <w:bCs/>
        </w:rPr>
        <w:t xml:space="preserve">own jurisdiction</w:t>
      </w:r>
      <w:r>
        <w:t xml:space="preserve">, including the existence and validity of the agreement. (a) The arbitration clause </w:t>
      </w:r>
      <w:r>
        <w:rPr>
          <w:b/>
          <w:bCs/>
          <w:shd w:fill="FFF2CC" w:color="auto" w:val="clear"/>
        </w:rPr>
        <w:t xml:space="preserve">is treated as an agreement independent of the rest of the contract.</w:t>
      </w:r>
      <w:r>
        <w:t xml:space="preserve"> (b) A finding that the contract is void does </w:t>
      </w:r>
      <w:r>
        <w:rPr>
          <w:b/>
          <w:bCs/>
        </w:rPr>
        <w:t xml:space="preserve">not automatically</w:t>
      </w:r>
      <w:r>
        <w:t xml:space="preserve">, </w:t>
      </w:r>
      <w:r>
        <w:rPr>
          <w:i/>
          <w:iCs/>
        </w:rPr>
        <w:t xml:space="preserve">ipso jure</w:t>
      </w:r>
      <w:r>
        <w:t xml:space="preserve">, kill the clause.</w:t>
      </w:r>
    </w:p>
    <w:p>
      <w:pPr>
        <w:spacing w:after="70" w:line="264"/>
        <w:ind w:left="547" w:hanging="547"/>
        <w:jc w:val="both"/>
      </w:pPr>
      <w:r>
        <w:rPr>
          <w:b/>
          <w:bCs/>
        </w:rPr>
        <w:t xml:space="preserve">16(2)</w:t>
      </w:r>
      <w:r>
        <w:t xml:space="preserve"> A plea of </w:t>
      </w:r>
      <w:r>
        <w:rPr>
          <w:b/>
          <w:bCs/>
        </w:rPr>
        <w:t xml:space="preserve">no jurisdiction at all</w:t>
      </w:r>
      <w:r>
        <w:t xml:space="preserve"> must be raised </w:t>
      </w:r>
      <w:r>
        <w:rPr>
          <w:b/>
          <w:bCs/>
          <w:shd w:fill="FFF2CC" w:color="auto" w:val="clear"/>
        </w:rPr>
        <w:t xml:space="preserve">not later than the statement of defence.</w:t>
      </w:r>
      <w:r>
        <w:t xml:space="preserve"> The proviso matters: appointing, or helping to appoint, an arbitrator does </w:t>
      </w:r>
      <w:r>
        <w:rPr>
          <w:b/>
          <w:bCs/>
        </w:rPr>
        <w:t xml:space="preserve">not</w:t>
      </w:r>
      <w:r>
        <w:t xml:space="preserve"> bar the plea.</w:t>
      </w:r>
    </w:p>
    <w:p>
      <w:pPr>
        <w:spacing w:after="70" w:line="264"/>
        <w:ind w:left="547" w:hanging="547"/>
        <w:jc w:val="both"/>
      </w:pPr>
      <w:r>
        <w:rPr>
          <w:b/>
          <w:bCs/>
        </w:rPr>
        <w:t xml:space="preserve">16(3)</w:t>
      </w:r>
      <w:r>
        <w:t xml:space="preserve"> A plea that the tribunal is </w:t>
      </w:r>
      <w:r>
        <w:rPr>
          <w:b/>
          <w:bCs/>
        </w:rPr>
        <w:t xml:space="preserve">exceeding its authority</w:t>
      </w:r>
      <w:r>
        <w:t xml:space="preserve"> must be raised </w:t>
      </w:r>
      <w:r>
        <w:rPr>
          <w:b/>
          <w:bCs/>
        </w:rPr>
        <w:t xml:space="preserve">as soon as that matter arises</w:t>
      </w:r>
      <w:r>
        <w:t xml:space="preserve">.</w:t>
      </w:r>
    </w:p>
    <w:p>
      <w:pPr>
        <w:spacing w:after="70" w:line="264"/>
        <w:ind w:left="547" w:hanging="547"/>
        <w:jc w:val="both"/>
      </w:pPr>
      <w:r>
        <w:rPr>
          <w:b/>
          <w:bCs/>
        </w:rPr>
        <w:t xml:space="preserve">16(4)</w:t>
      </w:r>
      <w:r>
        <w:t xml:space="preserve"> A late plea may still be allowed if the tribunal finds the </w:t>
      </w:r>
      <w:r>
        <w:rPr>
          <w:b/>
          <w:bCs/>
        </w:rPr>
        <w:t xml:space="preserve">delay justified</w:t>
      </w:r>
      <w:r>
        <w:t xml:space="preserve">.</w:t>
      </w:r>
    </w:p>
    <w:p>
      <w:pPr>
        <w:spacing w:after="70" w:line="264"/>
        <w:ind w:left="547" w:hanging="547"/>
        <w:jc w:val="both"/>
      </w:pPr>
      <w:r>
        <w:rPr>
          <w:b/>
          <w:bCs/>
        </w:rPr>
        <w:t xml:space="preserve">16(5)</w:t>
      </w:r>
      <w:r>
        <w:t xml:space="preserve"> If the plea is </w:t>
      </w:r>
      <w:r>
        <w:rPr>
          <w:b/>
          <w:bCs/>
        </w:rPr>
        <w:t xml:space="preserve">rejected</w:t>
      </w:r>
      <w:r>
        <w:t xml:space="preserve">, the tribunal </w:t>
      </w:r>
      <w:r>
        <w:rPr>
          <w:b/>
          <w:bCs/>
        </w:rPr>
        <w:t xml:space="preserve">continues</w:t>
      </w:r>
      <w:r>
        <w:t xml:space="preserve"> and makes the award.</w:t>
      </w:r>
    </w:p>
    <w:p>
      <w:pPr>
        <w:spacing w:after="70" w:line="264"/>
        <w:ind w:left="547" w:hanging="547"/>
        <w:jc w:val="both"/>
      </w:pPr>
      <w:r>
        <w:rPr>
          <w:b/>
          <w:bCs/>
        </w:rPr>
        <w:t xml:space="preserve">16(6)</w:t>
      </w:r>
      <w:r>
        <w:t xml:space="preserve"> The remedy is then </w:t>
      </w:r>
      <w:r>
        <w:rPr>
          <w:b/>
          <w:bCs/>
        </w:rPr>
        <w:t xml:space="preserve">s. 34</w:t>
      </w:r>
      <w:r>
        <w:t xml:space="preserve">.</w:t>
      </w:r>
    </w:p>
    <w:p>
      <w:pPr>
        <w:spacing w:after="120" w:line="264"/>
        <w:jc w:val="both"/>
      </w:pPr>
      <w:r>
        <w:rPr>
          <w:b/>
          <w:bCs/>
        </w:rPr>
        <w:t xml:space="preserve">Effect of separability.</w:t>
      </w:r>
      <w:r>
        <w:t xml:space="preserve"> If the contract is void, cancelled or obtained by fraud, the tribunal still decides. </w:t>
      </w:r>
      <w:r>
        <w:rPr>
          <w:b/>
          <w:bCs/>
          <w:shd w:fill="FFF2CC" w:color="auto" w:val="clear"/>
        </w:rPr>
        <w:t xml:space="preserve">But if the attack is on the arbitration clause itself, separability cannot save it.</w:t>
      </w:r>
    </w:p>
    <w:p>
      <w:pPr>
        <w:spacing w:after="120" w:line="264"/>
        <w:jc w:val="both"/>
      </w:pPr>
      <w:r>
        <w:rPr>
          <w:b/>
          <w:bCs/>
        </w:rPr>
        <w:t xml:space="preserve">Asymmetry to remember.</w:t>
      </w:r>
      <w:r>
        <w:t xml:space="preserve"> </w:t>
      </w:r>
      <w:r>
        <w:rPr>
          <w:b/>
          <w:bCs/>
          <w:shd w:fill="FFF2CC" w:color="auto" w:val="clear"/>
        </w:rPr>
        <w:t xml:space="preserve">If the plea is rejected there is no immediate appeal; wait for the award and use s. 34. If it is accepted the arbitration ends, and an appeal lies at once under s. 37(2)(a).</w:t>
      </w:r>
      <w:r>
        <w:t xml:space="preserve"> The design keeps a running arbitration from being interrupted.</w:t>
      </w:r>
    </w:p>
    <w:p>
      <w:pPr>
        <w:pStyle w:val="Heading1"/>
        <w:keepNext/>
        <w:pBdr>
          <w:bottom w:val="single" w:color="1F3864" w:sz="6" w:space="4"/>
        </w:pBdr>
        <w:spacing w:after="160" w:before="420"/>
      </w:pPr>
      <w:r>
        <w:t xml:space="preserve">11.  Conduct of Proceedings — ss. 18 to 26</w:t>
      </w:r>
    </w:p>
    <w:p>
      <w:pPr>
        <w:spacing w:after="120" w:line="264"/>
        <w:jc w:val="both"/>
      </w:pPr>
      <w:r>
        <w:rPr>
          <w:b/>
          <w:bCs/>
        </w:rPr>
        <w:t xml:space="preserve">The balance.</w:t>
      </w:r>
      <w:r>
        <w:t xml:space="preserve"> Flexibility, because the tribunal is free of court procedure, against fairness, because both sides must be heard. Almost everything is “unless otherwise agreed”. </w:t>
      </w:r>
      <w:r>
        <w:rPr>
          <w:b/>
          <w:bCs/>
          <w:shd w:fill="FFF2CC" w:color="auto" w:val="clear"/>
        </w:rPr>
        <w:t xml:space="preserve">S. 18 is the one thing the parties cannot change.</w:t>
      </w:r>
    </w:p>
    <w:p>
      <w:pPr>
        <w:pStyle w:val="Heading2"/>
        <w:keepNext/>
        <w:spacing w:after="100" w:before="250"/>
      </w:pPr>
      <w:r>
        <w:t xml:space="preserve">Sections 18 to 22</w:t>
      </w:r>
    </w:p>
    <w:p>
      <w:pPr>
        <w:spacing w:after="70" w:line="264"/>
        <w:ind w:left="547" w:hanging="547"/>
        <w:jc w:val="both"/>
      </w:pPr>
      <w:r>
        <w:rPr>
          <w:b/>
          <w:bCs/>
        </w:rPr>
        <w:t xml:space="preserve">18</w:t>
      </w:r>
      <w:r>
        <w:t xml:space="preserve"> </w:t>
      </w:r>
      <w:r>
        <w:rPr>
          <w:b/>
          <w:bCs/>
          <w:shd w:fill="FFF2CC" w:color="auto" w:val="clear"/>
        </w:rPr>
        <w:t xml:space="preserve">The parties shall be treated with equality, and each shall be given a full opportunity to present his case.</w:t>
      </w:r>
      <w:r>
        <w:t xml:space="preserve"> Non-derogable. A breach is the ground in </w:t>
      </w:r>
      <w:r>
        <w:rPr>
          <w:b/>
          <w:bCs/>
        </w:rPr>
        <w:t xml:space="preserve">s. 34(2)(a)(iii)</w:t>
      </w:r>
      <w:r>
        <w:t xml:space="preserve">.</w:t>
      </w:r>
    </w:p>
    <w:p>
      <w:pPr>
        <w:spacing w:after="70" w:line="264"/>
        <w:ind w:left="547" w:hanging="547"/>
        <w:jc w:val="both"/>
      </w:pPr>
      <w:r>
        <w:rPr>
          <w:b/>
          <w:bCs/>
        </w:rPr>
        <w:t xml:space="preserve">19(1)</w:t>
      </w:r>
      <w:r>
        <w:t xml:space="preserve"> The tribunal is </w:t>
      </w:r>
      <w:r>
        <w:rPr>
          <w:b/>
          <w:bCs/>
        </w:rPr>
        <w:t xml:space="preserve">not bound</w:t>
      </w:r>
      <w:r>
        <w:t xml:space="preserve"> by the </w:t>
      </w:r>
      <w:r>
        <w:rPr>
          <w:b/>
          <w:bCs/>
        </w:rPr>
        <w:t xml:space="preserve">CPC</w:t>
      </w:r>
      <w:r>
        <w:t xml:space="preserve"> or the law of </w:t>
      </w:r>
      <w:r>
        <w:rPr>
          <w:b/>
          <w:bCs/>
        </w:rPr>
        <w:t xml:space="preserve">evidence</w:t>
      </w:r>
      <w:r>
        <w:t xml:space="preserve">, though it may still borrow their principles. </w:t>
      </w:r>
      <w:r>
        <w:rPr>
          <w:b/>
          <w:bCs/>
        </w:rPr>
        <w:t xml:space="preserve">19(2)</w:t>
      </w:r>
      <w:r>
        <w:t xml:space="preserve"> The parties may agree the procedure. </w:t>
      </w:r>
      <w:r>
        <w:rPr>
          <w:b/>
          <w:bCs/>
        </w:rPr>
        <w:t xml:space="preserve">19(3)</w:t>
      </w:r>
      <w:r>
        <w:t xml:space="preserve"> Failing that, the tribunal decides, but </w:t>
      </w:r>
      <w:r>
        <w:rPr>
          <w:b/>
          <w:bCs/>
        </w:rPr>
        <w:t xml:space="preserve">subject to s. 18</w:t>
      </w:r>
      <w:r>
        <w:t xml:space="preserve">. </w:t>
      </w:r>
      <w:r>
        <w:rPr>
          <w:b/>
          <w:bCs/>
        </w:rPr>
        <w:t xml:space="preserve">19(4)</w:t>
      </w:r>
      <w:r>
        <w:t xml:space="preserve"> It decides </w:t>
      </w:r>
      <w:r>
        <w:rPr>
          <w:b/>
          <w:bCs/>
        </w:rPr>
        <w:t xml:space="preserve">admissibility, relevance, materiality and weight</w:t>
      </w:r>
      <w:r>
        <w:t xml:space="preserve"> of evidence. In practice a procedural hearing produces </w:t>
      </w:r>
      <w:r>
        <w:rPr>
          <w:b/>
          <w:bCs/>
        </w:rPr>
        <w:t xml:space="preserve">procedural orders</w:t>
      </w:r>
      <w:r>
        <w:t xml:space="preserve">.</w:t>
      </w:r>
    </w:p>
    <w:p>
      <w:pPr>
        <w:spacing w:after="70" w:line="264"/>
        <w:ind w:left="547" w:hanging="547"/>
        <w:jc w:val="both"/>
      </w:pPr>
      <w:r>
        <w:rPr>
          <w:b/>
          <w:bCs/>
        </w:rPr>
        <w:t xml:space="preserve">20(1)</w:t>
      </w:r>
      <w:r>
        <w:t xml:space="preserve"> The parties agree the </w:t>
      </w:r>
      <w:r>
        <w:rPr>
          <w:b/>
          <w:bCs/>
        </w:rPr>
        <w:t xml:space="preserve">place, meaning the seat</w:t>
      </w:r>
      <w:r>
        <w:t xml:space="preserve">. </w:t>
      </w:r>
      <w:r>
        <w:rPr>
          <w:b/>
          <w:bCs/>
        </w:rPr>
        <w:t xml:space="preserve">20(2)</w:t>
      </w:r>
      <w:r>
        <w:t xml:space="preserve"> Failing that, the tribunal decides, </w:t>
      </w:r>
      <w:r>
        <w:rPr>
          <w:b/>
          <w:bCs/>
        </w:rPr>
        <w:t xml:space="preserve">considering convenience</w:t>
      </w:r>
      <w:r>
        <w:t xml:space="preserve">. </w:t>
      </w:r>
      <w:r>
        <w:rPr>
          <w:b/>
          <w:bCs/>
        </w:rPr>
        <w:t xml:space="preserve">20(3)</w:t>
      </w:r>
      <w:r>
        <w:t xml:space="preserve"> It may </w:t>
      </w:r>
      <w:r>
        <w:rPr>
          <w:b/>
          <w:bCs/>
        </w:rPr>
        <w:t xml:space="preserve">meet anywhere</w:t>
      </w:r>
      <w:r>
        <w:t xml:space="preserve"> for consultation, witnesses or inspection, so </w:t>
      </w:r>
      <w:r>
        <w:rPr>
          <w:b/>
          <w:bCs/>
          <w:shd w:fill="FFF2CC" w:color="auto" w:val="clear"/>
        </w:rPr>
        <w:t xml:space="preserve">the venue may move but the seat does not.</w:t>
      </w:r>
    </w:p>
    <w:p>
      <w:pPr>
        <w:spacing w:after="70" w:line="264"/>
        <w:ind w:left="547" w:hanging="547"/>
        <w:jc w:val="both"/>
      </w:pPr>
      <w:r>
        <w:rPr>
          <w:b/>
          <w:bCs/>
        </w:rPr>
        <w:t xml:space="preserve">21</w:t>
      </w:r>
      <w:r>
        <w:t xml:space="preserve"> Proceedings begin </w:t>
      </w:r>
      <w:r>
        <w:rPr>
          <w:b/>
          <w:bCs/>
          <w:shd w:fill="FFF2CC" w:color="auto" w:val="clear"/>
        </w:rPr>
        <w:t xml:space="preserve">on the date the respondent receives the request to refer that dispute.</w:t>
      </w:r>
      <w:r>
        <w:t xml:space="preserve"> Receipt, not despatch. This is the </w:t>
      </w:r>
      <w:r>
        <w:rPr>
          <w:b/>
          <w:bCs/>
        </w:rPr>
        <w:t xml:space="preserve">notice of arbitration</w:t>
      </w:r>
      <w:r>
        <w:t xml:space="preserve">, not a mere notice of dispute. It matters for the ninety days in s. 9(2), for limitation, and for s. 17.</w:t>
      </w:r>
    </w:p>
    <w:p>
      <w:pPr>
        <w:spacing w:after="70" w:line="264"/>
        <w:ind w:left="547" w:hanging="547"/>
        <w:jc w:val="both"/>
      </w:pPr>
      <w:r>
        <w:rPr>
          <w:b/>
          <w:bCs/>
        </w:rPr>
        <w:t xml:space="preserve">22(1) and (2)</w:t>
      </w:r>
      <w:r>
        <w:t xml:space="preserve"> The parties choose the language; failing that, the tribunal does. </w:t>
      </w:r>
      <w:r>
        <w:rPr>
          <w:b/>
          <w:bCs/>
        </w:rPr>
        <w:t xml:space="preserve">22(3)</w:t>
      </w:r>
      <w:r>
        <w:t xml:space="preserve"> It covers </w:t>
      </w:r>
      <w:r>
        <w:rPr>
          <w:b/>
          <w:bCs/>
        </w:rPr>
        <w:t xml:space="preserve">every statement, hearing, award, decision and communication</w:t>
      </w:r>
      <w:r>
        <w:t xml:space="preserve">. </w:t>
      </w:r>
      <w:r>
        <w:rPr>
          <w:b/>
          <w:bCs/>
        </w:rPr>
        <w:t xml:space="preserve">22(4)</w:t>
      </w:r>
      <w:r>
        <w:t xml:space="preserve"> The tribunal may order </w:t>
      </w:r>
      <w:r>
        <w:rPr>
          <w:b/>
          <w:bCs/>
        </w:rPr>
        <w:t xml:space="preserve">translations</w:t>
      </w:r>
      <w:r>
        <w:t xml:space="preserve">.</w:t>
      </w:r>
    </w:p>
    <w:p>
      <w:pPr>
        <w:pStyle w:val="Heading2"/>
        <w:keepNext/>
        <w:spacing w:after="100" w:before="250"/>
      </w:pPr>
      <w:r>
        <w:t xml:space="preserve">Section 23, the pleadings</w:t>
      </w:r>
    </w:p>
    <w:p>
      <w:pPr>
        <w:spacing w:after="70" w:line="264"/>
        <w:ind w:left="547" w:hanging="547"/>
        <w:jc w:val="both"/>
      </w:pPr>
      <w:r>
        <w:rPr>
          <w:b/>
          <w:bCs/>
        </w:rPr>
        <w:t xml:space="preserve">23(1)</w:t>
      </w:r>
      <w:r>
        <w:t xml:space="preserve"> The </w:t>
      </w:r>
      <w:r>
        <w:rPr>
          <w:b/>
          <w:bCs/>
        </w:rPr>
        <w:t xml:space="preserve">claimant</w:t>
      </w:r>
      <w:r>
        <w:t xml:space="preserve"> states the </w:t>
      </w:r>
      <w:r>
        <w:rPr>
          <w:b/>
          <w:bCs/>
        </w:rPr>
        <w:t xml:space="preserve">facts</w:t>
      </w:r>
      <w:r>
        <w:t xml:space="preserve">, the </w:t>
      </w:r>
      <w:r>
        <w:rPr>
          <w:b/>
          <w:bCs/>
        </w:rPr>
        <w:t xml:space="preserve">points at issue</w:t>
      </w:r>
      <w:r>
        <w:t xml:space="preserve"> and the </w:t>
      </w:r>
      <w:r>
        <w:rPr>
          <w:b/>
          <w:bCs/>
        </w:rPr>
        <w:t xml:space="preserve">relief sought</w:t>
      </w:r>
      <w:r>
        <w:t xml:space="preserve">, and the respondent answers those particulars. These are the plaint and written statement of arbitration.</w:t>
      </w:r>
    </w:p>
    <w:p>
      <w:pPr>
        <w:spacing w:after="70" w:line="264"/>
        <w:ind w:left="547" w:hanging="547"/>
        <w:jc w:val="both"/>
      </w:pPr>
      <w:r>
        <w:rPr>
          <w:b/>
          <w:bCs/>
        </w:rPr>
        <w:t xml:space="preserve">23(2)</w:t>
      </w:r>
      <w:r>
        <w:t xml:space="preserve"> The parties may file all relevant documents, the </w:t>
      </w:r>
      <w:r>
        <w:rPr>
          <w:b/>
          <w:bCs/>
        </w:rPr>
        <w:t xml:space="preserve">exhibits</w:t>
      </w:r>
      <w:r>
        <w:t xml:space="preserve">, or list what they will produce.</w:t>
      </w:r>
    </w:p>
    <w:p>
      <w:pPr>
        <w:spacing w:after="70" w:line="264"/>
        <w:ind w:left="547" w:hanging="547"/>
        <w:jc w:val="both"/>
      </w:pPr>
      <w:r>
        <w:rPr>
          <w:b/>
          <w:bCs/>
        </w:rPr>
        <w:t xml:space="preserve">23(2A)</w:t>
      </w:r>
      <w:r>
        <w:t xml:space="preserve"> (2015) The respondent may bring a </w:t>
      </w:r>
      <w:r>
        <w:rPr>
          <w:b/>
          <w:bCs/>
        </w:rPr>
        <w:t xml:space="preserve">counterclaim</w:t>
      </w:r>
      <w:r>
        <w:t xml:space="preserve"> or plead a </w:t>
      </w:r>
      <w:r>
        <w:rPr>
          <w:b/>
          <w:bCs/>
        </w:rPr>
        <w:t xml:space="preserve">set-off</w:t>
      </w:r>
      <w:r>
        <w:t xml:space="preserve">, </w:t>
      </w:r>
      <w:r>
        <w:rPr>
          <w:b/>
          <w:bCs/>
          <w:shd w:fill="FFF2CC" w:color="auto" w:val="clear"/>
        </w:rPr>
        <w:t xml:space="preserve">but only if it falls within the arbitration agreement.</w:t>
      </w:r>
      <w:r>
        <w:t xml:space="preserve"> A </w:t>
      </w:r>
      <w:r>
        <w:rPr>
          <w:b/>
          <w:bCs/>
        </w:rPr>
        <w:t xml:space="preserve">counterclaim</w:t>
      </w:r>
      <w:r>
        <w:t xml:space="preserve"> is an independent claim on which he can recover. A </w:t>
      </w:r>
      <w:r>
        <w:rPr>
          <w:b/>
          <w:bCs/>
        </w:rPr>
        <w:t xml:space="preserve">set-off</w:t>
      </w:r>
      <w:r>
        <w:t xml:space="preserve"> is defensive and only reduces the claim.</w:t>
      </w:r>
    </w:p>
    <w:p>
      <w:pPr>
        <w:spacing w:after="70" w:line="264"/>
        <w:ind w:left="547" w:hanging="547"/>
        <w:jc w:val="both"/>
      </w:pPr>
      <w:r>
        <w:rPr>
          <w:b/>
          <w:bCs/>
        </w:rPr>
        <w:t xml:space="preserve">23(3)</w:t>
      </w:r>
      <w:r>
        <w:t xml:space="preserve"> Either side may </w:t>
      </w:r>
      <w:r>
        <w:rPr>
          <w:b/>
          <w:bCs/>
        </w:rPr>
        <w:t xml:space="preserve">amend</w:t>
      </w:r>
      <w:r>
        <w:t xml:space="preserve">, unless the tribunal thinks it inappropriate </w:t>
      </w:r>
      <w:r>
        <w:rPr>
          <w:b/>
          <w:bCs/>
        </w:rPr>
        <w:t xml:space="preserve">because of delay</w:t>
      </w:r>
      <w:r>
        <w:t xml:space="preserve">. Permission is the rule, and the CPC test applies: does it help decide the </w:t>
      </w:r>
      <w:r>
        <w:rPr>
          <w:b/>
          <w:bCs/>
        </w:rPr>
        <w:t xml:space="preserve">real question in controversy</w:t>
      </w:r>
      <w:r>
        <w:t xml:space="preserve">?</w:t>
      </w:r>
    </w:p>
    <w:p>
      <w:pPr>
        <w:spacing w:after="70" w:line="264"/>
        <w:ind w:left="547" w:hanging="547"/>
        <w:jc w:val="both"/>
      </w:pPr>
      <w:r>
        <w:rPr>
          <w:b/>
          <w:bCs/>
        </w:rPr>
        <w:t xml:space="preserve">23(4)</w:t>
      </w:r>
      <w:r>
        <w:t xml:space="preserve"> (2019) Claim and defence to be completed within </w:t>
      </w:r>
      <w:r>
        <w:rPr>
          <w:b/>
          <w:bCs/>
          <w:shd w:fill="FFF2CC" w:color="auto" w:val="clear"/>
        </w:rPr>
        <w:t xml:space="preserve">six months from the date the arbitrators received written notice of appointment.</w:t>
      </w:r>
      <w:r>
        <w:t xml:space="preserve"> </w:t>
      </w:r>
      <w:r>
        <w:rPr>
          <w:b/>
          <w:bCs/>
        </w:rPr>
        <w:t xml:space="preserve">There is no s. 23(9).</w:t>
      </w:r>
      <w:r>
        <w:t xml:space="preserve"> It links to </w:t>
      </w:r>
      <w:r>
        <w:rPr>
          <w:b/>
          <w:bCs/>
        </w:rPr>
        <w:t xml:space="preserve">s. 29A(1)</w:t>
      </w:r>
      <w:r>
        <w:t xml:space="preserve">: the twelve months for the award begin </w:t>
      </w:r>
      <w:r>
        <w:rPr>
          <w:b/>
          <w:bCs/>
        </w:rPr>
        <w:t xml:space="preserve">after</w:t>
      </w:r>
      <w:r>
        <w:t xml:space="preserve"> pleadings close, so </w:t>
      </w:r>
      <w:r>
        <w:rPr>
          <w:b/>
          <w:bCs/>
          <w:shd w:fill="FFF2CC" w:color="auto" w:val="clear"/>
        </w:rPr>
        <w:t xml:space="preserve">the two periods run one after the other.</w:t>
      </w:r>
    </w:p>
    <w:p>
      <w:pPr>
        <w:spacing w:after="120" w:line="264"/>
        <w:jc w:val="both"/>
      </w:pPr>
      <w:r>
        <w:rPr>
          <w:b/>
          <w:bCs/>
        </w:rPr>
        <w:t xml:space="preserve">Section 29A in brief.</w:t>
      </w:r>
      <w:r>
        <w:t xml:space="preserve"> Twelve months from the close of pleadings; the parties may add six months by consent under s. 29A(3); after that only a court may extend, under ss. 29A(4) and (5). For an </w:t>
      </w:r>
      <w:r>
        <w:rPr>
          <w:b/>
          <w:bCs/>
        </w:rPr>
        <w:t xml:space="preserve">ICA the twelve months is only a target</w:t>
      </w:r>
      <w:r>
        <w:t xml:space="preserve">: </w:t>
      </w:r>
      <w:r>
        <w:rPr>
          <w:b/>
          <w:bCs/>
          <w:i/>
          <w:iCs/>
        </w:rPr>
        <w:t xml:space="preserve">Tata Sons v. Siva Industries</w:t>
      </w:r>
      <w:r>
        <w:t xml:space="preserve"> (SC, 5 January 2023).</w:t>
      </w:r>
    </w:p>
    <w:p>
      <w:pPr>
        <w:pStyle w:val="Heading2"/>
        <w:keepNext/>
        <w:spacing w:after="100" w:before="250"/>
      </w:pPr>
      <w:r>
        <w:t xml:space="preserve">Sections 24 to 26</w:t>
      </w:r>
    </w:p>
    <w:p>
      <w:pPr>
        <w:spacing w:after="70" w:line="264"/>
        <w:ind w:left="547" w:hanging="547"/>
        <w:jc w:val="both"/>
      </w:pPr>
      <w:r>
        <w:rPr>
          <w:b/>
          <w:bCs/>
        </w:rPr>
        <w:t xml:space="preserve">24(1)</w:t>
      </w:r>
      <w:r>
        <w:t xml:space="preserve"> The tribunal chooses between oral hearings and a </w:t>
      </w:r>
      <w:r>
        <w:rPr>
          <w:b/>
          <w:bCs/>
        </w:rPr>
        <w:t xml:space="preserve">documents-only</w:t>
      </w:r>
      <w:r>
        <w:t xml:space="preserve"> arbitration. </w:t>
      </w:r>
      <w:r>
        <w:rPr>
          <w:b/>
          <w:bCs/>
        </w:rPr>
        <w:t xml:space="preserve">First proviso:</w:t>
      </w:r>
      <w:r>
        <w:t xml:space="preserve"> it </w:t>
      </w:r>
      <w:r>
        <w:rPr>
          <w:b/>
          <w:bCs/>
          <w:shd w:fill="FFF2CC" w:color="auto" w:val="clear"/>
        </w:rPr>
        <w:t xml:space="preserve">must hold an oral hearing if a party asks,</w:t>
      </w:r>
      <w:r>
        <w:t xml:space="preserve"> unless the parties agreed otherwise, so documents-only is the exception. </w:t>
      </w:r>
      <w:r>
        <w:rPr>
          <w:b/>
          <w:bCs/>
        </w:rPr>
        <w:t xml:space="preserve">Second proviso:</w:t>
      </w:r>
      <w:r>
        <w:t xml:space="preserve"> hearings </w:t>
      </w:r>
      <w:r>
        <w:rPr>
          <w:b/>
          <w:bCs/>
        </w:rPr>
        <w:t xml:space="preserve">day to day</w:t>
      </w:r>
      <w:r>
        <w:t xml:space="preserve"> as far as possible, </w:t>
      </w:r>
      <w:r>
        <w:rPr>
          <w:b/>
          <w:bCs/>
        </w:rPr>
        <w:t xml:space="preserve">no adjournment without sufficient cause</w:t>
      </w:r>
      <w:r>
        <w:t xml:space="preserve">, and </w:t>
      </w:r>
      <w:r>
        <w:rPr>
          <w:b/>
          <w:bCs/>
          <w:shd w:fill="FFF2CC" w:color="auto" w:val="clear"/>
        </w:rPr>
        <w:t xml:space="preserve">exemplary costs may be imposed for an adjournment sought without cause.</w:t>
      </w:r>
    </w:p>
    <w:p>
      <w:pPr>
        <w:spacing w:after="70" w:line="264"/>
        <w:ind w:left="547" w:hanging="547"/>
        <w:jc w:val="both"/>
      </w:pPr>
      <w:r>
        <w:rPr>
          <w:b/>
          <w:bCs/>
        </w:rPr>
        <w:t xml:space="preserve">24(2)</w:t>
      </w:r>
      <w:r>
        <w:t xml:space="preserve"> </w:t>
      </w:r>
      <w:r>
        <w:rPr>
          <w:b/>
          <w:bCs/>
        </w:rPr>
        <w:t xml:space="preserve">Sufficient advance notice</w:t>
      </w:r>
      <w:r>
        <w:t xml:space="preserve"> of every hearing and every inspection meeting.</w:t>
      </w:r>
    </w:p>
    <w:p>
      <w:pPr>
        <w:spacing w:after="70" w:line="264"/>
        <w:ind w:left="547" w:hanging="547"/>
        <w:jc w:val="both"/>
      </w:pPr>
      <w:r>
        <w:rPr>
          <w:b/>
          <w:bCs/>
        </w:rPr>
        <w:t xml:space="preserve">24(3)</w:t>
      </w:r>
      <w:r>
        <w:t xml:space="preserve"> Everything one party gives the tribunal </w:t>
      </w:r>
      <w:r>
        <w:rPr>
          <w:b/>
          <w:bCs/>
        </w:rPr>
        <w:t xml:space="preserve">must go to the other</w:t>
      </w:r>
      <w:r>
        <w:t xml:space="preserve">, and so must any expert report the tribunal may rely on. </w:t>
      </w:r>
      <w:r>
        <w:rPr>
          <w:b/>
          <w:bCs/>
          <w:shd w:fill="FFF2CC" w:color="auto" w:val="clear"/>
        </w:rPr>
        <w:t xml:space="preserve">The tribunal cannot decide on material the parties have not seen.</w:t>
      </w:r>
      <w:r>
        <w:t xml:space="preserve"> Sub-sections (2) and (3) are s. 18 at work.</w:t>
      </w:r>
    </w:p>
    <w:p>
      <w:pPr>
        <w:spacing w:after="70" w:line="264"/>
        <w:ind w:left="547" w:hanging="547"/>
        <w:jc w:val="both"/>
      </w:pPr>
      <w:r>
        <w:rPr>
          <w:b/>
          <w:bCs/>
        </w:rPr>
        <w:t xml:space="preserve">25(a)</w:t>
      </w:r>
      <w:r>
        <w:t xml:space="preserve"> The claimant files no statement of claim, so the tribunal </w:t>
      </w:r>
      <w:r>
        <w:rPr>
          <w:b/>
          <w:bCs/>
        </w:rPr>
        <w:t xml:space="preserve">must terminate</w:t>
      </w:r>
      <w:r>
        <w:t xml:space="preserve">. </w:t>
      </w:r>
      <w:r>
        <w:rPr>
          <w:b/>
          <w:bCs/>
        </w:rPr>
        <w:t xml:space="preserve">25(b)</w:t>
      </w:r>
      <w:r>
        <w:t xml:space="preserve"> The respondent files no defence, so the tribunal </w:t>
      </w:r>
      <w:r>
        <w:rPr>
          <w:b/>
          <w:bCs/>
        </w:rPr>
        <w:t xml:space="preserve">must continue</w:t>
      </w:r>
      <w:r>
        <w:t xml:space="preserve">, </w:t>
      </w:r>
      <w:r>
        <w:rPr>
          <w:b/>
          <w:bCs/>
          <w:shd w:fill="FFF2CC" w:color="auto" w:val="clear"/>
        </w:rPr>
        <w:t xml:space="preserve">and must not treat the default as admitting the claim,</w:t>
      </w:r>
      <w:r>
        <w:t xml:space="preserve"> though it may treat the right to file as forfeited. </w:t>
      </w:r>
      <w:r>
        <w:rPr>
          <w:b/>
          <w:bCs/>
        </w:rPr>
        <w:t xml:space="preserve">25(c)</w:t>
      </w:r>
      <w:r>
        <w:t xml:space="preserve"> A party does not appear or produce documents, so the tribunal </w:t>
      </w:r>
      <w:r>
        <w:rPr>
          <w:b/>
          <w:bCs/>
        </w:rPr>
        <w:t xml:space="preserve">may continue and decide on the evidence before it</w:t>
      </w:r>
      <w:r>
        <w:t xml:space="preserve">. All three apply only where </w:t>
      </w:r>
      <w:r>
        <w:rPr>
          <w:b/>
          <w:bCs/>
        </w:rPr>
        <w:t xml:space="preserve">no sufficient cause</w:t>
      </w:r>
      <w:r>
        <w:t xml:space="preserve"> is shown.</w:t>
      </w:r>
    </w:p>
    <w:p>
      <w:pPr>
        <w:spacing w:after="70" w:line="264"/>
        <w:ind w:left="547" w:hanging="547"/>
        <w:jc w:val="both"/>
      </w:pPr>
      <w:r>
        <w:rPr>
          <w:b/>
          <w:bCs/>
        </w:rPr>
        <w:t xml:space="preserve">26(1)</w:t>
      </w:r>
      <w:r>
        <w:t xml:space="preserve"> The tribunal may appoint an expert to report on </w:t>
      </w:r>
      <w:r>
        <w:rPr>
          <w:b/>
          <w:bCs/>
        </w:rPr>
        <w:t xml:space="preserve">specific issues it identifies</w:t>
      </w:r>
      <w:r>
        <w:t xml:space="preserve">, and may require a party to give information or access. </w:t>
      </w:r>
      <w:r>
        <w:rPr>
          <w:b/>
          <w:bCs/>
        </w:rPr>
        <w:t xml:space="preserve">26(2)</w:t>
      </w:r>
      <w:r>
        <w:t xml:space="preserve"> On request, or if necessary, the expert must </w:t>
      </w:r>
      <w:r>
        <w:rPr>
          <w:b/>
          <w:bCs/>
        </w:rPr>
        <w:t xml:space="preserve">attend an oral hearing</w:t>
      </w:r>
      <w:r>
        <w:t xml:space="preserve"> for questioning, and the parties may bring their own experts. </w:t>
      </w:r>
      <w:r>
        <w:rPr>
          <w:b/>
          <w:bCs/>
        </w:rPr>
        <w:t xml:space="preserve">26(3)</w:t>
      </w:r>
      <w:r>
        <w:t xml:space="preserve"> On request, the expert must </w:t>
      </w:r>
      <w:r>
        <w:rPr>
          <w:b/>
          <w:bCs/>
        </w:rPr>
        <w:t xml:space="preserve">make his material available for inspection</w:t>
      </w:r>
      <w:r>
        <w:t xml:space="preserve">. </w:t>
      </w:r>
      <w:r>
        <w:rPr>
          <w:b/>
          <w:bCs/>
          <w:shd w:fill="FFF2CC" w:color="auto" w:val="clear"/>
        </w:rPr>
        <w:t xml:space="preserve">The expert reports; he does not decide.</w:t>
      </w:r>
    </w:p>
    <w:p>
      <w:pPr>
        <w:spacing w:after="120" w:line="264"/>
        <w:jc w:val="both"/>
      </w:pPr>
      <w:r>
        <w:rPr>
          <w:b/>
          <w:bCs/>
        </w:rPr>
        <w:t xml:space="preserve">Two kinds of expert.</w:t>
      </w:r>
      <w:r>
        <w:t xml:space="preserve"> A </w:t>
      </w:r>
      <w:r>
        <w:rPr>
          <w:b/>
          <w:bCs/>
        </w:rPr>
        <w:t xml:space="preserve">party-appointed</w:t>
      </w:r>
      <w:r>
        <w:t xml:space="preserve"> expert is a witness, tested by cross-examination. A </w:t>
      </w:r>
      <w:r>
        <w:rPr>
          <w:b/>
          <w:bCs/>
        </w:rPr>
        <w:t xml:space="preserve">tribunal-appointed</w:t>
      </w:r>
      <w:r>
        <w:t xml:space="preserve"> expert reports to the tribunal, with the safeguards in 26(2) and (3).</w:t>
      </w:r>
    </w:p>
    <w:p>
      <w:pPr>
        <w:pStyle w:val="Heading1"/>
        <w:keepNext/>
        <w:pBdr>
          <w:bottom w:val="single" w:color="1F3864" w:sz="6" w:space="4"/>
        </w:pBdr>
        <w:spacing w:after="160" w:before="420"/>
      </w:pPr>
      <w:r>
        <w:t xml:space="preserve">Last-Minute Check: What Is No Longer Good Law</w:t>
      </w:r>
    </w:p>
    <w:tbl>
      <w:tblPr>
        <w:tblW w:type="dxa" w:w="8850"/>
        <w:tblBorders>
          <w:top w:val="single" w:color="1F3864" w:sz="3"/>
          <w:left w:val="single" w:color="1F3864" w:sz="3"/>
          <w:bottom w:val="single" w:color="1F3864" w:sz="3"/>
          <w:right w:val="single" w:color="1F3864" w:sz="3"/>
          <w:insideH w:val="single" w:color="AAAAAA" w:sz="2"/>
          <w:insideV w:val="single" w:color="AAAAAA" w:sz="2"/>
        </w:tblBorders>
      </w:tblPr>
      <w:tblGrid>
        <w:gridCol w:w="3250"/>
        <w:gridCol w:w="5600"/>
      </w:tblGrid>
      <w:tr>
        <w:trPr>
          <w:tblHeader/>
        </w:trPr>
        <w:tc>
          <w:tcPr>
            <w:tcW w:type="dxa" w:w="3250"/>
            <w:tcMar>
              <w:top w:type="dxa" w:w="70"/>
              <w:left w:type="dxa" w:w="100"/>
              <w:bottom w:type="dxa" w:w="70"/>
              <w:right w:type="dxa" w:w="100"/>
            </w:tcMar>
          </w:tcPr>
          <w:p>
            <w:pPr>
              <w:spacing w:after="0" w:line="240"/>
            </w:pPr>
            <w:r>
              <w:rPr>
                <w:b/>
                <w:bCs/>
                <w:color w:val="1F3864"/>
                <w:sz w:val="18"/>
                <w:szCs w:val="18"/>
              </w:rPr>
              <w:t xml:space="preserve">Case</w:t>
            </w:r>
          </w:p>
        </w:tc>
        <w:tc>
          <w:tcPr>
            <w:tcW w:type="dxa" w:w="5600"/>
            <w:tcMar>
              <w:top w:type="dxa" w:w="70"/>
              <w:left w:type="dxa" w:w="100"/>
              <w:bottom w:type="dxa" w:w="70"/>
              <w:right w:type="dxa" w:w="100"/>
            </w:tcMar>
          </w:tcPr>
          <w:p>
            <w:pPr>
              <w:spacing w:after="0" w:line="240"/>
            </w:pPr>
            <w:r>
              <w:rPr>
                <w:b/>
                <w:bCs/>
                <w:color w:val="1F3864"/>
                <w:sz w:val="18"/>
                <w:szCs w:val="18"/>
              </w:rPr>
              <w:t xml:space="preserve">Position now</w:t>
            </w:r>
          </w:p>
        </w:tc>
      </w:tr>
      <w:tr>
        <w:tc>
          <w:tcPr>
            <w:tcW w:type="dxa" w:w="3250"/>
            <w:tcMar>
              <w:top w:type="dxa" w:w="70"/>
              <w:left w:type="dxa" w:w="100"/>
              <w:bottom w:type="dxa" w:w="70"/>
              <w:right w:type="dxa" w:w="100"/>
            </w:tcMar>
          </w:tcPr>
          <w:p>
            <w:pPr>
              <w:spacing w:after="0" w:line="240"/>
            </w:pPr>
            <w:r>
              <w:rPr>
                <w:b/>
                <w:bCs/>
                <w:i/>
                <w:iCs/>
                <w:sz w:val="18"/>
                <w:szCs w:val="18"/>
              </w:rPr>
              <w:t xml:space="preserve">Bhatia International</w:t>
            </w:r>
            <w:r>
              <w:rPr>
                <w:sz w:val="18"/>
                <w:szCs w:val="18"/>
              </w:rPr>
              <w:t xml:space="preserve"> (2002) and </w:t>
            </w:r>
            <w:r>
              <w:rPr>
                <w:b/>
                <w:bCs/>
                <w:i/>
                <w:iCs/>
                <w:sz w:val="18"/>
                <w:szCs w:val="18"/>
              </w:rPr>
              <w:t xml:space="preserve">Venture Global</w:t>
            </w:r>
            <w:r>
              <w:rPr>
                <w:sz w:val="18"/>
                <w:szCs w:val="18"/>
              </w:rPr>
              <w:t xml:space="preserve"> (2008)</w:t>
            </w:r>
          </w:p>
        </w:tc>
        <w:tc>
          <w:tcPr>
            <w:tcW w:type="dxa" w:w="5600"/>
            <w:tcMar>
              <w:top w:type="dxa" w:w="70"/>
              <w:left w:type="dxa" w:w="100"/>
              <w:bottom w:type="dxa" w:w="70"/>
              <w:right w:type="dxa" w:w="100"/>
            </w:tcMar>
          </w:tcPr>
          <w:p>
            <w:pPr>
              <w:spacing w:after="0" w:line="240"/>
            </w:pPr>
            <w:r>
              <w:rPr>
                <w:sz w:val="18"/>
                <w:szCs w:val="18"/>
              </w:rPr>
              <w:t xml:space="preserve">Overruled by </w:t>
            </w:r>
            <w:r>
              <w:rPr>
                <w:b/>
                <w:bCs/>
                <w:sz w:val="18"/>
                <w:szCs w:val="18"/>
              </w:rPr>
              <w:t xml:space="preserve">BALCO</w:t>
            </w:r>
            <w:r>
              <w:rPr>
                <w:sz w:val="18"/>
                <w:szCs w:val="18"/>
              </w:rPr>
              <w:t xml:space="preserve">, but only for agreements made </w:t>
            </w:r>
            <w:r>
              <w:rPr>
                <w:b/>
                <w:bCs/>
                <w:sz w:val="18"/>
                <w:szCs w:val="18"/>
              </w:rPr>
              <w:t xml:space="preserve">on or after 6 September 2012</w:t>
            </w:r>
            <w:r>
              <w:rPr>
                <w:sz w:val="18"/>
                <w:szCs w:val="18"/>
              </w:rPr>
              <w:t xml:space="preserve">.</w:t>
            </w:r>
          </w:p>
        </w:tc>
      </w:tr>
      <w:tr>
        <w:tc>
          <w:tcPr>
            <w:tcW w:type="dxa" w:w="3250"/>
            <w:tcMar>
              <w:top w:type="dxa" w:w="70"/>
              <w:left w:type="dxa" w:w="100"/>
              <w:bottom w:type="dxa" w:w="70"/>
              <w:right w:type="dxa" w:w="100"/>
            </w:tcMar>
          </w:tcPr>
          <w:p>
            <w:pPr>
              <w:spacing w:after="0" w:line="240"/>
            </w:pPr>
            <w:r>
              <w:rPr>
                <w:b/>
                <w:bCs/>
                <w:i/>
                <w:iCs/>
                <w:sz w:val="18"/>
                <w:szCs w:val="18"/>
              </w:rPr>
              <w:t xml:space="preserve">Mehul Construction</w:t>
            </w:r>
            <w:r>
              <w:rPr>
                <w:sz w:val="18"/>
                <w:szCs w:val="18"/>
              </w:rPr>
              <w:t xml:space="preserve"> (2000) and </w:t>
            </w:r>
            <w:r>
              <w:rPr>
                <w:b/>
                <w:bCs/>
                <w:i/>
                <w:iCs/>
                <w:sz w:val="18"/>
                <w:szCs w:val="18"/>
              </w:rPr>
              <w:t xml:space="preserve">Rani Construction</w:t>
            </w:r>
            <w:r>
              <w:rPr>
                <w:sz w:val="18"/>
                <w:szCs w:val="18"/>
              </w:rPr>
              <w:t xml:space="preserve"> (2002)</w:t>
            </w:r>
          </w:p>
        </w:tc>
        <w:tc>
          <w:tcPr>
            <w:tcW w:type="dxa" w:w="5600"/>
            <w:tcMar>
              <w:top w:type="dxa" w:w="70"/>
              <w:left w:type="dxa" w:w="100"/>
              <w:bottom w:type="dxa" w:w="70"/>
              <w:right w:type="dxa" w:w="100"/>
            </w:tcMar>
          </w:tcPr>
          <w:p>
            <w:pPr>
              <w:spacing w:after="0" w:line="240"/>
            </w:pPr>
            <w:r>
              <w:rPr>
                <w:sz w:val="18"/>
                <w:szCs w:val="18"/>
              </w:rPr>
              <w:t xml:space="preserve">Overruled on the </w:t>
            </w:r>
            <w:r>
              <w:rPr>
                <w:b/>
                <w:bCs/>
                <w:sz w:val="18"/>
                <w:szCs w:val="18"/>
              </w:rPr>
              <w:t xml:space="preserve">nature</w:t>
            </w:r>
            <w:r>
              <w:rPr>
                <w:sz w:val="18"/>
                <w:szCs w:val="18"/>
              </w:rPr>
              <w:t xml:space="preserve"> of the s. 11 power. Their </w:t>
            </w:r>
            <w:r>
              <w:rPr>
                <w:b/>
                <w:bCs/>
                <w:sz w:val="18"/>
                <w:szCs w:val="18"/>
              </w:rPr>
              <w:t xml:space="preserve">narrow enquiry</w:t>
            </w:r>
            <w:r>
              <w:rPr>
                <w:sz w:val="18"/>
                <w:szCs w:val="18"/>
              </w:rPr>
              <w:t xml:space="preserve"> view is effectively back through s. 11(6A).</w:t>
            </w:r>
          </w:p>
        </w:tc>
      </w:tr>
      <w:tr>
        <w:tc>
          <w:tcPr>
            <w:tcW w:type="dxa" w:w="3250"/>
            <w:tcMar>
              <w:top w:type="dxa" w:w="70"/>
              <w:left w:type="dxa" w:w="100"/>
              <w:bottom w:type="dxa" w:w="70"/>
              <w:right w:type="dxa" w:w="100"/>
            </w:tcMar>
          </w:tcPr>
          <w:p>
            <w:pPr>
              <w:spacing w:after="0" w:line="240"/>
            </w:pPr>
            <w:r>
              <w:rPr>
                <w:b/>
                <w:bCs/>
                <w:i/>
                <w:iCs/>
                <w:sz w:val="18"/>
                <w:szCs w:val="18"/>
              </w:rPr>
              <w:t xml:space="preserve">SBP &amp; Co. v. Patel Engineering</w:t>
            </w:r>
            <w:r>
              <w:rPr>
                <w:sz w:val="18"/>
                <w:szCs w:val="18"/>
              </w:rPr>
              <w:t xml:space="preserve"> (2005)</w:t>
            </w:r>
          </w:p>
        </w:tc>
        <w:tc>
          <w:tcPr>
            <w:tcW w:type="dxa" w:w="5600"/>
            <w:tcMar>
              <w:top w:type="dxa" w:w="70"/>
              <w:left w:type="dxa" w:w="100"/>
              <w:bottom w:type="dxa" w:w="70"/>
              <w:right w:type="dxa" w:w="100"/>
            </w:tcMar>
          </w:tcPr>
          <w:p>
            <w:pPr>
              <w:spacing w:after="0" w:line="240"/>
            </w:pPr>
            <w:r>
              <w:rPr>
                <w:sz w:val="18"/>
                <w:szCs w:val="18"/>
              </w:rPr>
              <w:t xml:space="preserve">The power is still </w:t>
            </w:r>
            <w:r>
              <w:rPr>
                <w:b/>
                <w:bCs/>
                <w:sz w:val="18"/>
                <w:szCs w:val="18"/>
              </w:rPr>
              <w:t xml:space="preserve">judicial</w:t>
            </w:r>
            <w:r>
              <w:rPr>
                <w:sz w:val="18"/>
                <w:szCs w:val="18"/>
              </w:rPr>
              <w:t xml:space="preserve">. The </w:t>
            </w:r>
            <w:r>
              <w:rPr>
                <w:b/>
                <w:bCs/>
                <w:sz w:val="18"/>
                <w:szCs w:val="18"/>
              </w:rPr>
              <w:t xml:space="preserve">wide enquiry is gone</w:t>
            </w:r>
            <w:r>
              <w:rPr>
                <w:sz w:val="18"/>
                <w:szCs w:val="18"/>
              </w:rPr>
              <w:t xml:space="preserve">, per </w:t>
            </w:r>
            <w:r>
              <w:rPr>
                <w:i/>
                <w:iCs/>
                <w:sz w:val="18"/>
                <w:szCs w:val="18"/>
              </w:rPr>
              <w:t xml:space="preserve">Mayavati Trading</w:t>
            </w:r>
            <w:r>
              <w:rPr>
                <w:sz w:val="18"/>
                <w:szCs w:val="18"/>
              </w:rPr>
              <w:t xml:space="preserve">.</w:t>
            </w:r>
          </w:p>
        </w:tc>
      </w:tr>
      <w:tr>
        <w:tc>
          <w:tcPr>
            <w:tcW w:type="dxa" w:w="3250"/>
            <w:tcMar>
              <w:top w:type="dxa" w:w="70"/>
              <w:left w:type="dxa" w:w="100"/>
              <w:bottom w:type="dxa" w:w="70"/>
              <w:right w:type="dxa" w:w="100"/>
            </w:tcMar>
          </w:tcPr>
          <w:p>
            <w:pPr>
              <w:spacing w:after="0" w:line="240"/>
            </w:pPr>
            <w:r>
              <w:rPr>
                <w:b/>
                <w:bCs/>
                <w:i/>
                <w:iCs/>
                <w:sz w:val="18"/>
                <w:szCs w:val="18"/>
              </w:rPr>
              <w:t xml:space="preserve">IOC v. Raja Transport</w:t>
            </w:r>
            <w:r>
              <w:rPr>
                <w:sz w:val="18"/>
                <w:szCs w:val="18"/>
              </w:rPr>
              <w:t xml:space="preserve"> (2009)</w:t>
            </w:r>
          </w:p>
        </w:tc>
        <w:tc>
          <w:tcPr>
            <w:tcW w:type="dxa" w:w="5600"/>
            <w:tcMar>
              <w:top w:type="dxa" w:w="70"/>
              <w:left w:type="dxa" w:w="100"/>
              <w:bottom w:type="dxa" w:w="70"/>
              <w:right w:type="dxa" w:w="100"/>
            </w:tcMar>
          </w:tcPr>
          <w:p>
            <w:pPr>
              <w:spacing w:after="0" w:line="240"/>
            </w:pPr>
            <w:r>
              <w:rPr>
                <w:sz w:val="18"/>
                <w:szCs w:val="18"/>
              </w:rPr>
              <w:t xml:space="preserve">Mostly superseded by s. 12(5), </w:t>
            </w:r>
            <w:r>
              <w:rPr>
                <w:i/>
                <w:iCs/>
                <w:sz w:val="18"/>
                <w:szCs w:val="18"/>
              </w:rPr>
              <w:t xml:space="preserve">TRF</w:t>
            </w:r>
            <w:r>
              <w:rPr>
                <w:sz w:val="18"/>
                <w:szCs w:val="18"/>
              </w:rPr>
              <w:t xml:space="preserve">, </w:t>
            </w:r>
            <w:r>
              <w:rPr>
                <w:i/>
                <w:iCs/>
                <w:sz w:val="18"/>
                <w:szCs w:val="18"/>
              </w:rPr>
              <w:t xml:space="preserve">Perkins Eastman</w:t>
            </w:r>
            <w:r>
              <w:rPr>
                <w:sz w:val="18"/>
                <w:szCs w:val="18"/>
              </w:rPr>
              <w:t xml:space="preserve"> and </w:t>
            </w:r>
            <w:r>
              <w:rPr>
                <w:i/>
                <w:iCs/>
                <w:sz w:val="18"/>
                <w:szCs w:val="18"/>
              </w:rPr>
              <w:t xml:space="preserve">CORE-II</w:t>
            </w:r>
            <w:r>
              <w:rPr>
                <w:sz w:val="18"/>
                <w:szCs w:val="18"/>
              </w:rPr>
              <w:t xml:space="preserve">.</w:t>
            </w:r>
          </w:p>
        </w:tc>
      </w:tr>
      <w:tr>
        <w:tc>
          <w:tcPr>
            <w:tcW w:type="dxa" w:w="3250"/>
            <w:tcMar>
              <w:top w:type="dxa" w:w="70"/>
              <w:left w:type="dxa" w:w="100"/>
              <w:bottom w:type="dxa" w:w="70"/>
              <w:right w:type="dxa" w:w="100"/>
            </w:tcMar>
          </w:tcPr>
          <w:p>
            <w:pPr>
              <w:spacing w:after="0" w:line="240"/>
            </w:pPr>
            <w:r>
              <w:rPr>
                <w:b/>
                <w:bCs/>
                <w:i/>
                <w:iCs/>
                <w:sz w:val="18"/>
                <w:szCs w:val="18"/>
              </w:rPr>
              <w:t xml:space="preserve">CORE-I</w:t>
            </w:r>
            <w:r>
              <w:rPr>
                <w:sz w:val="18"/>
                <w:szCs w:val="18"/>
              </w:rPr>
              <w:t xml:space="preserve"> (2020)</w:t>
            </w:r>
          </w:p>
        </w:tc>
        <w:tc>
          <w:tcPr>
            <w:tcW w:type="dxa" w:w="5600"/>
            <w:tcMar>
              <w:top w:type="dxa" w:w="70"/>
              <w:left w:type="dxa" w:w="100"/>
              <w:bottom w:type="dxa" w:w="70"/>
              <w:right w:type="dxa" w:w="100"/>
            </w:tcMar>
          </w:tcPr>
          <w:p>
            <w:pPr>
              <w:spacing w:after="0" w:line="240"/>
            </w:pPr>
            <w:r>
              <w:rPr>
                <w:sz w:val="18"/>
                <w:szCs w:val="18"/>
              </w:rPr>
              <w:t xml:space="preserve">Overruled by </w:t>
            </w:r>
            <w:r>
              <w:rPr>
                <w:b/>
                <w:bCs/>
                <w:i/>
                <w:iCs/>
                <w:sz w:val="18"/>
                <w:szCs w:val="18"/>
              </w:rPr>
              <w:t xml:space="preserve">CORE-II</w:t>
            </w:r>
            <w:r>
              <w:rPr>
                <w:sz w:val="18"/>
                <w:szCs w:val="18"/>
              </w:rPr>
              <w:t xml:space="preserve"> (2024) on one-sided appointments.</w:t>
            </w:r>
          </w:p>
        </w:tc>
      </w:tr>
      <w:tr>
        <w:tc>
          <w:tcPr>
            <w:tcW w:type="dxa" w:w="3250"/>
            <w:tcMar>
              <w:top w:type="dxa" w:w="70"/>
              <w:left w:type="dxa" w:w="100"/>
              <w:bottom w:type="dxa" w:w="70"/>
              <w:right w:type="dxa" w:w="100"/>
            </w:tcMar>
          </w:tcPr>
          <w:p>
            <w:pPr>
              <w:spacing w:after="0" w:line="240"/>
            </w:pPr>
            <w:r>
              <w:rPr>
                <w:b/>
                <w:bCs/>
                <w:i/>
                <w:iCs/>
                <w:sz w:val="18"/>
                <w:szCs w:val="18"/>
              </w:rPr>
              <w:t xml:space="preserve">N.N. Global</w:t>
            </w:r>
            <w:r>
              <w:rPr>
                <w:sz w:val="18"/>
                <w:szCs w:val="18"/>
              </w:rPr>
              <w:t xml:space="preserve"> (2023), </w:t>
            </w:r>
            <w:r>
              <w:rPr>
                <w:b/>
                <w:bCs/>
                <w:i/>
                <w:iCs/>
                <w:sz w:val="18"/>
                <w:szCs w:val="18"/>
              </w:rPr>
              <w:t xml:space="preserve">SMS Tea Estates</w:t>
            </w:r>
            <w:r>
              <w:rPr>
                <w:sz w:val="18"/>
                <w:szCs w:val="18"/>
              </w:rPr>
              <w:t xml:space="preserve"> (2011), and </w:t>
            </w:r>
            <w:r>
              <w:rPr>
                <w:b/>
                <w:bCs/>
                <w:i/>
                <w:iCs/>
                <w:sz w:val="18"/>
                <w:szCs w:val="18"/>
              </w:rPr>
              <w:t xml:space="preserve">Garware</w:t>
            </w:r>
            <w:r>
              <w:rPr>
                <w:sz w:val="18"/>
                <w:szCs w:val="18"/>
              </w:rPr>
              <w:t xml:space="preserve"> paragraphs 22 and 29</w:t>
            </w:r>
          </w:p>
        </w:tc>
        <w:tc>
          <w:tcPr>
            <w:tcW w:type="dxa" w:w="5600"/>
            <w:tcMar>
              <w:top w:type="dxa" w:w="70"/>
              <w:left w:type="dxa" w:w="100"/>
              <w:bottom w:type="dxa" w:w="70"/>
              <w:right w:type="dxa" w:w="100"/>
            </w:tcMar>
          </w:tcPr>
          <w:p>
            <w:pPr>
              <w:spacing w:after="0" w:line="240"/>
            </w:pPr>
            <w:r>
              <w:rPr>
                <w:sz w:val="18"/>
                <w:szCs w:val="18"/>
              </w:rPr>
              <w:t xml:space="preserve">Overruled by </w:t>
            </w:r>
            <w:r>
              <w:rPr>
                <w:b/>
                <w:bCs/>
                <w:i/>
                <w:iCs/>
                <w:sz w:val="18"/>
                <w:szCs w:val="18"/>
              </w:rPr>
              <w:t xml:space="preserve">In Re: Interplay</w:t>
            </w:r>
            <w:r>
              <w:rPr>
                <w:sz w:val="18"/>
                <w:szCs w:val="18"/>
              </w:rPr>
              <w:t xml:space="preserve"> (2023).</w:t>
            </w:r>
          </w:p>
        </w:tc>
      </w:tr>
      <w:tr>
        <w:tc>
          <w:tcPr>
            <w:tcW w:type="dxa" w:w="3250"/>
            <w:tcMar>
              <w:top w:type="dxa" w:w="70"/>
              <w:left w:type="dxa" w:w="100"/>
              <w:bottom w:type="dxa" w:w="70"/>
              <w:right w:type="dxa" w:w="100"/>
            </w:tcMar>
          </w:tcPr>
          <w:p>
            <w:pPr>
              <w:spacing w:after="0" w:line="240"/>
            </w:pPr>
            <w:r>
              <w:rPr>
                <w:b/>
                <w:bCs/>
                <w:i/>
                <w:iCs/>
                <w:sz w:val="18"/>
                <w:szCs w:val="18"/>
              </w:rPr>
              <w:t xml:space="preserve">Vidya Drolia</w:t>
            </w:r>
            <w:r>
              <w:rPr>
                <w:sz w:val="18"/>
                <w:szCs w:val="18"/>
              </w:rPr>
              <w:t xml:space="preserve"> (2021)</w:t>
            </w:r>
          </w:p>
        </w:tc>
        <w:tc>
          <w:tcPr>
            <w:tcW w:type="dxa" w:w="5600"/>
            <w:tcMar>
              <w:top w:type="dxa" w:w="70"/>
              <w:left w:type="dxa" w:w="100"/>
              <w:bottom w:type="dxa" w:w="70"/>
              <w:right w:type="dxa" w:w="100"/>
            </w:tcMar>
          </w:tcPr>
          <w:p>
            <w:pPr>
              <w:spacing w:after="0" w:line="240"/>
            </w:pPr>
            <w:r>
              <w:rPr>
                <w:sz w:val="18"/>
                <w:szCs w:val="18"/>
              </w:rPr>
              <w:t xml:space="preserve">Good law on non-arbitrability, but it </w:t>
            </w:r>
            <w:r>
              <w:rPr>
                <w:b/>
                <w:bCs/>
                <w:sz w:val="18"/>
                <w:szCs w:val="18"/>
              </w:rPr>
              <w:t xml:space="preserve">wrongly assumed s. 11(6A) had been deleted</w:t>
            </w:r>
            <w:r>
              <w:rPr>
                <w:sz w:val="18"/>
                <w:szCs w:val="18"/>
              </w:rPr>
              <w:t xml:space="preserve">.</w:t>
            </w:r>
          </w:p>
        </w:tc>
      </w:tr>
      <w:tr>
        <w:tc>
          <w:tcPr>
            <w:tcW w:type="dxa" w:w="3250"/>
            <w:tcMar>
              <w:top w:type="dxa" w:w="70"/>
              <w:left w:type="dxa" w:w="100"/>
              <w:bottom w:type="dxa" w:w="70"/>
              <w:right w:type="dxa" w:w="100"/>
            </w:tcMar>
          </w:tcPr>
          <w:p>
            <w:pPr>
              <w:spacing w:after="0" w:line="240"/>
            </w:pPr>
            <w:r>
              <w:rPr>
                <w:b/>
                <w:bCs/>
                <w:i/>
                <w:iCs/>
                <w:sz w:val="18"/>
                <w:szCs w:val="18"/>
              </w:rPr>
              <w:t xml:space="preserve">Tantia Construction</w:t>
            </w:r>
            <w:r>
              <w:rPr>
                <w:sz w:val="18"/>
                <w:szCs w:val="18"/>
              </w:rPr>
              <w:t xml:space="preserve"> (2011) and </w:t>
            </w:r>
            <w:r>
              <w:rPr>
                <w:b/>
                <w:bCs/>
                <w:i/>
                <w:iCs/>
                <w:sz w:val="18"/>
                <w:szCs w:val="18"/>
              </w:rPr>
              <w:t xml:space="preserve">Tantia Constructions</w:t>
            </w:r>
            <w:r>
              <w:rPr>
                <w:sz w:val="18"/>
                <w:szCs w:val="18"/>
              </w:rPr>
              <w:t xml:space="preserve"> (2021)</w:t>
            </w:r>
          </w:p>
        </w:tc>
        <w:tc>
          <w:tcPr>
            <w:tcW w:type="dxa" w:w="5600"/>
            <w:tcMar>
              <w:top w:type="dxa" w:w="70"/>
              <w:left w:type="dxa" w:w="100"/>
              <w:bottom w:type="dxa" w:w="70"/>
              <w:right w:type="dxa" w:w="100"/>
            </w:tcMar>
          </w:tcPr>
          <w:p>
            <w:pPr>
              <w:spacing w:after="0" w:line="240"/>
            </w:pPr>
            <w:r>
              <w:rPr>
                <w:b/>
                <w:bCs/>
                <w:sz w:val="18"/>
                <w:szCs w:val="18"/>
              </w:rPr>
              <w:t xml:space="preserve">Two different cases.</w:t>
            </w:r>
            <w:r>
              <w:rPr>
                <w:sz w:val="18"/>
                <w:szCs w:val="18"/>
              </w:rPr>
              <w:t xml:space="preserve"> Do not mix them up.</w:t>
            </w:r>
          </w:p>
        </w:tc>
      </w:tr>
      <w:tr>
        <w:tc>
          <w:tcPr>
            <w:tcW w:type="dxa" w:w="3250"/>
            <w:tcMar>
              <w:top w:type="dxa" w:w="70"/>
              <w:left w:type="dxa" w:w="100"/>
              <w:bottom w:type="dxa" w:w="70"/>
              <w:right w:type="dxa" w:w="100"/>
            </w:tcMar>
          </w:tcPr>
          <w:p>
            <w:pPr>
              <w:spacing w:after="0" w:line="240"/>
            </w:pPr>
            <w:r>
              <w:rPr>
                <w:b/>
                <w:bCs/>
                <w:i/>
                <w:iCs/>
                <w:sz w:val="18"/>
                <w:szCs w:val="18"/>
              </w:rPr>
              <w:t xml:space="preserve">Scott v. Avery</w:t>
            </w:r>
            <w:r>
              <w:rPr>
                <w:sz w:val="18"/>
                <w:szCs w:val="18"/>
              </w:rPr>
              <w:t xml:space="preserve">, </w:t>
            </w:r>
            <w:r>
              <w:rPr>
                <w:b/>
                <w:bCs/>
                <w:i/>
                <w:iCs/>
                <w:sz w:val="18"/>
                <w:szCs w:val="18"/>
              </w:rPr>
              <w:t xml:space="preserve">Saipem</w:t>
            </w:r>
            <w:r>
              <w:rPr>
                <w:sz w:val="18"/>
                <w:szCs w:val="18"/>
              </w:rPr>
              <w:t xml:space="preserve">, </w:t>
            </w:r>
            <w:r>
              <w:rPr>
                <w:b/>
                <w:bCs/>
                <w:i/>
                <w:iCs/>
                <w:sz w:val="18"/>
                <w:szCs w:val="18"/>
              </w:rPr>
              <w:t xml:space="preserve">White Industries</w:t>
            </w:r>
            <w:r>
              <w:rPr>
                <w:sz w:val="18"/>
                <w:szCs w:val="18"/>
              </w:rPr>
              <w:t xml:space="preserve">, </w:t>
            </w:r>
            <w:r>
              <w:rPr>
                <w:b/>
                <w:bCs/>
                <w:i/>
                <w:iCs/>
                <w:sz w:val="18"/>
                <w:szCs w:val="18"/>
              </w:rPr>
              <w:t xml:space="preserve">Chagos</w:t>
            </w:r>
          </w:p>
        </w:tc>
        <w:tc>
          <w:tcPr>
            <w:tcW w:type="dxa" w:w="5600"/>
            <w:tcMar>
              <w:top w:type="dxa" w:w="70"/>
              <w:left w:type="dxa" w:w="100"/>
              <w:bottom w:type="dxa" w:w="70"/>
              <w:right w:type="dxa" w:w="100"/>
            </w:tcMar>
          </w:tcPr>
          <w:p>
            <w:pPr>
              <w:spacing w:after="0" w:line="240"/>
            </w:pPr>
            <w:r>
              <w:rPr>
                <w:sz w:val="18"/>
                <w:szCs w:val="18"/>
              </w:rPr>
              <w:t xml:space="preserve">English or arbitral decisions. </w:t>
            </w:r>
            <w:r>
              <w:rPr>
                <w:b/>
                <w:bCs/>
                <w:sz w:val="18"/>
                <w:szCs w:val="18"/>
              </w:rPr>
              <w:t xml:space="preserve">Persuasive, not binding</w:t>
            </w:r>
            <w:r>
              <w:rPr>
                <w:sz w:val="18"/>
                <w:szCs w:val="18"/>
              </w:rPr>
              <w:t xml:space="preserve"> in India.</w:t>
            </w:r>
          </w:p>
        </w:tc>
      </w:tr>
    </w:tbl>
    <w:p>
      <w:pPr>
        <w:spacing w:after="120"/>
      </w:pPr>
      <w:r>
        <w:rPr>
          <w:sz w:val="10"/>
          <w:szCs w:val="10"/>
        </w:rPr>
        <w:t xml:space="preserve"/>
      </w:r>
    </w:p>
    <w:p>
      <w:pPr>
        <w:pStyle w:val="Heading2"/>
        <w:keepNext/>
        <w:spacing w:after="100" w:before="250"/>
      </w:pPr>
      <w:r>
        <w:t xml:space="preserve">Three points examiners look for</w:t>
      </w:r>
    </w:p>
    <w:p>
      <w:pPr>
        <w:pStyle w:val="ListParagraph"/>
        <w:numPr>
          <w:ilvl w:val="0"/>
          <w:numId w:val="16"/>
        </w:numPr>
        <w:spacing w:after="70" w:line="264"/>
        <w:jc w:val="both"/>
      </w:pPr>
      <w:r>
        <w:rPr>
          <w:b/>
          <w:bCs/>
          <w:shd w:fill="FFF2CC" w:color="auto" w:val="clear"/>
        </w:rPr>
        <w:t xml:space="preserve">Section 11(6A) is still in force, because the 2019 deletion was never notified.</w:t>
      </w:r>
    </w:p>
    <w:p>
      <w:pPr>
        <w:pStyle w:val="ListParagraph"/>
        <w:numPr>
          <w:ilvl w:val="0"/>
          <w:numId w:val="16"/>
        </w:numPr>
        <w:spacing w:after="70" w:line="264"/>
        <w:jc w:val="both"/>
      </w:pPr>
      <w:r>
        <w:rPr>
          <w:b/>
          <w:bCs/>
          <w:shd w:fill="FFF2CC" w:color="auto" w:val="clear"/>
        </w:rPr>
        <w:t xml:space="preserve">The six-month pleading limit is s. 23(4). There is no s. 23(9).</w:t>
      </w:r>
    </w:p>
    <w:p>
      <w:pPr>
        <w:pStyle w:val="ListParagraph"/>
        <w:numPr>
          <w:ilvl w:val="0"/>
          <w:numId w:val="16"/>
        </w:numPr>
        <w:spacing w:after="70" w:line="264"/>
        <w:jc w:val="both"/>
      </w:pPr>
      <w:r>
        <w:rPr>
          <w:b/>
          <w:bCs/>
          <w:shd w:fill="FFF2CC" w:color="auto" w:val="clear"/>
        </w:rPr>
        <w:t xml:space="preserve">BALCO applies only to agreements made on or after 6 September 2012.</w:t>
      </w:r>
    </w:p>
    <w:sectPr>
      <w:headerReference w:type="default" r:id="rId7"/>
      <w:headerReference w:type="first" r:id="rId8"/>
      <w:footerReference w:type="default" r:id="rId9"/>
      <w:footerReference w:type="first" r:id="rId10"/>
      <w:pgSz w:w="11906" w:h="16838" w:orient="portrait"/>
      <w:pgMar w:top="1250" w:right="1300" w:bottom="125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5"/>
      </w:pBdr>
      <w:tabs>
        <w:tab w:val="right" w:pos="9306"/>
      </w:tabs>
      <w:spacing w:before="60"/>
    </w:pPr>
    <w:r>
      <w:rPr>
        <w:rFonts w:ascii="Arial" w:cs="Arial" w:eastAsia="Arial" w:hAnsi="Arial"/>
        <w:color w:val="1F3864"/>
        <w:sz w:val="17"/>
        <w:szCs w:val="17"/>
      </w:rPr>
      <w:t xml:space="preserve">Surendra Mundvadiya | Alternative Dispute Resolution</w:t>
    </w:r>
    <w:r>
      <w:rPr>
        <w:sz w:val="17"/>
        <w:szCs w:val="17"/>
      </w:rPr>
      <w:t xml:space="preserve">	</w:t>
    </w:r>
    <w:r>
      <w:rPr>
        <w:rFonts w:ascii="Arial" w:cs="Arial" w:eastAsia="Arial" w:hAnsi="Arial"/>
        <w:color w:val="1F3864"/>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75" w:hanging="302"/>
      </w:pPr>
    </w:lvl>
  </w:abstractNum>
  <w:abstractNum w:abstractNumId="3" w15:restartNumberingAfterBreak="0">
    <w:multiLevelType w:val="hybridMultilevel"/>
    <w:lvl w:ilvl="0" w15:tentative="1">
      <w:start w:val="1"/>
      <w:numFmt w:val="lowerLetter"/>
      <w:lvlText w:val="(%1)"/>
      <w:lvlJc w:val="start"/>
      <w:pPr>
        <w:ind w:left="576" w:hanging="388"/>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3"/>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1F3864"/>
      <w:sz w:val="23"/>
      <w:szCs w:val="23"/>
    </w:rPr>
  </w:style>
  <w:style w:type="paragraph" w:styleId="Heading3">
    <w:name w:val="Heading 3"/>
    <w:basedOn w:val="Normal"/>
    <w:next w:val="Normal"/>
    <w:qFormat/>
    <w:pPr>
      <w:outlineLvl w:val="2"/>
    </w:pPr>
    <w:rPr>
      <w:rFonts w:ascii="Arial" w:cs="Arial" w:eastAsia="Arial" w:hAnsi="Arial"/>
      <w:b/>
      <w:bCs/>
      <w:color w:val="1F3864"/>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Alternative Dispute Resolution</dc:title>
  <dc:creator>Surendra Mundvadiya</dc:creator>
  <cp:lastModifiedBy>Un-named</cp:lastModifiedBy>
  <cp:revision>1</cp:revision>
  <dcterms:created xsi:type="dcterms:W3CDTF">2026-09-22T19:14:36.546Z</dcterms:created>
  <dcterms:modified xsi:type="dcterms:W3CDTF">2026-09-22T19:14:36.556Z</dcterms:modified>
</cp:coreProperties>
</file>

<file path=docProps/custom.xml><?xml version="1.0" encoding="utf-8"?>
<Properties xmlns="http://schemas.openxmlformats.org/officeDocument/2006/custom-properties" xmlns:vt="http://schemas.openxmlformats.org/officeDocument/2006/docPropsVTypes"/>
</file>