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5D87F" w14:textId="77777777" w:rsidR="00004105" w:rsidRDefault="00004105">
      <w:pPr>
        <w:spacing w:after="2200"/>
      </w:pPr>
    </w:p>
    <w:p w14:paraId="07BF4BD1" w14:textId="77777777" w:rsidR="00004105" w:rsidRDefault="00000000">
      <w:pPr>
        <w:spacing w:after="130"/>
        <w:jc w:val="center"/>
      </w:pPr>
      <w:r>
        <w:rPr>
          <w:rFonts w:ascii="Calibri" w:eastAsia="Calibri" w:hAnsi="Calibri" w:cs="Calibri"/>
          <w:b/>
          <w:bCs/>
          <w:sz w:val="40"/>
          <w:szCs w:val="40"/>
        </w:rPr>
        <w:t>ALTERNATIVE DISPUTE RESOLUTION</w:t>
      </w:r>
    </w:p>
    <w:p w14:paraId="50CC55EF" w14:textId="77777777" w:rsidR="00004105" w:rsidRDefault="00000000">
      <w:pPr>
        <w:spacing w:after="320"/>
        <w:jc w:val="center"/>
      </w:pPr>
      <w:r>
        <w:rPr>
          <w:rFonts w:ascii="Calibri" w:eastAsia="Calibri" w:hAnsi="Calibri" w:cs="Calibri"/>
          <w:color w:val="444444"/>
          <w:sz w:val="28"/>
          <w:szCs w:val="28"/>
        </w:rPr>
        <w:t>Consolidated Legal Notes</w:t>
      </w:r>
    </w:p>
    <w:p w14:paraId="4A0996D4" w14:textId="77777777" w:rsidR="00004105" w:rsidRDefault="00000000">
      <w:pPr>
        <w:spacing w:after="560"/>
        <w:jc w:val="center"/>
      </w:pPr>
      <w:r>
        <w:rPr>
          <w:i/>
          <w:iCs/>
        </w:rPr>
        <w:t>Arbitration and Conciliation Act, 1996 — ss. 2(1)(f), 4, 5, 7–26</w:t>
      </w:r>
    </w:p>
    <w:p w14:paraId="6CEC1728" w14:textId="77777777" w:rsidR="00004105" w:rsidRDefault="00000000">
      <w:pPr>
        <w:spacing w:after="90"/>
        <w:jc w:val="center"/>
      </w:pPr>
      <w:r>
        <w:rPr>
          <w:rFonts w:ascii="Calibri" w:eastAsia="Calibri" w:hAnsi="Calibri" w:cs="Calibri"/>
          <w:b/>
          <w:bCs/>
          <w:sz w:val="20"/>
          <w:szCs w:val="20"/>
        </w:rPr>
        <w:t xml:space="preserve">Jurisdiction  </w:t>
      </w:r>
      <w:r>
        <w:rPr>
          <w:sz w:val="20"/>
          <w:szCs w:val="20"/>
        </w:rPr>
        <w:t>India</w:t>
      </w:r>
    </w:p>
    <w:p w14:paraId="3841590F" w14:textId="77777777" w:rsidR="00004105" w:rsidRDefault="00000000">
      <w:pPr>
        <w:spacing w:after="90"/>
        <w:jc w:val="center"/>
      </w:pPr>
      <w:r>
        <w:rPr>
          <w:rFonts w:ascii="Calibri" w:eastAsia="Calibri" w:hAnsi="Calibri" w:cs="Calibri"/>
          <w:b/>
          <w:bCs/>
          <w:sz w:val="20"/>
          <w:szCs w:val="20"/>
        </w:rPr>
        <w:t xml:space="preserve">Purpose  </w:t>
      </w:r>
      <w:r>
        <w:rPr>
          <w:sz w:val="20"/>
          <w:szCs w:val="20"/>
        </w:rPr>
        <w:t>University law examination</w:t>
      </w:r>
    </w:p>
    <w:p w14:paraId="3E027422" w14:textId="77777777" w:rsidR="00004105" w:rsidRDefault="00000000">
      <w:pPr>
        <w:spacing w:after="90"/>
        <w:jc w:val="center"/>
      </w:pPr>
      <w:r>
        <w:rPr>
          <w:rFonts w:ascii="Calibri" w:eastAsia="Calibri" w:hAnsi="Calibri" w:cs="Calibri"/>
          <w:b/>
          <w:bCs/>
          <w:sz w:val="20"/>
          <w:szCs w:val="20"/>
        </w:rPr>
        <w:t xml:space="preserve">Statute as in force  </w:t>
      </w:r>
      <w:r>
        <w:rPr>
          <w:sz w:val="20"/>
          <w:szCs w:val="20"/>
        </w:rPr>
        <w:t>1996 Act, as amended in 2015, 2019 and 2021</w:t>
      </w:r>
    </w:p>
    <w:p w14:paraId="7F2E1477" w14:textId="77777777" w:rsidR="00004105" w:rsidRDefault="00000000">
      <w:pPr>
        <w:spacing w:after="90"/>
        <w:jc w:val="center"/>
      </w:pPr>
      <w:r>
        <w:rPr>
          <w:rFonts w:ascii="Calibri" w:eastAsia="Calibri" w:hAnsi="Calibri" w:cs="Calibri"/>
          <w:b/>
          <w:bCs/>
          <w:sz w:val="20"/>
          <w:szCs w:val="20"/>
        </w:rPr>
        <w:t xml:space="preserve">Citations  </w:t>
      </w:r>
      <w:r>
        <w:rPr>
          <w:sz w:val="20"/>
          <w:szCs w:val="20"/>
        </w:rPr>
        <w:t>SCC style; neutral citations where available</w:t>
      </w:r>
    </w:p>
    <w:p w14:paraId="25D40A73" w14:textId="77777777" w:rsidR="00004105" w:rsidRDefault="00000000">
      <w:pPr>
        <w:spacing w:after="90"/>
        <w:jc w:val="center"/>
      </w:pPr>
      <w:r>
        <w:rPr>
          <w:rFonts w:ascii="Calibri" w:eastAsia="Calibri" w:hAnsi="Calibri" w:cs="Calibri"/>
          <w:b/>
          <w:bCs/>
          <w:sz w:val="20"/>
          <w:szCs w:val="20"/>
        </w:rPr>
        <w:t xml:space="preserve">Prepared  </w:t>
      </w:r>
      <w:r>
        <w:rPr>
          <w:sz w:val="20"/>
          <w:szCs w:val="20"/>
        </w:rPr>
        <w:t>17 September 2026</w:t>
      </w:r>
    </w:p>
    <w:p w14:paraId="52A1A2EF" w14:textId="77777777" w:rsidR="00004105" w:rsidRDefault="00000000">
      <w:r>
        <w:br w:type="page"/>
      </w:r>
    </w:p>
    <w:p w14:paraId="1DF49DC4" w14:textId="77777777" w:rsidR="00004105" w:rsidRDefault="00000000">
      <w:pPr>
        <w:pStyle w:val="Heading1"/>
        <w:keepNext/>
        <w:pBdr>
          <w:top w:val="single" w:sz="8" w:space="10" w:color="999999"/>
        </w:pBdr>
        <w:spacing w:before="460" w:after="170"/>
      </w:pPr>
      <w:bookmarkStart w:id="0" w:name="_Toc240747335"/>
      <w:r>
        <w:lastRenderedPageBreak/>
        <w:t>Contents</w:t>
      </w:r>
      <w:bookmarkEnd w:id="0"/>
    </w:p>
    <w:p w14:paraId="4C55341B" w14:textId="77777777" w:rsidR="00004105" w:rsidRDefault="00000000">
      <w:pPr>
        <w:spacing w:after="170"/>
        <w:jc w:val="both"/>
      </w:pPr>
      <w:r>
        <w:t>Select this table and press F9 in Word to populate or refresh it.</w:t>
      </w:r>
    </w:p>
    <w:sdt>
      <w:sdtPr>
        <w:alias w:val="Contents"/>
        <w:id w:val="707378551"/>
      </w:sdtPr>
      <w:sdtContent>
        <w:p w14:paraId="7BBCC9B8" w14:textId="0FCB728F" w:rsidR="00A9557E" w:rsidRDefault="00000000">
          <w:pPr>
            <w:pStyle w:val="TOC1"/>
            <w:tabs>
              <w:tab w:val="right" w:leader="dot" w:pos="9216"/>
            </w:tabs>
            <w:rPr>
              <w:noProof/>
            </w:rPr>
          </w:pPr>
          <w:r>
            <w:fldChar w:fldCharType="begin"/>
          </w:r>
          <w:r>
            <w:instrText>TOC \h \o "1-2"</w:instrText>
          </w:r>
          <w:r>
            <w:fldChar w:fldCharType="separate"/>
          </w:r>
          <w:hyperlink w:anchor="_Toc240747335" w:history="1">
            <w:r w:rsidR="00A9557E" w:rsidRPr="006C5CA4">
              <w:rPr>
                <w:rStyle w:val="Hyperlink"/>
                <w:noProof/>
              </w:rPr>
              <w:t>Contents</w:t>
            </w:r>
            <w:r w:rsidR="00A9557E">
              <w:rPr>
                <w:noProof/>
              </w:rPr>
              <w:tab/>
            </w:r>
            <w:r w:rsidR="00A9557E">
              <w:rPr>
                <w:noProof/>
              </w:rPr>
              <w:fldChar w:fldCharType="begin"/>
            </w:r>
            <w:r w:rsidR="00A9557E">
              <w:rPr>
                <w:noProof/>
              </w:rPr>
              <w:instrText xml:space="preserve"> PAGEREF _Toc240747335 \h </w:instrText>
            </w:r>
            <w:r w:rsidR="00A9557E">
              <w:rPr>
                <w:noProof/>
              </w:rPr>
            </w:r>
            <w:r w:rsidR="00A9557E">
              <w:rPr>
                <w:noProof/>
              </w:rPr>
              <w:fldChar w:fldCharType="separate"/>
            </w:r>
            <w:r w:rsidR="00A9557E">
              <w:rPr>
                <w:noProof/>
              </w:rPr>
              <w:t>2</w:t>
            </w:r>
            <w:r w:rsidR="00A9557E">
              <w:rPr>
                <w:noProof/>
              </w:rPr>
              <w:fldChar w:fldCharType="end"/>
            </w:r>
          </w:hyperlink>
        </w:p>
        <w:p w14:paraId="149396DA" w14:textId="3A8FF828" w:rsidR="00A9557E" w:rsidRDefault="00A9557E">
          <w:pPr>
            <w:pStyle w:val="TOC1"/>
            <w:tabs>
              <w:tab w:val="right" w:leader="dot" w:pos="9216"/>
            </w:tabs>
            <w:rPr>
              <w:noProof/>
            </w:rPr>
          </w:pPr>
          <w:hyperlink w:anchor="_Toc240747336" w:history="1">
            <w:r w:rsidRPr="006C5CA4">
              <w:rPr>
                <w:rStyle w:val="Hyperlink"/>
                <w:noProof/>
              </w:rPr>
              <w:t>Three Corrections to the Class Notes</w:t>
            </w:r>
            <w:r>
              <w:rPr>
                <w:noProof/>
              </w:rPr>
              <w:tab/>
            </w:r>
            <w:r>
              <w:rPr>
                <w:noProof/>
              </w:rPr>
              <w:fldChar w:fldCharType="begin"/>
            </w:r>
            <w:r>
              <w:rPr>
                <w:noProof/>
              </w:rPr>
              <w:instrText xml:space="preserve"> PAGEREF _Toc240747336 \h </w:instrText>
            </w:r>
            <w:r>
              <w:rPr>
                <w:noProof/>
              </w:rPr>
            </w:r>
            <w:r>
              <w:rPr>
                <w:noProof/>
              </w:rPr>
              <w:fldChar w:fldCharType="separate"/>
            </w:r>
            <w:r>
              <w:rPr>
                <w:noProof/>
              </w:rPr>
              <w:t>4</w:t>
            </w:r>
            <w:r>
              <w:rPr>
                <w:noProof/>
              </w:rPr>
              <w:fldChar w:fldCharType="end"/>
            </w:r>
          </w:hyperlink>
        </w:p>
        <w:p w14:paraId="7D0ED82C" w14:textId="0BA66CDB" w:rsidR="00A9557E" w:rsidRDefault="00A9557E">
          <w:pPr>
            <w:pStyle w:val="TOC1"/>
            <w:tabs>
              <w:tab w:val="right" w:leader="dot" w:pos="9216"/>
            </w:tabs>
            <w:rPr>
              <w:noProof/>
            </w:rPr>
          </w:pPr>
          <w:hyperlink w:anchor="_Toc240747337" w:history="1">
            <w:r w:rsidRPr="006C5CA4">
              <w:rPr>
                <w:rStyle w:val="Hyperlink"/>
                <w:noProof/>
              </w:rPr>
              <w:t>1  International Commercial Arbitration: s. 2(1)(f)</w:t>
            </w:r>
            <w:r>
              <w:rPr>
                <w:noProof/>
              </w:rPr>
              <w:tab/>
            </w:r>
            <w:r>
              <w:rPr>
                <w:noProof/>
              </w:rPr>
              <w:fldChar w:fldCharType="begin"/>
            </w:r>
            <w:r>
              <w:rPr>
                <w:noProof/>
              </w:rPr>
              <w:instrText xml:space="preserve"> PAGEREF _Toc240747337 \h </w:instrText>
            </w:r>
            <w:r>
              <w:rPr>
                <w:noProof/>
              </w:rPr>
            </w:r>
            <w:r>
              <w:rPr>
                <w:noProof/>
              </w:rPr>
              <w:fldChar w:fldCharType="separate"/>
            </w:r>
            <w:r>
              <w:rPr>
                <w:noProof/>
              </w:rPr>
              <w:t>5</w:t>
            </w:r>
            <w:r>
              <w:rPr>
                <w:noProof/>
              </w:rPr>
              <w:fldChar w:fldCharType="end"/>
            </w:r>
          </w:hyperlink>
        </w:p>
        <w:p w14:paraId="3D880BEB" w14:textId="572620A0" w:rsidR="00A9557E" w:rsidRDefault="00A9557E">
          <w:pPr>
            <w:pStyle w:val="TOC2"/>
            <w:tabs>
              <w:tab w:val="right" w:leader="dot" w:pos="9216"/>
            </w:tabs>
            <w:rPr>
              <w:noProof/>
            </w:rPr>
          </w:pPr>
          <w:hyperlink w:anchor="_Toc240747338" w:history="1">
            <w:r w:rsidRPr="006C5CA4">
              <w:rPr>
                <w:rStyle w:val="Hyperlink"/>
                <w:noProof/>
              </w:rPr>
              <w:t>1.1  Definition</w:t>
            </w:r>
            <w:r>
              <w:rPr>
                <w:noProof/>
              </w:rPr>
              <w:tab/>
            </w:r>
            <w:r>
              <w:rPr>
                <w:noProof/>
              </w:rPr>
              <w:fldChar w:fldCharType="begin"/>
            </w:r>
            <w:r>
              <w:rPr>
                <w:noProof/>
              </w:rPr>
              <w:instrText xml:space="preserve"> PAGEREF _Toc240747338 \h </w:instrText>
            </w:r>
            <w:r>
              <w:rPr>
                <w:noProof/>
              </w:rPr>
            </w:r>
            <w:r>
              <w:rPr>
                <w:noProof/>
              </w:rPr>
              <w:fldChar w:fldCharType="separate"/>
            </w:r>
            <w:r>
              <w:rPr>
                <w:noProof/>
              </w:rPr>
              <w:t>5</w:t>
            </w:r>
            <w:r>
              <w:rPr>
                <w:noProof/>
              </w:rPr>
              <w:fldChar w:fldCharType="end"/>
            </w:r>
          </w:hyperlink>
        </w:p>
        <w:p w14:paraId="273DFA7C" w14:textId="635C466A" w:rsidR="00A9557E" w:rsidRDefault="00A9557E">
          <w:pPr>
            <w:pStyle w:val="TOC2"/>
            <w:tabs>
              <w:tab w:val="right" w:leader="dot" w:pos="9216"/>
            </w:tabs>
            <w:rPr>
              <w:noProof/>
            </w:rPr>
          </w:pPr>
          <w:hyperlink w:anchor="_Toc240747339" w:history="1">
            <w:r w:rsidRPr="006C5CA4">
              <w:rPr>
                <w:rStyle w:val="Hyperlink"/>
                <w:noProof/>
              </w:rPr>
              <w:t>1.2  “Commercial” — construed widely</w:t>
            </w:r>
            <w:r>
              <w:rPr>
                <w:noProof/>
              </w:rPr>
              <w:tab/>
            </w:r>
            <w:r>
              <w:rPr>
                <w:noProof/>
              </w:rPr>
              <w:fldChar w:fldCharType="begin"/>
            </w:r>
            <w:r>
              <w:rPr>
                <w:noProof/>
              </w:rPr>
              <w:instrText xml:space="preserve"> PAGEREF _Toc240747339 \h </w:instrText>
            </w:r>
            <w:r>
              <w:rPr>
                <w:noProof/>
              </w:rPr>
            </w:r>
            <w:r>
              <w:rPr>
                <w:noProof/>
              </w:rPr>
              <w:fldChar w:fldCharType="separate"/>
            </w:r>
            <w:r>
              <w:rPr>
                <w:noProof/>
              </w:rPr>
              <w:t>5</w:t>
            </w:r>
            <w:r>
              <w:rPr>
                <w:noProof/>
              </w:rPr>
              <w:fldChar w:fldCharType="end"/>
            </w:r>
          </w:hyperlink>
        </w:p>
        <w:p w14:paraId="0FBF1ECC" w14:textId="19C0B9E6" w:rsidR="00A9557E" w:rsidRDefault="00A9557E">
          <w:pPr>
            <w:pStyle w:val="TOC2"/>
            <w:tabs>
              <w:tab w:val="right" w:leader="dot" w:pos="9216"/>
            </w:tabs>
            <w:rPr>
              <w:noProof/>
            </w:rPr>
          </w:pPr>
          <w:hyperlink w:anchor="_Toc240747340" w:history="1">
            <w:r w:rsidRPr="006C5CA4">
              <w:rPr>
                <w:rStyle w:val="Hyperlink"/>
                <w:noProof/>
              </w:rPr>
              <w:t>1.3  Nationality of a company</w:t>
            </w:r>
            <w:r>
              <w:rPr>
                <w:noProof/>
              </w:rPr>
              <w:tab/>
            </w:r>
            <w:r>
              <w:rPr>
                <w:noProof/>
              </w:rPr>
              <w:fldChar w:fldCharType="begin"/>
            </w:r>
            <w:r>
              <w:rPr>
                <w:noProof/>
              </w:rPr>
              <w:instrText xml:space="preserve"> PAGEREF _Toc240747340 \h </w:instrText>
            </w:r>
            <w:r>
              <w:rPr>
                <w:noProof/>
              </w:rPr>
            </w:r>
            <w:r>
              <w:rPr>
                <w:noProof/>
              </w:rPr>
              <w:fldChar w:fldCharType="separate"/>
            </w:r>
            <w:r>
              <w:rPr>
                <w:noProof/>
              </w:rPr>
              <w:t>5</w:t>
            </w:r>
            <w:r>
              <w:rPr>
                <w:noProof/>
              </w:rPr>
              <w:fldChar w:fldCharType="end"/>
            </w:r>
          </w:hyperlink>
        </w:p>
        <w:p w14:paraId="320D30FB" w14:textId="03A122C6" w:rsidR="00A9557E" w:rsidRDefault="00A9557E">
          <w:pPr>
            <w:pStyle w:val="TOC2"/>
            <w:tabs>
              <w:tab w:val="right" w:leader="dot" w:pos="9216"/>
            </w:tabs>
            <w:rPr>
              <w:noProof/>
            </w:rPr>
          </w:pPr>
          <w:hyperlink w:anchor="_Toc240747341" w:history="1">
            <w:r w:rsidRPr="006C5CA4">
              <w:rPr>
                <w:rStyle w:val="Hyperlink"/>
                <w:noProof/>
              </w:rPr>
              <w:t>1.4  Salient features of international arbitration</w:t>
            </w:r>
            <w:r>
              <w:rPr>
                <w:noProof/>
              </w:rPr>
              <w:tab/>
            </w:r>
            <w:r>
              <w:rPr>
                <w:noProof/>
              </w:rPr>
              <w:fldChar w:fldCharType="begin"/>
            </w:r>
            <w:r>
              <w:rPr>
                <w:noProof/>
              </w:rPr>
              <w:instrText xml:space="preserve"> PAGEREF _Toc240747341 \h </w:instrText>
            </w:r>
            <w:r>
              <w:rPr>
                <w:noProof/>
              </w:rPr>
            </w:r>
            <w:r>
              <w:rPr>
                <w:noProof/>
              </w:rPr>
              <w:fldChar w:fldCharType="separate"/>
            </w:r>
            <w:r>
              <w:rPr>
                <w:noProof/>
              </w:rPr>
              <w:t>5</w:t>
            </w:r>
            <w:r>
              <w:rPr>
                <w:noProof/>
              </w:rPr>
              <w:fldChar w:fldCharType="end"/>
            </w:r>
          </w:hyperlink>
        </w:p>
        <w:p w14:paraId="3F1CE1DA" w14:textId="6E41BE98" w:rsidR="00A9557E" w:rsidRDefault="00A9557E">
          <w:pPr>
            <w:pStyle w:val="TOC2"/>
            <w:tabs>
              <w:tab w:val="right" w:leader="dot" w:pos="9216"/>
            </w:tabs>
            <w:rPr>
              <w:noProof/>
            </w:rPr>
          </w:pPr>
          <w:hyperlink w:anchor="_Toc240747342" w:history="1">
            <w:r w:rsidRPr="006C5CA4">
              <w:rPr>
                <w:rStyle w:val="Hyperlink"/>
                <w:noProof/>
              </w:rPr>
              <w:t>1.5  Choice of law; seat and venue</w:t>
            </w:r>
            <w:r>
              <w:rPr>
                <w:noProof/>
              </w:rPr>
              <w:tab/>
            </w:r>
            <w:r>
              <w:rPr>
                <w:noProof/>
              </w:rPr>
              <w:fldChar w:fldCharType="begin"/>
            </w:r>
            <w:r>
              <w:rPr>
                <w:noProof/>
              </w:rPr>
              <w:instrText xml:space="preserve"> PAGEREF _Toc240747342 \h </w:instrText>
            </w:r>
            <w:r>
              <w:rPr>
                <w:noProof/>
              </w:rPr>
            </w:r>
            <w:r>
              <w:rPr>
                <w:noProof/>
              </w:rPr>
              <w:fldChar w:fldCharType="separate"/>
            </w:r>
            <w:r>
              <w:rPr>
                <w:noProof/>
              </w:rPr>
              <w:t>6</w:t>
            </w:r>
            <w:r>
              <w:rPr>
                <w:noProof/>
              </w:rPr>
              <w:fldChar w:fldCharType="end"/>
            </w:r>
          </w:hyperlink>
        </w:p>
        <w:p w14:paraId="52114BC6" w14:textId="1FCA652E" w:rsidR="00A9557E" w:rsidRDefault="00A9557E">
          <w:pPr>
            <w:pStyle w:val="TOC2"/>
            <w:tabs>
              <w:tab w:val="right" w:leader="dot" w:pos="9216"/>
            </w:tabs>
            <w:rPr>
              <w:noProof/>
            </w:rPr>
          </w:pPr>
          <w:hyperlink w:anchor="_Toc240747343" w:history="1">
            <w:r w:rsidRPr="006C5CA4">
              <w:rPr>
                <w:rStyle w:val="Hyperlink"/>
                <w:noProof/>
              </w:rPr>
              <w:t>1.6  Scope of Part I: the territorial question</w:t>
            </w:r>
            <w:r>
              <w:rPr>
                <w:noProof/>
              </w:rPr>
              <w:tab/>
            </w:r>
            <w:r>
              <w:rPr>
                <w:noProof/>
              </w:rPr>
              <w:fldChar w:fldCharType="begin"/>
            </w:r>
            <w:r>
              <w:rPr>
                <w:noProof/>
              </w:rPr>
              <w:instrText xml:space="preserve"> PAGEREF _Toc240747343 \h </w:instrText>
            </w:r>
            <w:r>
              <w:rPr>
                <w:noProof/>
              </w:rPr>
            </w:r>
            <w:r>
              <w:rPr>
                <w:noProof/>
              </w:rPr>
              <w:fldChar w:fldCharType="separate"/>
            </w:r>
            <w:r>
              <w:rPr>
                <w:noProof/>
              </w:rPr>
              <w:t>6</w:t>
            </w:r>
            <w:r>
              <w:rPr>
                <w:noProof/>
              </w:rPr>
              <w:fldChar w:fldCharType="end"/>
            </w:r>
          </w:hyperlink>
        </w:p>
        <w:p w14:paraId="7C94D420" w14:textId="178744C0" w:rsidR="00A9557E" w:rsidRDefault="00A9557E">
          <w:pPr>
            <w:pStyle w:val="TOC2"/>
            <w:tabs>
              <w:tab w:val="right" w:leader="dot" w:pos="9216"/>
            </w:tabs>
            <w:rPr>
              <w:noProof/>
            </w:rPr>
          </w:pPr>
          <w:hyperlink w:anchor="_Toc240747344" w:history="1">
            <w:r w:rsidRPr="006C5CA4">
              <w:rPr>
                <w:rStyle w:val="Hyperlink"/>
                <w:noProof/>
              </w:rPr>
              <w:t>1.7  Present position</w:t>
            </w:r>
            <w:r>
              <w:rPr>
                <w:noProof/>
              </w:rPr>
              <w:tab/>
            </w:r>
            <w:r>
              <w:rPr>
                <w:noProof/>
              </w:rPr>
              <w:fldChar w:fldCharType="begin"/>
            </w:r>
            <w:r>
              <w:rPr>
                <w:noProof/>
              </w:rPr>
              <w:instrText xml:space="preserve"> PAGEREF _Toc240747344 \h </w:instrText>
            </w:r>
            <w:r>
              <w:rPr>
                <w:noProof/>
              </w:rPr>
            </w:r>
            <w:r>
              <w:rPr>
                <w:noProof/>
              </w:rPr>
              <w:fldChar w:fldCharType="separate"/>
            </w:r>
            <w:r>
              <w:rPr>
                <w:noProof/>
              </w:rPr>
              <w:t>7</w:t>
            </w:r>
            <w:r>
              <w:rPr>
                <w:noProof/>
              </w:rPr>
              <w:fldChar w:fldCharType="end"/>
            </w:r>
          </w:hyperlink>
        </w:p>
        <w:p w14:paraId="749AD0B9" w14:textId="34A44ED0" w:rsidR="00A9557E" w:rsidRDefault="00A9557E">
          <w:pPr>
            <w:pStyle w:val="TOC2"/>
            <w:tabs>
              <w:tab w:val="right" w:leader="dot" w:pos="9216"/>
            </w:tabs>
            <w:rPr>
              <w:noProof/>
            </w:rPr>
          </w:pPr>
          <w:hyperlink w:anchor="_Toc240747345" w:history="1">
            <w:r w:rsidRPr="006C5CA4">
              <w:rPr>
                <w:rStyle w:val="Hyperlink"/>
                <w:noProof/>
              </w:rPr>
              <w:t>1.8  Judicial interference and delay: two treaty awards</w:t>
            </w:r>
            <w:r>
              <w:rPr>
                <w:noProof/>
              </w:rPr>
              <w:tab/>
            </w:r>
            <w:r>
              <w:rPr>
                <w:noProof/>
              </w:rPr>
              <w:fldChar w:fldCharType="begin"/>
            </w:r>
            <w:r>
              <w:rPr>
                <w:noProof/>
              </w:rPr>
              <w:instrText xml:space="preserve"> PAGEREF _Toc240747345 \h </w:instrText>
            </w:r>
            <w:r>
              <w:rPr>
                <w:noProof/>
              </w:rPr>
            </w:r>
            <w:r>
              <w:rPr>
                <w:noProof/>
              </w:rPr>
              <w:fldChar w:fldCharType="separate"/>
            </w:r>
            <w:r>
              <w:rPr>
                <w:noProof/>
              </w:rPr>
              <w:t>7</w:t>
            </w:r>
            <w:r>
              <w:rPr>
                <w:noProof/>
              </w:rPr>
              <w:fldChar w:fldCharType="end"/>
            </w:r>
          </w:hyperlink>
        </w:p>
        <w:p w14:paraId="72464835" w14:textId="5319C202" w:rsidR="00A9557E" w:rsidRDefault="00A9557E">
          <w:pPr>
            <w:pStyle w:val="TOC1"/>
            <w:tabs>
              <w:tab w:val="right" w:leader="dot" w:pos="9216"/>
            </w:tabs>
            <w:rPr>
              <w:noProof/>
            </w:rPr>
          </w:pPr>
          <w:hyperlink w:anchor="_Toc240747346" w:history="1">
            <w:r w:rsidRPr="006C5CA4">
              <w:rPr>
                <w:rStyle w:val="Hyperlink"/>
                <w:noProof/>
              </w:rPr>
              <w:t>2  Waiver of the Right to Object: s. 4</w:t>
            </w:r>
            <w:r>
              <w:rPr>
                <w:noProof/>
              </w:rPr>
              <w:tab/>
            </w:r>
            <w:r>
              <w:rPr>
                <w:noProof/>
              </w:rPr>
              <w:fldChar w:fldCharType="begin"/>
            </w:r>
            <w:r>
              <w:rPr>
                <w:noProof/>
              </w:rPr>
              <w:instrText xml:space="preserve"> PAGEREF _Toc240747346 \h </w:instrText>
            </w:r>
            <w:r>
              <w:rPr>
                <w:noProof/>
              </w:rPr>
            </w:r>
            <w:r>
              <w:rPr>
                <w:noProof/>
              </w:rPr>
              <w:fldChar w:fldCharType="separate"/>
            </w:r>
            <w:r>
              <w:rPr>
                <w:noProof/>
              </w:rPr>
              <w:t>8</w:t>
            </w:r>
            <w:r>
              <w:rPr>
                <w:noProof/>
              </w:rPr>
              <w:fldChar w:fldCharType="end"/>
            </w:r>
          </w:hyperlink>
        </w:p>
        <w:p w14:paraId="0D4D14F7" w14:textId="669B8E58" w:rsidR="00A9557E" w:rsidRDefault="00A9557E">
          <w:pPr>
            <w:pStyle w:val="TOC2"/>
            <w:tabs>
              <w:tab w:val="right" w:leader="dot" w:pos="9216"/>
            </w:tabs>
            <w:rPr>
              <w:noProof/>
            </w:rPr>
          </w:pPr>
          <w:hyperlink w:anchor="_Toc240747347" w:history="1">
            <w:r w:rsidRPr="006C5CA4">
              <w:rPr>
                <w:rStyle w:val="Hyperlink"/>
                <w:noProof/>
              </w:rPr>
              <w:t>2.1  Provision and purpose</w:t>
            </w:r>
            <w:r>
              <w:rPr>
                <w:noProof/>
              </w:rPr>
              <w:tab/>
            </w:r>
            <w:r>
              <w:rPr>
                <w:noProof/>
              </w:rPr>
              <w:fldChar w:fldCharType="begin"/>
            </w:r>
            <w:r>
              <w:rPr>
                <w:noProof/>
              </w:rPr>
              <w:instrText xml:space="preserve"> PAGEREF _Toc240747347 \h </w:instrText>
            </w:r>
            <w:r>
              <w:rPr>
                <w:noProof/>
              </w:rPr>
            </w:r>
            <w:r>
              <w:rPr>
                <w:noProof/>
              </w:rPr>
              <w:fldChar w:fldCharType="separate"/>
            </w:r>
            <w:r>
              <w:rPr>
                <w:noProof/>
              </w:rPr>
              <w:t>8</w:t>
            </w:r>
            <w:r>
              <w:rPr>
                <w:noProof/>
              </w:rPr>
              <w:fldChar w:fldCharType="end"/>
            </w:r>
          </w:hyperlink>
        </w:p>
        <w:p w14:paraId="6129F702" w14:textId="2B51557A" w:rsidR="00A9557E" w:rsidRDefault="00A9557E">
          <w:pPr>
            <w:pStyle w:val="TOC2"/>
            <w:tabs>
              <w:tab w:val="right" w:leader="dot" w:pos="9216"/>
            </w:tabs>
            <w:rPr>
              <w:noProof/>
            </w:rPr>
          </w:pPr>
          <w:hyperlink w:anchor="_Toc240747348" w:history="1">
            <w:r w:rsidRPr="006C5CA4">
              <w:rPr>
                <w:rStyle w:val="Hyperlink"/>
                <w:noProof/>
              </w:rPr>
              <w:t>2.2  Limb (b): Scott v. Avery clauses</w:t>
            </w:r>
            <w:r>
              <w:rPr>
                <w:noProof/>
              </w:rPr>
              <w:tab/>
            </w:r>
            <w:r>
              <w:rPr>
                <w:noProof/>
              </w:rPr>
              <w:fldChar w:fldCharType="begin"/>
            </w:r>
            <w:r>
              <w:rPr>
                <w:noProof/>
              </w:rPr>
              <w:instrText xml:space="preserve"> PAGEREF _Toc240747348 \h </w:instrText>
            </w:r>
            <w:r>
              <w:rPr>
                <w:noProof/>
              </w:rPr>
            </w:r>
            <w:r>
              <w:rPr>
                <w:noProof/>
              </w:rPr>
              <w:fldChar w:fldCharType="separate"/>
            </w:r>
            <w:r>
              <w:rPr>
                <w:noProof/>
              </w:rPr>
              <w:t>8</w:t>
            </w:r>
            <w:r>
              <w:rPr>
                <w:noProof/>
              </w:rPr>
              <w:fldChar w:fldCharType="end"/>
            </w:r>
          </w:hyperlink>
        </w:p>
        <w:p w14:paraId="21F5F92C" w14:textId="0A39B98A" w:rsidR="00A9557E" w:rsidRDefault="00A9557E">
          <w:pPr>
            <w:pStyle w:val="TOC2"/>
            <w:tabs>
              <w:tab w:val="right" w:leader="dot" w:pos="9216"/>
            </w:tabs>
            <w:rPr>
              <w:noProof/>
            </w:rPr>
          </w:pPr>
          <w:hyperlink w:anchor="_Toc240747349" w:history="1">
            <w:r w:rsidRPr="006C5CA4">
              <w:rPr>
                <w:rStyle w:val="Hyperlink"/>
                <w:noProof/>
              </w:rPr>
              <w:t>2.3  What cannot be waived</w:t>
            </w:r>
            <w:r>
              <w:rPr>
                <w:noProof/>
              </w:rPr>
              <w:tab/>
            </w:r>
            <w:r>
              <w:rPr>
                <w:noProof/>
              </w:rPr>
              <w:fldChar w:fldCharType="begin"/>
            </w:r>
            <w:r>
              <w:rPr>
                <w:noProof/>
              </w:rPr>
              <w:instrText xml:space="preserve"> PAGEREF _Toc240747349 \h </w:instrText>
            </w:r>
            <w:r>
              <w:rPr>
                <w:noProof/>
              </w:rPr>
            </w:r>
            <w:r>
              <w:rPr>
                <w:noProof/>
              </w:rPr>
              <w:fldChar w:fldCharType="separate"/>
            </w:r>
            <w:r>
              <w:rPr>
                <w:noProof/>
              </w:rPr>
              <w:t>8</w:t>
            </w:r>
            <w:r>
              <w:rPr>
                <w:noProof/>
              </w:rPr>
              <w:fldChar w:fldCharType="end"/>
            </w:r>
          </w:hyperlink>
        </w:p>
        <w:p w14:paraId="7464C09B" w14:textId="1982CE77" w:rsidR="00A9557E" w:rsidRDefault="00A9557E">
          <w:pPr>
            <w:pStyle w:val="TOC2"/>
            <w:tabs>
              <w:tab w:val="right" w:leader="dot" w:pos="9216"/>
            </w:tabs>
            <w:rPr>
              <w:noProof/>
            </w:rPr>
          </w:pPr>
          <w:hyperlink w:anchor="_Toc240747350" w:history="1">
            <w:r w:rsidRPr="006C5CA4">
              <w:rPr>
                <w:rStyle w:val="Hyperlink"/>
                <w:noProof/>
              </w:rPr>
              <w:t>2.4  The section in operation</w:t>
            </w:r>
            <w:r>
              <w:rPr>
                <w:noProof/>
              </w:rPr>
              <w:tab/>
            </w:r>
            <w:r>
              <w:rPr>
                <w:noProof/>
              </w:rPr>
              <w:fldChar w:fldCharType="begin"/>
            </w:r>
            <w:r>
              <w:rPr>
                <w:noProof/>
              </w:rPr>
              <w:instrText xml:space="preserve"> PAGEREF _Toc240747350 \h </w:instrText>
            </w:r>
            <w:r>
              <w:rPr>
                <w:noProof/>
              </w:rPr>
            </w:r>
            <w:r>
              <w:rPr>
                <w:noProof/>
              </w:rPr>
              <w:fldChar w:fldCharType="separate"/>
            </w:r>
            <w:r>
              <w:rPr>
                <w:noProof/>
              </w:rPr>
              <w:t>8</w:t>
            </w:r>
            <w:r>
              <w:rPr>
                <w:noProof/>
              </w:rPr>
              <w:fldChar w:fldCharType="end"/>
            </w:r>
          </w:hyperlink>
        </w:p>
        <w:p w14:paraId="583E0047" w14:textId="485321C6" w:rsidR="00A9557E" w:rsidRDefault="00A9557E">
          <w:pPr>
            <w:pStyle w:val="TOC1"/>
            <w:tabs>
              <w:tab w:val="right" w:leader="dot" w:pos="9216"/>
            </w:tabs>
            <w:rPr>
              <w:noProof/>
            </w:rPr>
          </w:pPr>
          <w:hyperlink w:anchor="_Toc240747351" w:history="1">
            <w:r w:rsidRPr="006C5CA4">
              <w:rPr>
                <w:rStyle w:val="Hyperlink"/>
                <w:noProof/>
              </w:rPr>
              <w:t>3  Reference to Arbitration and Judicial Intervention: ss. 8 and 5</w:t>
            </w:r>
            <w:r>
              <w:rPr>
                <w:noProof/>
              </w:rPr>
              <w:tab/>
            </w:r>
            <w:r>
              <w:rPr>
                <w:noProof/>
              </w:rPr>
              <w:fldChar w:fldCharType="begin"/>
            </w:r>
            <w:r>
              <w:rPr>
                <w:noProof/>
              </w:rPr>
              <w:instrText xml:space="preserve"> PAGEREF _Toc240747351 \h </w:instrText>
            </w:r>
            <w:r>
              <w:rPr>
                <w:noProof/>
              </w:rPr>
            </w:r>
            <w:r>
              <w:rPr>
                <w:noProof/>
              </w:rPr>
              <w:fldChar w:fldCharType="separate"/>
            </w:r>
            <w:r>
              <w:rPr>
                <w:noProof/>
              </w:rPr>
              <w:t>9</w:t>
            </w:r>
            <w:r>
              <w:rPr>
                <w:noProof/>
              </w:rPr>
              <w:fldChar w:fldCharType="end"/>
            </w:r>
          </w:hyperlink>
        </w:p>
        <w:p w14:paraId="5D9D9B4D" w14:textId="0E956CEB" w:rsidR="00A9557E" w:rsidRDefault="00A9557E">
          <w:pPr>
            <w:pStyle w:val="TOC2"/>
            <w:tabs>
              <w:tab w:val="right" w:leader="dot" w:pos="9216"/>
            </w:tabs>
            <w:rPr>
              <w:noProof/>
            </w:rPr>
          </w:pPr>
          <w:hyperlink w:anchor="_Toc240747352" w:history="1">
            <w:r w:rsidRPr="006C5CA4">
              <w:rPr>
                <w:rStyle w:val="Hyperlink"/>
                <w:noProof/>
              </w:rPr>
              <w:t>3.1  S. 5</w:t>
            </w:r>
            <w:r>
              <w:rPr>
                <w:noProof/>
              </w:rPr>
              <w:tab/>
            </w:r>
            <w:r>
              <w:rPr>
                <w:noProof/>
              </w:rPr>
              <w:fldChar w:fldCharType="begin"/>
            </w:r>
            <w:r>
              <w:rPr>
                <w:noProof/>
              </w:rPr>
              <w:instrText xml:space="preserve"> PAGEREF _Toc240747352 \h </w:instrText>
            </w:r>
            <w:r>
              <w:rPr>
                <w:noProof/>
              </w:rPr>
            </w:r>
            <w:r>
              <w:rPr>
                <w:noProof/>
              </w:rPr>
              <w:fldChar w:fldCharType="separate"/>
            </w:r>
            <w:r>
              <w:rPr>
                <w:noProof/>
              </w:rPr>
              <w:t>9</w:t>
            </w:r>
            <w:r>
              <w:rPr>
                <w:noProof/>
              </w:rPr>
              <w:fldChar w:fldCharType="end"/>
            </w:r>
          </w:hyperlink>
        </w:p>
        <w:p w14:paraId="025BCE50" w14:textId="703CA60E" w:rsidR="00A9557E" w:rsidRDefault="00A9557E">
          <w:pPr>
            <w:pStyle w:val="TOC2"/>
            <w:tabs>
              <w:tab w:val="right" w:leader="dot" w:pos="9216"/>
            </w:tabs>
            <w:rPr>
              <w:noProof/>
            </w:rPr>
          </w:pPr>
          <w:hyperlink w:anchor="_Toc240747353" w:history="1">
            <w:r w:rsidRPr="006C5CA4">
              <w:rPr>
                <w:rStyle w:val="Hyperlink"/>
                <w:noProof/>
              </w:rPr>
              <w:t>3.2  What s. 5 does not exclude</w:t>
            </w:r>
            <w:r>
              <w:rPr>
                <w:noProof/>
              </w:rPr>
              <w:tab/>
            </w:r>
            <w:r>
              <w:rPr>
                <w:noProof/>
              </w:rPr>
              <w:fldChar w:fldCharType="begin"/>
            </w:r>
            <w:r>
              <w:rPr>
                <w:noProof/>
              </w:rPr>
              <w:instrText xml:space="preserve"> PAGEREF _Toc240747353 \h </w:instrText>
            </w:r>
            <w:r>
              <w:rPr>
                <w:noProof/>
              </w:rPr>
            </w:r>
            <w:r>
              <w:rPr>
                <w:noProof/>
              </w:rPr>
              <w:fldChar w:fldCharType="separate"/>
            </w:r>
            <w:r>
              <w:rPr>
                <w:noProof/>
              </w:rPr>
              <w:t>9</w:t>
            </w:r>
            <w:r>
              <w:rPr>
                <w:noProof/>
              </w:rPr>
              <w:fldChar w:fldCharType="end"/>
            </w:r>
          </w:hyperlink>
        </w:p>
        <w:p w14:paraId="170697C6" w14:textId="694EC37A" w:rsidR="00A9557E" w:rsidRDefault="00A9557E">
          <w:pPr>
            <w:pStyle w:val="TOC2"/>
            <w:tabs>
              <w:tab w:val="right" w:leader="dot" w:pos="9216"/>
            </w:tabs>
            <w:rPr>
              <w:noProof/>
            </w:rPr>
          </w:pPr>
          <w:hyperlink w:anchor="_Toc240747354" w:history="1">
            <w:r w:rsidRPr="006C5CA4">
              <w:rPr>
                <w:rStyle w:val="Hyperlink"/>
                <w:noProof/>
              </w:rPr>
              <w:t>3.3  S. 8: power to refer</w:t>
            </w:r>
            <w:r>
              <w:rPr>
                <w:noProof/>
              </w:rPr>
              <w:tab/>
            </w:r>
            <w:r>
              <w:rPr>
                <w:noProof/>
              </w:rPr>
              <w:fldChar w:fldCharType="begin"/>
            </w:r>
            <w:r>
              <w:rPr>
                <w:noProof/>
              </w:rPr>
              <w:instrText xml:space="preserve"> PAGEREF _Toc240747354 \h </w:instrText>
            </w:r>
            <w:r>
              <w:rPr>
                <w:noProof/>
              </w:rPr>
            </w:r>
            <w:r>
              <w:rPr>
                <w:noProof/>
              </w:rPr>
              <w:fldChar w:fldCharType="separate"/>
            </w:r>
            <w:r>
              <w:rPr>
                <w:noProof/>
              </w:rPr>
              <w:t>9</w:t>
            </w:r>
            <w:r>
              <w:rPr>
                <w:noProof/>
              </w:rPr>
              <w:fldChar w:fldCharType="end"/>
            </w:r>
          </w:hyperlink>
        </w:p>
        <w:p w14:paraId="72F9500F" w14:textId="6B808EE9" w:rsidR="00A9557E" w:rsidRDefault="00A9557E">
          <w:pPr>
            <w:pStyle w:val="TOC2"/>
            <w:tabs>
              <w:tab w:val="right" w:leader="dot" w:pos="9216"/>
            </w:tabs>
            <w:rPr>
              <w:noProof/>
            </w:rPr>
          </w:pPr>
          <w:hyperlink w:anchor="_Toc240747355" w:history="1">
            <w:r w:rsidRPr="006C5CA4">
              <w:rPr>
                <w:rStyle w:val="Hyperlink"/>
                <w:noProof/>
              </w:rPr>
              <w:t>3.4  Rule of first priority</w:t>
            </w:r>
            <w:r>
              <w:rPr>
                <w:noProof/>
              </w:rPr>
              <w:tab/>
            </w:r>
            <w:r>
              <w:rPr>
                <w:noProof/>
              </w:rPr>
              <w:fldChar w:fldCharType="begin"/>
            </w:r>
            <w:r>
              <w:rPr>
                <w:noProof/>
              </w:rPr>
              <w:instrText xml:space="preserve"> PAGEREF _Toc240747355 \h </w:instrText>
            </w:r>
            <w:r>
              <w:rPr>
                <w:noProof/>
              </w:rPr>
            </w:r>
            <w:r>
              <w:rPr>
                <w:noProof/>
              </w:rPr>
              <w:fldChar w:fldCharType="separate"/>
            </w:r>
            <w:r>
              <w:rPr>
                <w:noProof/>
              </w:rPr>
              <w:t>10</w:t>
            </w:r>
            <w:r>
              <w:rPr>
                <w:noProof/>
              </w:rPr>
              <w:fldChar w:fldCharType="end"/>
            </w:r>
          </w:hyperlink>
        </w:p>
        <w:p w14:paraId="61814B14" w14:textId="58D5107F" w:rsidR="00A9557E" w:rsidRDefault="00A9557E">
          <w:pPr>
            <w:pStyle w:val="TOC2"/>
            <w:tabs>
              <w:tab w:val="right" w:leader="dot" w:pos="9216"/>
            </w:tabs>
            <w:rPr>
              <w:noProof/>
            </w:rPr>
          </w:pPr>
          <w:hyperlink w:anchor="_Toc240747356" w:history="1">
            <w:r w:rsidRPr="006C5CA4">
              <w:rPr>
                <w:rStyle w:val="Hyperlink"/>
                <w:noProof/>
              </w:rPr>
              <w:t>3.5  Non-arbitrability: the limit on s. 8</w:t>
            </w:r>
            <w:r>
              <w:rPr>
                <w:noProof/>
              </w:rPr>
              <w:tab/>
            </w:r>
            <w:r>
              <w:rPr>
                <w:noProof/>
              </w:rPr>
              <w:fldChar w:fldCharType="begin"/>
            </w:r>
            <w:r>
              <w:rPr>
                <w:noProof/>
              </w:rPr>
              <w:instrText xml:space="preserve"> PAGEREF _Toc240747356 \h </w:instrText>
            </w:r>
            <w:r>
              <w:rPr>
                <w:noProof/>
              </w:rPr>
            </w:r>
            <w:r>
              <w:rPr>
                <w:noProof/>
              </w:rPr>
              <w:fldChar w:fldCharType="separate"/>
            </w:r>
            <w:r>
              <w:rPr>
                <w:noProof/>
              </w:rPr>
              <w:t>10</w:t>
            </w:r>
            <w:r>
              <w:rPr>
                <w:noProof/>
              </w:rPr>
              <w:fldChar w:fldCharType="end"/>
            </w:r>
          </w:hyperlink>
        </w:p>
        <w:p w14:paraId="382A333B" w14:textId="309C4F15" w:rsidR="00A9557E" w:rsidRDefault="00A9557E">
          <w:pPr>
            <w:pStyle w:val="TOC1"/>
            <w:tabs>
              <w:tab w:val="right" w:leader="dot" w:pos="9216"/>
            </w:tabs>
            <w:rPr>
              <w:noProof/>
            </w:rPr>
          </w:pPr>
          <w:hyperlink w:anchor="_Toc240747357" w:history="1">
            <w:r w:rsidRPr="006C5CA4">
              <w:rPr>
                <w:rStyle w:val="Hyperlink"/>
                <w:noProof/>
              </w:rPr>
              <w:t>4  The Arbitration Agreement: s. 7</w:t>
            </w:r>
            <w:r>
              <w:rPr>
                <w:noProof/>
              </w:rPr>
              <w:tab/>
            </w:r>
            <w:r>
              <w:rPr>
                <w:noProof/>
              </w:rPr>
              <w:fldChar w:fldCharType="begin"/>
            </w:r>
            <w:r>
              <w:rPr>
                <w:noProof/>
              </w:rPr>
              <w:instrText xml:space="preserve"> PAGEREF _Toc240747357 \h </w:instrText>
            </w:r>
            <w:r>
              <w:rPr>
                <w:noProof/>
              </w:rPr>
            </w:r>
            <w:r>
              <w:rPr>
                <w:noProof/>
              </w:rPr>
              <w:fldChar w:fldCharType="separate"/>
            </w:r>
            <w:r>
              <w:rPr>
                <w:noProof/>
              </w:rPr>
              <w:t>10</w:t>
            </w:r>
            <w:r>
              <w:rPr>
                <w:noProof/>
              </w:rPr>
              <w:fldChar w:fldCharType="end"/>
            </w:r>
          </w:hyperlink>
        </w:p>
        <w:p w14:paraId="45FC26AA" w14:textId="52511D35" w:rsidR="00A9557E" w:rsidRDefault="00A9557E">
          <w:pPr>
            <w:pStyle w:val="TOC2"/>
            <w:tabs>
              <w:tab w:val="right" w:leader="dot" w:pos="9216"/>
            </w:tabs>
            <w:rPr>
              <w:noProof/>
            </w:rPr>
          </w:pPr>
          <w:hyperlink w:anchor="_Toc240747358" w:history="1">
            <w:r w:rsidRPr="006C5CA4">
              <w:rPr>
                <w:rStyle w:val="Hyperlink"/>
                <w:noProof/>
              </w:rPr>
              <w:t>4.1  The provision</w:t>
            </w:r>
            <w:r>
              <w:rPr>
                <w:noProof/>
              </w:rPr>
              <w:tab/>
            </w:r>
            <w:r>
              <w:rPr>
                <w:noProof/>
              </w:rPr>
              <w:fldChar w:fldCharType="begin"/>
            </w:r>
            <w:r>
              <w:rPr>
                <w:noProof/>
              </w:rPr>
              <w:instrText xml:space="preserve"> PAGEREF _Toc240747358 \h </w:instrText>
            </w:r>
            <w:r>
              <w:rPr>
                <w:noProof/>
              </w:rPr>
            </w:r>
            <w:r>
              <w:rPr>
                <w:noProof/>
              </w:rPr>
              <w:fldChar w:fldCharType="separate"/>
            </w:r>
            <w:r>
              <w:rPr>
                <w:noProof/>
              </w:rPr>
              <w:t>11</w:t>
            </w:r>
            <w:r>
              <w:rPr>
                <w:noProof/>
              </w:rPr>
              <w:fldChar w:fldCharType="end"/>
            </w:r>
          </w:hyperlink>
        </w:p>
        <w:p w14:paraId="7564257D" w14:textId="2D68FEF2" w:rsidR="00A9557E" w:rsidRDefault="00A9557E">
          <w:pPr>
            <w:pStyle w:val="TOC2"/>
            <w:tabs>
              <w:tab w:val="right" w:leader="dot" w:pos="9216"/>
            </w:tabs>
            <w:rPr>
              <w:noProof/>
            </w:rPr>
          </w:pPr>
          <w:hyperlink w:anchor="_Toc240747359" w:history="1">
            <w:r w:rsidRPr="006C5CA4">
              <w:rPr>
                <w:rStyle w:val="Hyperlink"/>
                <w:noProof/>
              </w:rPr>
              <w:t>4.2  Binding obligation or mere possibility?</w:t>
            </w:r>
            <w:r>
              <w:rPr>
                <w:noProof/>
              </w:rPr>
              <w:tab/>
            </w:r>
            <w:r>
              <w:rPr>
                <w:noProof/>
              </w:rPr>
              <w:fldChar w:fldCharType="begin"/>
            </w:r>
            <w:r>
              <w:rPr>
                <w:noProof/>
              </w:rPr>
              <w:instrText xml:space="preserve"> PAGEREF _Toc240747359 \h </w:instrText>
            </w:r>
            <w:r>
              <w:rPr>
                <w:noProof/>
              </w:rPr>
            </w:r>
            <w:r>
              <w:rPr>
                <w:noProof/>
              </w:rPr>
              <w:fldChar w:fldCharType="separate"/>
            </w:r>
            <w:r>
              <w:rPr>
                <w:noProof/>
              </w:rPr>
              <w:t>11</w:t>
            </w:r>
            <w:r>
              <w:rPr>
                <w:noProof/>
              </w:rPr>
              <w:fldChar w:fldCharType="end"/>
            </w:r>
          </w:hyperlink>
        </w:p>
        <w:p w14:paraId="1DFF3588" w14:textId="71C3861D" w:rsidR="00A9557E" w:rsidRDefault="00A9557E">
          <w:pPr>
            <w:pStyle w:val="TOC2"/>
            <w:tabs>
              <w:tab w:val="right" w:leader="dot" w:pos="9216"/>
            </w:tabs>
            <w:rPr>
              <w:noProof/>
            </w:rPr>
          </w:pPr>
          <w:hyperlink w:anchor="_Toc240747360" w:history="1">
            <w:r w:rsidRPr="006C5CA4">
              <w:rPr>
                <w:rStyle w:val="Hyperlink"/>
                <w:noProof/>
              </w:rPr>
              <w:t>4.3  Two recent developments</w:t>
            </w:r>
            <w:r>
              <w:rPr>
                <w:noProof/>
              </w:rPr>
              <w:tab/>
            </w:r>
            <w:r>
              <w:rPr>
                <w:noProof/>
              </w:rPr>
              <w:fldChar w:fldCharType="begin"/>
            </w:r>
            <w:r>
              <w:rPr>
                <w:noProof/>
              </w:rPr>
              <w:instrText xml:space="preserve"> PAGEREF _Toc240747360 \h </w:instrText>
            </w:r>
            <w:r>
              <w:rPr>
                <w:noProof/>
              </w:rPr>
            </w:r>
            <w:r>
              <w:rPr>
                <w:noProof/>
              </w:rPr>
              <w:fldChar w:fldCharType="separate"/>
            </w:r>
            <w:r>
              <w:rPr>
                <w:noProof/>
              </w:rPr>
              <w:t>12</w:t>
            </w:r>
            <w:r>
              <w:rPr>
                <w:noProof/>
              </w:rPr>
              <w:fldChar w:fldCharType="end"/>
            </w:r>
          </w:hyperlink>
        </w:p>
        <w:p w14:paraId="62B56551" w14:textId="266BFB47" w:rsidR="00A9557E" w:rsidRDefault="00A9557E">
          <w:pPr>
            <w:pStyle w:val="TOC1"/>
            <w:tabs>
              <w:tab w:val="right" w:leader="dot" w:pos="9216"/>
            </w:tabs>
            <w:rPr>
              <w:noProof/>
            </w:rPr>
          </w:pPr>
          <w:hyperlink w:anchor="_Toc240747361" w:history="1">
            <w:r w:rsidRPr="006C5CA4">
              <w:rPr>
                <w:rStyle w:val="Hyperlink"/>
                <w:noProof/>
              </w:rPr>
              <w:t>5  Interim Measures: ss. 9 and 17</w:t>
            </w:r>
            <w:r>
              <w:rPr>
                <w:noProof/>
              </w:rPr>
              <w:tab/>
            </w:r>
            <w:r>
              <w:rPr>
                <w:noProof/>
              </w:rPr>
              <w:fldChar w:fldCharType="begin"/>
            </w:r>
            <w:r>
              <w:rPr>
                <w:noProof/>
              </w:rPr>
              <w:instrText xml:space="preserve"> PAGEREF _Toc240747361 \h </w:instrText>
            </w:r>
            <w:r>
              <w:rPr>
                <w:noProof/>
              </w:rPr>
            </w:r>
            <w:r>
              <w:rPr>
                <w:noProof/>
              </w:rPr>
              <w:fldChar w:fldCharType="separate"/>
            </w:r>
            <w:r>
              <w:rPr>
                <w:noProof/>
              </w:rPr>
              <w:t>12</w:t>
            </w:r>
            <w:r>
              <w:rPr>
                <w:noProof/>
              </w:rPr>
              <w:fldChar w:fldCharType="end"/>
            </w:r>
          </w:hyperlink>
        </w:p>
        <w:p w14:paraId="63FCB621" w14:textId="123F4EFB" w:rsidR="00A9557E" w:rsidRDefault="00A9557E">
          <w:pPr>
            <w:pStyle w:val="TOC2"/>
            <w:tabs>
              <w:tab w:val="right" w:leader="dot" w:pos="9216"/>
            </w:tabs>
            <w:rPr>
              <w:noProof/>
            </w:rPr>
          </w:pPr>
          <w:hyperlink w:anchor="_Toc240747362" w:history="1">
            <w:r w:rsidRPr="006C5CA4">
              <w:rPr>
                <w:rStyle w:val="Hyperlink"/>
                <w:noProof/>
              </w:rPr>
              <w:t>5.1  S. 9 — by the court</w:t>
            </w:r>
            <w:r>
              <w:rPr>
                <w:noProof/>
              </w:rPr>
              <w:tab/>
            </w:r>
            <w:r>
              <w:rPr>
                <w:noProof/>
              </w:rPr>
              <w:fldChar w:fldCharType="begin"/>
            </w:r>
            <w:r>
              <w:rPr>
                <w:noProof/>
              </w:rPr>
              <w:instrText xml:space="preserve"> PAGEREF _Toc240747362 \h </w:instrText>
            </w:r>
            <w:r>
              <w:rPr>
                <w:noProof/>
              </w:rPr>
            </w:r>
            <w:r>
              <w:rPr>
                <w:noProof/>
              </w:rPr>
              <w:fldChar w:fldCharType="separate"/>
            </w:r>
            <w:r>
              <w:rPr>
                <w:noProof/>
              </w:rPr>
              <w:t>12</w:t>
            </w:r>
            <w:r>
              <w:rPr>
                <w:noProof/>
              </w:rPr>
              <w:fldChar w:fldCharType="end"/>
            </w:r>
          </w:hyperlink>
        </w:p>
        <w:p w14:paraId="70E40ACB" w14:textId="39B68F1D" w:rsidR="00A9557E" w:rsidRDefault="00A9557E">
          <w:pPr>
            <w:pStyle w:val="TOC2"/>
            <w:tabs>
              <w:tab w:val="right" w:leader="dot" w:pos="9216"/>
            </w:tabs>
            <w:rPr>
              <w:noProof/>
            </w:rPr>
          </w:pPr>
          <w:hyperlink w:anchor="_Toc240747363" w:history="1">
            <w:r w:rsidRPr="006C5CA4">
              <w:rPr>
                <w:rStyle w:val="Hyperlink"/>
                <w:noProof/>
              </w:rPr>
              <w:t>5.2  S. 17 — by the tribunal</w:t>
            </w:r>
            <w:r>
              <w:rPr>
                <w:noProof/>
              </w:rPr>
              <w:tab/>
            </w:r>
            <w:r>
              <w:rPr>
                <w:noProof/>
              </w:rPr>
              <w:fldChar w:fldCharType="begin"/>
            </w:r>
            <w:r>
              <w:rPr>
                <w:noProof/>
              </w:rPr>
              <w:instrText xml:space="preserve"> PAGEREF _Toc240747363 \h </w:instrText>
            </w:r>
            <w:r>
              <w:rPr>
                <w:noProof/>
              </w:rPr>
            </w:r>
            <w:r>
              <w:rPr>
                <w:noProof/>
              </w:rPr>
              <w:fldChar w:fldCharType="separate"/>
            </w:r>
            <w:r>
              <w:rPr>
                <w:noProof/>
              </w:rPr>
              <w:t>13</w:t>
            </w:r>
            <w:r>
              <w:rPr>
                <w:noProof/>
              </w:rPr>
              <w:fldChar w:fldCharType="end"/>
            </w:r>
          </w:hyperlink>
        </w:p>
        <w:p w14:paraId="777F02C8" w14:textId="47679D45" w:rsidR="00A9557E" w:rsidRDefault="00A9557E">
          <w:pPr>
            <w:pStyle w:val="TOC2"/>
            <w:tabs>
              <w:tab w:val="right" w:leader="dot" w:pos="9216"/>
            </w:tabs>
            <w:rPr>
              <w:noProof/>
            </w:rPr>
          </w:pPr>
          <w:hyperlink w:anchor="_Toc240747364" w:history="1">
            <w:r w:rsidRPr="006C5CA4">
              <w:rPr>
                <w:rStyle w:val="Hyperlink"/>
                <w:noProof/>
              </w:rPr>
              <w:t>5.3  Comparison</w:t>
            </w:r>
            <w:r>
              <w:rPr>
                <w:noProof/>
              </w:rPr>
              <w:tab/>
            </w:r>
            <w:r>
              <w:rPr>
                <w:noProof/>
              </w:rPr>
              <w:fldChar w:fldCharType="begin"/>
            </w:r>
            <w:r>
              <w:rPr>
                <w:noProof/>
              </w:rPr>
              <w:instrText xml:space="preserve"> PAGEREF _Toc240747364 \h </w:instrText>
            </w:r>
            <w:r>
              <w:rPr>
                <w:noProof/>
              </w:rPr>
            </w:r>
            <w:r>
              <w:rPr>
                <w:noProof/>
              </w:rPr>
              <w:fldChar w:fldCharType="separate"/>
            </w:r>
            <w:r>
              <w:rPr>
                <w:noProof/>
              </w:rPr>
              <w:t>13</w:t>
            </w:r>
            <w:r>
              <w:rPr>
                <w:noProof/>
              </w:rPr>
              <w:fldChar w:fldCharType="end"/>
            </w:r>
          </w:hyperlink>
        </w:p>
        <w:p w14:paraId="5E9AA838" w14:textId="16A60374" w:rsidR="00A9557E" w:rsidRDefault="00A9557E">
          <w:pPr>
            <w:pStyle w:val="TOC1"/>
            <w:tabs>
              <w:tab w:val="right" w:leader="dot" w:pos="9216"/>
            </w:tabs>
            <w:rPr>
              <w:noProof/>
            </w:rPr>
          </w:pPr>
          <w:hyperlink w:anchor="_Toc240747365" w:history="1">
            <w:r w:rsidRPr="006C5CA4">
              <w:rPr>
                <w:rStyle w:val="Hyperlink"/>
                <w:noProof/>
              </w:rPr>
              <w:t>6  Number of Arbitrators: s. 10</w:t>
            </w:r>
            <w:r>
              <w:rPr>
                <w:noProof/>
              </w:rPr>
              <w:tab/>
            </w:r>
            <w:r>
              <w:rPr>
                <w:noProof/>
              </w:rPr>
              <w:fldChar w:fldCharType="begin"/>
            </w:r>
            <w:r>
              <w:rPr>
                <w:noProof/>
              </w:rPr>
              <w:instrText xml:space="preserve"> PAGEREF _Toc240747365 \h </w:instrText>
            </w:r>
            <w:r>
              <w:rPr>
                <w:noProof/>
              </w:rPr>
            </w:r>
            <w:r>
              <w:rPr>
                <w:noProof/>
              </w:rPr>
              <w:fldChar w:fldCharType="separate"/>
            </w:r>
            <w:r>
              <w:rPr>
                <w:noProof/>
              </w:rPr>
              <w:t>14</w:t>
            </w:r>
            <w:r>
              <w:rPr>
                <w:noProof/>
              </w:rPr>
              <w:fldChar w:fldCharType="end"/>
            </w:r>
          </w:hyperlink>
        </w:p>
        <w:p w14:paraId="6E344608" w14:textId="061AC8E5" w:rsidR="00A9557E" w:rsidRDefault="00A9557E">
          <w:pPr>
            <w:pStyle w:val="TOC2"/>
            <w:tabs>
              <w:tab w:val="right" w:leader="dot" w:pos="9216"/>
            </w:tabs>
            <w:rPr>
              <w:noProof/>
            </w:rPr>
          </w:pPr>
          <w:hyperlink w:anchor="_Toc240747366" w:history="1">
            <w:r w:rsidRPr="006C5CA4">
              <w:rPr>
                <w:rStyle w:val="Hyperlink"/>
                <w:noProof/>
              </w:rPr>
              <w:t>6.1  Is s. 10 mandatory or directory?</w:t>
            </w:r>
            <w:r>
              <w:rPr>
                <w:noProof/>
              </w:rPr>
              <w:tab/>
            </w:r>
            <w:r>
              <w:rPr>
                <w:noProof/>
              </w:rPr>
              <w:fldChar w:fldCharType="begin"/>
            </w:r>
            <w:r>
              <w:rPr>
                <w:noProof/>
              </w:rPr>
              <w:instrText xml:space="preserve"> PAGEREF _Toc240747366 \h </w:instrText>
            </w:r>
            <w:r>
              <w:rPr>
                <w:noProof/>
              </w:rPr>
            </w:r>
            <w:r>
              <w:rPr>
                <w:noProof/>
              </w:rPr>
              <w:fldChar w:fldCharType="separate"/>
            </w:r>
            <w:r>
              <w:rPr>
                <w:noProof/>
              </w:rPr>
              <w:t>14</w:t>
            </w:r>
            <w:r>
              <w:rPr>
                <w:noProof/>
              </w:rPr>
              <w:fldChar w:fldCharType="end"/>
            </w:r>
          </w:hyperlink>
        </w:p>
        <w:p w14:paraId="666F8B01" w14:textId="4048195C" w:rsidR="00A9557E" w:rsidRDefault="00A9557E">
          <w:pPr>
            <w:pStyle w:val="TOC1"/>
            <w:tabs>
              <w:tab w:val="right" w:leader="dot" w:pos="9216"/>
            </w:tabs>
            <w:rPr>
              <w:noProof/>
            </w:rPr>
          </w:pPr>
          <w:hyperlink w:anchor="_Toc240747367" w:history="1">
            <w:r w:rsidRPr="006C5CA4">
              <w:rPr>
                <w:rStyle w:val="Hyperlink"/>
                <w:noProof/>
              </w:rPr>
              <w:t>7  Appointment of Arbitrators: s. 11</w:t>
            </w:r>
            <w:r>
              <w:rPr>
                <w:noProof/>
              </w:rPr>
              <w:tab/>
            </w:r>
            <w:r>
              <w:rPr>
                <w:noProof/>
              </w:rPr>
              <w:fldChar w:fldCharType="begin"/>
            </w:r>
            <w:r>
              <w:rPr>
                <w:noProof/>
              </w:rPr>
              <w:instrText xml:space="preserve"> PAGEREF _Toc240747367 \h </w:instrText>
            </w:r>
            <w:r>
              <w:rPr>
                <w:noProof/>
              </w:rPr>
            </w:r>
            <w:r>
              <w:rPr>
                <w:noProof/>
              </w:rPr>
              <w:fldChar w:fldCharType="separate"/>
            </w:r>
            <w:r>
              <w:rPr>
                <w:noProof/>
              </w:rPr>
              <w:t>15</w:t>
            </w:r>
            <w:r>
              <w:rPr>
                <w:noProof/>
              </w:rPr>
              <w:fldChar w:fldCharType="end"/>
            </w:r>
          </w:hyperlink>
        </w:p>
        <w:p w14:paraId="603486FE" w14:textId="421DB2FA" w:rsidR="00A9557E" w:rsidRDefault="00A9557E">
          <w:pPr>
            <w:pStyle w:val="TOC2"/>
            <w:tabs>
              <w:tab w:val="right" w:leader="dot" w:pos="9216"/>
            </w:tabs>
            <w:rPr>
              <w:noProof/>
            </w:rPr>
          </w:pPr>
          <w:hyperlink w:anchor="_Toc240747368" w:history="1">
            <w:r w:rsidRPr="006C5CA4">
              <w:rPr>
                <w:rStyle w:val="Hyperlink"/>
                <w:noProof/>
              </w:rPr>
              <w:t>7.1  The scheme</w:t>
            </w:r>
            <w:r>
              <w:rPr>
                <w:noProof/>
              </w:rPr>
              <w:tab/>
            </w:r>
            <w:r>
              <w:rPr>
                <w:noProof/>
              </w:rPr>
              <w:fldChar w:fldCharType="begin"/>
            </w:r>
            <w:r>
              <w:rPr>
                <w:noProof/>
              </w:rPr>
              <w:instrText xml:space="preserve"> PAGEREF _Toc240747368 \h </w:instrText>
            </w:r>
            <w:r>
              <w:rPr>
                <w:noProof/>
              </w:rPr>
            </w:r>
            <w:r>
              <w:rPr>
                <w:noProof/>
              </w:rPr>
              <w:fldChar w:fldCharType="separate"/>
            </w:r>
            <w:r>
              <w:rPr>
                <w:noProof/>
              </w:rPr>
              <w:t>15</w:t>
            </w:r>
            <w:r>
              <w:rPr>
                <w:noProof/>
              </w:rPr>
              <w:fldChar w:fldCharType="end"/>
            </w:r>
          </w:hyperlink>
        </w:p>
        <w:p w14:paraId="5A2BB21C" w14:textId="18C5AE89" w:rsidR="00A9557E" w:rsidRDefault="00A9557E">
          <w:pPr>
            <w:pStyle w:val="TOC2"/>
            <w:tabs>
              <w:tab w:val="right" w:leader="dot" w:pos="9216"/>
            </w:tabs>
            <w:rPr>
              <w:noProof/>
            </w:rPr>
          </w:pPr>
          <w:hyperlink w:anchor="_Toc240747369" w:history="1">
            <w:r w:rsidRPr="006C5CA4">
              <w:rPr>
                <w:rStyle w:val="Hyperlink"/>
                <w:noProof/>
              </w:rPr>
              <w:t>7.2  The controversy: judicial or administrative power?</w:t>
            </w:r>
            <w:r>
              <w:rPr>
                <w:noProof/>
              </w:rPr>
              <w:tab/>
            </w:r>
            <w:r>
              <w:rPr>
                <w:noProof/>
              </w:rPr>
              <w:fldChar w:fldCharType="begin"/>
            </w:r>
            <w:r>
              <w:rPr>
                <w:noProof/>
              </w:rPr>
              <w:instrText xml:space="preserve"> PAGEREF _Toc240747369 \h </w:instrText>
            </w:r>
            <w:r>
              <w:rPr>
                <w:noProof/>
              </w:rPr>
            </w:r>
            <w:r>
              <w:rPr>
                <w:noProof/>
              </w:rPr>
              <w:fldChar w:fldCharType="separate"/>
            </w:r>
            <w:r>
              <w:rPr>
                <w:noProof/>
              </w:rPr>
              <w:t>16</w:t>
            </w:r>
            <w:r>
              <w:rPr>
                <w:noProof/>
              </w:rPr>
              <w:fldChar w:fldCharType="end"/>
            </w:r>
          </w:hyperlink>
        </w:p>
        <w:p w14:paraId="595CD554" w14:textId="1B00D649" w:rsidR="00A9557E" w:rsidRDefault="00A9557E">
          <w:pPr>
            <w:pStyle w:val="TOC2"/>
            <w:tabs>
              <w:tab w:val="right" w:leader="dot" w:pos="9216"/>
            </w:tabs>
            <w:rPr>
              <w:noProof/>
            </w:rPr>
          </w:pPr>
          <w:hyperlink w:anchor="_Toc240747370" w:history="1">
            <w:r w:rsidRPr="006C5CA4">
              <w:rPr>
                <w:rStyle w:val="Hyperlink"/>
                <w:noProof/>
              </w:rPr>
              <w:t>7.3  The line of authority</w:t>
            </w:r>
            <w:r>
              <w:rPr>
                <w:noProof/>
              </w:rPr>
              <w:tab/>
            </w:r>
            <w:r>
              <w:rPr>
                <w:noProof/>
              </w:rPr>
              <w:fldChar w:fldCharType="begin"/>
            </w:r>
            <w:r>
              <w:rPr>
                <w:noProof/>
              </w:rPr>
              <w:instrText xml:space="preserve"> PAGEREF _Toc240747370 \h </w:instrText>
            </w:r>
            <w:r>
              <w:rPr>
                <w:noProof/>
              </w:rPr>
            </w:r>
            <w:r>
              <w:rPr>
                <w:noProof/>
              </w:rPr>
              <w:fldChar w:fldCharType="separate"/>
            </w:r>
            <w:r>
              <w:rPr>
                <w:noProof/>
              </w:rPr>
              <w:t>16</w:t>
            </w:r>
            <w:r>
              <w:rPr>
                <w:noProof/>
              </w:rPr>
              <w:fldChar w:fldCharType="end"/>
            </w:r>
          </w:hyperlink>
        </w:p>
        <w:p w14:paraId="5970ECB4" w14:textId="73EE5F49" w:rsidR="00A9557E" w:rsidRDefault="00A9557E">
          <w:pPr>
            <w:pStyle w:val="TOC2"/>
            <w:tabs>
              <w:tab w:val="right" w:leader="dot" w:pos="9216"/>
            </w:tabs>
            <w:rPr>
              <w:noProof/>
            </w:rPr>
          </w:pPr>
          <w:hyperlink w:anchor="_Toc240747371" w:history="1">
            <w:r w:rsidRPr="006C5CA4">
              <w:rPr>
                <w:rStyle w:val="Hyperlink"/>
                <w:noProof/>
              </w:rPr>
              <w:t>7.4  Present position on the scope of enquiry</w:t>
            </w:r>
            <w:r>
              <w:rPr>
                <w:noProof/>
              </w:rPr>
              <w:tab/>
            </w:r>
            <w:r>
              <w:rPr>
                <w:noProof/>
              </w:rPr>
              <w:fldChar w:fldCharType="begin"/>
            </w:r>
            <w:r>
              <w:rPr>
                <w:noProof/>
              </w:rPr>
              <w:instrText xml:space="preserve"> PAGEREF _Toc240747371 \h </w:instrText>
            </w:r>
            <w:r>
              <w:rPr>
                <w:noProof/>
              </w:rPr>
            </w:r>
            <w:r>
              <w:rPr>
                <w:noProof/>
              </w:rPr>
              <w:fldChar w:fldCharType="separate"/>
            </w:r>
            <w:r>
              <w:rPr>
                <w:noProof/>
              </w:rPr>
              <w:t>17</w:t>
            </w:r>
            <w:r>
              <w:rPr>
                <w:noProof/>
              </w:rPr>
              <w:fldChar w:fldCharType="end"/>
            </w:r>
          </w:hyperlink>
        </w:p>
        <w:p w14:paraId="5C359286" w14:textId="605C7944" w:rsidR="00A9557E" w:rsidRDefault="00A9557E">
          <w:pPr>
            <w:pStyle w:val="TOC2"/>
            <w:tabs>
              <w:tab w:val="right" w:leader="dot" w:pos="9216"/>
            </w:tabs>
            <w:rPr>
              <w:noProof/>
            </w:rPr>
          </w:pPr>
          <w:hyperlink w:anchor="_Toc240747372" w:history="1">
            <w:r w:rsidRPr="006C5CA4">
              <w:rPr>
                <w:rStyle w:val="Hyperlink"/>
                <w:noProof/>
              </w:rPr>
              <w:t>7.5  The 2019 institutional scheme</w:t>
            </w:r>
            <w:r>
              <w:rPr>
                <w:noProof/>
              </w:rPr>
              <w:tab/>
            </w:r>
            <w:r>
              <w:rPr>
                <w:noProof/>
              </w:rPr>
              <w:fldChar w:fldCharType="begin"/>
            </w:r>
            <w:r>
              <w:rPr>
                <w:noProof/>
              </w:rPr>
              <w:instrText xml:space="preserve"> PAGEREF _Toc240747372 \h </w:instrText>
            </w:r>
            <w:r>
              <w:rPr>
                <w:noProof/>
              </w:rPr>
            </w:r>
            <w:r>
              <w:rPr>
                <w:noProof/>
              </w:rPr>
              <w:fldChar w:fldCharType="separate"/>
            </w:r>
            <w:r>
              <w:rPr>
                <w:noProof/>
              </w:rPr>
              <w:t>17</w:t>
            </w:r>
            <w:r>
              <w:rPr>
                <w:noProof/>
              </w:rPr>
              <w:fldChar w:fldCharType="end"/>
            </w:r>
          </w:hyperlink>
        </w:p>
        <w:p w14:paraId="0E43166B" w14:textId="17AC3277" w:rsidR="00A9557E" w:rsidRDefault="00A9557E">
          <w:pPr>
            <w:pStyle w:val="TOC1"/>
            <w:tabs>
              <w:tab w:val="right" w:leader="dot" w:pos="9216"/>
            </w:tabs>
            <w:rPr>
              <w:noProof/>
            </w:rPr>
          </w:pPr>
          <w:hyperlink w:anchor="_Toc240747373" w:history="1">
            <w:r w:rsidRPr="006C5CA4">
              <w:rPr>
                <w:rStyle w:val="Hyperlink"/>
                <w:noProof/>
              </w:rPr>
              <w:t>8  Grounds and Procedure for Challenge: ss. 12 and 13</w:t>
            </w:r>
            <w:r>
              <w:rPr>
                <w:noProof/>
              </w:rPr>
              <w:tab/>
            </w:r>
            <w:r>
              <w:rPr>
                <w:noProof/>
              </w:rPr>
              <w:fldChar w:fldCharType="begin"/>
            </w:r>
            <w:r>
              <w:rPr>
                <w:noProof/>
              </w:rPr>
              <w:instrText xml:space="preserve"> PAGEREF _Toc240747373 \h </w:instrText>
            </w:r>
            <w:r>
              <w:rPr>
                <w:noProof/>
              </w:rPr>
            </w:r>
            <w:r>
              <w:rPr>
                <w:noProof/>
              </w:rPr>
              <w:fldChar w:fldCharType="separate"/>
            </w:r>
            <w:r>
              <w:rPr>
                <w:noProof/>
              </w:rPr>
              <w:t>18</w:t>
            </w:r>
            <w:r>
              <w:rPr>
                <w:noProof/>
              </w:rPr>
              <w:fldChar w:fldCharType="end"/>
            </w:r>
          </w:hyperlink>
        </w:p>
        <w:p w14:paraId="3EBFC463" w14:textId="05B45717" w:rsidR="00A9557E" w:rsidRDefault="00A9557E">
          <w:pPr>
            <w:pStyle w:val="TOC2"/>
            <w:tabs>
              <w:tab w:val="right" w:leader="dot" w:pos="9216"/>
            </w:tabs>
            <w:rPr>
              <w:noProof/>
            </w:rPr>
          </w:pPr>
          <w:hyperlink w:anchor="_Toc240747374" w:history="1">
            <w:r w:rsidRPr="006C5CA4">
              <w:rPr>
                <w:rStyle w:val="Hyperlink"/>
                <w:noProof/>
              </w:rPr>
              <w:t>8.1  S. 12 — disclosure, grounds, ineligibility</w:t>
            </w:r>
            <w:r>
              <w:rPr>
                <w:noProof/>
              </w:rPr>
              <w:tab/>
            </w:r>
            <w:r>
              <w:rPr>
                <w:noProof/>
              </w:rPr>
              <w:fldChar w:fldCharType="begin"/>
            </w:r>
            <w:r>
              <w:rPr>
                <w:noProof/>
              </w:rPr>
              <w:instrText xml:space="preserve"> PAGEREF _Toc240747374 \h </w:instrText>
            </w:r>
            <w:r>
              <w:rPr>
                <w:noProof/>
              </w:rPr>
            </w:r>
            <w:r>
              <w:rPr>
                <w:noProof/>
              </w:rPr>
              <w:fldChar w:fldCharType="separate"/>
            </w:r>
            <w:r>
              <w:rPr>
                <w:noProof/>
              </w:rPr>
              <w:t>18</w:t>
            </w:r>
            <w:r>
              <w:rPr>
                <w:noProof/>
              </w:rPr>
              <w:fldChar w:fldCharType="end"/>
            </w:r>
          </w:hyperlink>
        </w:p>
        <w:p w14:paraId="5DDDE8AC" w14:textId="5C392A1C" w:rsidR="00A9557E" w:rsidRDefault="00A9557E">
          <w:pPr>
            <w:pStyle w:val="TOC2"/>
            <w:tabs>
              <w:tab w:val="right" w:leader="dot" w:pos="9216"/>
            </w:tabs>
            <w:rPr>
              <w:noProof/>
            </w:rPr>
          </w:pPr>
          <w:hyperlink w:anchor="_Toc240747375" w:history="1">
            <w:r w:rsidRPr="006C5CA4">
              <w:rPr>
                <w:rStyle w:val="Hyperlink"/>
                <w:noProof/>
              </w:rPr>
              <w:t>8.2  S. 13 — procedure</w:t>
            </w:r>
            <w:r>
              <w:rPr>
                <w:noProof/>
              </w:rPr>
              <w:tab/>
            </w:r>
            <w:r>
              <w:rPr>
                <w:noProof/>
              </w:rPr>
              <w:fldChar w:fldCharType="begin"/>
            </w:r>
            <w:r>
              <w:rPr>
                <w:noProof/>
              </w:rPr>
              <w:instrText xml:space="preserve"> PAGEREF _Toc240747375 \h </w:instrText>
            </w:r>
            <w:r>
              <w:rPr>
                <w:noProof/>
              </w:rPr>
            </w:r>
            <w:r>
              <w:rPr>
                <w:noProof/>
              </w:rPr>
              <w:fldChar w:fldCharType="separate"/>
            </w:r>
            <w:r>
              <w:rPr>
                <w:noProof/>
              </w:rPr>
              <w:t>19</w:t>
            </w:r>
            <w:r>
              <w:rPr>
                <w:noProof/>
              </w:rPr>
              <w:fldChar w:fldCharType="end"/>
            </w:r>
          </w:hyperlink>
        </w:p>
        <w:p w14:paraId="2533FF1B" w14:textId="6FBEA326" w:rsidR="00A9557E" w:rsidRDefault="00A9557E">
          <w:pPr>
            <w:pStyle w:val="TOC2"/>
            <w:tabs>
              <w:tab w:val="right" w:leader="dot" w:pos="9216"/>
            </w:tabs>
            <w:rPr>
              <w:noProof/>
            </w:rPr>
          </w:pPr>
          <w:hyperlink w:anchor="_Toc240747376" w:history="1">
            <w:r w:rsidRPr="006C5CA4">
              <w:rPr>
                <w:rStyle w:val="Hyperlink"/>
                <w:noProof/>
              </w:rPr>
              <w:t>8.3  The standard applied: the Chagos challenge</w:t>
            </w:r>
            <w:r>
              <w:rPr>
                <w:noProof/>
              </w:rPr>
              <w:tab/>
            </w:r>
            <w:r>
              <w:rPr>
                <w:noProof/>
              </w:rPr>
              <w:fldChar w:fldCharType="begin"/>
            </w:r>
            <w:r>
              <w:rPr>
                <w:noProof/>
              </w:rPr>
              <w:instrText xml:space="preserve"> PAGEREF _Toc240747376 \h </w:instrText>
            </w:r>
            <w:r>
              <w:rPr>
                <w:noProof/>
              </w:rPr>
            </w:r>
            <w:r>
              <w:rPr>
                <w:noProof/>
              </w:rPr>
              <w:fldChar w:fldCharType="separate"/>
            </w:r>
            <w:r>
              <w:rPr>
                <w:noProof/>
              </w:rPr>
              <w:t>19</w:t>
            </w:r>
            <w:r>
              <w:rPr>
                <w:noProof/>
              </w:rPr>
              <w:fldChar w:fldCharType="end"/>
            </w:r>
          </w:hyperlink>
        </w:p>
        <w:p w14:paraId="56CE6282" w14:textId="4E1DD0EC" w:rsidR="00A9557E" w:rsidRDefault="00A9557E">
          <w:pPr>
            <w:pStyle w:val="TOC2"/>
            <w:tabs>
              <w:tab w:val="right" w:leader="dot" w:pos="9216"/>
            </w:tabs>
            <w:rPr>
              <w:noProof/>
            </w:rPr>
          </w:pPr>
          <w:hyperlink w:anchor="_Toc240747377" w:history="1">
            <w:r w:rsidRPr="006C5CA4">
              <w:rPr>
                <w:rStyle w:val="Hyperlink"/>
                <w:noProof/>
              </w:rPr>
              <w:t>8.4  The departmental arbitrator</w:t>
            </w:r>
            <w:r>
              <w:rPr>
                <w:noProof/>
              </w:rPr>
              <w:tab/>
            </w:r>
            <w:r>
              <w:rPr>
                <w:noProof/>
              </w:rPr>
              <w:fldChar w:fldCharType="begin"/>
            </w:r>
            <w:r>
              <w:rPr>
                <w:noProof/>
              </w:rPr>
              <w:instrText xml:space="preserve"> PAGEREF _Toc240747377 \h </w:instrText>
            </w:r>
            <w:r>
              <w:rPr>
                <w:noProof/>
              </w:rPr>
            </w:r>
            <w:r>
              <w:rPr>
                <w:noProof/>
              </w:rPr>
              <w:fldChar w:fldCharType="separate"/>
            </w:r>
            <w:r>
              <w:rPr>
                <w:noProof/>
              </w:rPr>
              <w:t>19</w:t>
            </w:r>
            <w:r>
              <w:rPr>
                <w:noProof/>
              </w:rPr>
              <w:fldChar w:fldCharType="end"/>
            </w:r>
          </w:hyperlink>
        </w:p>
        <w:p w14:paraId="46A5FBCE" w14:textId="2DC30D50" w:rsidR="00A9557E" w:rsidRDefault="00A9557E">
          <w:pPr>
            <w:pStyle w:val="TOC2"/>
            <w:tabs>
              <w:tab w:val="right" w:leader="dot" w:pos="9216"/>
            </w:tabs>
            <w:rPr>
              <w:noProof/>
            </w:rPr>
          </w:pPr>
          <w:hyperlink w:anchor="_Toc240747378" w:history="1">
            <w:r w:rsidRPr="006C5CA4">
              <w:rPr>
                <w:rStyle w:val="Hyperlink"/>
                <w:noProof/>
              </w:rPr>
              <w:t>8.5  Present position on unilateral appointment</w:t>
            </w:r>
            <w:r>
              <w:rPr>
                <w:noProof/>
              </w:rPr>
              <w:tab/>
            </w:r>
            <w:r>
              <w:rPr>
                <w:noProof/>
              </w:rPr>
              <w:fldChar w:fldCharType="begin"/>
            </w:r>
            <w:r>
              <w:rPr>
                <w:noProof/>
              </w:rPr>
              <w:instrText xml:space="preserve"> PAGEREF _Toc240747378 \h </w:instrText>
            </w:r>
            <w:r>
              <w:rPr>
                <w:noProof/>
              </w:rPr>
            </w:r>
            <w:r>
              <w:rPr>
                <w:noProof/>
              </w:rPr>
              <w:fldChar w:fldCharType="separate"/>
            </w:r>
            <w:r>
              <w:rPr>
                <w:noProof/>
              </w:rPr>
              <w:t>20</w:t>
            </w:r>
            <w:r>
              <w:rPr>
                <w:noProof/>
              </w:rPr>
              <w:fldChar w:fldCharType="end"/>
            </w:r>
          </w:hyperlink>
        </w:p>
        <w:p w14:paraId="68B9DADC" w14:textId="45301D28" w:rsidR="00A9557E" w:rsidRDefault="00A9557E">
          <w:pPr>
            <w:pStyle w:val="TOC1"/>
            <w:tabs>
              <w:tab w:val="right" w:leader="dot" w:pos="9216"/>
            </w:tabs>
            <w:rPr>
              <w:noProof/>
            </w:rPr>
          </w:pPr>
          <w:hyperlink w:anchor="_Toc240747379" w:history="1">
            <w:r w:rsidRPr="006C5CA4">
              <w:rPr>
                <w:rStyle w:val="Hyperlink"/>
                <w:noProof/>
              </w:rPr>
              <w:t>9  Failure to Act, Termination and Substitution: ss. 14 and 15</w:t>
            </w:r>
            <w:r>
              <w:rPr>
                <w:noProof/>
              </w:rPr>
              <w:tab/>
            </w:r>
            <w:r>
              <w:rPr>
                <w:noProof/>
              </w:rPr>
              <w:fldChar w:fldCharType="begin"/>
            </w:r>
            <w:r>
              <w:rPr>
                <w:noProof/>
              </w:rPr>
              <w:instrText xml:space="preserve"> PAGEREF _Toc240747379 \h </w:instrText>
            </w:r>
            <w:r>
              <w:rPr>
                <w:noProof/>
              </w:rPr>
            </w:r>
            <w:r>
              <w:rPr>
                <w:noProof/>
              </w:rPr>
              <w:fldChar w:fldCharType="separate"/>
            </w:r>
            <w:r>
              <w:rPr>
                <w:noProof/>
              </w:rPr>
              <w:t>21</w:t>
            </w:r>
            <w:r>
              <w:rPr>
                <w:noProof/>
              </w:rPr>
              <w:fldChar w:fldCharType="end"/>
            </w:r>
          </w:hyperlink>
        </w:p>
        <w:p w14:paraId="3D0E1FA2" w14:textId="3AF0ABA1" w:rsidR="00A9557E" w:rsidRDefault="00A9557E">
          <w:pPr>
            <w:pStyle w:val="TOC2"/>
            <w:tabs>
              <w:tab w:val="right" w:leader="dot" w:pos="9216"/>
            </w:tabs>
            <w:rPr>
              <w:noProof/>
            </w:rPr>
          </w:pPr>
          <w:hyperlink w:anchor="_Toc240747380" w:history="1">
            <w:r w:rsidRPr="006C5CA4">
              <w:rPr>
                <w:rStyle w:val="Hyperlink"/>
                <w:noProof/>
              </w:rPr>
              <w:t>9.1  S. 14 — failure or impossibility to act</w:t>
            </w:r>
            <w:r>
              <w:rPr>
                <w:noProof/>
              </w:rPr>
              <w:tab/>
            </w:r>
            <w:r>
              <w:rPr>
                <w:noProof/>
              </w:rPr>
              <w:fldChar w:fldCharType="begin"/>
            </w:r>
            <w:r>
              <w:rPr>
                <w:noProof/>
              </w:rPr>
              <w:instrText xml:space="preserve"> PAGEREF _Toc240747380 \h </w:instrText>
            </w:r>
            <w:r>
              <w:rPr>
                <w:noProof/>
              </w:rPr>
            </w:r>
            <w:r>
              <w:rPr>
                <w:noProof/>
              </w:rPr>
              <w:fldChar w:fldCharType="separate"/>
            </w:r>
            <w:r>
              <w:rPr>
                <w:noProof/>
              </w:rPr>
              <w:t>21</w:t>
            </w:r>
            <w:r>
              <w:rPr>
                <w:noProof/>
              </w:rPr>
              <w:fldChar w:fldCharType="end"/>
            </w:r>
          </w:hyperlink>
        </w:p>
        <w:p w14:paraId="61E07167" w14:textId="7D91CBED" w:rsidR="00A9557E" w:rsidRDefault="00A9557E">
          <w:pPr>
            <w:pStyle w:val="TOC2"/>
            <w:tabs>
              <w:tab w:val="right" w:leader="dot" w:pos="9216"/>
            </w:tabs>
            <w:rPr>
              <w:noProof/>
            </w:rPr>
          </w:pPr>
          <w:hyperlink w:anchor="_Toc240747381" w:history="1">
            <w:r w:rsidRPr="006C5CA4">
              <w:rPr>
                <w:rStyle w:val="Hyperlink"/>
                <w:noProof/>
              </w:rPr>
              <w:t>9.2  S. 15 — termination of mandate and substitution</w:t>
            </w:r>
            <w:r>
              <w:rPr>
                <w:noProof/>
              </w:rPr>
              <w:tab/>
            </w:r>
            <w:r>
              <w:rPr>
                <w:noProof/>
              </w:rPr>
              <w:fldChar w:fldCharType="begin"/>
            </w:r>
            <w:r>
              <w:rPr>
                <w:noProof/>
              </w:rPr>
              <w:instrText xml:space="preserve"> PAGEREF _Toc240747381 \h </w:instrText>
            </w:r>
            <w:r>
              <w:rPr>
                <w:noProof/>
              </w:rPr>
            </w:r>
            <w:r>
              <w:rPr>
                <w:noProof/>
              </w:rPr>
              <w:fldChar w:fldCharType="separate"/>
            </w:r>
            <w:r>
              <w:rPr>
                <w:noProof/>
              </w:rPr>
              <w:t>21</w:t>
            </w:r>
            <w:r>
              <w:rPr>
                <w:noProof/>
              </w:rPr>
              <w:fldChar w:fldCharType="end"/>
            </w:r>
          </w:hyperlink>
        </w:p>
        <w:p w14:paraId="7A6B574E" w14:textId="6000A333" w:rsidR="00A9557E" w:rsidRDefault="00A9557E">
          <w:pPr>
            <w:pStyle w:val="TOC1"/>
            <w:tabs>
              <w:tab w:val="right" w:leader="dot" w:pos="9216"/>
            </w:tabs>
            <w:rPr>
              <w:noProof/>
            </w:rPr>
          </w:pPr>
          <w:hyperlink w:anchor="_Toc240747382" w:history="1">
            <w:r w:rsidRPr="006C5CA4">
              <w:rPr>
                <w:rStyle w:val="Hyperlink"/>
                <w:noProof/>
              </w:rPr>
              <w:t>10  Competence of the Arbitral Tribunal: s. 16</w:t>
            </w:r>
            <w:r>
              <w:rPr>
                <w:noProof/>
              </w:rPr>
              <w:tab/>
            </w:r>
            <w:r>
              <w:rPr>
                <w:noProof/>
              </w:rPr>
              <w:fldChar w:fldCharType="begin"/>
            </w:r>
            <w:r>
              <w:rPr>
                <w:noProof/>
              </w:rPr>
              <w:instrText xml:space="preserve"> PAGEREF _Toc240747382 \h </w:instrText>
            </w:r>
            <w:r>
              <w:rPr>
                <w:noProof/>
              </w:rPr>
            </w:r>
            <w:r>
              <w:rPr>
                <w:noProof/>
              </w:rPr>
              <w:fldChar w:fldCharType="separate"/>
            </w:r>
            <w:r>
              <w:rPr>
                <w:noProof/>
              </w:rPr>
              <w:t>22</w:t>
            </w:r>
            <w:r>
              <w:rPr>
                <w:noProof/>
              </w:rPr>
              <w:fldChar w:fldCharType="end"/>
            </w:r>
          </w:hyperlink>
        </w:p>
        <w:p w14:paraId="030131D8" w14:textId="73B2B653" w:rsidR="00A9557E" w:rsidRDefault="00A9557E">
          <w:pPr>
            <w:pStyle w:val="TOC2"/>
            <w:tabs>
              <w:tab w:val="right" w:leader="dot" w:pos="9216"/>
            </w:tabs>
            <w:rPr>
              <w:noProof/>
            </w:rPr>
          </w:pPr>
          <w:hyperlink w:anchor="_Toc240747383" w:history="1">
            <w:r w:rsidRPr="006C5CA4">
              <w:rPr>
                <w:rStyle w:val="Hyperlink"/>
                <w:noProof/>
              </w:rPr>
              <w:t>10.1  S. 16(1) — the two doctrines</w:t>
            </w:r>
            <w:r>
              <w:rPr>
                <w:noProof/>
              </w:rPr>
              <w:tab/>
            </w:r>
            <w:r>
              <w:rPr>
                <w:noProof/>
              </w:rPr>
              <w:fldChar w:fldCharType="begin"/>
            </w:r>
            <w:r>
              <w:rPr>
                <w:noProof/>
              </w:rPr>
              <w:instrText xml:space="preserve"> PAGEREF _Toc240747383 \h </w:instrText>
            </w:r>
            <w:r>
              <w:rPr>
                <w:noProof/>
              </w:rPr>
            </w:r>
            <w:r>
              <w:rPr>
                <w:noProof/>
              </w:rPr>
              <w:fldChar w:fldCharType="separate"/>
            </w:r>
            <w:r>
              <w:rPr>
                <w:noProof/>
              </w:rPr>
              <w:t>22</w:t>
            </w:r>
            <w:r>
              <w:rPr>
                <w:noProof/>
              </w:rPr>
              <w:fldChar w:fldCharType="end"/>
            </w:r>
          </w:hyperlink>
        </w:p>
        <w:p w14:paraId="5FE1CB29" w14:textId="4982036E" w:rsidR="00A9557E" w:rsidRDefault="00A9557E">
          <w:pPr>
            <w:pStyle w:val="TOC2"/>
            <w:tabs>
              <w:tab w:val="right" w:leader="dot" w:pos="9216"/>
            </w:tabs>
            <w:rPr>
              <w:noProof/>
            </w:rPr>
          </w:pPr>
          <w:hyperlink w:anchor="_Toc240747384" w:history="1">
            <w:r w:rsidRPr="006C5CA4">
              <w:rPr>
                <w:rStyle w:val="Hyperlink"/>
                <w:noProof/>
              </w:rPr>
              <w:t>10.2  Timing of pleas — two different rules</w:t>
            </w:r>
            <w:r>
              <w:rPr>
                <w:noProof/>
              </w:rPr>
              <w:tab/>
            </w:r>
            <w:r>
              <w:rPr>
                <w:noProof/>
              </w:rPr>
              <w:fldChar w:fldCharType="begin"/>
            </w:r>
            <w:r>
              <w:rPr>
                <w:noProof/>
              </w:rPr>
              <w:instrText xml:space="preserve"> PAGEREF _Toc240747384 \h </w:instrText>
            </w:r>
            <w:r>
              <w:rPr>
                <w:noProof/>
              </w:rPr>
            </w:r>
            <w:r>
              <w:rPr>
                <w:noProof/>
              </w:rPr>
              <w:fldChar w:fldCharType="separate"/>
            </w:r>
            <w:r>
              <w:rPr>
                <w:noProof/>
              </w:rPr>
              <w:t>22</w:t>
            </w:r>
            <w:r>
              <w:rPr>
                <w:noProof/>
              </w:rPr>
              <w:fldChar w:fldCharType="end"/>
            </w:r>
          </w:hyperlink>
        </w:p>
        <w:p w14:paraId="743BDDBA" w14:textId="42A544A6" w:rsidR="00A9557E" w:rsidRDefault="00A9557E">
          <w:pPr>
            <w:pStyle w:val="TOC2"/>
            <w:tabs>
              <w:tab w:val="right" w:leader="dot" w:pos="9216"/>
            </w:tabs>
            <w:rPr>
              <w:noProof/>
            </w:rPr>
          </w:pPr>
          <w:hyperlink w:anchor="_Toc240747385" w:history="1">
            <w:r w:rsidRPr="006C5CA4">
              <w:rPr>
                <w:rStyle w:val="Hyperlink"/>
                <w:noProof/>
              </w:rPr>
              <w:t>10.3  Consequences: s. 16(5) and (6)</w:t>
            </w:r>
            <w:r>
              <w:rPr>
                <w:noProof/>
              </w:rPr>
              <w:tab/>
            </w:r>
            <w:r>
              <w:rPr>
                <w:noProof/>
              </w:rPr>
              <w:fldChar w:fldCharType="begin"/>
            </w:r>
            <w:r>
              <w:rPr>
                <w:noProof/>
              </w:rPr>
              <w:instrText xml:space="preserve"> PAGEREF _Toc240747385 \h </w:instrText>
            </w:r>
            <w:r>
              <w:rPr>
                <w:noProof/>
              </w:rPr>
            </w:r>
            <w:r>
              <w:rPr>
                <w:noProof/>
              </w:rPr>
              <w:fldChar w:fldCharType="separate"/>
            </w:r>
            <w:r>
              <w:rPr>
                <w:noProof/>
              </w:rPr>
              <w:t>22</w:t>
            </w:r>
            <w:r>
              <w:rPr>
                <w:noProof/>
              </w:rPr>
              <w:fldChar w:fldCharType="end"/>
            </w:r>
          </w:hyperlink>
        </w:p>
        <w:p w14:paraId="37B626C0" w14:textId="254DA81F" w:rsidR="00A9557E" w:rsidRDefault="00A9557E">
          <w:pPr>
            <w:pStyle w:val="TOC2"/>
            <w:tabs>
              <w:tab w:val="right" w:leader="dot" w:pos="9216"/>
            </w:tabs>
            <w:rPr>
              <w:noProof/>
            </w:rPr>
          </w:pPr>
          <w:hyperlink w:anchor="_Toc240747386" w:history="1">
            <w:r w:rsidRPr="006C5CA4">
              <w:rPr>
                <w:rStyle w:val="Hyperlink"/>
                <w:noProof/>
              </w:rPr>
              <w:t>10.4  Link with ss. 8 and 11</w:t>
            </w:r>
            <w:r>
              <w:rPr>
                <w:noProof/>
              </w:rPr>
              <w:tab/>
            </w:r>
            <w:r>
              <w:rPr>
                <w:noProof/>
              </w:rPr>
              <w:fldChar w:fldCharType="begin"/>
            </w:r>
            <w:r>
              <w:rPr>
                <w:noProof/>
              </w:rPr>
              <w:instrText xml:space="preserve"> PAGEREF _Toc240747386 \h </w:instrText>
            </w:r>
            <w:r>
              <w:rPr>
                <w:noProof/>
              </w:rPr>
            </w:r>
            <w:r>
              <w:rPr>
                <w:noProof/>
              </w:rPr>
              <w:fldChar w:fldCharType="separate"/>
            </w:r>
            <w:r>
              <w:rPr>
                <w:noProof/>
              </w:rPr>
              <w:t>23</w:t>
            </w:r>
            <w:r>
              <w:rPr>
                <w:noProof/>
              </w:rPr>
              <w:fldChar w:fldCharType="end"/>
            </w:r>
          </w:hyperlink>
        </w:p>
        <w:p w14:paraId="61F96917" w14:textId="7F74EB8E" w:rsidR="00A9557E" w:rsidRDefault="00A9557E">
          <w:pPr>
            <w:pStyle w:val="TOC1"/>
            <w:tabs>
              <w:tab w:val="right" w:leader="dot" w:pos="9216"/>
            </w:tabs>
            <w:rPr>
              <w:noProof/>
            </w:rPr>
          </w:pPr>
          <w:hyperlink w:anchor="_Toc240747387" w:history="1">
            <w:r w:rsidRPr="006C5CA4">
              <w:rPr>
                <w:rStyle w:val="Hyperlink"/>
                <w:noProof/>
              </w:rPr>
              <w:t>11  Conduct of Arbitral Proceedings: Chapter V, ss. 18–26</w:t>
            </w:r>
            <w:r>
              <w:rPr>
                <w:noProof/>
              </w:rPr>
              <w:tab/>
            </w:r>
            <w:r>
              <w:rPr>
                <w:noProof/>
              </w:rPr>
              <w:fldChar w:fldCharType="begin"/>
            </w:r>
            <w:r>
              <w:rPr>
                <w:noProof/>
              </w:rPr>
              <w:instrText xml:space="preserve"> PAGEREF _Toc240747387 \h </w:instrText>
            </w:r>
            <w:r>
              <w:rPr>
                <w:noProof/>
              </w:rPr>
            </w:r>
            <w:r>
              <w:rPr>
                <w:noProof/>
              </w:rPr>
              <w:fldChar w:fldCharType="separate"/>
            </w:r>
            <w:r>
              <w:rPr>
                <w:noProof/>
              </w:rPr>
              <w:t>23</w:t>
            </w:r>
            <w:r>
              <w:rPr>
                <w:noProof/>
              </w:rPr>
              <w:fldChar w:fldCharType="end"/>
            </w:r>
          </w:hyperlink>
        </w:p>
        <w:p w14:paraId="3841934A" w14:textId="457A504E" w:rsidR="00A9557E" w:rsidRDefault="00A9557E">
          <w:pPr>
            <w:pStyle w:val="TOC2"/>
            <w:tabs>
              <w:tab w:val="right" w:leader="dot" w:pos="9216"/>
            </w:tabs>
            <w:rPr>
              <w:noProof/>
            </w:rPr>
          </w:pPr>
          <w:hyperlink w:anchor="_Toc240747388" w:history="1">
            <w:r w:rsidRPr="006C5CA4">
              <w:rPr>
                <w:rStyle w:val="Hyperlink"/>
                <w:noProof/>
              </w:rPr>
              <w:t>11.1  S. 18 — equal treatment</w:t>
            </w:r>
            <w:r>
              <w:rPr>
                <w:noProof/>
              </w:rPr>
              <w:tab/>
            </w:r>
            <w:r>
              <w:rPr>
                <w:noProof/>
              </w:rPr>
              <w:fldChar w:fldCharType="begin"/>
            </w:r>
            <w:r>
              <w:rPr>
                <w:noProof/>
              </w:rPr>
              <w:instrText xml:space="preserve"> PAGEREF _Toc240747388 \h </w:instrText>
            </w:r>
            <w:r>
              <w:rPr>
                <w:noProof/>
              </w:rPr>
            </w:r>
            <w:r>
              <w:rPr>
                <w:noProof/>
              </w:rPr>
              <w:fldChar w:fldCharType="separate"/>
            </w:r>
            <w:r>
              <w:rPr>
                <w:noProof/>
              </w:rPr>
              <w:t>23</w:t>
            </w:r>
            <w:r>
              <w:rPr>
                <w:noProof/>
              </w:rPr>
              <w:fldChar w:fldCharType="end"/>
            </w:r>
          </w:hyperlink>
        </w:p>
        <w:p w14:paraId="46BC41FE" w14:textId="237E0BE8" w:rsidR="00A9557E" w:rsidRDefault="00A9557E">
          <w:pPr>
            <w:pStyle w:val="TOC2"/>
            <w:tabs>
              <w:tab w:val="right" w:leader="dot" w:pos="9216"/>
            </w:tabs>
            <w:rPr>
              <w:noProof/>
            </w:rPr>
          </w:pPr>
          <w:hyperlink w:anchor="_Toc240747389" w:history="1">
            <w:r w:rsidRPr="006C5CA4">
              <w:rPr>
                <w:rStyle w:val="Hyperlink"/>
                <w:noProof/>
              </w:rPr>
              <w:t>11.2  S. 19 — rules of procedure</w:t>
            </w:r>
            <w:r>
              <w:rPr>
                <w:noProof/>
              </w:rPr>
              <w:tab/>
            </w:r>
            <w:r>
              <w:rPr>
                <w:noProof/>
              </w:rPr>
              <w:fldChar w:fldCharType="begin"/>
            </w:r>
            <w:r>
              <w:rPr>
                <w:noProof/>
              </w:rPr>
              <w:instrText xml:space="preserve"> PAGEREF _Toc240747389 \h </w:instrText>
            </w:r>
            <w:r>
              <w:rPr>
                <w:noProof/>
              </w:rPr>
            </w:r>
            <w:r>
              <w:rPr>
                <w:noProof/>
              </w:rPr>
              <w:fldChar w:fldCharType="separate"/>
            </w:r>
            <w:r>
              <w:rPr>
                <w:noProof/>
              </w:rPr>
              <w:t>23</w:t>
            </w:r>
            <w:r>
              <w:rPr>
                <w:noProof/>
              </w:rPr>
              <w:fldChar w:fldCharType="end"/>
            </w:r>
          </w:hyperlink>
        </w:p>
        <w:p w14:paraId="3F3C8B62" w14:textId="2BB7078A" w:rsidR="00A9557E" w:rsidRDefault="00A9557E">
          <w:pPr>
            <w:pStyle w:val="TOC2"/>
            <w:tabs>
              <w:tab w:val="right" w:leader="dot" w:pos="9216"/>
            </w:tabs>
            <w:rPr>
              <w:noProof/>
            </w:rPr>
          </w:pPr>
          <w:hyperlink w:anchor="_Toc240747390" w:history="1">
            <w:r w:rsidRPr="006C5CA4">
              <w:rPr>
                <w:rStyle w:val="Hyperlink"/>
                <w:noProof/>
              </w:rPr>
              <w:t>11.3  S. 20 — place of arbitration: seat and venue</w:t>
            </w:r>
            <w:r>
              <w:rPr>
                <w:noProof/>
              </w:rPr>
              <w:tab/>
            </w:r>
            <w:r>
              <w:rPr>
                <w:noProof/>
              </w:rPr>
              <w:fldChar w:fldCharType="begin"/>
            </w:r>
            <w:r>
              <w:rPr>
                <w:noProof/>
              </w:rPr>
              <w:instrText xml:space="preserve"> PAGEREF _Toc240747390 \h </w:instrText>
            </w:r>
            <w:r>
              <w:rPr>
                <w:noProof/>
              </w:rPr>
            </w:r>
            <w:r>
              <w:rPr>
                <w:noProof/>
              </w:rPr>
              <w:fldChar w:fldCharType="separate"/>
            </w:r>
            <w:r>
              <w:rPr>
                <w:noProof/>
              </w:rPr>
              <w:t>24</w:t>
            </w:r>
            <w:r>
              <w:rPr>
                <w:noProof/>
              </w:rPr>
              <w:fldChar w:fldCharType="end"/>
            </w:r>
          </w:hyperlink>
        </w:p>
        <w:p w14:paraId="10BC0DD7" w14:textId="1B32D8AD" w:rsidR="00A9557E" w:rsidRDefault="00A9557E">
          <w:pPr>
            <w:pStyle w:val="TOC2"/>
            <w:tabs>
              <w:tab w:val="right" w:leader="dot" w:pos="9216"/>
            </w:tabs>
            <w:rPr>
              <w:noProof/>
            </w:rPr>
          </w:pPr>
          <w:hyperlink w:anchor="_Toc240747391" w:history="1">
            <w:r w:rsidRPr="006C5CA4">
              <w:rPr>
                <w:rStyle w:val="Hyperlink"/>
                <w:noProof/>
              </w:rPr>
              <w:t>11.4  S. 21 — commencement</w:t>
            </w:r>
            <w:r>
              <w:rPr>
                <w:noProof/>
              </w:rPr>
              <w:tab/>
            </w:r>
            <w:r>
              <w:rPr>
                <w:noProof/>
              </w:rPr>
              <w:fldChar w:fldCharType="begin"/>
            </w:r>
            <w:r>
              <w:rPr>
                <w:noProof/>
              </w:rPr>
              <w:instrText xml:space="preserve"> PAGEREF _Toc240747391 \h </w:instrText>
            </w:r>
            <w:r>
              <w:rPr>
                <w:noProof/>
              </w:rPr>
            </w:r>
            <w:r>
              <w:rPr>
                <w:noProof/>
              </w:rPr>
              <w:fldChar w:fldCharType="separate"/>
            </w:r>
            <w:r>
              <w:rPr>
                <w:noProof/>
              </w:rPr>
              <w:t>24</w:t>
            </w:r>
            <w:r>
              <w:rPr>
                <w:noProof/>
              </w:rPr>
              <w:fldChar w:fldCharType="end"/>
            </w:r>
          </w:hyperlink>
        </w:p>
        <w:p w14:paraId="196B9F6A" w14:textId="429DBECC" w:rsidR="00A9557E" w:rsidRDefault="00A9557E">
          <w:pPr>
            <w:pStyle w:val="TOC2"/>
            <w:tabs>
              <w:tab w:val="right" w:leader="dot" w:pos="9216"/>
            </w:tabs>
            <w:rPr>
              <w:noProof/>
            </w:rPr>
          </w:pPr>
          <w:hyperlink w:anchor="_Toc240747392" w:history="1">
            <w:r w:rsidRPr="006C5CA4">
              <w:rPr>
                <w:rStyle w:val="Hyperlink"/>
                <w:noProof/>
              </w:rPr>
              <w:t>11.5  S. 22 — language</w:t>
            </w:r>
            <w:r>
              <w:rPr>
                <w:noProof/>
              </w:rPr>
              <w:tab/>
            </w:r>
            <w:r>
              <w:rPr>
                <w:noProof/>
              </w:rPr>
              <w:fldChar w:fldCharType="begin"/>
            </w:r>
            <w:r>
              <w:rPr>
                <w:noProof/>
              </w:rPr>
              <w:instrText xml:space="preserve"> PAGEREF _Toc240747392 \h </w:instrText>
            </w:r>
            <w:r>
              <w:rPr>
                <w:noProof/>
              </w:rPr>
            </w:r>
            <w:r>
              <w:rPr>
                <w:noProof/>
              </w:rPr>
              <w:fldChar w:fldCharType="separate"/>
            </w:r>
            <w:r>
              <w:rPr>
                <w:noProof/>
              </w:rPr>
              <w:t>24</w:t>
            </w:r>
            <w:r>
              <w:rPr>
                <w:noProof/>
              </w:rPr>
              <w:fldChar w:fldCharType="end"/>
            </w:r>
          </w:hyperlink>
        </w:p>
        <w:p w14:paraId="50CF62B9" w14:textId="6E500799" w:rsidR="00A9557E" w:rsidRDefault="00A9557E">
          <w:pPr>
            <w:pStyle w:val="TOC2"/>
            <w:tabs>
              <w:tab w:val="right" w:leader="dot" w:pos="9216"/>
            </w:tabs>
            <w:rPr>
              <w:noProof/>
            </w:rPr>
          </w:pPr>
          <w:hyperlink w:anchor="_Toc240747393" w:history="1">
            <w:r w:rsidRPr="006C5CA4">
              <w:rPr>
                <w:rStyle w:val="Hyperlink"/>
                <w:noProof/>
              </w:rPr>
              <w:t>11.6  S. 23 — statements of claim and defence</w:t>
            </w:r>
            <w:r>
              <w:rPr>
                <w:noProof/>
              </w:rPr>
              <w:tab/>
            </w:r>
            <w:r>
              <w:rPr>
                <w:noProof/>
              </w:rPr>
              <w:fldChar w:fldCharType="begin"/>
            </w:r>
            <w:r>
              <w:rPr>
                <w:noProof/>
              </w:rPr>
              <w:instrText xml:space="preserve"> PAGEREF _Toc240747393 \h </w:instrText>
            </w:r>
            <w:r>
              <w:rPr>
                <w:noProof/>
              </w:rPr>
            </w:r>
            <w:r>
              <w:rPr>
                <w:noProof/>
              </w:rPr>
              <w:fldChar w:fldCharType="separate"/>
            </w:r>
            <w:r>
              <w:rPr>
                <w:noProof/>
              </w:rPr>
              <w:t>24</w:t>
            </w:r>
            <w:r>
              <w:rPr>
                <w:noProof/>
              </w:rPr>
              <w:fldChar w:fldCharType="end"/>
            </w:r>
          </w:hyperlink>
        </w:p>
        <w:p w14:paraId="3F0B3C68" w14:textId="34390D4B" w:rsidR="00A9557E" w:rsidRDefault="00A9557E">
          <w:pPr>
            <w:pStyle w:val="TOC2"/>
            <w:tabs>
              <w:tab w:val="right" w:leader="dot" w:pos="9216"/>
            </w:tabs>
            <w:rPr>
              <w:noProof/>
            </w:rPr>
          </w:pPr>
          <w:hyperlink w:anchor="_Toc240747394" w:history="1">
            <w:r w:rsidRPr="006C5CA4">
              <w:rPr>
                <w:rStyle w:val="Hyperlink"/>
                <w:noProof/>
              </w:rPr>
              <w:t>11.7  S. 24 — hearings and written proceedings</w:t>
            </w:r>
            <w:r>
              <w:rPr>
                <w:noProof/>
              </w:rPr>
              <w:tab/>
            </w:r>
            <w:r>
              <w:rPr>
                <w:noProof/>
              </w:rPr>
              <w:fldChar w:fldCharType="begin"/>
            </w:r>
            <w:r>
              <w:rPr>
                <w:noProof/>
              </w:rPr>
              <w:instrText xml:space="preserve"> PAGEREF _Toc240747394 \h </w:instrText>
            </w:r>
            <w:r>
              <w:rPr>
                <w:noProof/>
              </w:rPr>
            </w:r>
            <w:r>
              <w:rPr>
                <w:noProof/>
              </w:rPr>
              <w:fldChar w:fldCharType="separate"/>
            </w:r>
            <w:r>
              <w:rPr>
                <w:noProof/>
              </w:rPr>
              <w:t>25</w:t>
            </w:r>
            <w:r>
              <w:rPr>
                <w:noProof/>
              </w:rPr>
              <w:fldChar w:fldCharType="end"/>
            </w:r>
          </w:hyperlink>
        </w:p>
        <w:p w14:paraId="2D193C85" w14:textId="551AF624" w:rsidR="00A9557E" w:rsidRDefault="00A9557E">
          <w:pPr>
            <w:pStyle w:val="TOC2"/>
            <w:tabs>
              <w:tab w:val="right" w:leader="dot" w:pos="9216"/>
            </w:tabs>
            <w:rPr>
              <w:noProof/>
            </w:rPr>
          </w:pPr>
          <w:hyperlink w:anchor="_Toc240747395" w:history="1">
            <w:r w:rsidRPr="006C5CA4">
              <w:rPr>
                <w:rStyle w:val="Hyperlink"/>
                <w:noProof/>
              </w:rPr>
              <w:t>11.8  S. 25 — default of a party</w:t>
            </w:r>
            <w:r>
              <w:rPr>
                <w:noProof/>
              </w:rPr>
              <w:tab/>
            </w:r>
            <w:r>
              <w:rPr>
                <w:noProof/>
              </w:rPr>
              <w:fldChar w:fldCharType="begin"/>
            </w:r>
            <w:r>
              <w:rPr>
                <w:noProof/>
              </w:rPr>
              <w:instrText xml:space="preserve"> PAGEREF _Toc240747395 \h </w:instrText>
            </w:r>
            <w:r>
              <w:rPr>
                <w:noProof/>
              </w:rPr>
            </w:r>
            <w:r>
              <w:rPr>
                <w:noProof/>
              </w:rPr>
              <w:fldChar w:fldCharType="separate"/>
            </w:r>
            <w:r>
              <w:rPr>
                <w:noProof/>
              </w:rPr>
              <w:t>26</w:t>
            </w:r>
            <w:r>
              <w:rPr>
                <w:noProof/>
              </w:rPr>
              <w:fldChar w:fldCharType="end"/>
            </w:r>
          </w:hyperlink>
        </w:p>
        <w:p w14:paraId="3C3392E2" w14:textId="6D516C90" w:rsidR="00A9557E" w:rsidRDefault="00A9557E">
          <w:pPr>
            <w:pStyle w:val="TOC2"/>
            <w:tabs>
              <w:tab w:val="right" w:leader="dot" w:pos="9216"/>
            </w:tabs>
            <w:rPr>
              <w:noProof/>
            </w:rPr>
          </w:pPr>
          <w:hyperlink w:anchor="_Toc240747396" w:history="1">
            <w:r w:rsidRPr="006C5CA4">
              <w:rPr>
                <w:rStyle w:val="Hyperlink"/>
                <w:noProof/>
              </w:rPr>
              <w:t>11.9  S. 26 — expert appointed by the tribunal</w:t>
            </w:r>
            <w:r>
              <w:rPr>
                <w:noProof/>
              </w:rPr>
              <w:tab/>
            </w:r>
            <w:r>
              <w:rPr>
                <w:noProof/>
              </w:rPr>
              <w:fldChar w:fldCharType="begin"/>
            </w:r>
            <w:r>
              <w:rPr>
                <w:noProof/>
              </w:rPr>
              <w:instrText xml:space="preserve"> PAGEREF _Toc240747396 \h </w:instrText>
            </w:r>
            <w:r>
              <w:rPr>
                <w:noProof/>
              </w:rPr>
            </w:r>
            <w:r>
              <w:rPr>
                <w:noProof/>
              </w:rPr>
              <w:fldChar w:fldCharType="separate"/>
            </w:r>
            <w:r>
              <w:rPr>
                <w:noProof/>
              </w:rPr>
              <w:t>26</w:t>
            </w:r>
            <w:r>
              <w:rPr>
                <w:noProof/>
              </w:rPr>
              <w:fldChar w:fldCharType="end"/>
            </w:r>
          </w:hyperlink>
        </w:p>
        <w:p w14:paraId="2196B667" w14:textId="1AABF3A9" w:rsidR="00A9557E" w:rsidRDefault="00A9557E">
          <w:pPr>
            <w:pStyle w:val="TOC1"/>
            <w:tabs>
              <w:tab w:val="right" w:leader="dot" w:pos="9216"/>
            </w:tabs>
            <w:rPr>
              <w:noProof/>
            </w:rPr>
          </w:pPr>
          <w:hyperlink w:anchor="_Toc240747397" w:history="1">
            <w:r w:rsidRPr="006C5CA4">
              <w:rPr>
                <w:rStyle w:val="Hyperlink"/>
                <w:noProof/>
              </w:rPr>
              <w:t>12  Corrections and Cautions</w:t>
            </w:r>
            <w:r>
              <w:rPr>
                <w:noProof/>
              </w:rPr>
              <w:tab/>
            </w:r>
            <w:r>
              <w:rPr>
                <w:noProof/>
              </w:rPr>
              <w:fldChar w:fldCharType="begin"/>
            </w:r>
            <w:r>
              <w:rPr>
                <w:noProof/>
              </w:rPr>
              <w:instrText xml:space="preserve"> PAGEREF _Toc240747397 \h </w:instrText>
            </w:r>
            <w:r>
              <w:rPr>
                <w:noProof/>
              </w:rPr>
            </w:r>
            <w:r>
              <w:rPr>
                <w:noProof/>
              </w:rPr>
              <w:fldChar w:fldCharType="separate"/>
            </w:r>
            <w:r>
              <w:rPr>
                <w:noProof/>
              </w:rPr>
              <w:t>27</w:t>
            </w:r>
            <w:r>
              <w:rPr>
                <w:noProof/>
              </w:rPr>
              <w:fldChar w:fldCharType="end"/>
            </w:r>
          </w:hyperlink>
        </w:p>
        <w:p w14:paraId="2DE06024" w14:textId="4CB89C47" w:rsidR="00A9557E" w:rsidRDefault="00A9557E">
          <w:pPr>
            <w:pStyle w:val="TOC2"/>
            <w:tabs>
              <w:tab w:val="right" w:leader="dot" w:pos="9216"/>
            </w:tabs>
            <w:rPr>
              <w:noProof/>
            </w:rPr>
          </w:pPr>
          <w:hyperlink w:anchor="_Toc240747398" w:history="1">
            <w:r w:rsidRPr="006C5CA4">
              <w:rPr>
                <w:rStyle w:val="Hyperlink"/>
                <w:noProof/>
              </w:rPr>
              <w:t>12.1  Errors in the class notes, corrected</w:t>
            </w:r>
            <w:r>
              <w:rPr>
                <w:noProof/>
              </w:rPr>
              <w:tab/>
            </w:r>
            <w:r>
              <w:rPr>
                <w:noProof/>
              </w:rPr>
              <w:fldChar w:fldCharType="begin"/>
            </w:r>
            <w:r>
              <w:rPr>
                <w:noProof/>
              </w:rPr>
              <w:instrText xml:space="preserve"> PAGEREF _Toc240747398 \h </w:instrText>
            </w:r>
            <w:r>
              <w:rPr>
                <w:noProof/>
              </w:rPr>
            </w:r>
            <w:r>
              <w:rPr>
                <w:noProof/>
              </w:rPr>
              <w:fldChar w:fldCharType="separate"/>
            </w:r>
            <w:r>
              <w:rPr>
                <w:noProof/>
              </w:rPr>
              <w:t>27</w:t>
            </w:r>
            <w:r>
              <w:rPr>
                <w:noProof/>
              </w:rPr>
              <w:fldChar w:fldCharType="end"/>
            </w:r>
          </w:hyperlink>
        </w:p>
        <w:p w14:paraId="13D50CF0" w14:textId="5E08FE9D" w:rsidR="00A9557E" w:rsidRDefault="00A9557E">
          <w:pPr>
            <w:pStyle w:val="TOC2"/>
            <w:tabs>
              <w:tab w:val="right" w:leader="dot" w:pos="9216"/>
            </w:tabs>
            <w:rPr>
              <w:noProof/>
            </w:rPr>
          </w:pPr>
          <w:hyperlink w:anchor="_Toc240747399" w:history="1">
            <w:r w:rsidRPr="006C5CA4">
              <w:rPr>
                <w:rStyle w:val="Hyperlink"/>
                <w:noProof/>
              </w:rPr>
              <w:t>12.2  Points not verified — do not assert as settled law</w:t>
            </w:r>
            <w:r>
              <w:rPr>
                <w:noProof/>
              </w:rPr>
              <w:tab/>
            </w:r>
            <w:r>
              <w:rPr>
                <w:noProof/>
              </w:rPr>
              <w:fldChar w:fldCharType="begin"/>
            </w:r>
            <w:r>
              <w:rPr>
                <w:noProof/>
              </w:rPr>
              <w:instrText xml:space="preserve"> PAGEREF _Toc240747399 \h </w:instrText>
            </w:r>
            <w:r>
              <w:rPr>
                <w:noProof/>
              </w:rPr>
            </w:r>
            <w:r>
              <w:rPr>
                <w:noProof/>
              </w:rPr>
              <w:fldChar w:fldCharType="separate"/>
            </w:r>
            <w:r>
              <w:rPr>
                <w:noProof/>
              </w:rPr>
              <w:t>27</w:t>
            </w:r>
            <w:r>
              <w:rPr>
                <w:noProof/>
              </w:rPr>
              <w:fldChar w:fldCharType="end"/>
            </w:r>
          </w:hyperlink>
        </w:p>
        <w:p w14:paraId="6F5E0E14" w14:textId="5A097C39" w:rsidR="00A9557E" w:rsidRDefault="00A9557E">
          <w:pPr>
            <w:pStyle w:val="TOC2"/>
            <w:tabs>
              <w:tab w:val="right" w:leader="dot" w:pos="9216"/>
            </w:tabs>
            <w:rPr>
              <w:noProof/>
            </w:rPr>
          </w:pPr>
          <w:hyperlink w:anchor="_Toc240747400" w:history="1">
            <w:r w:rsidRPr="006C5CA4">
              <w:rPr>
                <w:rStyle w:val="Hyperlink"/>
                <w:noProof/>
              </w:rPr>
              <w:t>12.3  Reform proposals — not law</w:t>
            </w:r>
            <w:r>
              <w:rPr>
                <w:noProof/>
              </w:rPr>
              <w:tab/>
            </w:r>
            <w:r>
              <w:rPr>
                <w:noProof/>
              </w:rPr>
              <w:fldChar w:fldCharType="begin"/>
            </w:r>
            <w:r>
              <w:rPr>
                <w:noProof/>
              </w:rPr>
              <w:instrText xml:space="preserve"> PAGEREF _Toc240747400 \h </w:instrText>
            </w:r>
            <w:r>
              <w:rPr>
                <w:noProof/>
              </w:rPr>
            </w:r>
            <w:r>
              <w:rPr>
                <w:noProof/>
              </w:rPr>
              <w:fldChar w:fldCharType="separate"/>
            </w:r>
            <w:r>
              <w:rPr>
                <w:noProof/>
              </w:rPr>
              <w:t>27</w:t>
            </w:r>
            <w:r>
              <w:rPr>
                <w:noProof/>
              </w:rPr>
              <w:fldChar w:fldCharType="end"/>
            </w:r>
          </w:hyperlink>
        </w:p>
        <w:p w14:paraId="064F0CA1" w14:textId="58B9EE9F" w:rsidR="00A9557E" w:rsidRDefault="00A9557E">
          <w:pPr>
            <w:pStyle w:val="TOC2"/>
            <w:tabs>
              <w:tab w:val="right" w:leader="dot" w:pos="9216"/>
            </w:tabs>
            <w:rPr>
              <w:noProof/>
            </w:rPr>
          </w:pPr>
          <w:hyperlink w:anchor="_Toc240747401" w:history="1">
            <w:r w:rsidRPr="006C5CA4">
              <w:rPr>
                <w:rStyle w:val="Hyperlink"/>
                <w:noProof/>
              </w:rPr>
              <w:t>12.4  One development beyond these topics, worth knowing</w:t>
            </w:r>
            <w:r>
              <w:rPr>
                <w:noProof/>
              </w:rPr>
              <w:tab/>
            </w:r>
            <w:r>
              <w:rPr>
                <w:noProof/>
              </w:rPr>
              <w:fldChar w:fldCharType="begin"/>
            </w:r>
            <w:r>
              <w:rPr>
                <w:noProof/>
              </w:rPr>
              <w:instrText xml:space="preserve"> PAGEREF _Toc240747401 \h </w:instrText>
            </w:r>
            <w:r>
              <w:rPr>
                <w:noProof/>
              </w:rPr>
            </w:r>
            <w:r>
              <w:rPr>
                <w:noProof/>
              </w:rPr>
              <w:fldChar w:fldCharType="separate"/>
            </w:r>
            <w:r>
              <w:rPr>
                <w:noProof/>
              </w:rPr>
              <w:t>28</w:t>
            </w:r>
            <w:r>
              <w:rPr>
                <w:noProof/>
              </w:rPr>
              <w:fldChar w:fldCharType="end"/>
            </w:r>
          </w:hyperlink>
        </w:p>
        <w:p w14:paraId="21A43D9A" w14:textId="68FF0650" w:rsidR="00A9557E" w:rsidRDefault="00A9557E">
          <w:pPr>
            <w:pStyle w:val="TOC1"/>
            <w:tabs>
              <w:tab w:val="right" w:leader="dot" w:pos="9216"/>
            </w:tabs>
            <w:rPr>
              <w:noProof/>
            </w:rPr>
          </w:pPr>
          <w:hyperlink w:anchor="_Toc240747402" w:history="1">
            <w:r w:rsidRPr="006C5CA4">
              <w:rPr>
                <w:rStyle w:val="Hyperlink"/>
                <w:noProof/>
              </w:rPr>
              <w:t>Table of Cases</w:t>
            </w:r>
            <w:r>
              <w:rPr>
                <w:noProof/>
              </w:rPr>
              <w:tab/>
            </w:r>
            <w:r>
              <w:rPr>
                <w:noProof/>
              </w:rPr>
              <w:fldChar w:fldCharType="begin"/>
            </w:r>
            <w:r>
              <w:rPr>
                <w:noProof/>
              </w:rPr>
              <w:instrText xml:space="preserve"> PAGEREF _Toc240747402 \h </w:instrText>
            </w:r>
            <w:r>
              <w:rPr>
                <w:noProof/>
              </w:rPr>
            </w:r>
            <w:r>
              <w:rPr>
                <w:noProof/>
              </w:rPr>
              <w:fldChar w:fldCharType="separate"/>
            </w:r>
            <w:r>
              <w:rPr>
                <w:noProof/>
              </w:rPr>
              <w:t>29</w:t>
            </w:r>
            <w:r>
              <w:rPr>
                <w:noProof/>
              </w:rPr>
              <w:fldChar w:fldCharType="end"/>
            </w:r>
          </w:hyperlink>
        </w:p>
        <w:p w14:paraId="34DC10DE" w14:textId="5AA79E45" w:rsidR="00A9557E" w:rsidRDefault="00A9557E">
          <w:pPr>
            <w:pStyle w:val="TOC1"/>
            <w:tabs>
              <w:tab w:val="right" w:leader="dot" w:pos="9216"/>
            </w:tabs>
            <w:rPr>
              <w:noProof/>
            </w:rPr>
          </w:pPr>
          <w:hyperlink w:anchor="_Toc240747403" w:history="1">
            <w:r w:rsidRPr="006C5CA4">
              <w:rPr>
                <w:rStyle w:val="Hyperlink"/>
                <w:noProof/>
              </w:rPr>
              <w:t>Statutes, Instruments and Sources</w:t>
            </w:r>
            <w:r>
              <w:rPr>
                <w:noProof/>
              </w:rPr>
              <w:tab/>
            </w:r>
            <w:r>
              <w:rPr>
                <w:noProof/>
              </w:rPr>
              <w:fldChar w:fldCharType="begin"/>
            </w:r>
            <w:r>
              <w:rPr>
                <w:noProof/>
              </w:rPr>
              <w:instrText xml:space="preserve"> PAGEREF _Toc240747403 \h </w:instrText>
            </w:r>
            <w:r>
              <w:rPr>
                <w:noProof/>
              </w:rPr>
            </w:r>
            <w:r>
              <w:rPr>
                <w:noProof/>
              </w:rPr>
              <w:fldChar w:fldCharType="separate"/>
            </w:r>
            <w:r>
              <w:rPr>
                <w:noProof/>
              </w:rPr>
              <w:t>31</w:t>
            </w:r>
            <w:r>
              <w:rPr>
                <w:noProof/>
              </w:rPr>
              <w:fldChar w:fldCharType="end"/>
            </w:r>
          </w:hyperlink>
        </w:p>
        <w:p w14:paraId="797FD8E8" w14:textId="3558B8CC" w:rsidR="00A9557E" w:rsidRDefault="00A9557E">
          <w:pPr>
            <w:pStyle w:val="TOC2"/>
            <w:tabs>
              <w:tab w:val="right" w:leader="dot" w:pos="9216"/>
            </w:tabs>
            <w:rPr>
              <w:noProof/>
            </w:rPr>
          </w:pPr>
          <w:hyperlink w:anchor="_Toc240747404" w:history="1">
            <w:r w:rsidRPr="006C5CA4">
              <w:rPr>
                <w:rStyle w:val="Hyperlink"/>
                <w:noProof/>
              </w:rPr>
              <w:t>Arbitration and Conciliation Act, 1996</w:t>
            </w:r>
            <w:r>
              <w:rPr>
                <w:noProof/>
              </w:rPr>
              <w:tab/>
            </w:r>
            <w:r>
              <w:rPr>
                <w:noProof/>
              </w:rPr>
              <w:fldChar w:fldCharType="begin"/>
            </w:r>
            <w:r>
              <w:rPr>
                <w:noProof/>
              </w:rPr>
              <w:instrText xml:space="preserve"> PAGEREF _Toc240747404 \h </w:instrText>
            </w:r>
            <w:r>
              <w:rPr>
                <w:noProof/>
              </w:rPr>
            </w:r>
            <w:r>
              <w:rPr>
                <w:noProof/>
              </w:rPr>
              <w:fldChar w:fldCharType="separate"/>
            </w:r>
            <w:r>
              <w:rPr>
                <w:noProof/>
              </w:rPr>
              <w:t>31</w:t>
            </w:r>
            <w:r>
              <w:rPr>
                <w:noProof/>
              </w:rPr>
              <w:fldChar w:fldCharType="end"/>
            </w:r>
          </w:hyperlink>
        </w:p>
        <w:p w14:paraId="38B12854" w14:textId="131238B7" w:rsidR="00A9557E" w:rsidRDefault="00A9557E">
          <w:pPr>
            <w:pStyle w:val="TOC2"/>
            <w:tabs>
              <w:tab w:val="right" w:leader="dot" w:pos="9216"/>
            </w:tabs>
            <w:rPr>
              <w:noProof/>
            </w:rPr>
          </w:pPr>
          <w:hyperlink w:anchor="_Toc240747405" w:history="1">
            <w:r w:rsidRPr="006C5CA4">
              <w:rPr>
                <w:rStyle w:val="Hyperlink"/>
                <w:noProof/>
              </w:rPr>
              <w:t>Amending Acts</w:t>
            </w:r>
            <w:r>
              <w:rPr>
                <w:noProof/>
              </w:rPr>
              <w:tab/>
            </w:r>
            <w:r>
              <w:rPr>
                <w:noProof/>
              </w:rPr>
              <w:fldChar w:fldCharType="begin"/>
            </w:r>
            <w:r>
              <w:rPr>
                <w:noProof/>
              </w:rPr>
              <w:instrText xml:space="preserve"> PAGEREF _Toc240747405 \h </w:instrText>
            </w:r>
            <w:r>
              <w:rPr>
                <w:noProof/>
              </w:rPr>
            </w:r>
            <w:r>
              <w:rPr>
                <w:noProof/>
              </w:rPr>
              <w:fldChar w:fldCharType="separate"/>
            </w:r>
            <w:r>
              <w:rPr>
                <w:noProof/>
              </w:rPr>
              <w:t>31</w:t>
            </w:r>
            <w:r>
              <w:rPr>
                <w:noProof/>
              </w:rPr>
              <w:fldChar w:fldCharType="end"/>
            </w:r>
          </w:hyperlink>
        </w:p>
        <w:p w14:paraId="7F64F581" w14:textId="240FEC24" w:rsidR="00A9557E" w:rsidRDefault="00A9557E">
          <w:pPr>
            <w:pStyle w:val="TOC2"/>
            <w:tabs>
              <w:tab w:val="right" w:leader="dot" w:pos="9216"/>
            </w:tabs>
            <w:rPr>
              <w:noProof/>
            </w:rPr>
          </w:pPr>
          <w:hyperlink w:anchor="_Toc240747406" w:history="1">
            <w:r w:rsidRPr="006C5CA4">
              <w:rPr>
                <w:rStyle w:val="Hyperlink"/>
                <w:noProof/>
              </w:rPr>
              <w:t>Other Indian legislation</w:t>
            </w:r>
            <w:r>
              <w:rPr>
                <w:noProof/>
              </w:rPr>
              <w:tab/>
            </w:r>
            <w:r>
              <w:rPr>
                <w:noProof/>
              </w:rPr>
              <w:fldChar w:fldCharType="begin"/>
            </w:r>
            <w:r>
              <w:rPr>
                <w:noProof/>
              </w:rPr>
              <w:instrText xml:space="preserve"> PAGEREF _Toc240747406 \h </w:instrText>
            </w:r>
            <w:r>
              <w:rPr>
                <w:noProof/>
              </w:rPr>
            </w:r>
            <w:r>
              <w:rPr>
                <w:noProof/>
              </w:rPr>
              <w:fldChar w:fldCharType="separate"/>
            </w:r>
            <w:r>
              <w:rPr>
                <w:noProof/>
              </w:rPr>
              <w:t>31</w:t>
            </w:r>
            <w:r>
              <w:rPr>
                <w:noProof/>
              </w:rPr>
              <w:fldChar w:fldCharType="end"/>
            </w:r>
          </w:hyperlink>
        </w:p>
        <w:p w14:paraId="5F2B51A5" w14:textId="4885004A" w:rsidR="00A9557E" w:rsidRDefault="00A9557E">
          <w:pPr>
            <w:pStyle w:val="TOC2"/>
            <w:tabs>
              <w:tab w:val="right" w:leader="dot" w:pos="9216"/>
            </w:tabs>
            <w:rPr>
              <w:noProof/>
            </w:rPr>
          </w:pPr>
          <w:hyperlink w:anchor="_Toc240747407" w:history="1">
            <w:r w:rsidRPr="006C5CA4">
              <w:rPr>
                <w:rStyle w:val="Hyperlink"/>
                <w:noProof/>
              </w:rPr>
              <w:t>International instruments and soft law</w:t>
            </w:r>
            <w:r>
              <w:rPr>
                <w:noProof/>
              </w:rPr>
              <w:tab/>
            </w:r>
            <w:r>
              <w:rPr>
                <w:noProof/>
              </w:rPr>
              <w:fldChar w:fldCharType="begin"/>
            </w:r>
            <w:r>
              <w:rPr>
                <w:noProof/>
              </w:rPr>
              <w:instrText xml:space="preserve"> PAGEREF _Toc240747407 \h </w:instrText>
            </w:r>
            <w:r>
              <w:rPr>
                <w:noProof/>
              </w:rPr>
            </w:r>
            <w:r>
              <w:rPr>
                <w:noProof/>
              </w:rPr>
              <w:fldChar w:fldCharType="separate"/>
            </w:r>
            <w:r>
              <w:rPr>
                <w:noProof/>
              </w:rPr>
              <w:t>31</w:t>
            </w:r>
            <w:r>
              <w:rPr>
                <w:noProof/>
              </w:rPr>
              <w:fldChar w:fldCharType="end"/>
            </w:r>
          </w:hyperlink>
        </w:p>
        <w:p w14:paraId="1BE8037B" w14:textId="217A7FCC" w:rsidR="00A9557E" w:rsidRDefault="00A9557E">
          <w:pPr>
            <w:pStyle w:val="TOC2"/>
            <w:tabs>
              <w:tab w:val="right" w:leader="dot" w:pos="9216"/>
            </w:tabs>
            <w:rPr>
              <w:noProof/>
            </w:rPr>
          </w:pPr>
          <w:hyperlink w:anchor="_Toc240747408" w:history="1">
            <w:r w:rsidRPr="006C5CA4">
              <w:rPr>
                <w:rStyle w:val="Hyperlink"/>
                <w:noProof/>
              </w:rPr>
              <w:t>Sources used</w:t>
            </w:r>
            <w:r>
              <w:rPr>
                <w:noProof/>
              </w:rPr>
              <w:tab/>
            </w:r>
            <w:r>
              <w:rPr>
                <w:noProof/>
              </w:rPr>
              <w:fldChar w:fldCharType="begin"/>
            </w:r>
            <w:r>
              <w:rPr>
                <w:noProof/>
              </w:rPr>
              <w:instrText xml:space="preserve"> PAGEREF _Toc240747408 \h </w:instrText>
            </w:r>
            <w:r>
              <w:rPr>
                <w:noProof/>
              </w:rPr>
            </w:r>
            <w:r>
              <w:rPr>
                <w:noProof/>
              </w:rPr>
              <w:fldChar w:fldCharType="separate"/>
            </w:r>
            <w:r>
              <w:rPr>
                <w:noProof/>
              </w:rPr>
              <w:t>31</w:t>
            </w:r>
            <w:r>
              <w:rPr>
                <w:noProof/>
              </w:rPr>
              <w:fldChar w:fldCharType="end"/>
            </w:r>
          </w:hyperlink>
        </w:p>
        <w:p w14:paraId="2EDA45AC" w14:textId="77777777" w:rsidR="00004105" w:rsidRDefault="00000000">
          <w:r>
            <w:fldChar w:fldCharType="end"/>
          </w:r>
        </w:p>
      </w:sdtContent>
    </w:sdt>
    <w:p w14:paraId="06AFB5F9" w14:textId="77777777" w:rsidR="00004105" w:rsidRDefault="00000000">
      <w:pPr>
        <w:pStyle w:val="Heading1"/>
        <w:keepNext/>
        <w:pBdr>
          <w:top w:val="single" w:sz="8" w:space="10" w:color="999999"/>
        </w:pBdr>
        <w:spacing w:before="460" w:after="170"/>
      </w:pPr>
      <w:bookmarkStart w:id="1" w:name="_Toc240747336"/>
      <w:r>
        <w:t>Three Corrections to the Class Notes</w:t>
      </w:r>
      <w:bookmarkEnd w:id="1"/>
    </w:p>
    <w:p w14:paraId="1DE4C6CF" w14:textId="77777777" w:rsidR="00004105" w:rsidRDefault="00000000">
      <w:pPr>
        <w:pStyle w:val="ListParagraph"/>
        <w:numPr>
          <w:ilvl w:val="0"/>
          <w:numId w:val="2"/>
        </w:numPr>
        <w:spacing w:after="70"/>
        <w:jc w:val="both"/>
      </w:pPr>
      <w:r>
        <w:t xml:space="preserve">The six-month pleadings timetable is </w:t>
      </w:r>
      <w:r>
        <w:rPr>
          <w:b/>
          <w:bCs/>
        </w:rPr>
        <w:t>s. 23(4)</w:t>
      </w:r>
      <w:r>
        <w:t xml:space="preserve">, not “s. 23(9)”. There is no s. 23(9). The link the notes intended is with </w:t>
      </w:r>
      <w:r>
        <w:rPr>
          <w:b/>
          <w:bCs/>
        </w:rPr>
        <w:t>s. 29A</w:t>
      </w:r>
      <w:r>
        <w:t>, under which the twelve months for the award run from completion of pleadings under s. 23(4).</w:t>
      </w:r>
    </w:p>
    <w:p w14:paraId="6CABB343" w14:textId="77777777" w:rsidR="00004105" w:rsidRDefault="00000000">
      <w:pPr>
        <w:pStyle w:val="ListParagraph"/>
        <w:numPr>
          <w:ilvl w:val="0"/>
          <w:numId w:val="2"/>
        </w:numPr>
        <w:spacing w:after="70"/>
        <w:jc w:val="both"/>
      </w:pPr>
      <w:r>
        <w:rPr>
          <w:b/>
          <w:bCs/>
        </w:rPr>
        <w:t>S. 11(6A) has not been deleted.</w:t>
      </w:r>
      <w:r>
        <w:t xml:space="preserve"> The 2019 Amendment enacted its omission, but that omission was never notified, so s. 11(6A) remains in force — confirmed by the seven-Judge Bench in </w:t>
      </w:r>
      <w:r>
        <w:rPr>
          <w:i/>
          <w:iCs/>
        </w:rPr>
        <w:t>In Re: Interplay</w:t>
      </w:r>
      <w:r>
        <w:t xml:space="preserve"> (2023).</w:t>
      </w:r>
    </w:p>
    <w:p w14:paraId="1208F6CC" w14:textId="77777777" w:rsidR="00004105" w:rsidRDefault="00000000">
      <w:pPr>
        <w:pStyle w:val="ListParagraph"/>
        <w:numPr>
          <w:ilvl w:val="0"/>
          <w:numId w:val="2"/>
        </w:numPr>
        <w:spacing w:after="70"/>
        <w:jc w:val="both"/>
      </w:pPr>
      <w:r>
        <w:t xml:space="preserve">“Jantia Constructions v. UoI” is </w:t>
      </w:r>
      <w:r>
        <w:rPr>
          <w:i/>
          <w:iCs/>
        </w:rPr>
        <w:t>Union of India v. Tantia Construction Pvt. Ltd.</w:t>
      </w:r>
      <w:r>
        <w:t xml:space="preserve">, (2011) 5 SCC 697. Do not confuse it with </w:t>
      </w:r>
      <w:r>
        <w:rPr>
          <w:i/>
          <w:iCs/>
        </w:rPr>
        <w:t>Union of India v. Tantia Constructions Ltd.</w:t>
      </w:r>
      <w:r>
        <w:t>, 2021 SCC OnLine SC 271, a different case on unilateral appointments.</w:t>
      </w:r>
    </w:p>
    <w:p w14:paraId="7CF0A155" w14:textId="77777777" w:rsidR="00004105" w:rsidRDefault="00000000">
      <w:pPr>
        <w:spacing w:after="110"/>
        <w:jc w:val="both"/>
      </w:pPr>
      <w:r>
        <w:t xml:space="preserve">Smaller slips and points that could not be verified are listed at the end, under </w:t>
      </w:r>
      <w:r>
        <w:rPr>
          <w:b/>
          <w:bCs/>
        </w:rPr>
        <w:t>Corrections and Cautions</w:t>
      </w:r>
      <w:r>
        <w:t>.</w:t>
      </w:r>
    </w:p>
    <w:p w14:paraId="366A470B" w14:textId="77777777" w:rsidR="00004105" w:rsidRDefault="00000000">
      <w:r>
        <w:br w:type="page"/>
      </w:r>
    </w:p>
    <w:p w14:paraId="263452EE" w14:textId="77777777" w:rsidR="00004105" w:rsidRDefault="00000000">
      <w:pPr>
        <w:pStyle w:val="Heading1"/>
        <w:keepNext/>
        <w:pBdr>
          <w:top w:val="single" w:sz="8" w:space="10" w:color="999999"/>
        </w:pBdr>
        <w:spacing w:before="460" w:after="170"/>
      </w:pPr>
      <w:bookmarkStart w:id="2" w:name="_Toc240747337"/>
      <w:r>
        <w:lastRenderedPageBreak/>
        <w:t>1  International Commercial Arbitration: s. 2(1)(f)</w:t>
      </w:r>
      <w:bookmarkEnd w:id="2"/>
    </w:p>
    <w:p w14:paraId="405E3772" w14:textId="77777777" w:rsidR="00004105" w:rsidRDefault="00000000">
      <w:pPr>
        <w:pStyle w:val="Heading2"/>
        <w:keepNext/>
        <w:spacing w:before="240" w:after="110"/>
      </w:pPr>
      <w:bookmarkStart w:id="3" w:name="_Toc240747338"/>
      <w:r>
        <w:t>1.1  Definition</w:t>
      </w:r>
      <w:bookmarkEnd w:id="3"/>
    </w:p>
    <w:p w14:paraId="7981F916" w14:textId="77777777" w:rsidR="00004105" w:rsidRDefault="00000000">
      <w:pPr>
        <w:spacing w:after="110"/>
        <w:jc w:val="both"/>
      </w:pPr>
      <w:r>
        <w:t>An arbitration is an international commercial arbitration (ICA) if three things hold:</w:t>
      </w:r>
    </w:p>
    <w:p w14:paraId="0A3DB7AF" w14:textId="77777777" w:rsidR="00004105" w:rsidRDefault="00000000">
      <w:pPr>
        <w:pStyle w:val="ListParagraph"/>
        <w:numPr>
          <w:ilvl w:val="0"/>
          <w:numId w:val="3"/>
        </w:numPr>
        <w:spacing w:after="70"/>
        <w:jc w:val="both"/>
      </w:pPr>
      <w:r>
        <w:t xml:space="preserve">it arises out of a </w:t>
      </w:r>
      <w:r>
        <w:rPr>
          <w:b/>
          <w:bCs/>
        </w:rPr>
        <w:t>legal relationship, whether contractual or not</w:t>
      </w:r>
      <w:r>
        <w:t xml:space="preserve"> — a concluded contract is unnecessary, so an MoU, partnership, bailment or agency will do;</w:t>
      </w:r>
    </w:p>
    <w:p w14:paraId="7CBC5D42" w14:textId="77777777" w:rsidR="00004105" w:rsidRDefault="00000000">
      <w:pPr>
        <w:pStyle w:val="ListParagraph"/>
        <w:numPr>
          <w:ilvl w:val="0"/>
          <w:numId w:val="3"/>
        </w:numPr>
        <w:spacing w:after="70"/>
        <w:jc w:val="both"/>
      </w:pPr>
      <w:r>
        <w:t xml:space="preserve">the relationship is </w:t>
      </w:r>
      <w:r>
        <w:rPr>
          <w:b/>
          <w:bCs/>
        </w:rPr>
        <w:t>considered commercial under the law in force in India</w:t>
      </w:r>
      <w:r>
        <w:t>; and</w:t>
      </w:r>
    </w:p>
    <w:p w14:paraId="61529F04" w14:textId="77777777" w:rsidR="00004105" w:rsidRDefault="00000000">
      <w:pPr>
        <w:pStyle w:val="ListParagraph"/>
        <w:numPr>
          <w:ilvl w:val="0"/>
          <w:numId w:val="3"/>
        </w:numPr>
        <w:spacing w:after="70"/>
        <w:jc w:val="both"/>
      </w:pPr>
      <w:r>
        <w:rPr>
          <w:b/>
          <w:bCs/>
        </w:rPr>
        <w:t>at least one party</w:t>
      </w:r>
      <w:r>
        <w:t xml:space="preserve"> is (i) an individual who is a national of, or habitually resident in, a country other than India; (ii) a body corporate incorporated outside India; (iii) an association or body of individuals whose central management and control is exercised outside India; or (iv) the Government of a foreign country.</w:t>
      </w:r>
    </w:p>
    <w:p w14:paraId="39AB47D3" w14:textId="77777777" w:rsidR="00004105" w:rsidRDefault="00000000">
      <w:pPr>
        <w:spacing w:after="110"/>
        <w:jc w:val="both"/>
      </w:pPr>
      <w:r>
        <w:rPr>
          <w:b/>
          <w:bCs/>
        </w:rPr>
        <w:t>2015 change.</w:t>
      </w:r>
      <w:r>
        <w:t xml:space="preserve"> Sub-clause (iii) originally read “a company or an association or a body of individuals”. The words “a company or” were omitted by Act 3 of 2016 (w.e.f. 23 October 2015). The central-management-and-control test therefore never applies to a company; a company's status is fixed by sub-clause (ii), i.e. place of incorporation.</w:t>
      </w:r>
    </w:p>
    <w:p w14:paraId="7AEF4EA7" w14:textId="77777777" w:rsidR="00004105" w:rsidRDefault="00000000">
      <w:pPr>
        <w:pStyle w:val="Heading2"/>
        <w:keepNext/>
        <w:spacing w:before="240" w:after="110"/>
      </w:pPr>
      <w:bookmarkStart w:id="4" w:name="_Toc240747339"/>
      <w:r>
        <w:t>1.2  “Commercial” — construed widely</w:t>
      </w:r>
      <w:bookmarkEnd w:id="4"/>
    </w:p>
    <w:p w14:paraId="49A9572D" w14:textId="77777777" w:rsidR="00004105" w:rsidRDefault="00000000">
      <w:pPr>
        <w:keepNext/>
        <w:spacing w:before="170" w:after="60"/>
      </w:pPr>
      <w:r>
        <w:rPr>
          <w:b/>
          <w:bCs/>
        </w:rPr>
        <w:t>R.M. Investments &amp; Trading Co. Pvt. Ltd. v. Boeing Co.</w:t>
      </w:r>
      <w:r>
        <w:rPr>
          <w:color w:val="404040"/>
          <w:sz w:val="19"/>
          <w:szCs w:val="19"/>
        </w:rPr>
        <w:t xml:space="preserve">  (1994) 4 SCC 541; AIR 1994 SC 1136 (SC, 10 Feb 1994).</w:t>
      </w:r>
    </w:p>
    <w:p w14:paraId="00823297" w14:textId="77777777" w:rsidR="00004105" w:rsidRDefault="00000000">
      <w:pPr>
        <w:spacing w:after="70" w:line="258" w:lineRule="auto"/>
        <w:ind w:left="259"/>
        <w:jc w:val="both"/>
      </w:pPr>
      <w:r>
        <w:rPr>
          <w:b/>
          <w:bCs/>
          <w:sz w:val="21"/>
          <w:szCs w:val="21"/>
        </w:rPr>
        <w:t xml:space="preserve">Facts. </w:t>
      </w:r>
      <w:r>
        <w:rPr>
          <w:sz w:val="21"/>
          <w:szCs w:val="21"/>
        </w:rPr>
        <w:t>An Indian company agreed to provide Boeing with consultancy services to promote aircraft sales in India, claimed commission on the eventual Air India purchase, and sued when Boeing refused. Boeing sought a stay in favour of arbitration.</w:t>
      </w:r>
    </w:p>
    <w:p w14:paraId="1DDB8B25" w14:textId="77777777" w:rsidR="00004105" w:rsidRDefault="00000000">
      <w:pPr>
        <w:spacing w:after="70" w:line="258" w:lineRule="auto"/>
        <w:ind w:left="259"/>
        <w:jc w:val="both"/>
      </w:pPr>
      <w:r>
        <w:rPr>
          <w:b/>
          <w:bCs/>
          <w:sz w:val="21"/>
          <w:szCs w:val="21"/>
        </w:rPr>
        <w:t xml:space="preserve">Held. </w:t>
      </w:r>
      <w:r>
        <w:rPr>
          <w:sz w:val="21"/>
          <w:szCs w:val="21"/>
        </w:rPr>
        <w:t>The relationship was commercial. “Commercial” must be construed broadly, having regard to the manifold activities integral to international trade. A consultancy agreement made to promote an admittedly commercial transaction is itself commercial; it is not otherwise merely because services rather than goods are supplied, or because the consultant is an independent contractor.</w:t>
      </w:r>
    </w:p>
    <w:p w14:paraId="0A75DE71" w14:textId="77777777" w:rsidR="00004105" w:rsidRDefault="00000000">
      <w:pPr>
        <w:spacing w:after="70" w:line="258" w:lineRule="auto"/>
        <w:ind w:left="259"/>
        <w:jc w:val="both"/>
      </w:pPr>
      <w:r>
        <w:rPr>
          <w:b/>
          <w:bCs/>
          <w:sz w:val="21"/>
          <w:szCs w:val="21"/>
        </w:rPr>
        <w:t xml:space="preserve">Why it matters. </w:t>
      </w:r>
      <w:r>
        <w:rPr>
          <w:sz w:val="21"/>
          <w:szCs w:val="21"/>
        </w:rPr>
        <w:t>Authority for the second element of s. 2(1)(f).</w:t>
      </w:r>
    </w:p>
    <w:p w14:paraId="66E3456A" w14:textId="77777777" w:rsidR="00004105" w:rsidRDefault="00000000">
      <w:pPr>
        <w:spacing w:after="70" w:line="258" w:lineRule="auto"/>
        <w:ind w:left="259"/>
        <w:jc w:val="both"/>
      </w:pPr>
      <w:r>
        <w:rPr>
          <w:b/>
          <w:bCs/>
          <w:sz w:val="21"/>
          <w:szCs w:val="21"/>
        </w:rPr>
        <w:t xml:space="preserve">Status. </w:t>
      </w:r>
      <w:r>
        <w:rPr>
          <w:sz w:val="21"/>
          <w:szCs w:val="21"/>
        </w:rPr>
        <w:t>Good law; the leading authority.</w:t>
      </w:r>
    </w:p>
    <w:p w14:paraId="37EAEA15" w14:textId="77777777" w:rsidR="00004105" w:rsidRDefault="00000000">
      <w:pPr>
        <w:pStyle w:val="Heading2"/>
        <w:keepNext/>
        <w:spacing w:before="240" w:after="110"/>
      </w:pPr>
      <w:bookmarkStart w:id="5" w:name="_Toc240747340"/>
      <w:r>
        <w:t>1.3  Nationality of a company</w:t>
      </w:r>
      <w:bookmarkEnd w:id="5"/>
    </w:p>
    <w:p w14:paraId="4A22FF72" w14:textId="77777777" w:rsidR="00004105" w:rsidRDefault="00000000">
      <w:pPr>
        <w:spacing w:after="110"/>
        <w:jc w:val="both"/>
      </w:pPr>
      <w:r>
        <w:rPr>
          <w:i/>
          <w:iCs/>
        </w:rPr>
        <w:t>TDM Infrastructure P. Ltd. v. UE Development India P. Ltd.</w:t>
      </w:r>
      <w:r>
        <w:t>, (2008) 14 SCC 271 (SC, 14 May 2008), applied the place-of-incorporation rule: two companies incorporated in India are both Indian parties, so their arbitration is domestic however the shareholding or control is held.</w:t>
      </w:r>
    </w:p>
    <w:p w14:paraId="3BAE8DC2" w14:textId="77777777" w:rsidR="00004105" w:rsidRDefault="00000000">
      <w:pPr>
        <w:spacing w:before="80" w:after="110" w:line="250" w:lineRule="auto"/>
        <w:ind w:left="504" w:right="288"/>
        <w:jc w:val="both"/>
      </w:pPr>
      <w:r>
        <w:rPr>
          <w:sz w:val="20"/>
          <w:szCs w:val="20"/>
        </w:rPr>
        <w:t>“Once it is held that both the companies are incorporated in India, and, thus, they have been domiciled in India, the arbitration agreement entered into by and between them would not be an international commercial arbitration agreement…”</w:t>
      </w:r>
    </w:p>
    <w:p w14:paraId="3281210C" w14:textId="77777777" w:rsidR="00004105" w:rsidRDefault="00000000">
      <w:pPr>
        <w:spacing w:after="110"/>
        <w:jc w:val="both"/>
      </w:pPr>
      <w:r>
        <w:t>Law Commission Report No. 246 (2014) relied on this reasoning to recommend deleting “a company or”. The marginal note in the class materials about a “theory of seat” for nationality is accurate only for associations and bodies of individuals.</w:t>
      </w:r>
    </w:p>
    <w:p w14:paraId="1EDD8D79" w14:textId="77777777" w:rsidR="00004105" w:rsidRDefault="00000000">
      <w:pPr>
        <w:pStyle w:val="Heading2"/>
        <w:keepNext/>
        <w:spacing w:before="240" w:after="110"/>
      </w:pPr>
      <w:bookmarkStart w:id="6" w:name="_Toc240747341"/>
      <w:r>
        <w:t>1.4  Salient features of international arbitration</w:t>
      </w:r>
      <w:bookmarkEnd w:id="6"/>
    </w:p>
    <w:p w14:paraId="348912B4" w14:textId="77777777" w:rsidR="00004105" w:rsidRDefault="00000000">
      <w:pPr>
        <w:pStyle w:val="ListParagraph"/>
        <w:numPr>
          <w:ilvl w:val="0"/>
          <w:numId w:val="4"/>
        </w:numPr>
        <w:spacing w:after="70"/>
        <w:jc w:val="both"/>
      </w:pPr>
      <w:r>
        <w:rPr>
          <w:b/>
          <w:bCs/>
        </w:rPr>
        <w:t>Private dispute resolution</w:t>
      </w:r>
      <w:r>
        <w:t xml:space="preserve"> designed for the needs of international commerce.</w:t>
      </w:r>
    </w:p>
    <w:p w14:paraId="099F62A1" w14:textId="77777777" w:rsidR="00004105" w:rsidRDefault="00000000">
      <w:pPr>
        <w:pStyle w:val="ListParagraph"/>
        <w:numPr>
          <w:ilvl w:val="0"/>
          <w:numId w:val="4"/>
        </w:numPr>
        <w:spacing w:after="70"/>
        <w:jc w:val="both"/>
      </w:pPr>
      <w:r>
        <w:rPr>
          <w:b/>
          <w:bCs/>
        </w:rPr>
        <w:t>Consent and party autonomy</w:t>
      </w:r>
      <w:r>
        <w:t xml:space="preserve"> as the foundational pillar — the parties choose the tribunal, procedure, seat, language and applicable law. Autonomy stops at the non-derogable provisions, of which s. 34 is the chief example.</w:t>
      </w:r>
    </w:p>
    <w:p w14:paraId="429768CB" w14:textId="77777777" w:rsidR="00004105" w:rsidRDefault="00000000">
      <w:pPr>
        <w:pStyle w:val="ListParagraph"/>
        <w:numPr>
          <w:ilvl w:val="0"/>
          <w:numId w:val="4"/>
        </w:numPr>
        <w:spacing w:after="70"/>
        <w:jc w:val="both"/>
      </w:pPr>
      <w:r>
        <w:rPr>
          <w:b/>
          <w:bCs/>
        </w:rPr>
        <w:lastRenderedPageBreak/>
        <w:t>State support</w:t>
      </w:r>
      <w:r>
        <w:t xml:space="preserve"> through an enabling statute, ouster of civil court jurisdiction, and court-annexed arbitration (s. 89 CPC).</w:t>
      </w:r>
    </w:p>
    <w:p w14:paraId="459C1753" w14:textId="77777777" w:rsidR="00004105" w:rsidRDefault="00000000">
      <w:pPr>
        <w:pStyle w:val="ListParagraph"/>
        <w:numPr>
          <w:ilvl w:val="0"/>
          <w:numId w:val="4"/>
        </w:numPr>
        <w:spacing w:after="70"/>
        <w:jc w:val="both"/>
      </w:pPr>
      <w:r>
        <w:rPr>
          <w:b/>
          <w:bCs/>
        </w:rPr>
        <w:t>Legislative uniformity</w:t>
      </w:r>
      <w:r>
        <w:t xml:space="preserve"> — national laws follow the UNCITRAL Model Law, because uniformity promotes cross-border trade.</w:t>
      </w:r>
    </w:p>
    <w:p w14:paraId="1037B45B" w14:textId="77777777" w:rsidR="00004105" w:rsidRDefault="00000000">
      <w:pPr>
        <w:pStyle w:val="ListParagraph"/>
        <w:numPr>
          <w:ilvl w:val="0"/>
          <w:numId w:val="4"/>
        </w:numPr>
        <w:spacing w:after="70"/>
        <w:jc w:val="both"/>
      </w:pPr>
      <w:r>
        <w:rPr>
          <w:b/>
          <w:bCs/>
        </w:rPr>
        <w:t>Exclusion of judicial intervention</w:t>
      </w:r>
      <w:r>
        <w:t xml:space="preserve"> — Art. 5 Model Law, enacted as s. 5.</w:t>
      </w:r>
    </w:p>
    <w:p w14:paraId="440EBB6F" w14:textId="77777777" w:rsidR="00004105" w:rsidRDefault="00000000">
      <w:pPr>
        <w:pStyle w:val="ListParagraph"/>
        <w:numPr>
          <w:ilvl w:val="0"/>
          <w:numId w:val="4"/>
        </w:numPr>
        <w:spacing w:after="70"/>
        <w:jc w:val="both"/>
      </w:pPr>
      <w:r>
        <w:rPr>
          <w:b/>
          <w:bCs/>
        </w:rPr>
        <w:t>Courts support rather than supervise</w:t>
      </w:r>
      <w:r>
        <w:t xml:space="preserve"> — interim measures (s. 9), assistance in taking evidence (s. 27), enforcement.</w:t>
      </w:r>
    </w:p>
    <w:p w14:paraId="043969E5" w14:textId="77777777" w:rsidR="00004105" w:rsidRDefault="00000000">
      <w:pPr>
        <w:pStyle w:val="ListParagraph"/>
        <w:numPr>
          <w:ilvl w:val="0"/>
          <w:numId w:val="4"/>
        </w:numPr>
        <w:spacing w:after="70"/>
        <w:jc w:val="both"/>
      </w:pPr>
      <w:r>
        <w:rPr>
          <w:b/>
          <w:bCs/>
        </w:rPr>
        <w:t>Competence-competence and separability</w:t>
      </w:r>
      <w:r>
        <w:t xml:space="preserve"> (s. 16).</w:t>
      </w:r>
    </w:p>
    <w:p w14:paraId="29A01E21" w14:textId="77777777" w:rsidR="00004105" w:rsidRDefault="00000000">
      <w:pPr>
        <w:pStyle w:val="ListParagraph"/>
        <w:numPr>
          <w:ilvl w:val="0"/>
          <w:numId w:val="4"/>
        </w:numPr>
        <w:spacing w:after="70"/>
        <w:jc w:val="both"/>
      </w:pPr>
      <w:r>
        <w:rPr>
          <w:b/>
          <w:bCs/>
        </w:rPr>
        <w:t>Reasoned award; narrow recourse</w:t>
      </w:r>
      <w:r>
        <w:t xml:space="preserve"> — no review on the merits, and even an erroneous award is enforceable.</w:t>
      </w:r>
    </w:p>
    <w:p w14:paraId="7EB0AAB5" w14:textId="77777777" w:rsidR="00004105" w:rsidRDefault="00000000">
      <w:pPr>
        <w:pStyle w:val="ListParagraph"/>
        <w:numPr>
          <w:ilvl w:val="0"/>
          <w:numId w:val="4"/>
        </w:numPr>
        <w:spacing w:after="70"/>
        <w:jc w:val="both"/>
      </w:pPr>
      <w:r>
        <w:rPr>
          <w:b/>
          <w:bCs/>
        </w:rPr>
        <w:t>Two presumptive obligations</w:t>
      </w:r>
      <w:r>
        <w:t xml:space="preserve"> — to recognise the arbitration agreement, and to recognise and enforce the award.</w:t>
      </w:r>
    </w:p>
    <w:p w14:paraId="5A91CFF9" w14:textId="77777777" w:rsidR="00004105" w:rsidRDefault="00000000">
      <w:pPr>
        <w:spacing w:after="110"/>
        <w:jc w:val="both"/>
      </w:pPr>
      <w:r>
        <w:rPr>
          <w:b/>
          <w:bCs/>
        </w:rPr>
        <w:t>Confidentiality</w:t>
      </w:r>
      <w:r>
        <w:t xml:space="preserve"> is usually listed as an advantage and is the feature corporate users value most, but it is not universal: investment-treaty awards are commonly published, and transparency obligations may apply in environmental matters. </w:t>
      </w:r>
      <w:r>
        <w:rPr>
          <w:b/>
          <w:bCs/>
        </w:rPr>
        <w:t>Limited appeals</w:t>
      </w:r>
      <w:r>
        <w:t xml:space="preserve"> likewise needs qualification in India, because Arts. 226, 227 and 32 remain available (see 3.2).</w:t>
      </w:r>
    </w:p>
    <w:p w14:paraId="26E464CA" w14:textId="77777777" w:rsidR="00004105" w:rsidRDefault="00000000">
      <w:pPr>
        <w:pStyle w:val="Heading2"/>
        <w:keepNext/>
        <w:spacing w:before="240" w:after="110"/>
      </w:pPr>
      <w:bookmarkStart w:id="7" w:name="_Toc240747342"/>
      <w:r>
        <w:t>1.5  Choice of law; seat and venue</w:t>
      </w:r>
      <w:bookmarkEnd w:id="7"/>
    </w:p>
    <w:p w14:paraId="22FB715A" w14:textId="77777777" w:rsidR="00004105" w:rsidRDefault="00000000">
      <w:pPr>
        <w:spacing w:after="110"/>
        <w:jc w:val="both"/>
      </w:pPr>
      <w:r>
        <w:t xml:space="preserve">Three distinct laws may govern one arbitration: the </w:t>
      </w:r>
      <w:r>
        <w:rPr>
          <w:b/>
          <w:bCs/>
        </w:rPr>
        <w:t>substantive law</w:t>
      </w:r>
      <w:r>
        <w:t xml:space="preserve"> of the merits; the law governing the </w:t>
      </w:r>
      <w:r>
        <w:rPr>
          <w:b/>
          <w:bCs/>
        </w:rPr>
        <w:t>arbitration agreement</w:t>
      </w:r>
      <w:r>
        <w:t xml:space="preserve"> itself, which may differ from that of the underlying contract because the clause is separable; and the *</w:t>
      </w:r>
      <w:r>
        <w:rPr>
          <w:i/>
          <w:iCs/>
        </w:rPr>
        <w:t xml:space="preserve">procedural law or </w:t>
      </w:r>
      <w:r>
        <w:t>lex arbitri**</w:t>
      </w:r>
      <w:r>
        <w:rPr>
          <w:i/>
          <w:iCs/>
        </w:rPr>
        <w:t xml:space="preserve">, which follows the seat. A tribunal may also decide </w:t>
      </w:r>
      <w:r>
        <w:t>ex aequo et bono</w:t>
      </w:r>
      <w:r>
        <w:rPr>
          <w:i/>
          <w:iCs/>
        </w:rPr>
        <w:t xml:space="preserve"> or as </w:t>
      </w:r>
      <w:r>
        <w:t>amiable compositeur*, but only if the parties so authorise.</w:t>
      </w:r>
    </w:p>
    <w:p w14:paraId="2338469D" w14:textId="77777777" w:rsidR="00004105" w:rsidRDefault="00000000">
      <w:pPr>
        <w:spacing w:after="110"/>
        <w:jc w:val="both"/>
      </w:pPr>
      <w:r>
        <w:rPr>
          <w:b/>
          <w:bCs/>
        </w:rPr>
        <w:t>Seat v. venue.</w:t>
      </w:r>
      <w:r>
        <w:t xml:space="preserve"> S. 20 says “place”, read in Indian practice as the juridical </w:t>
      </w:r>
      <w:r>
        <w:rPr>
          <w:b/>
          <w:bCs/>
        </w:rPr>
        <w:t>seat</w:t>
      </w:r>
      <w:r>
        <w:t xml:space="preserve"> — it fixes the </w:t>
      </w:r>
      <w:r>
        <w:rPr>
          <w:i/>
          <w:iCs/>
        </w:rPr>
        <w:t>lex arbitri</w:t>
      </w:r>
      <w:r>
        <w:t xml:space="preserve"> and the supervising court. The </w:t>
      </w:r>
      <w:r>
        <w:rPr>
          <w:b/>
          <w:bCs/>
        </w:rPr>
        <w:t>venue</w:t>
      </w:r>
      <w:r>
        <w:t xml:space="preserve"> is merely where the tribunal sits, and s. 20(3) lets it meet anywhere convenient without disturbing the seat.</w:t>
      </w:r>
    </w:p>
    <w:p w14:paraId="40F9C25D" w14:textId="77777777" w:rsidR="00004105" w:rsidRDefault="00000000">
      <w:pPr>
        <w:pStyle w:val="Heading2"/>
        <w:keepNext/>
        <w:spacing w:before="240" w:after="110"/>
      </w:pPr>
      <w:bookmarkStart w:id="8" w:name="_Toc240747343"/>
      <w:r>
        <w:t>1.6  Scope of Part I: the territorial question</w:t>
      </w:r>
      <w:bookmarkEnd w:id="8"/>
    </w:p>
    <w:p w14:paraId="48A22EA5" w14:textId="77777777" w:rsidR="00004105" w:rsidRDefault="00000000">
      <w:pPr>
        <w:spacing w:after="110"/>
        <w:jc w:val="both"/>
      </w:pPr>
      <w:r>
        <w:t xml:space="preserve">Part I is headed simply “Arbitration” and contains the definitions, s. 9 and s. 34; Part II governs foreign awards and has, instead of a set-aside provision, s. 48 on refusal of recognition. Part II must nonetheless borrow from Part I even to know what an arbitration agreement is. S. 2(2) says Part I “shall apply where the place of arbitration is India”, and s. 2(7) makes an award under Part I a domestic award. The argument that produced the controversy was textual: s. 2(2) does not say “shall </w:t>
      </w:r>
      <w:r>
        <w:rPr>
          <w:i/>
          <w:iCs/>
        </w:rPr>
        <w:t>only</w:t>
      </w:r>
      <w:r>
        <w:t xml:space="preserve"> apply”.</w:t>
      </w:r>
    </w:p>
    <w:p w14:paraId="10E44703" w14:textId="77777777" w:rsidR="00004105" w:rsidRDefault="00000000">
      <w:pPr>
        <w:keepNext/>
        <w:spacing w:before="170" w:after="60"/>
      </w:pPr>
      <w:r>
        <w:rPr>
          <w:b/>
          <w:bCs/>
        </w:rPr>
        <w:t>Bhatia International v. Bulk Trading S.A.</w:t>
      </w:r>
      <w:r>
        <w:rPr>
          <w:color w:val="404040"/>
          <w:sz w:val="19"/>
          <w:szCs w:val="19"/>
        </w:rPr>
        <w:t xml:space="preserve">  (2002) 4 SCC 105 (SC, 3 Judges).</w:t>
      </w:r>
    </w:p>
    <w:p w14:paraId="2084F41E" w14:textId="77777777" w:rsidR="00004105" w:rsidRDefault="00000000">
      <w:pPr>
        <w:spacing w:after="70" w:line="258" w:lineRule="auto"/>
        <w:ind w:left="259"/>
        <w:jc w:val="both"/>
      </w:pPr>
      <w:r>
        <w:rPr>
          <w:b/>
          <w:bCs/>
          <w:sz w:val="21"/>
          <w:szCs w:val="21"/>
        </w:rPr>
        <w:t xml:space="preserve">Facts. </w:t>
      </w:r>
      <w:r>
        <w:rPr>
          <w:sz w:val="21"/>
          <w:szCs w:val="21"/>
        </w:rPr>
        <w:t>ICC arbitration seated in Paris; the respondent sought a s. 9 injunction from the District Court, Indore.</w:t>
      </w:r>
    </w:p>
    <w:p w14:paraId="2795D4F4" w14:textId="77777777" w:rsidR="00004105" w:rsidRDefault="00000000">
      <w:pPr>
        <w:spacing w:after="70" w:line="258" w:lineRule="auto"/>
        <w:ind w:left="259"/>
        <w:jc w:val="both"/>
      </w:pPr>
      <w:r>
        <w:rPr>
          <w:b/>
          <w:bCs/>
          <w:sz w:val="21"/>
          <w:szCs w:val="21"/>
        </w:rPr>
        <w:t xml:space="preserve">Held. </w:t>
      </w:r>
      <w:r>
        <w:rPr>
          <w:sz w:val="21"/>
          <w:szCs w:val="21"/>
        </w:rPr>
        <w:t>Part I applies to all arbitrations — compulsorily where the seat is India, and to a foreign-seated ICA unless excluded by agreement, express or implied.</w:t>
      </w:r>
    </w:p>
    <w:p w14:paraId="3A175501" w14:textId="77777777" w:rsidR="00004105" w:rsidRDefault="00000000">
      <w:pPr>
        <w:spacing w:after="70" w:line="258" w:lineRule="auto"/>
        <w:ind w:left="259"/>
        <w:jc w:val="both"/>
      </w:pPr>
      <w:r>
        <w:rPr>
          <w:b/>
          <w:bCs/>
          <w:sz w:val="21"/>
          <w:szCs w:val="21"/>
        </w:rPr>
        <w:t>Status. Overruled</w:t>
      </w:r>
      <w:r>
        <w:rPr>
          <w:sz w:val="21"/>
          <w:szCs w:val="21"/>
        </w:rPr>
        <w:t xml:space="preserve"> prospectively by BALCO.</w:t>
      </w:r>
    </w:p>
    <w:p w14:paraId="2C24E254" w14:textId="77777777" w:rsidR="00004105" w:rsidRDefault="00000000">
      <w:pPr>
        <w:keepNext/>
        <w:spacing w:before="170" w:after="60"/>
      </w:pPr>
      <w:r>
        <w:rPr>
          <w:b/>
          <w:bCs/>
        </w:rPr>
        <w:t>Venture Global Engineering v. Satyam Computer Services Ltd.</w:t>
      </w:r>
      <w:r>
        <w:rPr>
          <w:color w:val="404040"/>
          <w:sz w:val="19"/>
          <w:szCs w:val="19"/>
        </w:rPr>
        <w:t xml:space="preserve">  (2008) 4 SCC 190 (SC).</w:t>
      </w:r>
    </w:p>
    <w:p w14:paraId="1E0B77A0" w14:textId="77777777" w:rsidR="00004105" w:rsidRDefault="00000000">
      <w:pPr>
        <w:spacing w:after="70" w:line="258" w:lineRule="auto"/>
        <w:ind w:left="259"/>
        <w:jc w:val="both"/>
      </w:pPr>
      <w:r>
        <w:rPr>
          <w:b/>
          <w:bCs/>
          <w:sz w:val="21"/>
          <w:szCs w:val="21"/>
        </w:rPr>
        <w:t xml:space="preserve">Held. </w:t>
      </w:r>
      <w:r>
        <w:rPr>
          <w:sz w:val="21"/>
          <w:szCs w:val="21"/>
        </w:rPr>
        <w:t xml:space="preserve">Carrying Bhatia to its conclusion, s. 34 was held available to set aside a </w:t>
      </w:r>
      <w:r>
        <w:rPr>
          <w:b/>
          <w:bCs/>
          <w:sz w:val="21"/>
          <w:szCs w:val="21"/>
        </w:rPr>
        <w:t>foreign</w:t>
      </w:r>
      <w:r>
        <w:rPr>
          <w:sz w:val="21"/>
          <w:szCs w:val="21"/>
        </w:rPr>
        <w:t xml:space="preserve"> award in India.</w:t>
      </w:r>
    </w:p>
    <w:p w14:paraId="38F8F710" w14:textId="77777777" w:rsidR="00004105" w:rsidRDefault="00000000">
      <w:pPr>
        <w:spacing w:after="70" w:line="258" w:lineRule="auto"/>
        <w:ind w:left="259"/>
        <w:jc w:val="both"/>
      </w:pPr>
      <w:r>
        <w:rPr>
          <w:b/>
          <w:bCs/>
          <w:sz w:val="21"/>
          <w:szCs w:val="21"/>
        </w:rPr>
        <w:t xml:space="preserve">Why it matters. </w:t>
      </w:r>
      <w:r>
        <w:rPr>
          <w:sz w:val="21"/>
          <w:szCs w:val="21"/>
        </w:rPr>
        <w:t>This cut across the New York Convention, under which a foreign award may be refused recognition on Art. V grounds but not set aside outside the seat — setting aside is far wider in effect, since a set-aside award is ordinarily unenforceable everywhere.</w:t>
      </w:r>
    </w:p>
    <w:p w14:paraId="422AF4A8" w14:textId="77777777" w:rsidR="00004105" w:rsidRDefault="00000000">
      <w:pPr>
        <w:spacing w:after="70" w:line="258" w:lineRule="auto"/>
        <w:ind w:left="259"/>
        <w:jc w:val="both"/>
      </w:pPr>
      <w:r>
        <w:rPr>
          <w:b/>
          <w:bCs/>
          <w:sz w:val="21"/>
          <w:szCs w:val="21"/>
        </w:rPr>
        <w:lastRenderedPageBreak/>
        <w:t>Status. Overruled</w:t>
      </w:r>
      <w:r>
        <w:rPr>
          <w:sz w:val="21"/>
          <w:szCs w:val="21"/>
        </w:rPr>
        <w:t xml:space="preserve"> prospectively by BALCO.</w:t>
      </w:r>
    </w:p>
    <w:p w14:paraId="04F8B4B1" w14:textId="77777777" w:rsidR="00004105" w:rsidRDefault="00000000">
      <w:pPr>
        <w:keepNext/>
        <w:spacing w:before="170" w:after="60"/>
      </w:pPr>
      <w:r>
        <w:rPr>
          <w:b/>
          <w:bCs/>
        </w:rPr>
        <w:t>Bharat Aluminium Co. v. Kaiser Aluminium Technical Services Inc. (BALCO)</w:t>
      </w:r>
      <w:r>
        <w:rPr>
          <w:color w:val="404040"/>
          <w:sz w:val="19"/>
          <w:szCs w:val="19"/>
        </w:rPr>
        <w:t xml:space="preserve">  (2012) 9 SCC 552 (SC, Constitution Bench of 5, 6 Sept 2012).</w:t>
      </w:r>
    </w:p>
    <w:p w14:paraId="54388DBE" w14:textId="77777777" w:rsidR="00004105" w:rsidRDefault="00000000">
      <w:pPr>
        <w:spacing w:after="70" w:line="258" w:lineRule="auto"/>
        <w:ind w:left="259"/>
        <w:jc w:val="both"/>
      </w:pPr>
      <w:r>
        <w:rPr>
          <w:b/>
          <w:bCs/>
          <w:sz w:val="21"/>
          <w:szCs w:val="21"/>
        </w:rPr>
        <w:t xml:space="preserve">Held. </w:t>
      </w:r>
      <w:r>
        <w:rPr>
          <w:sz w:val="21"/>
          <w:szCs w:val="21"/>
        </w:rPr>
        <w:t xml:space="preserve">Part I applies </w:t>
      </w:r>
      <w:r>
        <w:rPr>
          <w:b/>
          <w:bCs/>
          <w:sz w:val="21"/>
          <w:szCs w:val="21"/>
        </w:rPr>
        <w:t>only</w:t>
      </w:r>
      <w:r>
        <w:rPr>
          <w:sz w:val="21"/>
          <w:szCs w:val="21"/>
        </w:rPr>
        <w:t xml:space="preserve"> to arbitrations seated in India. The Court adopted a </w:t>
      </w:r>
      <w:r>
        <w:rPr>
          <w:b/>
          <w:bCs/>
          <w:sz w:val="21"/>
          <w:szCs w:val="21"/>
        </w:rPr>
        <w:t>seat-centric</w:t>
      </w:r>
      <w:r>
        <w:rPr>
          <w:sz w:val="21"/>
          <w:szCs w:val="21"/>
        </w:rPr>
        <w:t xml:space="preserve"> rather than subject-matter-centric approach: the seat fixes the governing law and the supervisory courts. Two consequences for foreign-seated arbitration — no set-aside under s. 34, and (as then decided) no court-ordered interim relief.</w:t>
      </w:r>
    </w:p>
    <w:p w14:paraId="18A288A5" w14:textId="77777777" w:rsidR="00004105" w:rsidRDefault="00000000">
      <w:pPr>
        <w:spacing w:after="70" w:line="258" w:lineRule="auto"/>
        <w:ind w:left="259"/>
        <w:jc w:val="both"/>
      </w:pPr>
      <w:r>
        <w:rPr>
          <w:b/>
          <w:bCs/>
          <w:sz w:val="21"/>
          <w:szCs w:val="21"/>
        </w:rPr>
        <w:t xml:space="preserve">Status. </w:t>
      </w:r>
      <w:r>
        <w:rPr>
          <w:sz w:val="21"/>
          <w:szCs w:val="21"/>
        </w:rPr>
        <w:t xml:space="preserve">Good law, with two qualifications: (i) the ruling is </w:t>
      </w:r>
      <w:r>
        <w:rPr>
          <w:b/>
          <w:bCs/>
          <w:sz w:val="21"/>
          <w:szCs w:val="21"/>
        </w:rPr>
        <w:t>prospective</w:t>
      </w:r>
      <w:r>
        <w:rPr>
          <w:sz w:val="21"/>
          <w:szCs w:val="21"/>
        </w:rPr>
        <w:t>, applying under Art. 142 only to arbitration agreements executed on or after 6 September 2012, so earlier agreements remain governed by Bhatia; and (ii) the second consequence has been reversed by statute (1.7).</w:t>
      </w:r>
    </w:p>
    <w:p w14:paraId="2E60D485" w14:textId="77777777" w:rsidR="00004105" w:rsidRDefault="00000000">
      <w:pPr>
        <w:pStyle w:val="Heading2"/>
        <w:keepNext/>
        <w:spacing w:before="240" w:after="110"/>
      </w:pPr>
      <w:bookmarkStart w:id="9" w:name="_Toc240747344"/>
      <w:r>
        <w:t>1.7  Present position</w:t>
      </w:r>
      <w:bookmarkEnd w:id="9"/>
    </w:p>
    <w:p w14:paraId="53C5BD18" w14:textId="77777777" w:rsidR="00004105" w:rsidRDefault="00000000">
      <w:pPr>
        <w:spacing w:after="110"/>
        <w:jc w:val="both"/>
      </w:pPr>
      <w:r>
        <w:t xml:space="preserve">Part I applies to India-seated arbitrations. For foreign-seated ICA, the </w:t>
      </w:r>
      <w:r>
        <w:rPr>
          <w:b/>
          <w:bCs/>
        </w:rPr>
        <w:t>proviso to s. 2(2)</w:t>
      </w:r>
      <w:r>
        <w:t xml:space="preserve"> (inserted 2015) applies </w:t>
      </w:r>
      <w:r>
        <w:rPr>
          <w:b/>
          <w:bCs/>
        </w:rPr>
        <w:t>ss. 9, 27 and 37(1)(a) and (3)</w:t>
      </w:r>
      <w:r>
        <w:t xml:space="preserve"> unless the parties agree otherwise — restoring court-assisted interim relief and evidence-gathering while leaving set-aside to the courts of the seat. The working division of ICA is therefore into arbitrations seated in India and arbitrations seated abroad.</w:t>
      </w:r>
    </w:p>
    <w:p w14:paraId="63F42632" w14:textId="77777777" w:rsidR="00004105" w:rsidRDefault="00000000">
      <w:pPr>
        <w:pStyle w:val="Heading2"/>
        <w:keepNext/>
        <w:spacing w:before="240" w:after="110"/>
      </w:pPr>
      <w:bookmarkStart w:id="10" w:name="_Toc240747345"/>
      <w:r>
        <w:t>1.8  Judicial interference and delay: two treaty awards</w:t>
      </w:r>
      <w:bookmarkEnd w:id="10"/>
    </w:p>
    <w:p w14:paraId="286A3C42" w14:textId="77777777" w:rsidR="00004105" w:rsidRDefault="00000000">
      <w:pPr>
        <w:keepNext/>
        <w:spacing w:before="170" w:after="60"/>
      </w:pPr>
      <w:r>
        <w:rPr>
          <w:b/>
          <w:bCs/>
        </w:rPr>
        <w:t>Saipem S.p.A. v. People's Republic of Bangladesh</w:t>
      </w:r>
      <w:r>
        <w:rPr>
          <w:color w:val="404040"/>
          <w:sz w:val="19"/>
          <w:szCs w:val="19"/>
        </w:rPr>
        <w:t xml:space="preserve">  ICSID Case No. ARB/05/7; Award 30 June 2009 (Kaufmann-Kohler, Schreuer, Otton).</w:t>
      </w:r>
    </w:p>
    <w:p w14:paraId="0E967FA1" w14:textId="77777777" w:rsidR="00004105" w:rsidRDefault="00000000">
      <w:pPr>
        <w:spacing w:after="70" w:line="258" w:lineRule="auto"/>
        <w:ind w:left="259"/>
        <w:jc w:val="both"/>
      </w:pPr>
      <w:r>
        <w:rPr>
          <w:b/>
          <w:bCs/>
          <w:sz w:val="21"/>
          <w:szCs w:val="21"/>
        </w:rPr>
        <w:t xml:space="preserve">Facts. </w:t>
      </w:r>
      <w:r>
        <w:rPr>
          <w:sz w:val="21"/>
          <w:szCs w:val="21"/>
        </w:rPr>
        <w:t>Bangladeshi courts revoked the ICC tribunal's authority and restrained the arbitration; the tribunal disregarded that reasoning and made an award, which the courts then treated as a nullity so that it could not be enforced.</w:t>
      </w:r>
    </w:p>
    <w:p w14:paraId="3EAAFA30" w14:textId="77777777" w:rsidR="00004105" w:rsidRDefault="00000000">
      <w:pPr>
        <w:spacing w:after="70" w:line="258" w:lineRule="auto"/>
        <w:ind w:left="259"/>
        <w:jc w:val="both"/>
      </w:pPr>
      <w:r>
        <w:rPr>
          <w:b/>
          <w:bCs/>
          <w:sz w:val="21"/>
          <w:szCs w:val="21"/>
        </w:rPr>
        <w:t xml:space="preserve">Held. </w:t>
      </w:r>
      <w:r>
        <w:rPr>
          <w:sz w:val="21"/>
          <w:szCs w:val="21"/>
        </w:rPr>
        <w:t xml:space="preserve">Bangladesh had </w:t>
      </w:r>
      <w:r>
        <w:rPr>
          <w:b/>
          <w:bCs/>
          <w:sz w:val="21"/>
          <w:szCs w:val="21"/>
        </w:rPr>
        <w:t>expropriated</w:t>
      </w:r>
      <w:r>
        <w:rPr>
          <w:sz w:val="21"/>
          <w:szCs w:val="21"/>
        </w:rPr>
        <w:t xml:space="preserve"> Saipem's rights. The residual contractual rights crystallised in an award are an intangible asset capable of expropriation; court action substantially depriving the holder of the award's benefit engages the State's treaty obligations. The tribunal also found the conduct inconsistent with the New York Convention and an abuse of rights.</w:t>
      </w:r>
    </w:p>
    <w:p w14:paraId="404CCDD7" w14:textId="77777777" w:rsidR="00004105" w:rsidRDefault="00000000">
      <w:pPr>
        <w:spacing w:after="70" w:line="258" w:lineRule="auto"/>
        <w:ind w:left="259"/>
        <w:jc w:val="both"/>
      </w:pPr>
      <w:r>
        <w:rPr>
          <w:b/>
          <w:bCs/>
          <w:sz w:val="21"/>
          <w:szCs w:val="21"/>
        </w:rPr>
        <w:t xml:space="preserve">Why it matters. </w:t>
      </w:r>
      <w:r>
        <w:rPr>
          <w:sz w:val="21"/>
          <w:szCs w:val="21"/>
        </w:rPr>
        <w:t>Shows s. 5 / Art. 5 from the outside: excessive judicial intervention is not merely irregular but may be internationally wrongful.</w:t>
      </w:r>
    </w:p>
    <w:p w14:paraId="5D81991B" w14:textId="77777777" w:rsidR="00004105" w:rsidRDefault="00000000">
      <w:pPr>
        <w:spacing w:after="70" w:line="258" w:lineRule="auto"/>
        <w:ind w:left="259"/>
        <w:jc w:val="both"/>
      </w:pPr>
      <w:r>
        <w:rPr>
          <w:b/>
          <w:bCs/>
          <w:sz w:val="21"/>
          <w:szCs w:val="21"/>
        </w:rPr>
        <w:t xml:space="preserve">Status. </w:t>
      </w:r>
      <w:r>
        <w:rPr>
          <w:sz w:val="21"/>
          <w:szCs w:val="21"/>
        </w:rPr>
        <w:t>An arbitral award — persuasive, not binding.</w:t>
      </w:r>
    </w:p>
    <w:p w14:paraId="4FDB7F25" w14:textId="77777777" w:rsidR="00004105" w:rsidRDefault="00000000">
      <w:pPr>
        <w:keepNext/>
        <w:spacing w:before="170" w:after="60"/>
      </w:pPr>
      <w:r>
        <w:rPr>
          <w:b/>
          <w:bCs/>
        </w:rPr>
        <w:t>White Industries Australia Ltd. v. Republic of India</w:t>
      </w:r>
      <w:r>
        <w:rPr>
          <w:color w:val="404040"/>
          <w:sz w:val="19"/>
          <w:szCs w:val="19"/>
        </w:rPr>
        <w:t xml:space="preserve">  UNCITRAL, Australia–India BIT; Final Award 30 Nov 2011 (Rowley, Brower, Lau).</w:t>
      </w:r>
    </w:p>
    <w:p w14:paraId="32A97C38" w14:textId="77777777" w:rsidR="00004105" w:rsidRDefault="00000000">
      <w:pPr>
        <w:spacing w:after="70" w:line="258" w:lineRule="auto"/>
        <w:ind w:left="259"/>
        <w:jc w:val="both"/>
      </w:pPr>
      <w:r>
        <w:rPr>
          <w:b/>
          <w:bCs/>
          <w:sz w:val="21"/>
          <w:szCs w:val="21"/>
        </w:rPr>
        <w:t xml:space="preserve">Facts. </w:t>
      </w:r>
      <w:r>
        <w:rPr>
          <w:sz w:val="21"/>
          <w:szCs w:val="21"/>
        </w:rPr>
        <w:t>White Industries obtained a Paris-seated ICC award against Coal India in 2002; enforcement and set-aside proceedings then ran in the Indian courts for roughly nine years without resolution. It commenced treaty arbitration (under UNCITRAL Rules, India not being an ICSID member).</w:t>
      </w:r>
    </w:p>
    <w:p w14:paraId="2B0F38A7" w14:textId="77777777" w:rsidR="00004105" w:rsidRDefault="00000000">
      <w:pPr>
        <w:spacing w:after="70" w:line="258" w:lineRule="auto"/>
        <w:ind w:left="259"/>
        <w:jc w:val="both"/>
      </w:pPr>
      <w:r>
        <w:rPr>
          <w:b/>
          <w:bCs/>
          <w:sz w:val="21"/>
          <w:szCs w:val="21"/>
        </w:rPr>
        <w:t xml:space="preserve">Held. </w:t>
      </w:r>
      <w:r>
        <w:rPr>
          <w:sz w:val="21"/>
          <w:szCs w:val="21"/>
        </w:rPr>
        <w:t xml:space="preserve">India breached its obligation to provide </w:t>
      </w:r>
      <w:r>
        <w:rPr>
          <w:b/>
          <w:bCs/>
          <w:sz w:val="21"/>
          <w:szCs w:val="21"/>
        </w:rPr>
        <w:t>“effective means” of asserting claims and enforcing rights</w:t>
      </w:r>
      <w:r>
        <w:rPr>
          <w:sz w:val="21"/>
          <w:szCs w:val="21"/>
        </w:rPr>
        <w:t xml:space="preserve"> — a standard imported through the MFN clause from the India–Kuwait BIT. Expropriation and fair-and-equitable-treatment claims were rejected.</w:t>
      </w:r>
    </w:p>
    <w:p w14:paraId="01FD1D03" w14:textId="77777777" w:rsidR="00004105" w:rsidRDefault="00000000">
      <w:pPr>
        <w:spacing w:after="70" w:line="258" w:lineRule="auto"/>
        <w:ind w:left="259"/>
        <w:jc w:val="both"/>
      </w:pPr>
      <w:r>
        <w:rPr>
          <w:b/>
          <w:bCs/>
          <w:sz w:val="21"/>
          <w:szCs w:val="21"/>
        </w:rPr>
        <w:t xml:space="preserve">Why it matters. </w:t>
      </w:r>
      <w:r>
        <w:rPr>
          <w:sz w:val="21"/>
          <w:szCs w:val="21"/>
        </w:rPr>
        <w:t>The counterpart to Saipem: Saipem is active obstruction, White Industries is delay. Together they explain the progressive tightening of timelines in the Indian Act. The first known treaty award against India.</w:t>
      </w:r>
    </w:p>
    <w:p w14:paraId="664EB45C" w14:textId="77777777" w:rsidR="00004105" w:rsidRDefault="00000000">
      <w:pPr>
        <w:spacing w:after="70" w:line="258" w:lineRule="auto"/>
        <w:ind w:left="259"/>
        <w:jc w:val="both"/>
      </w:pPr>
      <w:r>
        <w:rPr>
          <w:b/>
          <w:bCs/>
          <w:sz w:val="21"/>
          <w:szCs w:val="21"/>
        </w:rPr>
        <w:t xml:space="preserve">Status. </w:t>
      </w:r>
      <w:r>
        <w:rPr>
          <w:sz w:val="21"/>
          <w:szCs w:val="21"/>
        </w:rPr>
        <w:t>Award not officially published; the tribunal's composition is drawn from recognised arbitration databases.</w:t>
      </w:r>
    </w:p>
    <w:p w14:paraId="746A1712" w14:textId="77777777" w:rsidR="00004105" w:rsidRDefault="00000000">
      <w:pPr>
        <w:pStyle w:val="Heading1"/>
        <w:keepNext/>
        <w:pBdr>
          <w:top w:val="single" w:sz="8" w:space="10" w:color="999999"/>
        </w:pBdr>
        <w:spacing w:before="460" w:after="170"/>
      </w:pPr>
      <w:bookmarkStart w:id="11" w:name="_Toc240747346"/>
      <w:r>
        <w:lastRenderedPageBreak/>
        <w:t>2  Waiver of the Right to Object: s. 4</w:t>
      </w:r>
      <w:bookmarkEnd w:id="11"/>
    </w:p>
    <w:p w14:paraId="250402BB" w14:textId="77777777" w:rsidR="00004105" w:rsidRDefault="00000000">
      <w:pPr>
        <w:pBdr>
          <w:left w:val="single" w:sz="12" w:space="8" w:color="7A7A7A"/>
        </w:pBdr>
        <w:spacing w:before="110" w:after="140" w:line="252" w:lineRule="auto"/>
        <w:ind w:left="288"/>
        <w:jc w:val="both"/>
      </w:pPr>
      <w:r>
        <w:rPr>
          <w:sz w:val="20"/>
          <w:szCs w:val="20"/>
        </w:rPr>
        <w:t xml:space="preserve">The prescribed list calls this topic “Arbitration Agreement, s. 4”. S. 4 is in fact headed </w:t>
      </w:r>
      <w:r>
        <w:rPr>
          <w:b/>
          <w:bCs/>
          <w:sz w:val="20"/>
          <w:szCs w:val="20"/>
        </w:rPr>
        <w:t>Waiver of right to object</w:t>
      </w:r>
      <w:r>
        <w:rPr>
          <w:sz w:val="20"/>
          <w:szCs w:val="20"/>
        </w:rPr>
        <w:t xml:space="preserve">; the arbitration agreement is s. 7 (Chapter 4). The class materials also treat </w:t>
      </w:r>
      <w:r>
        <w:rPr>
          <w:i/>
          <w:iCs/>
          <w:sz w:val="20"/>
          <w:szCs w:val="20"/>
        </w:rPr>
        <w:t>Scott v. Avery</w:t>
      </w:r>
      <w:r>
        <w:rPr>
          <w:sz w:val="20"/>
          <w:szCs w:val="20"/>
        </w:rPr>
        <w:t xml:space="preserve"> and </w:t>
      </w:r>
      <w:r>
        <w:rPr>
          <w:i/>
          <w:iCs/>
          <w:sz w:val="20"/>
          <w:szCs w:val="20"/>
        </w:rPr>
        <w:t>Lohia</w:t>
      </w:r>
      <w:r>
        <w:rPr>
          <w:sz w:val="20"/>
          <w:szCs w:val="20"/>
        </w:rPr>
        <w:t xml:space="preserve"> under s. 4, which is where they belong.</w:t>
      </w:r>
    </w:p>
    <w:p w14:paraId="25E976B5" w14:textId="77777777" w:rsidR="00004105" w:rsidRDefault="00000000">
      <w:pPr>
        <w:pStyle w:val="Heading2"/>
        <w:keepNext/>
        <w:spacing w:before="240" w:after="110"/>
      </w:pPr>
      <w:bookmarkStart w:id="12" w:name="_Toc240747347"/>
      <w:r>
        <w:t>2.1  Provision and purpose</w:t>
      </w:r>
      <w:bookmarkEnd w:id="12"/>
    </w:p>
    <w:p w14:paraId="087BCF21" w14:textId="77777777" w:rsidR="00004105" w:rsidRDefault="00000000">
      <w:pPr>
        <w:spacing w:before="80" w:after="110" w:line="250" w:lineRule="auto"/>
        <w:ind w:left="504" w:right="288"/>
        <w:jc w:val="both"/>
      </w:pPr>
      <w:r>
        <w:rPr>
          <w:b/>
          <w:bCs/>
          <w:sz w:val="20"/>
          <w:szCs w:val="20"/>
        </w:rPr>
        <w:t>4.</w:t>
      </w:r>
      <w:r>
        <w:rPr>
          <w:sz w:val="20"/>
          <w:szCs w:val="20"/>
        </w:rPr>
        <w:t xml:space="preserve"> A party who knows that— (a) any provision of this Part </w:t>
      </w:r>
      <w:r>
        <w:rPr>
          <w:b/>
          <w:bCs/>
          <w:sz w:val="20"/>
          <w:szCs w:val="20"/>
        </w:rPr>
        <w:t>from which the parties may derogate</w:t>
      </w:r>
      <w:r>
        <w:rPr>
          <w:sz w:val="20"/>
          <w:szCs w:val="20"/>
        </w:rPr>
        <w:t xml:space="preserve">, or (b) any requirement under the arbitration agreement, has not been complied with and yet proceeds with the arbitration without stating his objection to such non-compliance without undue delay or, if a time limit is provided for stating that objection, within that period of time, </w:t>
      </w:r>
      <w:r>
        <w:rPr>
          <w:b/>
          <w:bCs/>
          <w:sz w:val="20"/>
          <w:szCs w:val="20"/>
        </w:rPr>
        <w:t>shall be deemed to have waived his right to so object</w:t>
      </w:r>
      <w:r>
        <w:rPr>
          <w:sz w:val="20"/>
          <w:szCs w:val="20"/>
        </w:rPr>
        <w:t>.</w:t>
      </w:r>
    </w:p>
    <w:p w14:paraId="10C5E282" w14:textId="77777777" w:rsidR="00004105" w:rsidRDefault="00000000">
      <w:pPr>
        <w:spacing w:after="110"/>
        <w:jc w:val="both"/>
      </w:pPr>
      <w:r>
        <w:t xml:space="preserve">The purpose is procedural discipline: a party must not store up a defect and produce it after an unfavourable award. Elements: </w:t>
      </w:r>
      <w:r>
        <w:rPr>
          <w:b/>
          <w:bCs/>
        </w:rPr>
        <w:t>(i)</w:t>
      </w:r>
      <w:r>
        <w:t xml:space="preserve"> knowledge of the non-compliance; </w:t>
      </w:r>
      <w:r>
        <w:rPr>
          <w:b/>
          <w:bCs/>
        </w:rPr>
        <w:t>(ii)</w:t>
      </w:r>
      <w:r>
        <w:t xml:space="preserve"> the non-compliance is of a </w:t>
      </w:r>
      <w:r>
        <w:rPr>
          <w:b/>
          <w:bCs/>
        </w:rPr>
        <w:t>derogable</w:t>
      </w:r>
      <w:r>
        <w:t xml:space="preserve"> provision of Part I, or of a requirement of the agreement; </w:t>
      </w:r>
      <w:r>
        <w:rPr>
          <w:b/>
          <w:bCs/>
        </w:rPr>
        <w:t>(iii)</w:t>
      </w:r>
      <w:r>
        <w:t xml:space="preserve"> the party proceeds with the arbitration; </w:t>
      </w:r>
      <w:r>
        <w:rPr>
          <w:b/>
          <w:bCs/>
        </w:rPr>
        <w:t>(iv)</w:t>
      </w:r>
      <w:r>
        <w:t xml:space="preserve"> no objection without undue delay, or within any prescribed period. The waiver is then deemed — no separate finding of intention to abandon the right is needed.</w:t>
      </w:r>
    </w:p>
    <w:p w14:paraId="128F4D93" w14:textId="77777777" w:rsidR="00004105" w:rsidRDefault="00000000">
      <w:pPr>
        <w:pStyle w:val="Heading2"/>
        <w:keepNext/>
        <w:spacing w:before="240" w:after="110"/>
      </w:pPr>
      <w:bookmarkStart w:id="13" w:name="_Toc240747348"/>
      <w:r>
        <w:t>2.2  Limb (b): Scott v. Avery clauses</w:t>
      </w:r>
      <w:bookmarkEnd w:id="13"/>
    </w:p>
    <w:p w14:paraId="1E9FCAA9" w14:textId="77777777" w:rsidR="00004105" w:rsidRDefault="00000000">
      <w:pPr>
        <w:spacing w:after="110"/>
        <w:jc w:val="both"/>
      </w:pPr>
      <w:r>
        <w:rPr>
          <w:i/>
          <w:iCs/>
        </w:rPr>
        <w:t>Scott v. Avery</w:t>
      </w:r>
      <w:r>
        <w:t xml:space="preserve">, (1856) 5 HL Cas 811; 10 ER 1121 (HL), upheld a clause making an award — or some other stipulated step — a </w:t>
      </w:r>
      <w:r>
        <w:rPr>
          <w:b/>
          <w:bCs/>
        </w:rPr>
        <w:t>condition precedent to suit</w:t>
      </w:r>
      <w:r>
        <w:t>. Such a clause does not oust the court's jurisdiction; it postpones recourse until the contractual condition is satisfied. The familiar construction example: stage payments fall due only on certification by the architect or engineer. A party who knows the certification requirement was not observed, yet proceeds without objecting, loses the point under s. 4.</w:t>
      </w:r>
    </w:p>
    <w:p w14:paraId="732E6918" w14:textId="77777777" w:rsidR="00004105" w:rsidRDefault="00000000">
      <w:pPr>
        <w:pBdr>
          <w:left w:val="single" w:sz="12" w:space="8" w:color="7A7A7A"/>
        </w:pBdr>
        <w:spacing w:before="110" w:after="140" w:line="252" w:lineRule="auto"/>
        <w:ind w:left="288"/>
        <w:jc w:val="both"/>
      </w:pPr>
      <w:r>
        <w:rPr>
          <w:i/>
          <w:iCs/>
          <w:sz w:val="20"/>
          <w:szCs w:val="20"/>
        </w:rPr>
        <w:t>Scott v. Avery</w:t>
      </w:r>
      <w:r>
        <w:rPr>
          <w:sz w:val="20"/>
          <w:szCs w:val="20"/>
        </w:rPr>
        <w:t xml:space="preserve"> is English, and the phrase describes a </w:t>
      </w:r>
      <w:r>
        <w:rPr>
          <w:b/>
          <w:bCs/>
          <w:sz w:val="20"/>
          <w:szCs w:val="20"/>
        </w:rPr>
        <w:t>type of clause</w:t>
      </w:r>
      <w:r>
        <w:rPr>
          <w:sz w:val="20"/>
          <w:szCs w:val="20"/>
        </w:rPr>
        <w:t xml:space="preserve">, not a rule of Indian statute law. The principle is received in India, but on a given set of facts cite the relevant Indian decision rather than </w:t>
      </w:r>
      <w:r>
        <w:rPr>
          <w:i/>
          <w:iCs/>
          <w:sz w:val="20"/>
          <w:szCs w:val="20"/>
        </w:rPr>
        <w:t>Scott v. Avery</w:t>
      </w:r>
      <w:r>
        <w:rPr>
          <w:sz w:val="20"/>
          <w:szCs w:val="20"/>
        </w:rPr>
        <w:t xml:space="preserve"> alone.</w:t>
      </w:r>
    </w:p>
    <w:p w14:paraId="5682A44B" w14:textId="77777777" w:rsidR="00004105" w:rsidRDefault="00000000">
      <w:pPr>
        <w:pStyle w:val="Heading2"/>
        <w:keepNext/>
        <w:spacing w:before="240" w:after="110"/>
      </w:pPr>
      <w:bookmarkStart w:id="14" w:name="_Toc240747349"/>
      <w:r>
        <w:t>2.3  What cannot be waived</w:t>
      </w:r>
      <w:bookmarkEnd w:id="14"/>
    </w:p>
    <w:p w14:paraId="6CE5C4B5" w14:textId="77777777" w:rsidR="00004105" w:rsidRDefault="00000000">
      <w:pPr>
        <w:spacing w:after="110"/>
        <w:jc w:val="both"/>
      </w:pPr>
      <w:r>
        <w:t xml:space="preserve">S. 4 reaches only </w:t>
      </w:r>
      <w:r>
        <w:rPr>
          <w:b/>
          <w:bCs/>
        </w:rPr>
        <w:t>derogable</w:t>
      </w:r>
      <w:r>
        <w:t xml:space="preserve"> provisions. Non-compliance with a provision from which the parties cannot derogate is not cured by silence or participation — s. 34 (right of recourse) and s. 18 (equal treatment) are the standard examples. Read s. 4 with three companion timing rules: </w:t>
      </w:r>
      <w:r>
        <w:rPr>
          <w:b/>
          <w:bCs/>
        </w:rPr>
        <w:t>s. 16(2)</w:t>
      </w:r>
      <w:r>
        <w:t xml:space="preserve"> (jurisdictional plea not later than the statement of defence), </w:t>
      </w:r>
      <w:r>
        <w:rPr>
          <w:b/>
          <w:bCs/>
        </w:rPr>
        <w:t>s. 13(2)</w:t>
      </w:r>
      <w:r>
        <w:t xml:space="preserve"> (challenge within fifteen days), and the </w:t>
      </w:r>
      <w:r>
        <w:rPr>
          <w:b/>
          <w:bCs/>
        </w:rPr>
        <w:t>proviso to s. 12(5)</w:t>
      </w:r>
      <w:r>
        <w:t>, which permits waiver of Seventh Schedule ineligibility only by express written agreement made after the dispute has arisen — conduct will not do.</w:t>
      </w:r>
    </w:p>
    <w:p w14:paraId="45B8506F" w14:textId="77777777" w:rsidR="00004105" w:rsidRDefault="00000000">
      <w:pPr>
        <w:pStyle w:val="Heading2"/>
        <w:keepNext/>
        <w:spacing w:before="240" w:after="110"/>
      </w:pPr>
      <w:bookmarkStart w:id="15" w:name="_Toc240747350"/>
      <w:r>
        <w:t>2.4  The section in operation</w:t>
      </w:r>
      <w:bookmarkEnd w:id="15"/>
    </w:p>
    <w:p w14:paraId="4AF295C1" w14:textId="77777777" w:rsidR="00004105" w:rsidRDefault="00000000">
      <w:pPr>
        <w:spacing w:after="110"/>
        <w:jc w:val="both"/>
      </w:pPr>
      <w:r>
        <w:t xml:space="preserve">In </w:t>
      </w:r>
      <w:r>
        <w:rPr>
          <w:i/>
          <w:iCs/>
        </w:rPr>
        <w:t>Narayan Prasad Lohia v. Nikunj Kumar Lohia</w:t>
      </w:r>
      <w:r>
        <w:t>, (2002) 3 SCC 572, the award was made by two arbitrators and the objection under s. 10 was taken only afterwards. The Court held s. 10 derogable and the objection waived for want of a timely plea under s. 16(2). S. 4 and s. 16(2) together supplied the answer: the defect was capable of waiver, and had been waived. The case is set out fully at Chapter 6.</w:t>
      </w:r>
    </w:p>
    <w:p w14:paraId="5767E860" w14:textId="77777777" w:rsidR="00004105" w:rsidRDefault="00000000">
      <w:pPr>
        <w:pStyle w:val="Heading1"/>
        <w:keepNext/>
        <w:pBdr>
          <w:top w:val="single" w:sz="8" w:space="10" w:color="999999"/>
        </w:pBdr>
        <w:spacing w:before="460" w:after="170"/>
      </w:pPr>
      <w:bookmarkStart w:id="16" w:name="_Toc240747351"/>
      <w:r>
        <w:lastRenderedPageBreak/>
        <w:t>3  Reference to Arbitration and Judicial Intervention: ss. 8 and 5</w:t>
      </w:r>
      <w:bookmarkEnd w:id="16"/>
    </w:p>
    <w:p w14:paraId="484A8DDB" w14:textId="77777777" w:rsidR="00004105" w:rsidRDefault="00000000">
      <w:pPr>
        <w:spacing w:after="110"/>
        <w:jc w:val="both"/>
      </w:pPr>
      <w:r>
        <w:t xml:space="preserve">The two sections express one policy from opposite directions. S. 5 says when a court may </w:t>
      </w:r>
      <w:r>
        <w:rPr>
          <w:b/>
          <w:bCs/>
        </w:rPr>
        <w:t>not</w:t>
      </w:r>
      <w:r>
        <w:t xml:space="preserve"> act; s. 8 says what a judicial authority </w:t>
      </w:r>
      <w:r>
        <w:rPr>
          <w:b/>
          <w:bCs/>
        </w:rPr>
        <w:t>must</w:t>
      </w:r>
      <w:r>
        <w:t xml:space="preserve"> do when a party brings to it a dispute the parties agreed to arbitrate.</w:t>
      </w:r>
    </w:p>
    <w:p w14:paraId="6F30E25F" w14:textId="77777777" w:rsidR="00004105" w:rsidRDefault="00000000">
      <w:pPr>
        <w:pStyle w:val="Heading2"/>
        <w:keepNext/>
        <w:spacing w:before="240" w:after="110"/>
      </w:pPr>
      <w:bookmarkStart w:id="17" w:name="_Toc240747352"/>
      <w:r>
        <w:t>3.1  S. 5</w:t>
      </w:r>
      <w:bookmarkEnd w:id="17"/>
    </w:p>
    <w:p w14:paraId="41695238" w14:textId="77777777" w:rsidR="00004105" w:rsidRDefault="00000000">
      <w:pPr>
        <w:spacing w:before="80" w:after="110" w:line="250" w:lineRule="auto"/>
        <w:ind w:left="504" w:right="288"/>
        <w:jc w:val="both"/>
      </w:pPr>
      <w:r>
        <w:rPr>
          <w:b/>
          <w:bCs/>
          <w:sz w:val="20"/>
          <w:szCs w:val="20"/>
        </w:rPr>
        <w:t>5.</w:t>
      </w:r>
      <w:r>
        <w:rPr>
          <w:sz w:val="20"/>
          <w:szCs w:val="20"/>
        </w:rPr>
        <w:t xml:space="preserve"> Notwithstanding anything contained in any other law for the time being in force, in matters governed by this Part, no judicial authority shall intervene except where so provided in this Part.</w:t>
      </w:r>
    </w:p>
    <w:p w14:paraId="008403FE" w14:textId="77777777" w:rsidR="00004105" w:rsidRDefault="00000000">
      <w:pPr>
        <w:spacing w:after="110"/>
        <w:jc w:val="both"/>
      </w:pPr>
      <w:r>
        <w:t>A non obstante clause, enacting Art. 5 of the Model Law. Its function is negative: intervention is prohibited unless Part I authorises it, so the permitted instances are a closed list — ss. 8, 9, 11, 14(2), 27, 34, 36 and 37.</w:t>
      </w:r>
    </w:p>
    <w:p w14:paraId="6399CBFD" w14:textId="77777777" w:rsidR="00004105" w:rsidRDefault="00000000">
      <w:pPr>
        <w:pStyle w:val="Heading2"/>
        <w:keepNext/>
        <w:spacing w:before="240" w:after="110"/>
      </w:pPr>
      <w:bookmarkStart w:id="18" w:name="_Toc240747353"/>
      <w:r>
        <w:t>3.2  What s. 5 does not exclude</w:t>
      </w:r>
      <w:bookmarkEnd w:id="18"/>
    </w:p>
    <w:p w14:paraId="1E3382E7" w14:textId="77777777" w:rsidR="00004105" w:rsidRDefault="00000000">
      <w:pPr>
        <w:spacing w:after="110"/>
        <w:jc w:val="both"/>
      </w:pPr>
      <w:r>
        <w:t xml:space="preserve">First, s. 5 speaks of “matters governed by this Part”, i.e. Part I; its application to Part II is not free from difficulty, and the Act is criticised as poorly drafted here. Second, and more importantly, an ordinary statute cannot curtail the </w:t>
      </w:r>
      <w:r>
        <w:rPr>
          <w:b/>
          <w:bCs/>
        </w:rPr>
        <w:t>constitutional</w:t>
      </w:r>
      <w:r>
        <w:t xml:space="preserve"> jurisdiction under Arts. 226, 227 and 32.</w:t>
      </w:r>
    </w:p>
    <w:p w14:paraId="39319CA1" w14:textId="77777777" w:rsidR="00004105" w:rsidRDefault="00000000">
      <w:pPr>
        <w:keepNext/>
        <w:spacing w:before="170" w:after="60"/>
      </w:pPr>
      <w:r>
        <w:rPr>
          <w:b/>
          <w:bCs/>
        </w:rPr>
        <w:t>Union of India v. Tantia Construction Pvt. Ltd.</w:t>
      </w:r>
      <w:r>
        <w:rPr>
          <w:color w:val="404040"/>
          <w:sz w:val="19"/>
          <w:szCs w:val="19"/>
        </w:rPr>
        <w:t xml:space="preserve">  (2011) 5 SCC 697 (SC, 2011).</w:t>
      </w:r>
    </w:p>
    <w:p w14:paraId="3F52959E" w14:textId="77777777" w:rsidR="00004105" w:rsidRDefault="00000000">
      <w:pPr>
        <w:spacing w:after="70" w:line="258" w:lineRule="auto"/>
        <w:ind w:left="259"/>
        <w:jc w:val="both"/>
      </w:pPr>
      <w:r>
        <w:rPr>
          <w:b/>
          <w:bCs/>
          <w:sz w:val="21"/>
          <w:szCs w:val="21"/>
        </w:rPr>
        <w:t xml:space="preserve">Facts. </w:t>
      </w:r>
      <w:r>
        <w:rPr>
          <w:sz w:val="21"/>
          <w:szCs w:val="21"/>
        </w:rPr>
        <w:t>A railway contract contained a wide arbitration clause. The contractor filed a writ petition to quash an order requiring it to execute enlarged work, contending that the entire design of the rail over-bridge had been altered into a new project. The Union objected that the arbitration clause, with s. 5, barred the writ petition.</w:t>
      </w:r>
    </w:p>
    <w:p w14:paraId="5E42B307" w14:textId="77777777" w:rsidR="00004105" w:rsidRDefault="00000000">
      <w:pPr>
        <w:spacing w:after="70" w:line="258" w:lineRule="auto"/>
        <w:ind w:left="259"/>
        <w:jc w:val="both"/>
      </w:pPr>
      <w:r>
        <w:rPr>
          <w:b/>
          <w:bCs/>
          <w:sz w:val="21"/>
          <w:szCs w:val="21"/>
        </w:rPr>
        <w:t xml:space="preserve">Held. </w:t>
      </w:r>
      <w:r>
        <w:rPr>
          <w:sz w:val="21"/>
          <w:szCs w:val="21"/>
        </w:rPr>
        <w:t xml:space="preserve">The writ petition was maintainable. An alternative remedy — including an arbitration clause — is </w:t>
      </w:r>
      <w:r>
        <w:rPr>
          <w:b/>
          <w:bCs/>
          <w:sz w:val="21"/>
          <w:szCs w:val="21"/>
        </w:rPr>
        <w:t>not an absolute bar</w:t>
      </w:r>
      <w:r>
        <w:rPr>
          <w:sz w:val="21"/>
          <w:szCs w:val="21"/>
        </w:rPr>
        <w:t xml:space="preserve"> to writ jurisdiction under Art. 226 or to the Supreme Court's jurisdiction, and need not first be exhausted; the constitutional powers cannot be fettered by an alternative remedy. On the merits, the alteration went beyond a variation in quantity of work.</w:t>
      </w:r>
    </w:p>
    <w:p w14:paraId="3FDAEB36" w14:textId="77777777" w:rsidR="00004105" w:rsidRDefault="00000000">
      <w:pPr>
        <w:spacing w:after="70" w:line="258" w:lineRule="auto"/>
        <w:ind w:left="259"/>
        <w:jc w:val="both"/>
      </w:pPr>
      <w:r>
        <w:rPr>
          <w:b/>
          <w:bCs/>
          <w:sz w:val="21"/>
          <w:szCs w:val="21"/>
        </w:rPr>
        <w:t xml:space="preserve">Why it matters. </w:t>
      </w:r>
      <w:r>
        <w:rPr>
          <w:sz w:val="21"/>
          <w:szCs w:val="21"/>
        </w:rPr>
        <w:t>Marks the constitutional limit of s. 5. S. 5 binds judicial authorities exercising ordinary jurisdiction; it cannot cut down a jurisdiction conferred by the Constitution.</w:t>
      </w:r>
    </w:p>
    <w:p w14:paraId="4C7E3E06" w14:textId="77777777" w:rsidR="00004105" w:rsidRDefault="00000000">
      <w:pPr>
        <w:spacing w:after="70" w:line="258" w:lineRule="auto"/>
        <w:ind w:left="259"/>
        <w:jc w:val="both"/>
      </w:pPr>
      <w:r>
        <w:rPr>
          <w:b/>
          <w:bCs/>
          <w:sz w:val="21"/>
          <w:szCs w:val="21"/>
        </w:rPr>
        <w:t xml:space="preserve">Status. </w:t>
      </w:r>
      <w:r>
        <w:rPr>
          <w:sz w:val="21"/>
          <w:szCs w:val="21"/>
        </w:rPr>
        <w:t>Good law on that proposition. The classroom criticism — that it enriches constitutional rather than arbitration jurisprudence and sits awkwardly with minimum intervention — is a comment on its effect, not a doubt about its authority.</w:t>
      </w:r>
    </w:p>
    <w:p w14:paraId="221E49FE" w14:textId="77777777" w:rsidR="00004105" w:rsidRDefault="00000000">
      <w:pPr>
        <w:pBdr>
          <w:left w:val="single" w:sz="12" w:space="8" w:color="7A7A7A"/>
        </w:pBdr>
        <w:spacing w:before="110" w:after="140" w:line="252" w:lineRule="auto"/>
        <w:ind w:left="288"/>
        <w:jc w:val="both"/>
      </w:pPr>
      <w:r>
        <w:rPr>
          <w:sz w:val="20"/>
          <w:szCs w:val="20"/>
        </w:rPr>
        <w:t xml:space="preserve">Distinguish </w:t>
      </w:r>
      <w:r>
        <w:rPr>
          <w:i/>
          <w:iCs/>
          <w:sz w:val="20"/>
          <w:szCs w:val="20"/>
        </w:rPr>
        <w:t>Union of India v. Tantia Constructions Ltd.</w:t>
      </w:r>
      <w:r>
        <w:rPr>
          <w:sz w:val="20"/>
          <w:szCs w:val="20"/>
        </w:rPr>
        <w:t xml:space="preserve">, 2021 SCC OnLine SC 271 (3 Judges), which doubted </w:t>
      </w:r>
      <w:r>
        <w:rPr>
          <w:i/>
          <w:iCs/>
          <w:sz w:val="20"/>
          <w:szCs w:val="20"/>
        </w:rPr>
        <w:t>CORE-I</w:t>
      </w:r>
      <w:r>
        <w:rPr>
          <w:sz w:val="20"/>
          <w:szCs w:val="20"/>
        </w:rPr>
        <w:t xml:space="preserve"> on unilateral arbitrator appointments and referred that question to a larger Bench (resolved in </w:t>
      </w:r>
      <w:r>
        <w:rPr>
          <w:i/>
          <w:iCs/>
          <w:sz w:val="20"/>
          <w:szCs w:val="20"/>
        </w:rPr>
        <w:t>CORE-II</w:t>
      </w:r>
      <w:r>
        <w:rPr>
          <w:sz w:val="20"/>
          <w:szCs w:val="20"/>
        </w:rPr>
        <w:t>, 2024). An SCC bound-volume citation sometimes attached to the 2021 matter could not be verified; cite the SCC OnLine form.</w:t>
      </w:r>
    </w:p>
    <w:p w14:paraId="7F0958A1" w14:textId="77777777" w:rsidR="00004105" w:rsidRDefault="00000000">
      <w:pPr>
        <w:pStyle w:val="Heading2"/>
        <w:keepNext/>
        <w:spacing w:before="240" w:after="110"/>
      </w:pPr>
      <w:bookmarkStart w:id="19" w:name="_Toc240747354"/>
      <w:r>
        <w:t>3.3  S. 8: power to refer</w:t>
      </w:r>
      <w:bookmarkEnd w:id="19"/>
    </w:p>
    <w:p w14:paraId="249A2402" w14:textId="77777777" w:rsidR="00004105" w:rsidRDefault="00000000">
      <w:pPr>
        <w:spacing w:after="110"/>
        <w:jc w:val="both"/>
      </w:pPr>
      <w:r>
        <w:t>S. 8(1) (substituted 2015) obliges a judicial authority to refer the parties to arbitration. Three features of the present text:</w:t>
      </w:r>
    </w:p>
    <w:p w14:paraId="48641C72" w14:textId="77777777" w:rsidR="00004105" w:rsidRDefault="00000000">
      <w:pPr>
        <w:pStyle w:val="ListParagraph"/>
        <w:numPr>
          <w:ilvl w:val="0"/>
          <w:numId w:val="5"/>
        </w:numPr>
        <w:spacing w:after="70"/>
        <w:jc w:val="both"/>
      </w:pPr>
      <w:r>
        <w:t>it operates “</w:t>
      </w:r>
      <w:r>
        <w:rPr>
          <w:b/>
          <w:bCs/>
        </w:rPr>
        <w:t>notwithstanding any judgment, decree or order of the Supreme Court or any Court</w:t>
      </w:r>
      <w:r>
        <w:t>”, inserted to displace earlier decisions that had widened the enquiry;</w:t>
      </w:r>
    </w:p>
    <w:p w14:paraId="43A41256" w14:textId="77777777" w:rsidR="00004105" w:rsidRDefault="00000000">
      <w:pPr>
        <w:pStyle w:val="ListParagraph"/>
        <w:numPr>
          <w:ilvl w:val="0"/>
          <w:numId w:val="5"/>
        </w:numPr>
        <w:spacing w:after="70"/>
        <w:jc w:val="both"/>
      </w:pPr>
      <w:r>
        <w:t>reference is mandatory *</w:t>
      </w:r>
      <w:r>
        <w:rPr>
          <w:i/>
          <w:iCs/>
        </w:rPr>
        <w:t xml:space="preserve">unless the authority finds that </w:t>
      </w:r>
      <w:r>
        <w:t>prima facie</w:t>
      </w:r>
      <w:r>
        <w:rPr>
          <w:i/>
          <w:iCs/>
        </w:rPr>
        <w:t xml:space="preserve"> no valid arbitration agreement exists</w:t>
      </w:r>
      <w:r>
        <w:t>* — a prima facie standard, not a final determination;</w:t>
      </w:r>
    </w:p>
    <w:p w14:paraId="08604DAE" w14:textId="77777777" w:rsidR="00004105" w:rsidRDefault="00000000">
      <w:pPr>
        <w:pStyle w:val="ListParagraph"/>
        <w:numPr>
          <w:ilvl w:val="0"/>
          <w:numId w:val="5"/>
        </w:numPr>
        <w:spacing w:after="70"/>
        <w:jc w:val="both"/>
      </w:pPr>
      <w:r>
        <w:t xml:space="preserve">the application must be made </w:t>
      </w:r>
      <w:r>
        <w:rPr>
          <w:b/>
          <w:bCs/>
        </w:rPr>
        <w:t>not later than the date of submitting the first statement on the substance of the dispute</w:t>
      </w:r>
      <w:r>
        <w:t>. A party who pleads to the merits first is too late.</w:t>
      </w:r>
    </w:p>
    <w:p w14:paraId="7190B6EB" w14:textId="77777777" w:rsidR="00004105" w:rsidRDefault="00000000">
      <w:pPr>
        <w:spacing w:after="110"/>
        <w:jc w:val="both"/>
      </w:pPr>
      <w:r>
        <w:rPr>
          <w:b/>
          <w:bCs/>
        </w:rPr>
        <w:t>S. 8(2):</w:t>
      </w:r>
      <w:r>
        <w:t xml:space="preserve"> the application must be accompanied by the original arbitration agreement or a duly certified copy; where the other party holds it, the applicant may file a copy together with a petition </w:t>
      </w:r>
      <w:r>
        <w:lastRenderedPageBreak/>
        <w:t xml:space="preserve">asking the court to call for the original. </w:t>
      </w:r>
      <w:r>
        <w:rPr>
          <w:b/>
          <w:bCs/>
        </w:rPr>
        <w:t>S. 8(3):</w:t>
      </w:r>
      <w:r>
        <w:t xml:space="preserve"> notwithstanding the pendency of the application, an arbitration may be commenced or continued and an award made — arbitration does not stop merely because a court is seised of a related question.</w:t>
      </w:r>
    </w:p>
    <w:p w14:paraId="57C643BD" w14:textId="77777777" w:rsidR="00004105" w:rsidRDefault="00000000">
      <w:pPr>
        <w:spacing w:after="110"/>
        <w:jc w:val="both"/>
      </w:pPr>
      <w:r>
        <w:rPr>
          <w:b/>
          <w:bCs/>
        </w:rPr>
        <w:t>Who may apply, and before whom.</w:t>
      </w:r>
      <w:r>
        <w:t xml:space="preserve"> A party to the arbitration agreement, or </w:t>
      </w:r>
      <w:r>
        <w:rPr>
          <w:b/>
          <w:bCs/>
        </w:rPr>
        <w:t>any person claiming through or under him</w:t>
      </w:r>
      <w:r>
        <w:t xml:space="preserve"> — so an agent for a principal, or a person standing in a party's shoes. “</w:t>
      </w:r>
      <w:r>
        <w:rPr>
          <w:b/>
          <w:bCs/>
        </w:rPr>
        <w:t>Judicial authority</w:t>
      </w:r>
      <w:r>
        <w:t>” is wider than “court” and includes specialised adjudicatory and regulatory bodies such as a telecom or insurance regulator or a consumer commission.</w:t>
      </w:r>
    </w:p>
    <w:p w14:paraId="6C2198ED" w14:textId="77777777" w:rsidR="00004105" w:rsidRDefault="00000000">
      <w:pPr>
        <w:pStyle w:val="Heading2"/>
        <w:keepNext/>
        <w:spacing w:before="240" w:after="110"/>
      </w:pPr>
      <w:bookmarkStart w:id="20" w:name="_Toc240747355"/>
      <w:r>
        <w:t>3.4  Rule of first priority</w:t>
      </w:r>
      <w:bookmarkEnd w:id="20"/>
    </w:p>
    <w:p w14:paraId="5FF4B22F" w14:textId="77777777" w:rsidR="00004105" w:rsidRDefault="00000000">
      <w:pPr>
        <w:spacing w:after="110"/>
        <w:jc w:val="both"/>
      </w:pPr>
      <w:r>
        <w:t xml:space="preserve">Read s. 8 with s. 16. Where existence or validity of the agreement is disputed, the </w:t>
      </w:r>
      <w:r>
        <w:rPr>
          <w:b/>
          <w:bCs/>
        </w:rPr>
        <w:t>tribunal has the right of first decision</w:t>
      </w:r>
      <w:r>
        <w:t xml:space="preserve">; the judicial authority forms only a prima facie view, and a final determination follows later under s. 34. This is why a </w:t>
      </w:r>
      <w:r>
        <w:rPr>
          <w:b/>
          <w:bCs/>
        </w:rPr>
        <w:t>mini-trial</w:t>
      </w:r>
      <w:r>
        <w:t xml:space="preserve"> at the reference stage is impermissible. The same reasoning governs fraud: an allegation that the underlying contract was procured by fraud does not prevent reference, because the clause is separable and the tribunal can decide it. It is otherwise where the attack is on the arbitration agreement itself and the authority concludes prima facie that it is void or invalid; reference may then be refused, and the remedy is appeal.</w:t>
      </w:r>
    </w:p>
    <w:p w14:paraId="4964991A" w14:textId="77777777" w:rsidR="00004105" w:rsidRDefault="00000000">
      <w:pPr>
        <w:pStyle w:val="Heading2"/>
        <w:keepNext/>
        <w:spacing w:before="240" w:after="110"/>
      </w:pPr>
      <w:bookmarkStart w:id="21" w:name="_Toc240747356"/>
      <w:r>
        <w:t>3.5  Non-arbitrability: the limit on s. 8</w:t>
      </w:r>
      <w:bookmarkEnd w:id="21"/>
    </w:p>
    <w:p w14:paraId="33526718" w14:textId="77777777" w:rsidR="00004105" w:rsidRDefault="00000000">
      <w:pPr>
        <w:spacing w:after="110"/>
        <w:jc w:val="both"/>
      </w:pPr>
      <w:r>
        <w:t xml:space="preserve">S. 8 cannot compel arbitration of a dispute the law does not permit to be arbitrated. The limitation is </w:t>
      </w:r>
      <w:r>
        <w:rPr>
          <w:b/>
          <w:bCs/>
        </w:rPr>
        <w:t>qualitative</w:t>
      </w:r>
      <w:r>
        <w:t xml:space="preserve"> (nature of the subject matter), not quantitative.</w:t>
      </w:r>
    </w:p>
    <w:p w14:paraId="7B49C5BA" w14:textId="77777777" w:rsidR="00004105" w:rsidRDefault="00000000">
      <w:pPr>
        <w:keepNext/>
        <w:spacing w:before="170" w:after="60"/>
      </w:pPr>
      <w:r>
        <w:rPr>
          <w:b/>
          <w:bCs/>
        </w:rPr>
        <w:t>Emaar MGF Land Ltd. v. Aftab Singh</w:t>
      </w:r>
      <w:r>
        <w:rPr>
          <w:color w:val="404040"/>
          <w:sz w:val="19"/>
          <w:szCs w:val="19"/>
        </w:rPr>
        <w:t xml:space="preserve">  (2019) 12 SCC 751; 2018 SCC OnLine SC 2771 (SC, 10 Dec 2018, dismissing review of the order of 13 Feb 2018).</w:t>
      </w:r>
    </w:p>
    <w:p w14:paraId="583371BF" w14:textId="77777777" w:rsidR="00004105" w:rsidRDefault="00000000">
      <w:pPr>
        <w:spacing w:after="70" w:line="258" w:lineRule="auto"/>
        <w:ind w:left="259"/>
        <w:jc w:val="both"/>
      </w:pPr>
      <w:r>
        <w:rPr>
          <w:b/>
          <w:bCs/>
          <w:sz w:val="21"/>
          <w:szCs w:val="21"/>
        </w:rPr>
        <w:t xml:space="preserve">Facts. </w:t>
      </w:r>
      <w:r>
        <w:rPr>
          <w:sz w:val="21"/>
          <w:szCs w:val="21"/>
        </w:rPr>
        <w:t>Apartment buyer agreements contained arbitration clauses. Homebuyers complained of delayed possession to the NCDRC; Emaar applied under s. 8 for reference to arbitration.</w:t>
      </w:r>
    </w:p>
    <w:p w14:paraId="489F8BEC" w14:textId="77777777" w:rsidR="00004105" w:rsidRDefault="00000000">
      <w:pPr>
        <w:spacing w:after="70" w:line="258" w:lineRule="auto"/>
        <w:ind w:left="259"/>
        <w:jc w:val="both"/>
      </w:pPr>
      <w:r>
        <w:rPr>
          <w:b/>
          <w:bCs/>
          <w:sz w:val="21"/>
          <w:szCs w:val="21"/>
        </w:rPr>
        <w:t xml:space="preserve">Held. </w:t>
      </w:r>
      <w:r>
        <w:rPr>
          <w:sz w:val="21"/>
          <w:szCs w:val="21"/>
        </w:rPr>
        <w:t>An arbitration agreement does not bar the statutory consumer remedy, and the consumer forum was not obliged to refer. The Consumer Protection Act creates a special, additional remedy for a protected class — s. 3 of the 1986 Act provided that its provisions “shall be in addition to and not in derogation of the provisions of any other law for the time being in force” — and the amended s. 8 was not meant to override special statutory fora. Consumer disputes engage public interest, and the fora exist to give accessible, speedy redress.</w:t>
      </w:r>
    </w:p>
    <w:p w14:paraId="2BC7A6EA" w14:textId="77777777" w:rsidR="00004105" w:rsidRDefault="00000000">
      <w:pPr>
        <w:spacing w:after="70" w:line="258" w:lineRule="auto"/>
        <w:ind w:left="259"/>
        <w:jc w:val="both"/>
      </w:pPr>
      <w:r>
        <w:rPr>
          <w:b/>
          <w:bCs/>
          <w:sz w:val="21"/>
          <w:szCs w:val="21"/>
        </w:rPr>
        <w:t xml:space="preserve">Why it matters. </w:t>
      </w:r>
      <w:r>
        <w:rPr>
          <w:sz w:val="21"/>
          <w:szCs w:val="21"/>
        </w:rPr>
        <w:t xml:space="preserve">The leading illustration of a statutory bar on arbitrability limiting s. 8, and of the principle that </w:t>
      </w:r>
      <w:r>
        <w:rPr>
          <w:b/>
          <w:bCs/>
          <w:sz w:val="21"/>
          <w:szCs w:val="21"/>
        </w:rPr>
        <w:t>beneficent legislation</w:t>
      </w:r>
      <w:r>
        <w:rPr>
          <w:sz w:val="21"/>
          <w:szCs w:val="21"/>
        </w:rPr>
        <w:t xml:space="preserve"> (consumer, rent control) is not circumvented by an arbitration clause.</w:t>
      </w:r>
    </w:p>
    <w:p w14:paraId="255B321B" w14:textId="77777777" w:rsidR="00004105" w:rsidRDefault="00000000">
      <w:pPr>
        <w:spacing w:after="70" w:line="258" w:lineRule="auto"/>
        <w:ind w:left="259"/>
        <w:jc w:val="both"/>
      </w:pPr>
      <w:r>
        <w:rPr>
          <w:b/>
          <w:bCs/>
          <w:sz w:val="21"/>
          <w:szCs w:val="21"/>
        </w:rPr>
        <w:t xml:space="preserve">Status. </w:t>
      </w:r>
      <w:r>
        <w:rPr>
          <w:sz w:val="21"/>
          <w:szCs w:val="21"/>
        </w:rPr>
        <w:t>Good law.</w:t>
      </w:r>
    </w:p>
    <w:p w14:paraId="369DFA25" w14:textId="77777777" w:rsidR="00004105" w:rsidRDefault="00000000">
      <w:pPr>
        <w:spacing w:after="110"/>
        <w:jc w:val="both"/>
      </w:pPr>
      <w:r>
        <w:t xml:space="preserve">Read with the general law: </w:t>
      </w:r>
      <w:r>
        <w:rPr>
          <w:i/>
          <w:iCs/>
        </w:rPr>
        <w:t>Booz Allen &amp; Hamilton Inc. v. SBI Home Finance Ltd.</w:t>
      </w:r>
      <w:r>
        <w:t>, (2011) 5 SCC 532, identified non-arbitrable categories on a rights-</w:t>
      </w:r>
      <w:r>
        <w:rPr>
          <w:i/>
          <w:iCs/>
        </w:rPr>
        <w:t>in rem</w:t>
      </w:r>
      <w:r>
        <w:t xml:space="preserve"> analysis, restated as a </w:t>
      </w:r>
      <w:r>
        <w:rPr>
          <w:b/>
          <w:bCs/>
        </w:rPr>
        <w:t>fourfold test</w:t>
      </w:r>
      <w:r>
        <w:t xml:space="preserve"> in </w:t>
      </w:r>
      <w:r>
        <w:rPr>
          <w:i/>
          <w:iCs/>
        </w:rPr>
        <w:t>Vidya Drolia v. Durga Trading Corporation</w:t>
      </w:r>
      <w:r>
        <w:t xml:space="preserve">, (2021) 2 SCC 1 — a dispute is non-arbitrable where its subject matter (i) is an action </w:t>
      </w:r>
      <w:r>
        <w:rPr>
          <w:i/>
          <w:iCs/>
        </w:rPr>
        <w:t>in rem</w:t>
      </w:r>
      <w:r>
        <w:t xml:space="preserve"> rather than a subordinate right </w:t>
      </w:r>
      <w:r>
        <w:rPr>
          <w:i/>
          <w:iCs/>
        </w:rPr>
        <w:t>in personam</w:t>
      </w:r>
      <w:r>
        <w:t xml:space="preserve">; (ii) affects third-party rights, has </w:t>
      </w:r>
      <w:r>
        <w:rPr>
          <w:i/>
          <w:iCs/>
        </w:rPr>
        <w:t>erga omnes</w:t>
      </w:r>
      <w:r>
        <w:t xml:space="preserve"> effect or needs centralised adjudication; (iii) concerns inalienable sovereign or public-interest functions; or (iv) is expressly or impliedly made non-arbitrable by statute. Consumer disputes fall in the fourth limb.</w:t>
      </w:r>
    </w:p>
    <w:p w14:paraId="65922A17" w14:textId="77777777" w:rsidR="00004105" w:rsidRDefault="00000000">
      <w:pPr>
        <w:pStyle w:val="Heading1"/>
        <w:keepNext/>
        <w:pBdr>
          <w:top w:val="single" w:sz="8" w:space="10" w:color="999999"/>
        </w:pBdr>
        <w:spacing w:before="460" w:after="170"/>
      </w:pPr>
      <w:bookmarkStart w:id="22" w:name="_Toc240747357"/>
      <w:r>
        <w:t>4  The Arbitration Agreement: s. 7</w:t>
      </w:r>
      <w:bookmarkEnd w:id="22"/>
    </w:p>
    <w:p w14:paraId="3365AD97" w14:textId="77777777" w:rsidR="00004105" w:rsidRDefault="00000000">
      <w:pPr>
        <w:spacing w:after="110"/>
        <w:jc w:val="both"/>
      </w:pPr>
      <w:r>
        <w:t>The arbitration agreement is the source of the tribunal's authority. Without one there is nothing for s. 8 or s. 11 to work on, and an award is made without jurisdiction.</w:t>
      </w:r>
    </w:p>
    <w:p w14:paraId="5EC14FA6" w14:textId="77777777" w:rsidR="00004105" w:rsidRDefault="00000000">
      <w:pPr>
        <w:pStyle w:val="Heading2"/>
        <w:keepNext/>
        <w:spacing w:before="240" w:after="110"/>
      </w:pPr>
      <w:bookmarkStart w:id="23" w:name="_Toc240747358"/>
      <w:r>
        <w:lastRenderedPageBreak/>
        <w:t>4.1  The provision</w:t>
      </w:r>
      <w:bookmarkEnd w:id="23"/>
    </w:p>
    <w:p w14:paraId="39196C52" w14:textId="77777777" w:rsidR="00004105" w:rsidRDefault="00000000">
      <w:pPr>
        <w:pStyle w:val="ListParagraph"/>
        <w:numPr>
          <w:ilvl w:val="0"/>
          <w:numId w:val="6"/>
        </w:numPr>
        <w:spacing w:after="70"/>
        <w:jc w:val="both"/>
      </w:pPr>
      <w:r>
        <w:rPr>
          <w:b/>
          <w:bCs/>
        </w:rPr>
        <w:t>7(1)</w:t>
      </w:r>
      <w:r>
        <w:t xml:space="preserve"> An agreement to submit to arbitration all or certain disputes, present or future, arising in respect of a </w:t>
      </w:r>
      <w:r>
        <w:rPr>
          <w:b/>
          <w:bCs/>
        </w:rPr>
        <w:t>defined legal relationship, whether contractual or not</w:t>
      </w:r>
      <w:r>
        <w:t>.</w:t>
      </w:r>
    </w:p>
    <w:p w14:paraId="1F5D578A" w14:textId="77777777" w:rsidR="00004105" w:rsidRDefault="00000000">
      <w:pPr>
        <w:pStyle w:val="ListParagraph"/>
        <w:numPr>
          <w:ilvl w:val="0"/>
          <w:numId w:val="6"/>
        </w:numPr>
        <w:spacing w:after="70"/>
        <w:jc w:val="both"/>
      </w:pPr>
      <w:r>
        <w:rPr>
          <w:b/>
          <w:bCs/>
        </w:rPr>
        <w:t>7(2)</w:t>
      </w:r>
      <w:r>
        <w:t xml:space="preserve"> May be an arbitration clause in a contract or a separate agreement. (Hence the two forms: </w:t>
      </w:r>
      <w:r>
        <w:rPr>
          <w:b/>
          <w:bCs/>
        </w:rPr>
        <w:t>arbitral clause</w:t>
      </w:r>
      <w:r>
        <w:t xml:space="preserve"> and </w:t>
      </w:r>
      <w:r>
        <w:rPr>
          <w:b/>
          <w:bCs/>
        </w:rPr>
        <w:t>dedicated arbitration agreement</w:t>
      </w:r>
      <w:r>
        <w:t>. Validity is unaffected; the distinction matters for separability under s. 16.)</w:t>
      </w:r>
    </w:p>
    <w:p w14:paraId="5AF40320" w14:textId="77777777" w:rsidR="00004105" w:rsidRDefault="00000000">
      <w:pPr>
        <w:pStyle w:val="ListParagraph"/>
        <w:numPr>
          <w:ilvl w:val="0"/>
          <w:numId w:val="6"/>
        </w:numPr>
        <w:spacing w:after="70"/>
        <w:jc w:val="both"/>
      </w:pPr>
      <w:r>
        <w:rPr>
          <w:b/>
          <w:bCs/>
        </w:rPr>
        <w:t>7(3)</w:t>
      </w:r>
      <w:r>
        <w:t xml:space="preserve"> Shall be in </w:t>
      </w:r>
      <w:r>
        <w:rPr>
          <w:b/>
          <w:bCs/>
        </w:rPr>
        <w:t>writing</w:t>
      </w:r>
      <w:r>
        <w:t>.</w:t>
      </w:r>
    </w:p>
    <w:p w14:paraId="5E28D317" w14:textId="77777777" w:rsidR="00004105" w:rsidRDefault="00000000">
      <w:pPr>
        <w:pStyle w:val="ListParagraph"/>
        <w:numPr>
          <w:ilvl w:val="0"/>
          <w:numId w:val="6"/>
        </w:numPr>
        <w:spacing w:after="70"/>
        <w:jc w:val="both"/>
      </w:pPr>
      <w:r>
        <w:rPr>
          <w:b/>
          <w:bCs/>
        </w:rPr>
        <w:t>7(4)</w:t>
      </w:r>
      <w:r>
        <w:t xml:space="preserve"> In writing if contained in (a) a document signed by the parties; (b) an exchange of letters, telex, telegrams or other means of telecommunication, </w:t>
      </w:r>
      <w:r>
        <w:rPr>
          <w:b/>
          <w:bCs/>
        </w:rPr>
        <w:t>including communication through electronic means</w:t>
      </w:r>
      <w:r>
        <w:t xml:space="preserve">, providing a record of the agreement; or (c) an </w:t>
      </w:r>
      <w:r>
        <w:rPr>
          <w:b/>
          <w:bCs/>
        </w:rPr>
        <w:t>exchange of statements of claim and defence</w:t>
      </w:r>
      <w:r>
        <w:t xml:space="preserve"> in which the existence of the agreement is alleged by one party and not denied by the other.</w:t>
      </w:r>
    </w:p>
    <w:p w14:paraId="5F370BD8" w14:textId="77777777" w:rsidR="00004105" w:rsidRDefault="00000000">
      <w:pPr>
        <w:pStyle w:val="ListParagraph"/>
        <w:numPr>
          <w:ilvl w:val="0"/>
          <w:numId w:val="6"/>
        </w:numPr>
        <w:spacing w:after="70"/>
        <w:jc w:val="both"/>
      </w:pPr>
      <w:r>
        <w:rPr>
          <w:b/>
          <w:bCs/>
        </w:rPr>
        <w:t>7(5)</w:t>
      </w:r>
      <w:r>
        <w:t xml:space="preserve"> A reference in a contract to a document containing an arbitration clause constitutes an arbitration agreement if the contract is in writing and the reference is such as to make the clause part of the contract — </w:t>
      </w:r>
      <w:r>
        <w:rPr>
          <w:b/>
          <w:bCs/>
        </w:rPr>
        <w:t>incorporation by reference</w:t>
      </w:r>
      <w:r>
        <w:t>.</w:t>
      </w:r>
    </w:p>
    <w:p w14:paraId="5DCE4C49" w14:textId="77777777" w:rsidR="00004105" w:rsidRDefault="00000000">
      <w:pPr>
        <w:spacing w:after="110"/>
        <w:jc w:val="both"/>
      </w:pPr>
      <w:r>
        <w:rPr>
          <w:b/>
          <w:bCs/>
        </w:rPr>
        <w:t>On writing.</w:t>
      </w:r>
      <w:r>
        <w:t xml:space="preserve"> The requirement is one of record, not formality. The 2006 revision of the Model Law absorbed the substance of the Model Law on Electronic Commerce, so the writing requirement is met by an electronic communication if the information is accessible so as to be usable for subsequent reference; e-contracts typical of ODR therefore qualify. The class materials rightly contrast the narrower writing requirement on the face of the New York Convention. S. 7(4)(c) deserves separate note: the </w:t>
      </w:r>
      <w:r>
        <w:rPr>
          <w:b/>
          <w:bCs/>
        </w:rPr>
        <w:t>pleadings themselves</w:t>
      </w:r>
      <w:r>
        <w:t xml:space="preserve"> may constitute the agreement — claim and defence being the arbitral equivalents of plaint and written statement.</w:t>
      </w:r>
    </w:p>
    <w:p w14:paraId="4E517F29" w14:textId="77777777" w:rsidR="00004105" w:rsidRDefault="00000000">
      <w:pPr>
        <w:pStyle w:val="Heading2"/>
        <w:keepNext/>
        <w:spacing w:before="240" w:after="110"/>
      </w:pPr>
      <w:bookmarkStart w:id="24" w:name="_Toc240747359"/>
      <w:r>
        <w:t>4.2  Binding obligation or mere possibility?</w:t>
      </w:r>
      <w:bookmarkEnd w:id="24"/>
    </w:p>
    <w:p w14:paraId="27881E4A" w14:textId="77777777" w:rsidR="00004105" w:rsidRDefault="00000000">
      <w:pPr>
        <w:keepNext/>
        <w:spacing w:before="170" w:after="60"/>
      </w:pPr>
      <w:r>
        <w:rPr>
          <w:b/>
          <w:bCs/>
        </w:rPr>
        <w:t>Jagdish Chander v. Ramesh Chander</w:t>
      </w:r>
      <w:r>
        <w:rPr>
          <w:color w:val="404040"/>
          <w:sz w:val="19"/>
          <w:szCs w:val="19"/>
        </w:rPr>
        <w:t xml:space="preserve">  (2007) 5 SCC 719 (SC).</w:t>
      </w:r>
    </w:p>
    <w:p w14:paraId="2BFEC0EB" w14:textId="77777777" w:rsidR="00004105" w:rsidRDefault="00000000">
      <w:pPr>
        <w:spacing w:after="70" w:line="258" w:lineRule="auto"/>
        <w:ind w:left="259"/>
        <w:jc w:val="both"/>
      </w:pPr>
      <w:r>
        <w:rPr>
          <w:b/>
          <w:bCs/>
          <w:sz w:val="21"/>
          <w:szCs w:val="21"/>
        </w:rPr>
        <w:t xml:space="preserve">Facts. </w:t>
      </w:r>
      <w:r>
        <w:rPr>
          <w:sz w:val="21"/>
          <w:szCs w:val="21"/>
        </w:rPr>
        <w:t xml:space="preserve">Clause 16 of a partnership deed provided that disputes “shall be mutually decided by the partners or </w:t>
      </w:r>
      <w:r>
        <w:rPr>
          <w:b/>
          <w:bCs/>
          <w:sz w:val="21"/>
          <w:szCs w:val="21"/>
        </w:rPr>
        <w:t>shall be referred for arbitration if the parties so determine</w:t>
      </w:r>
      <w:r>
        <w:rPr>
          <w:sz w:val="21"/>
          <w:szCs w:val="21"/>
        </w:rPr>
        <w:t>.” The designate of the Chief Justice appointed a sole arbitrator under s. 11, reasoning that the clause would be unnecessary if arbitration were not intended and should be liberally construed to encourage arbitration.</w:t>
      </w:r>
    </w:p>
    <w:p w14:paraId="673BCE83" w14:textId="77777777" w:rsidR="00004105" w:rsidRDefault="00000000">
      <w:pPr>
        <w:spacing w:after="70" w:line="258" w:lineRule="auto"/>
        <w:ind w:left="259"/>
        <w:jc w:val="both"/>
      </w:pPr>
      <w:r>
        <w:rPr>
          <w:b/>
          <w:bCs/>
          <w:sz w:val="21"/>
          <w:szCs w:val="21"/>
        </w:rPr>
        <w:t xml:space="preserve">Held. </w:t>
      </w:r>
      <w:r>
        <w:rPr>
          <w:sz w:val="21"/>
          <w:szCs w:val="21"/>
        </w:rPr>
        <w:t xml:space="preserve">Clause 16 was </w:t>
      </w:r>
      <w:r>
        <w:rPr>
          <w:b/>
          <w:bCs/>
          <w:sz w:val="21"/>
          <w:szCs w:val="21"/>
        </w:rPr>
        <w:t>not</w:t>
      </w:r>
      <w:r>
        <w:rPr>
          <w:sz w:val="21"/>
          <w:szCs w:val="21"/>
        </w:rPr>
        <w:t xml:space="preserve"> a valid arbitration agreement; the appointment was set aside. The words “if the parties so determine” change the clause completely: they create no present obligation but contemplate a further, future agreement. Had it said disputes “shall be referred to arbitration”, it would have been an arbitration agreement. Intention is gathered from the terms, and the words must disclose a </w:t>
      </w:r>
      <w:r>
        <w:rPr>
          <w:b/>
          <w:bCs/>
          <w:sz w:val="21"/>
          <w:szCs w:val="21"/>
        </w:rPr>
        <w:t>determination and obligation</w:t>
      </w:r>
      <w:r>
        <w:rPr>
          <w:sz w:val="21"/>
          <w:szCs w:val="21"/>
        </w:rPr>
        <w:t xml:space="preserve"> to arbitrate, not merely the possibility of doing so. The Court followed </w:t>
      </w:r>
      <w:r>
        <w:rPr>
          <w:i/>
          <w:iCs/>
          <w:sz w:val="21"/>
          <w:szCs w:val="21"/>
        </w:rPr>
        <w:t>Wellington Associates Ltd. v. Kirit Mehta</w:t>
      </w:r>
      <w:r>
        <w:rPr>
          <w:sz w:val="21"/>
          <w:szCs w:val="21"/>
        </w:rPr>
        <w:t>, (2000) 4 SCC 272, where “may be referred to arbitration” was held merely enabling.</w:t>
      </w:r>
    </w:p>
    <w:p w14:paraId="7C6E5AF1" w14:textId="77777777" w:rsidR="00004105" w:rsidRDefault="00000000">
      <w:pPr>
        <w:spacing w:after="70" w:line="258" w:lineRule="auto"/>
        <w:ind w:left="259"/>
        <w:jc w:val="both"/>
      </w:pPr>
      <w:r>
        <w:rPr>
          <w:b/>
          <w:bCs/>
          <w:sz w:val="21"/>
          <w:szCs w:val="21"/>
        </w:rPr>
        <w:t xml:space="preserve">Why it matters. </w:t>
      </w:r>
      <w:r>
        <w:rPr>
          <w:sz w:val="21"/>
          <w:szCs w:val="21"/>
        </w:rPr>
        <w:t>The governing authority on the existence of an arbitration agreement, and a corrective to reading one into an ambiguous clause simply to encourage arbitration.</w:t>
      </w:r>
    </w:p>
    <w:p w14:paraId="30A3CA36" w14:textId="77777777" w:rsidR="00004105" w:rsidRDefault="00000000">
      <w:pPr>
        <w:spacing w:after="70" w:line="258" w:lineRule="auto"/>
        <w:ind w:left="259"/>
        <w:jc w:val="both"/>
      </w:pPr>
      <w:r>
        <w:rPr>
          <w:b/>
          <w:bCs/>
          <w:sz w:val="21"/>
          <w:szCs w:val="21"/>
        </w:rPr>
        <w:t xml:space="preserve">Status. </w:t>
      </w:r>
      <w:r>
        <w:rPr>
          <w:sz w:val="21"/>
          <w:szCs w:val="21"/>
        </w:rPr>
        <w:t>Good law, consistently followed.</w:t>
      </w:r>
    </w:p>
    <w:p w14:paraId="16913A6F" w14:textId="77777777" w:rsidR="00004105" w:rsidRDefault="00000000">
      <w:pPr>
        <w:pStyle w:val="Heading3"/>
        <w:keepNext/>
        <w:spacing w:before="170" w:after="80"/>
      </w:pPr>
      <w:r>
        <w:t>4.2.1  The guidelines</w:t>
      </w:r>
    </w:p>
    <w:p w14:paraId="5C7B6C5F" w14:textId="77777777" w:rsidR="00004105" w:rsidRDefault="00000000">
      <w:pPr>
        <w:spacing w:after="110"/>
        <w:jc w:val="both"/>
      </w:pPr>
      <w:r>
        <w:rPr>
          <w:b/>
          <w:bCs/>
        </w:rPr>
        <w:t>Essential attributes:</w:t>
      </w:r>
      <w:r>
        <w:t xml:space="preserve"> (a) writing; (b) agreement to refer present or future disputes to a </w:t>
      </w:r>
      <w:r>
        <w:rPr>
          <w:b/>
          <w:bCs/>
        </w:rPr>
        <w:t>private tribunal</w:t>
      </w:r>
      <w:r>
        <w:t xml:space="preserve">; (c) that tribunal empowered to adjudicate </w:t>
      </w:r>
      <w:r>
        <w:rPr>
          <w:b/>
          <w:bCs/>
        </w:rPr>
        <w:t>impartially</w:t>
      </w:r>
      <w:r>
        <w:t xml:space="preserve">, giving due opportunity to both sides; (d) agreement that its decision will be </w:t>
      </w:r>
      <w:r>
        <w:rPr>
          <w:b/>
          <w:bCs/>
        </w:rPr>
        <w:t>binding</w:t>
      </w:r>
      <w:r>
        <w:t>.</w:t>
      </w:r>
    </w:p>
    <w:p w14:paraId="05F94D42" w14:textId="77777777" w:rsidR="00004105" w:rsidRDefault="00000000">
      <w:pPr>
        <w:spacing w:after="110"/>
        <w:jc w:val="both"/>
      </w:pPr>
      <w:r>
        <w:rPr>
          <w:b/>
          <w:bCs/>
        </w:rPr>
        <w:t>Four further propositions.</w:t>
      </w:r>
      <w:r>
        <w:t xml:space="preserve"> There is no prescribed form, and absence of the words “arbitration”, “arbitrator” or “arbitral tribunal” is not fatal if the attributes are present. Where there is a specific and direct expression of intention to arbitrate, the attributes need not be spelt out. Where the clause </w:t>
      </w:r>
      <w:r>
        <w:lastRenderedPageBreak/>
        <w:t xml:space="preserve">specifically excludes any attribute, or otherwise detracts from an agreement to arbitrate, it is not one. By way of illustration, a clause is not an arbitration agreement if it permits decision </w:t>
      </w:r>
      <w:r>
        <w:rPr>
          <w:b/>
          <w:bCs/>
        </w:rPr>
        <w:t>without a hearing</w:t>
      </w:r>
      <w:r>
        <w:t xml:space="preserve">, requires the authority to act in the interests of </w:t>
      </w:r>
      <w:r>
        <w:rPr>
          <w:b/>
          <w:bCs/>
        </w:rPr>
        <w:t>one party only</w:t>
      </w:r>
      <w:r>
        <w:t xml:space="preserve">, provides that the decision will </w:t>
      </w:r>
      <w:r>
        <w:rPr>
          <w:b/>
          <w:bCs/>
        </w:rPr>
        <w:t>not be final and binding</w:t>
      </w:r>
      <w:r>
        <w:t xml:space="preserve">, or allows a dissatisfied party to </w:t>
      </w:r>
      <w:r>
        <w:rPr>
          <w:b/>
          <w:bCs/>
        </w:rPr>
        <w:t>file a civil suit</w:t>
      </w:r>
      <w:r>
        <w:t>. The practical lesson: substance, not label.</w:t>
      </w:r>
    </w:p>
    <w:p w14:paraId="4815A129" w14:textId="77777777" w:rsidR="00004105" w:rsidRDefault="00000000">
      <w:pPr>
        <w:pStyle w:val="Heading2"/>
        <w:keepNext/>
        <w:spacing w:before="240" w:after="110"/>
      </w:pPr>
      <w:bookmarkStart w:id="25" w:name="_Toc240747360"/>
      <w:r>
        <w:t>4.3  Two recent developments</w:t>
      </w:r>
      <w:bookmarkEnd w:id="25"/>
    </w:p>
    <w:p w14:paraId="00D486FA" w14:textId="77777777" w:rsidR="00004105" w:rsidRDefault="00000000">
      <w:pPr>
        <w:spacing w:after="110"/>
        <w:jc w:val="both"/>
      </w:pPr>
      <w:r>
        <w:rPr>
          <w:b/>
          <w:bCs/>
        </w:rPr>
        <w:t>Stamping.</w:t>
      </w:r>
      <w:r>
        <w:t xml:space="preserve"> </w:t>
      </w:r>
      <w:r>
        <w:rPr>
          <w:i/>
          <w:iCs/>
        </w:rPr>
        <w:t>In Re: Interplay between Arbitration Agreements under the Arbitration and Conciliation Act 1996 and the Indian Stamp Act 1899</w:t>
      </w:r>
      <w:r>
        <w:t xml:space="preserve">, 2023 INSC 1066 (SC, 7 Judges, 13 Dec 2023): non-payment or insufficiency of stamp duty makes an instrument </w:t>
      </w:r>
      <w:r>
        <w:rPr>
          <w:b/>
          <w:bCs/>
        </w:rPr>
        <w:t>inadmissible but not void or unenforceable</w:t>
      </w:r>
      <w:r>
        <w:t xml:space="preserve">, and the defect is curable; stamping is for the tribunal, not the court at the s. 8 or s. 11 stage. It overruled </w:t>
      </w:r>
      <w:r>
        <w:rPr>
          <w:i/>
          <w:iCs/>
        </w:rPr>
        <w:t>N.N. Global Mercantile v. Indo Unique Flame</w:t>
      </w:r>
      <w:r>
        <w:t xml:space="preserve">, (2023) 7 SCC 1, and </w:t>
      </w:r>
      <w:r>
        <w:rPr>
          <w:i/>
          <w:iCs/>
        </w:rPr>
        <w:t>SMS Tea Estates v. Chandmari Tea Co.</w:t>
      </w:r>
      <w:r>
        <w:t xml:space="preserve">, (2011) 14 SCC 66, and overruled paras 22 and 29 of </w:t>
      </w:r>
      <w:r>
        <w:rPr>
          <w:i/>
          <w:iCs/>
        </w:rPr>
        <w:t>Garware Wall Ropes v. Coastal Marine</w:t>
      </w:r>
      <w:r>
        <w:t>, (2019) 9 SCC 209, to that extent.</w:t>
      </w:r>
    </w:p>
    <w:p w14:paraId="744AD991" w14:textId="77777777" w:rsidR="00004105" w:rsidRDefault="00000000">
      <w:pPr>
        <w:spacing w:after="110"/>
        <w:jc w:val="both"/>
      </w:pPr>
      <w:r>
        <w:rPr>
          <w:b/>
          <w:bCs/>
        </w:rPr>
        <w:t>Non-signatories.</w:t>
      </w:r>
      <w:r>
        <w:t xml:space="preserve"> </w:t>
      </w:r>
      <w:r>
        <w:rPr>
          <w:i/>
          <w:iCs/>
        </w:rPr>
        <w:t>Cox and Kings Ltd. v. SAP India Pvt. Ltd.</w:t>
      </w:r>
      <w:r>
        <w:t xml:space="preserve">, 2023 INSC 1051 (SC, Constitution Bench of 5, 6 Dec 2023): the </w:t>
      </w:r>
      <w:r>
        <w:rPr>
          <w:b/>
          <w:bCs/>
        </w:rPr>
        <w:t>group of companies doctrine</w:t>
      </w:r>
      <w:r>
        <w:t xml:space="preserve"> is part of Indian law, grounded in the definition of “parties” in s. 2(1)(h) read with s. 7 and in mutual intention to bind a non-signatory under s. 7(4)(b), rather than in the “claiming through or under” formulation of </w:t>
      </w:r>
      <w:r>
        <w:rPr>
          <w:i/>
          <w:iCs/>
        </w:rPr>
        <w:t>Chloro Controls</w:t>
      </w:r>
      <w:r>
        <w:t>. Whether a particular non-signatory is bound is for the tribunal.</w:t>
      </w:r>
    </w:p>
    <w:p w14:paraId="76898B15" w14:textId="77777777" w:rsidR="00004105" w:rsidRDefault="00000000">
      <w:pPr>
        <w:pBdr>
          <w:left w:val="single" w:sz="12" w:space="8" w:color="7A7A7A"/>
        </w:pBdr>
        <w:spacing w:before="110" w:after="140" w:line="252" w:lineRule="auto"/>
        <w:ind w:left="288"/>
        <w:jc w:val="both"/>
      </w:pPr>
      <w:r>
        <w:rPr>
          <w:sz w:val="20"/>
          <w:szCs w:val="20"/>
        </w:rPr>
        <w:t xml:space="preserve">Bound-volume SCC references for </w:t>
      </w:r>
      <w:r>
        <w:rPr>
          <w:i/>
          <w:iCs/>
          <w:sz w:val="20"/>
          <w:szCs w:val="20"/>
        </w:rPr>
        <w:t>In Re: Interplay</w:t>
      </w:r>
      <w:r>
        <w:rPr>
          <w:sz w:val="20"/>
          <w:szCs w:val="20"/>
        </w:rPr>
        <w:t xml:space="preserve"> and </w:t>
      </w:r>
      <w:r>
        <w:rPr>
          <w:i/>
          <w:iCs/>
          <w:sz w:val="20"/>
          <w:szCs w:val="20"/>
        </w:rPr>
        <w:t>Cox and Kings</w:t>
      </w:r>
      <w:r>
        <w:rPr>
          <w:sz w:val="20"/>
          <w:szCs w:val="20"/>
        </w:rPr>
        <w:t xml:space="preserve"> were not confirmed; the neutral citations, bench strength and dates are established. Cite the neutral form.</w:t>
      </w:r>
    </w:p>
    <w:p w14:paraId="15A99027" w14:textId="77777777" w:rsidR="00004105" w:rsidRDefault="00000000">
      <w:pPr>
        <w:pStyle w:val="Heading1"/>
        <w:keepNext/>
        <w:pBdr>
          <w:top w:val="single" w:sz="8" w:space="10" w:color="999999"/>
        </w:pBdr>
        <w:spacing w:before="460" w:after="170"/>
      </w:pPr>
      <w:bookmarkStart w:id="26" w:name="_Toc240747361"/>
      <w:r>
        <w:t>5  Interim Measures: ss. 9 and 17</w:t>
      </w:r>
      <w:bookmarkEnd w:id="26"/>
    </w:p>
    <w:p w14:paraId="250BF4D2" w14:textId="77777777" w:rsidR="00004105" w:rsidRDefault="00000000">
      <w:pPr>
        <w:spacing w:after="110"/>
        <w:jc w:val="both"/>
      </w:pPr>
      <w:r>
        <w:t>Interim measures preserve the position until the award, so that it is not rendered worthless in the interval. Two routes: the court under s. 9, the tribunal under s. 17. The 2015 Amendment reshaped the balance so that the tribunal is now the ordinary forum once it exists.</w:t>
      </w:r>
    </w:p>
    <w:p w14:paraId="56BBEF29" w14:textId="77777777" w:rsidR="00004105" w:rsidRDefault="00000000">
      <w:pPr>
        <w:pStyle w:val="Heading2"/>
        <w:keepNext/>
        <w:spacing w:before="240" w:after="110"/>
      </w:pPr>
      <w:bookmarkStart w:id="27" w:name="_Toc240747362"/>
      <w:r>
        <w:t>5.1  S. 9 — by the court</w:t>
      </w:r>
      <w:bookmarkEnd w:id="27"/>
    </w:p>
    <w:p w14:paraId="02D2CDB1" w14:textId="77777777" w:rsidR="00004105" w:rsidRDefault="00000000">
      <w:pPr>
        <w:spacing w:after="110"/>
        <w:jc w:val="both"/>
      </w:pPr>
      <w:r>
        <w:t xml:space="preserve">A party may apply </w:t>
      </w:r>
      <w:r>
        <w:rPr>
          <w:b/>
          <w:bCs/>
        </w:rPr>
        <w:t>before or during arbitral proceedings, or after the award but before enforcement under s. 36</w:t>
      </w:r>
      <w:r>
        <w:t>, for (i) appointment of a guardian for a minor or person of unsound mind; or (ii) an interim measure of protection in respect of—</w:t>
      </w:r>
    </w:p>
    <w:p w14:paraId="6C29B1F3" w14:textId="77777777" w:rsidR="00004105" w:rsidRDefault="00000000">
      <w:pPr>
        <w:pStyle w:val="ListParagraph"/>
        <w:numPr>
          <w:ilvl w:val="0"/>
          <w:numId w:val="7"/>
        </w:numPr>
        <w:spacing w:after="70"/>
        <w:jc w:val="both"/>
      </w:pPr>
      <w:r>
        <w:t>preservation, interim custody or sale of goods that are the subject matter of the arbitration agreement;</w:t>
      </w:r>
    </w:p>
    <w:p w14:paraId="169CAF65" w14:textId="77777777" w:rsidR="00004105" w:rsidRDefault="00000000">
      <w:pPr>
        <w:pStyle w:val="ListParagraph"/>
        <w:numPr>
          <w:ilvl w:val="0"/>
          <w:numId w:val="7"/>
        </w:numPr>
        <w:spacing w:after="70"/>
        <w:jc w:val="both"/>
      </w:pPr>
      <w:r>
        <w:t>securing the amount in dispute;</w:t>
      </w:r>
    </w:p>
    <w:p w14:paraId="14016054" w14:textId="77777777" w:rsidR="00004105" w:rsidRDefault="00000000">
      <w:pPr>
        <w:pStyle w:val="ListParagraph"/>
        <w:numPr>
          <w:ilvl w:val="0"/>
          <w:numId w:val="7"/>
        </w:numPr>
        <w:spacing w:after="70"/>
        <w:jc w:val="both"/>
      </w:pPr>
      <w:r>
        <w:t>detention, preservation or inspection of any property or thing that is the subject matter of the dispute, with power to authorise entry on land or buildings, the taking of samples, observations or experiments;</w:t>
      </w:r>
    </w:p>
    <w:p w14:paraId="13D9378E" w14:textId="77777777" w:rsidR="00004105" w:rsidRDefault="00000000">
      <w:pPr>
        <w:pStyle w:val="ListParagraph"/>
        <w:numPr>
          <w:ilvl w:val="0"/>
          <w:numId w:val="7"/>
        </w:numPr>
        <w:spacing w:after="70"/>
        <w:jc w:val="both"/>
      </w:pPr>
      <w:r>
        <w:t>interim injunction or appointment of a receiver;</w:t>
      </w:r>
    </w:p>
    <w:p w14:paraId="0F350F8A" w14:textId="77777777" w:rsidR="00004105" w:rsidRDefault="00000000">
      <w:pPr>
        <w:pStyle w:val="ListParagraph"/>
        <w:numPr>
          <w:ilvl w:val="0"/>
          <w:numId w:val="7"/>
        </w:numPr>
        <w:spacing w:after="70"/>
        <w:jc w:val="both"/>
      </w:pPr>
      <w:r>
        <w:t xml:space="preserve">such other interim measure as appears to the court </w:t>
      </w:r>
      <w:r>
        <w:rPr>
          <w:b/>
          <w:bCs/>
        </w:rPr>
        <w:t>just and convenient</w:t>
      </w:r>
      <w:r>
        <w:t xml:space="preserve"> — the widest, residuary head.</w:t>
      </w:r>
    </w:p>
    <w:p w14:paraId="01A1E985" w14:textId="77777777" w:rsidR="00004105" w:rsidRDefault="00000000">
      <w:pPr>
        <w:spacing w:after="110"/>
        <w:jc w:val="both"/>
      </w:pPr>
      <w:r>
        <w:t xml:space="preserve">For these purposes the court has the same power as in proceedings before it. Two restrictions were added in 2015. </w:t>
      </w:r>
      <w:r>
        <w:rPr>
          <w:b/>
          <w:bCs/>
        </w:rPr>
        <w:t>S. 9(2):</w:t>
      </w:r>
      <w:r>
        <w:t xml:space="preserve"> where an order is made before commencement, the arbitration must commence within </w:t>
      </w:r>
      <w:r>
        <w:rPr>
          <w:b/>
          <w:bCs/>
        </w:rPr>
        <w:t>ninety days</w:t>
      </w:r>
      <w:r>
        <w:t xml:space="preserve"> of the order, or such further time as the court determines — preventing a party from taking protection and leaving the arbitration unstarted. </w:t>
      </w:r>
      <w:r>
        <w:rPr>
          <w:b/>
          <w:bCs/>
        </w:rPr>
        <w:t>S. 9(3):</w:t>
      </w:r>
      <w:r>
        <w:t xml:space="preserve"> once the </w:t>
      </w:r>
      <w:r>
        <w:lastRenderedPageBreak/>
        <w:t xml:space="preserve">tribunal is constituted the court </w:t>
      </w:r>
      <w:r>
        <w:rPr>
          <w:b/>
          <w:bCs/>
        </w:rPr>
        <w:t>shall not entertain</w:t>
      </w:r>
      <w:r>
        <w:t xml:space="preserve"> a s. 9 application unless it finds circumstances that may render the s. 17 remedy </w:t>
      </w:r>
      <w:r>
        <w:rPr>
          <w:b/>
          <w:bCs/>
        </w:rPr>
        <w:t>not efficacious</w:t>
      </w:r>
      <w:r>
        <w:t>.</w:t>
      </w:r>
    </w:p>
    <w:p w14:paraId="3B883243" w14:textId="77777777" w:rsidR="00004105" w:rsidRDefault="00000000">
      <w:pPr>
        <w:keepNext/>
        <w:spacing w:before="170" w:after="60"/>
      </w:pPr>
      <w:r>
        <w:rPr>
          <w:b/>
          <w:bCs/>
        </w:rPr>
        <w:t>Sundaram Finance Ltd. v. NEPC India Ltd.</w:t>
      </w:r>
      <w:r>
        <w:rPr>
          <w:color w:val="404040"/>
          <w:sz w:val="19"/>
          <w:szCs w:val="19"/>
        </w:rPr>
        <w:t xml:space="preserve">  (1999) 2 SCC 479; AIR 1999 SC 565 (SC, 13 Jan 1999).</w:t>
      </w:r>
    </w:p>
    <w:p w14:paraId="72FD0EDA" w14:textId="77777777" w:rsidR="00004105" w:rsidRDefault="00000000">
      <w:pPr>
        <w:spacing w:after="70" w:line="258" w:lineRule="auto"/>
        <w:ind w:left="259"/>
        <w:jc w:val="both"/>
      </w:pPr>
      <w:r>
        <w:rPr>
          <w:b/>
          <w:bCs/>
          <w:sz w:val="21"/>
          <w:szCs w:val="21"/>
        </w:rPr>
        <w:t xml:space="preserve">Facts. </w:t>
      </w:r>
      <w:r>
        <w:rPr>
          <w:sz w:val="21"/>
          <w:szCs w:val="21"/>
        </w:rPr>
        <w:t>Hire-purchase of two wind turbine generators, price payable in thirty-six instalments. NEPC paid fifteen and defaulted. Sundaram Finance applied under s. 9 for an Advocate-Commissioner to take custody of the machinery; the trial court appointed one. NEPC objected under Art. 227 that, no arbitration being pending and no arbitrator appointed, a standalone s. 9 application was not maintainable.</w:t>
      </w:r>
    </w:p>
    <w:p w14:paraId="712FB6AE" w14:textId="77777777" w:rsidR="00004105" w:rsidRDefault="00000000">
      <w:pPr>
        <w:spacing w:after="70" w:line="258" w:lineRule="auto"/>
        <w:ind w:left="259"/>
        <w:jc w:val="both"/>
      </w:pPr>
      <w:r>
        <w:rPr>
          <w:b/>
          <w:bCs/>
          <w:sz w:val="21"/>
          <w:szCs w:val="21"/>
        </w:rPr>
        <w:t xml:space="preserve">Held. </w:t>
      </w:r>
      <w:r>
        <w:rPr>
          <w:sz w:val="21"/>
          <w:szCs w:val="21"/>
        </w:rPr>
        <w:t xml:space="preserve">Maintainable. Effect must be given to “before or during arbitral proceedings”, and a s. 21 notice need not first be issued. By applying under s. 9 a party implicitly accepts that a binding agreement exists and a referable dispute has arisen. What is required is a </w:t>
      </w:r>
      <w:r>
        <w:rPr>
          <w:b/>
          <w:bCs/>
          <w:sz w:val="21"/>
          <w:szCs w:val="21"/>
        </w:rPr>
        <w:t>manifest intention</w:t>
      </w:r>
      <w:r>
        <w:rPr>
          <w:sz w:val="21"/>
          <w:szCs w:val="21"/>
        </w:rPr>
        <w:t xml:space="preserve"> to take recourse to arbitration — a s. 21 notice may establish it, but so may other material, including an affidavit. The court must satisfy itself that a valid agreement exists and that the applicant intends to arbitrate, and may make its order </w:t>
      </w:r>
      <w:r>
        <w:rPr>
          <w:b/>
          <w:bCs/>
          <w:sz w:val="21"/>
          <w:szCs w:val="21"/>
        </w:rPr>
        <w:t>conditional</w:t>
      </w:r>
      <w:r>
        <w:rPr>
          <w:sz w:val="21"/>
          <w:szCs w:val="21"/>
        </w:rPr>
        <w:t xml:space="preserve"> to ensure effective steps are taken.</w:t>
      </w:r>
    </w:p>
    <w:p w14:paraId="4E802A38" w14:textId="77777777" w:rsidR="00004105" w:rsidRDefault="00000000">
      <w:pPr>
        <w:spacing w:after="70" w:line="258" w:lineRule="auto"/>
        <w:ind w:left="259"/>
        <w:jc w:val="both"/>
      </w:pPr>
      <w:r>
        <w:rPr>
          <w:b/>
          <w:bCs/>
          <w:sz w:val="21"/>
          <w:szCs w:val="21"/>
        </w:rPr>
        <w:t xml:space="preserve">Why it matters. </w:t>
      </w:r>
      <w:r>
        <w:rPr>
          <w:sz w:val="21"/>
          <w:szCs w:val="21"/>
        </w:rPr>
        <w:t>Establishes pre-commencement relief and the manifest-intention test.</w:t>
      </w:r>
    </w:p>
    <w:p w14:paraId="25E08DAC" w14:textId="77777777" w:rsidR="00004105" w:rsidRDefault="00000000">
      <w:pPr>
        <w:spacing w:after="70" w:line="258" w:lineRule="auto"/>
        <w:ind w:left="259"/>
        <w:jc w:val="both"/>
      </w:pPr>
      <w:r>
        <w:rPr>
          <w:b/>
          <w:bCs/>
          <w:sz w:val="21"/>
          <w:szCs w:val="21"/>
        </w:rPr>
        <w:t xml:space="preserve">Status. </w:t>
      </w:r>
      <w:r>
        <w:rPr>
          <w:sz w:val="21"/>
          <w:szCs w:val="21"/>
        </w:rPr>
        <w:t xml:space="preserve">Good law. The 2015 Amendment left pre-commencement relief intact and added the ninety-day rule in s. 9(2), which now performs judicially what the conditional order did. </w:t>
      </w:r>
      <w:r>
        <w:rPr>
          <w:i/>
          <w:iCs/>
          <w:sz w:val="21"/>
          <w:szCs w:val="21"/>
        </w:rPr>
        <w:t>Firm Ashok Traders v. Gurumukh Das Saluja</w:t>
      </w:r>
      <w:r>
        <w:rPr>
          <w:sz w:val="21"/>
          <w:szCs w:val="21"/>
        </w:rPr>
        <w:t xml:space="preserve">, (2004) 3 SCC 155, adds that the s. 9 right is </w:t>
      </w:r>
      <w:r>
        <w:rPr>
          <w:b/>
          <w:bCs/>
          <w:sz w:val="21"/>
          <w:szCs w:val="21"/>
        </w:rPr>
        <w:t>statutory, not contractual</w:t>
      </w:r>
      <w:r>
        <w:rPr>
          <w:sz w:val="21"/>
          <w:szCs w:val="21"/>
        </w:rPr>
        <w:t>, and available only to a party.</w:t>
      </w:r>
    </w:p>
    <w:p w14:paraId="32A7C578" w14:textId="77777777" w:rsidR="00004105" w:rsidRDefault="00000000">
      <w:pPr>
        <w:pStyle w:val="Heading2"/>
        <w:keepNext/>
        <w:spacing w:before="240" w:after="110"/>
      </w:pPr>
      <w:bookmarkStart w:id="28" w:name="_Toc240747363"/>
      <w:r>
        <w:t>5.2  S. 17 — by the tribunal</w:t>
      </w:r>
      <w:bookmarkEnd w:id="28"/>
    </w:p>
    <w:p w14:paraId="694F5918" w14:textId="77777777" w:rsidR="00004105" w:rsidRDefault="00000000">
      <w:pPr>
        <w:spacing w:after="110"/>
        <w:jc w:val="both"/>
      </w:pPr>
      <w:r>
        <w:rPr>
          <w:b/>
          <w:bCs/>
        </w:rPr>
        <w:t>Before 2015</w:t>
      </w:r>
      <w:r>
        <w:t xml:space="preserve"> the tribunal could, unless otherwise agreed, order a party to take any interim measure of protection it considered necessary in respect of the subject matter, and require appropriate security. The powers of court and tribunal were independent and overlapped, but s. 9 was much wider (covering the periods before and after the arbitration), a pending s. 17 application did not oust s. 9, s. 17 orders were appealable under s. 37(2)(b), and — the fatal defect — </w:t>
      </w:r>
      <w:r>
        <w:rPr>
          <w:b/>
          <w:bCs/>
        </w:rPr>
        <w:t>the tribunal had no machinery to enforce its own orders</w:t>
      </w:r>
      <w:r>
        <w:t>, so they were always liable to be superseded by the court's.</w:t>
      </w:r>
    </w:p>
    <w:p w14:paraId="2419D905" w14:textId="77777777" w:rsidR="00004105" w:rsidRDefault="00000000">
      <w:pPr>
        <w:spacing w:after="110"/>
        <w:jc w:val="both"/>
      </w:pPr>
      <w:r>
        <w:rPr>
          <w:b/>
          <w:bCs/>
        </w:rPr>
        <w:t>After 2015</w:t>
      </w:r>
      <w:r>
        <w:t xml:space="preserve"> the balance reversed. The tribunal's powers were aligned with the court's: the same guardian and five heads of protection, with the same power of making orders as the court has in proceedings before it. And </w:t>
      </w:r>
      <w:r>
        <w:rPr>
          <w:b/>
          <w:bCs/>
        </w:rPr>
        <w:t>s. 17(2)</w:t>
      </w:r>
      <w:r>
        <w:t xml:space="preserve"> provides that, subject to any order in appeal under s. 37, a tribunal order is </w:t>
      </w:r>
      <w:r>
        <w:rPr>
          <w:b/>
          <w:bCs/>
        </w:rPr>
        <w:t>deemed an order of the court for all purposes and enforceable in the same manner</w:t>
      </w:r>
      <w:r>
        <w:t xml:space="preserve"> under the CPC. The class note is accurate: after the amendment s. 17 is the natural course, and s. 9 is disabled once the panel is constituted.</w:t>
      </w:r>
    </w:p>
    <w:p w14:paraId="0EA74C7E" w14:textId="77777777" w:rsidR="00004105" w:rsidRDefault="00000000">
      <w:pPr>
        <w:spacing w:after="110"/>
        <w:jc w:val="both"/>
      </w:pPr>
      <w:r>
        <w:rPr>
          <w:b/>
          <w:bCs/>
        </w:rPr>
        <w:t>Temporal limit.</w:t>
      </w:r>
      <w:r>
        <w:t xml:space="preserve"> The present text confines the power to “during the arbitral proceedings”. Once the award is made the tribunal is </w:t>
      </w:r>
      <w:r>
        <w:rPr>
          <w:i/>
          <w:iCs/>
        </w:rPr>
        <w:t>functus officio</w:t>
      </w:r>
      <w:r>
        <w:t>, so protection in the interval between award and enforcement must be sought from the court under s. 9 — the residual but important function s. 9 retains.</w:t>
      </w:r>
    </w:p>
    <w:p w14:paraId="432E2FAD" w14:textId="77777777" w:rsidR="00004105" w:rsidRDefault="00000000">
      <w:pPr>
        <w:pBdr>
          <w:left w:val="single" w:sz="12" w:space="8" w:color="7A7A7A"/>
        </w:pBdr>
        <w:spacing w:before="110" w:after="140" w:line="252" w:lineRule="auto"/>
        <w:ind w:left="288"/>
        <w:jc w:val="both"/>
      </w:pPr>
      <w:r>
        <w:rPr>
          <w:sz w:val="20"/>
          <w:szCs w:val="20"/>
        </w:rPr>
        <w:t>Not verified: the attribution of the narrowing of s. 17(1) to the 2019 Amendment, and the class note about “revival” of a dissolved tribunal. The substantive consequence stated above rests on the text of s. 9(1) and is sound.</w:t>
      </w:r>
    </w:p>
    <w:p w14:paraId="5DE7D8A3" w14:textId="77777777" w:rsidR="00004105" w:rsidRDefault="00000000">
      <w:pPr>
        <w:pStyle w:val="Heading2"/>
        <w:keepNext/>
        <w:spacing w:before="240" w:after="110"/>
      </w:pPr>
      <w:bookmarkStart w:id="29" w:name="_Toc240747364"/>
      <w:r>
        <w:t>5.3  Comparison</w:t>
      </w:r>
      <w:bookmarkEnd w:id="29"/>
    </w:p>
    <w:tbl>
      <w:tblPr>
        <w:tblW w:w="8850" w:type="dxa"/>
        <w:tblBorders>
          <w:top w:val="single" w:sz="3" w:space="0" w:color="8A8A8A"/>
          <w:left w:val="single" w:sz="3" w:space="0" w:color="8A8A8A"/>
          <w:bottom w:val="single" w:sz="3" w:space="0" w:color="8A8A8A"/>
          <w:right w:val="single" w:sz="3" w:space="0" w:color="8A8A8A"/>
          <w:insideH w:val="single" w:sz="2" w:space="0" w:color="C4C4C4"/>
          <w:insideV w:val="single" w:sz="2" w:space="0" w:color="C4C4C4"/>
        </w:tblBorders>
        <w:tblCellMar>
          <w:left w:w="10" w:type="dxa"/>
          <w:right w:w="10" w:type="dxa"/>
        </w:tblCellMar>
        <w:tblLook w:val="0000" w:firstRow="0" w:lastRow="0" w:firstColumn="0" w:lastColumn="0" w:noHBand="0" w:noVBand="0"/>
      </w:tblPr>
      <w:tblGrid>
        <w:gridCol w:w="1750"/>
        <w:gridCol w:w="3550"/>
        <w:gridCol w:w="3550"/>
      </w:tblGrid>
      <w:tr w:rsidR="00004105" w14:paraId="44671038" w14:textId="77777777">
        <w:tblPrEx>
          <w:tblCellMar>
            <w:top w:w="0" w:type="dxa"/>
            <w:bottom w:w="0" w:type="dxa"/>
          </w:tblCellMar>
        </w:tblPrEx>
        <w:trPr>
          <w:tblHeader/>
        </w:trPr>
        <w:tc>
          <w:tcPr>
            <w:tcW w:w="1750" w:type="dxa"/>
            <w:shd w:val="clear" w:color="auto" w:fill="EDEDED"/>
            <w:tcMar>
              <w:top w:w="70" w:type="dxa"/>
              <w:left w:w="110" w:type="dxa"/>
              <w:bottom w:w="70" w:type="dxa"/>
              <w:right w:w="110" w:type="dxa"/>
            </w:tcMar>
          </w:tcPr>
          <w:p w14:paraId="226EC86C" w14:textId="77777777" w:rsidR="00004105" w:rsidRDefault="00004105">
            <w:pPr>
              <w:spacing w:line="244" w:lineRule="auto"/>
            </w:pPr>
          </w:p>
        </w:tc>
        <w:tc>
          <w:tcPr>
            <w:tcW w:w="3550" w:type="dxa"/>
            <w:shd w:val="clear" w:color="auto" w:fill="EDEDED"/>
            <w:tcMar>
              <w:top w:w="70" w:type="dxa"/>
              <w:left w:w="110" w:type="dxa"/>
              <w:bottom w:w="70" w:type="dxa"/>
              <w:right w:w="110" w:type="dxa"/>
            </w:tcMar>
          </w:tcPr>
          <w:p w14:paraId="0F0B9D98" w14:textId="77777777" w:rsidR="00004105" w:rsidRDefault="00000000">
            <w:pPr>
              <w:spacing w:line="244" w:lineRule="auto"/>
            </w:pPr>
            <w:r>
              <w:rPr>
                <w:b/>
                <w:bCs/>
                <w:sz w:val="19"/>
                <w:szCs w:val="19"/>
              </w:rPr>
              <w:t>S. 9 — court</w:t>
            </w:r>
          </w:p>
        </w:tc>
        <w:tc>
          <w:tcPr>
            <w:tcW w:w="3550" w:type="dxa"/>
            <w:shd w:val="clear" w:color="auto" w:fill="EDEDED"/>
            <w:tcMar>
              <w:top w:w="70" w:type="dxa"/>
              <w:left w:w="110" w:type="dxa"/>
              <w:bottom w:w="70" w:type="dxa"/>
              <w:right w:w="110" w:type="dxa"/>
            </w:tcMar>
          </w:tcPr>
          <w:p w14:paraId="4BA99933" w14:textId="77777777" w:rsidR="00004105" w:rsidRDefault="00000000">
            <w:pPr>
              <w:spacing w:line="244" w:lineRule="auto"/>
            </w:pPr>
            <w:r>
              <w:rPr>
                <w:b/>
                <w:bCs/>
                <w:sz w:val="19"/>
                <w:szCs w:val="19"/>
              </w:rPr>
              <w:t>S. 17 — tribunal</w:t>
            </w:r>
          </w:p>
        </w:tc>
      </w:tr>
      <w:tr w:rsidR="00004105" w14:paraId="45A29AF1" w14:textId="77777777">
        <w:tblPrEx>
          <w:tblCellMar>
            <w:top w:w="0" w:type="dxa"/>
            <w:bottom w:w="0" w:type="dxa"/>
          </w:tblCellMar>
        </w:tblPrEx>
        <w:tc>
          <w:tcPr>
            <w:tcW w:w="1750" w:type="dxa"/>
            <w:tcMar>
              <w:top w:w="70" w:type="dxa"/>
              <w:left w:w="110" w:type="dxa"/>
              <w:bottom w:w="70" w:type="dxa"/>
              <w:right w:w="110" w:type="dxa"/>
            </w:tcMar>
          </w:tcPr>
          <w:p w14:paraId="40E61441" w14:textId="77777777" w:rsidR="00004105" w:rsidRDefault="00000000">
            <w:pPr>
              <w:spacing w:line="244" w:lineRule="auto"/>
            </w:pPr>
            <w:r>
              <w:rPr>
                <w:sz w:val="19"/>
                <w:szCs w:val="19"/>
              </w:rPr>
              <w:t>When available</w:t>
            </w:r>
          </w:p>
        </w:tc>
        <w:tc>
          <w:tcPr>
            <w:tcW w:w="3550" w:type="dxa"/>
            <w:tcMar>
              <w:top w:w="70" w:type="dxa"/>
              <w:left w:w="110" w:type="dxa"/>
              <w:bottom w:w="70" w:type="dxa"/>
              <w:right w:w="110" w:type="dxa"/>
            </w:tcMar>
          </w:tcPr>
          <w:p w14:paraId="55A3C845" w14:textId="77777777" w:rsidR="00004105" w:rsidRDefault="00000000">
            <w:pPr>
              <w:spacing w:line="244" w:lineRule="auto"/>
            </w:pPr>
            <w:r>
              <w:rPr>
                <w:sz w:val="19"/>
                <w:szCs w:val="19"/>
              </w:rPr>
              <w:t>Before, during, and after the award but before enforcement (s. 36).</w:t>
            </w:r>
          </w:p>
        </w:tc>
        <w:tc>
          <w:tcPr>
            <w:tcW w:w="3550" w:type="dxa"/>
            <w:tcMar>
              <w:top w:w="70" w:type="dxa"/>
              <w:left w:w="110" w:type="dxa"/>
              <w:bottom w:w="70" w:type="dxa"/>
              <w:right w:w="110" w:type="dxa"/>
            </w:tcMar>
          </w:tcPr>
          <w:p w14:paraId="0746E3EC" w14:textId="77777777" w:rsidR="00004105" w:rsidRDefault="00000000">
            <w:pPr>
              <w:spacing w:line="244" w:lineRule="auto"/>
            </w:pPr>
            <w:r>
              <w:rPr>
                <w:sz w:val="19"/>
                <w:szCs w:val="19"/>
              </w:rPr>
              <w:t>During the arbitral proceedings only.</w:t>
            </w:r>
          </w:p>
        </w:tc>
      </w:tr>
      <w:tr w:rsidR="00004105" w14:paraId="09A58F09" w14:textId="77777777">
        <w:tblPrEx>
          <w:tblCellMar>
            <w:top w:w="0" w:type="dxa"/>
            <w:bottom w:w="0" w:type="dxa"/>
          </w:tblCellMar>
        </w:tblPrEx>
        <w:tc>
          <w:tcPr>
            <w:tcW w:w="1750" w:type="dxa"/>
            <w:tcMar>
              <w:top w:w="70" w:type="dxa"/>
              <w:left w:w="110" w:type="dxa"/>
              <w:bottom w:w="70" w:type="dxa"/>
              <w:right w:w="110" w:type="dxa"/>
            </w:tcMar>
          </w:tcPr>
          <w:p w14:paraId="0A1EF0F6" w14:textId="77777777" w:rsidR="00004105" w:rsidRDefault="00000000">
            <w:pPr>
              <w:spacing w:line="244" w:lineRule="auto"/>
            </w:pPr>
            <w:r>
              <w:rPr>
                <w:sz w:val="19"/>
                <w:szCs w:val="19"/>
              </w:rPr>
              <w:lastRenderedPageBreak/>
              <w:t>Enforcement of order</w:t>
            </w:r>
          </w:p>
        </w:tc>
        <w:tc>
          <w:tcPr>
            <w:tcW w:w="3550" w:type="dxa"/>
            <w:tcMar>
              <w:top w:w="70" w:type="dxa"/>
              <w:left w:w="110" w:type="dxa"/>
              <w:bottom w:w="70" w:type="dxa"/>
              <w:right w:w="110" w:type="dxa"/>
            </w:tcMar>
          </w:tcPr>
          <w:p w14:paraId="600EC5F0" w14:textId="77777777" w:rsidR="00004105" w:rsidRDefault="00000000">
            <w:pPr>
              <w:spacing w:line="244" w:lineRule="auto"/>
            </w:pPr>
            <w:r>
              <w:rPr>
                <w:sz w:val="19"/>
                <w:szCs w:val="19"/>
              </w:rPr>
              <w:t>An order of the court.</w:t>
            </w:r>
          </w:p>
        </w:tc>
        <w:tc>
          <w:tcPr>
            <w:tcW w:w="3550" w:type="dxa"/>
            <w:tcMar>
              <w:top w:w="70" w:type="dxa"/>
              <w:left w:w="110" w:type="dxa"/>
              <w:bottom w:w="70" w:type="dxa"/>
              <w:right w:w="110" w:type="dxa"/>
            </w:tcMar>
          </w:tcPr>
          <w:p w14:paraId="31CC6759" w14:textId="77777777" w:rsidR="00004105" w:rsidRDefault="00000000">
            <w:pPr>
              <w:spacing w:line="244" w:lineRule="auto"/>
            </w:pPr>
            <w:r>
              <w:rPr>
                <w:sz w:val="19"/>
                <w:szCs w:val="19"/>
              </w:rPr>
              <w:t>Deemed an order of the court; enforceable as such (s. 17(2)).</w:t>
            </w:r>
          </w:p>
        </w:tc>
      </w:tr>
      <w:tr w:rsidR="00004105" w14:paraId="0BAE67D9" w14:textId="77777777">
        <w:tblPrEx>
          <w:tblCellMar>
            <w:top w:w="0" w:type="dxa"/>
            <w:bottom w:w="0" w:type="dxa"/>
          </w:tblCellMar>
        </w:tblPrEx>
        <w:tc>
          <w:tcPr>
            <w:tcW w:w="1750" w:type="dxa"/>
            <w:tcMar>
              <w:top w:w="70" w:type="dxa"/>
              <w:left w:w="110" w:type="dxa"/>
              <w:bottom w:w="70" w:type="dxa"/>
              <w:right w:w="110" w:type="dxa"/>
            </w:tcMar>
          </w:tcPr>
          <w:p w14:paraId="2F6D0D9C" w14:textId="77777777" w:rsidR="00004105" w:rsidRDefault="00000000">
            <w:pPr>
              <w:spacing w:line="244" w:lineRule="auto"/>
            </w:pPr>
            <w:r>
              <w:rPr>
                <w:sz w:val="19"/>
                <w:szCs w:val="19"/>
              </w:rPr>
              <w:t>Once tribunal exists</w:t>
            </w:r>
          </w:p>
        </w:tc>
        <w:tc>
          <w:tcPr>
            <w:tcW w:w="3550" w:type="dxa"/>
            <w:tcMar>
              <w:top w:w="70" w:type="dxa"/>
              <w:left w:w="110" w:type="dxa"/>
              <w:bottom w:w="70" w:type="dxa"/>
              <w:right w:w="110" w:type="dxa"/>
            </w:tcMar>
          </w:tcPr>
          <w:p w14:paraId="05AFDC23" w14:textId="77777777" w:rsidR="00004105" w:rsidRDefault="00000000">
            <w:pPr>
              <w:spacing w:line="244" w:lineRule="auto"/>
            </w:pPr>
            <w:r>
              <w:rPr>
                <w:sz w:val="19"/>
                <w:szCs w:val="19"/>
              </w:rPr>
              <w:t>Not entertained unless the s. 17 remedy would be inefficacious (s. 9(3)).</w:t>
            </w:r>
          </w:p>
        </w:tc>
        <w:tc>
          <w:tcPr>
            <w:tcW w:w="3550" w:type="dxa"/>
            <w:tcMar>
              <w:top w:w="70" w:type="dxa"/>
              <w:left w:w="110" w:type="dxa"/>
              <w:bottom w:w="70" w:type="dxa"/>
              <w:right w:w="110" w:type="dxa"/>
            </w:tcMar>
          </w:tcPr>
          <w:p w14:paraId="469CE29C" w14:textId="77777777" w:rsidR="00004105" w:rsidRDefault="00000000">
            <w:pPr>
              <w:spacing w:line="244" w:lineRule="auto"/>
            </w:pPr>
            <w:r>
              <w:rPr>
                <w:sz w:val="19"/>
                <w:szCs w:val="19"/>
              </w:rPr>
              <w:t>The ordinary forum.</w:t>
            </w:r>
          </w:p>
        </w:tc>
      </w:tr>
      <w:tr w:rsidR="00004105" w14:paraId="15A10FDA" w14:textId="77777777">
        <w:tblPrEx>
          <w:tblCellMar>
            <w:top w:w="0" w:type="dxa"/>
            <w:bottom w:w="0" w:type="dxa"/>
          </w:tblCellMar>
        </w:tblPrEx>
        <w:tc>
          <w:tcPr>
            <w:tcW w:w="1750" w:type="dxa"/>
            <w:tcMar>
              <w:top w:w="70" w:type="dxa"/>
              <w:left w:w="110" w:type="dxa"/>
              <w:bottom w:w="70" w:type="dxa"/>
              <w:right w:w="110" w:type="dxa"/>
            </w:tcMar>
          </w:tcPr>
          <w:p w14:paraId="3CD295E5" w14:textId="77777777" w:rsidR="00004105" w:rsidRDefault="00000000">
            <w:pPr>
              <w:spacing w:line="244" w:lineRule="auto"/>
            </w:pPr>
            <w:r>
              <w:rPr>
                <w:sz w:val="19"/>
                <w:szCs w:val="19"/>
              </w:rPr>
              <w:t>Discipline</w:t>
            </w:r>
          </w:p>
        </w:tc>
        <w:tc>
          <w:tcPr>
            <w:tcW w:w="3550" w:type="dxa"/>
            <w:tcMar>
              <w:top w:w="70" w:type="dxa"/>
              <w:left w:w="110" w:type="dxa"/>
              <w:bottom w:w="70" w:type="dxa"/>
              <w:right w:w="110" w:type="dxa"/>
            </w:tcMar>
          </w:tcPr>
          <w:p w14:paraId="75CD5684" w14:textId="77777777" w:rsidR="00004105" w:rsidRDefault="00000000">
            <w:pPr>
              <w:spacing w:line="244" w:lineRule="auto"/>
            </w:pPr>
            <w:r>
              <w:rPr>
                <w:sz w:val="19"/>
                <w:szCs w:val="19"/>
              </w:rPr>
              <w:t>90 days to commence after a pre-commencement order (s. 9(2)).</w:t>
            </w:r>
          </w:p>
        </w:tc>
        <w:tc>
          <w:tcPr>
            <w:tcW w:w="3550" w:type="dxa"/>
            <w:tcMar>
              <w:top w:w="70" w:type="dxa"/>
              <w:left w:w="110" w:type="dxa"/>
              <w:bottom w:w="70" w:type="dxa"/>
              <w:right w:w="110" w:type="dxa"/>
            </w:tcMar>
          </w:tcPr>
          <w:p w14:paraId="617D0E79" w14:textId="77777777" w:rsidR="00004105" w:rsidRDefault="00000000">
            <w:pPr>
              <w:spacing w:line="244" w:lineRule="auto"/>
            </w:pPr>
            <w:r>
              <w:rPr>
                <w:sz w:val="19"/>
                <w:szCs w:val="19"/>
              </w:rPr>
              <w:t>Not applicable.</w:t>
            </w:r>
          </w:p>
        </w:tc>
      </w:tr>
      <w:tr w:rsidR="00004105" w14:paraId="2A270AA7" w14:textId="77777777">
        <w:tblPrEx>
          <w:tblCellMar>
            <w:top w:w="0" w:type="dxa"/>
            <w:bottom w:w="0" w:type="dxa"/>
          </w:tblCellMar>
        </w:tblPrEx>
        <w:tc>
          <w:tcPr>
            <w:tcW w:w="1750" w:type="dxa"/>
            <w:tcMar>
              <w:top w:w="70" w:type="dxa"/>
              <w:left w:w="110" w:type="dxa"/>
              <w:bottom w:w="70" w:type="dxa"/>
              <w:right w:w="110" w:type="dxa"/>
            </w:tcMar>
          </w:tcPr>
          <w:p w14:paraId="5EE9D424" w14:textId="77777777" w:rsidR="00004105" w:rsidRDefault="00000000">
            <w:pPr>
              <w:spacing w:line="244" w:lineRule="auto"/>
            </w:pPr>
            <w:r>
              <w:rPr>
                <w:sz w:val="19"/>
                <w:szCs w:val="19"/>
              </w:rPr>
              <w:t>Appeal</w:t>
            </w:r>
          </w:p>
        </w:tc>
        <w:tc>
          <w:tcPr>
            <w:tcW w:w="3550" w:type="dxa"/>
            <w:tcMar>
              <w:top w:w="70" w:type="dxa"/>
              <w:left w:w="110" w:type="dxa"/>
              <w:bottom w:w="70" w:type="dxa"/>
              <w:right w:w="110" w:type="dxa"/>
            </w:tcMar>
          </w:tcPr>
          <w:p w14:paraId="4B7C60E3" w14:textId="77777777" w:rsidR="00004105" w:rsidRDefault="00000000">
            <w:pPr>
              <w:spacing w:line="244" w:lineRule="auto"/>
            </w:pPr>
            <w:r>
              <w:rPr>
                <w:sz w:val="19"/>
                <w:szCs w:val="19"/>
              </w:rPr>
              <w:t>S. 37(1)(b).</w:t>
            </w:r>
          </w:p>
        </w:tc>
        <w:tc>
          <w:tcPr>
            <w:tcW w:w="3550" w:type="dxa"/>
            <w:tcMar>
              <w:top w:w="70" w:type="dxa"/>
              <w:left w:w="110" w:type="dxa"/>
              <w:bottom w:w="70" w:type="dxa"/>
              <w:right w:w="110" w:type="dxa"/>
            </w:tcMar>
          </w:tcPr>
          <w:p w14:paraId="7D9DCF4F" w14:textId="77777777" w:rsidR="00004105" w:rsidRDefault="00000000">
            <w:pPr>
              <w:spacing w:line="244" w:lineRule="auto"/>
            </w:pPr>
            <w:r>
              <w:rPr>
                <w:sz w:val="19"/>
                <w:szCs w:val="19"/>
              </w:rPr>
              <w:t>S. 37(2)(b).</w:t>
            </w:r>
          </w:p>
        </w:tc>
      </w:tr>
      <w:tr w:rsidR="00004105" w14:paraId="5D240F41" w14:textId="77777777">
        <w:tblPrEx>
          <w:tblCellMar>
            <w:top w:w="0" w:type="dxa"/>
            <w:bottom w:w="0" w:type="dxa"/>
          </w:tblCellMar>
        </w:tblPrEx>
        <w:tc>
          <w:tcPr>
            <w:tcW w:w="1750" w:type="dxa"/>
            <w:tcMar>
              <w:top w:w="70" w:type="dxa"/>
              <w:left w:w="110" w:type="dxa"/>
              <w:bottom w:w="70" w:type="dxa"/>
              <w:right w:w="110" w:type="dxa"/>
            </w:tcMar>
          </w:tcPr>
          <w:p w14:paraId="36D0735F" w14:textId="77777777" w:rsidR="00004105" w:rsidRDefault="00000000">
            <w:pPr>
              <w:spacing w:line="244" w:lineRule="auto"/>
            </w:pPr>
            <w:r>
              <w:rPr>
                <w:sz w:val="19"/>
                <w:szCs w:val="19"/>
              </w:rPr>
              <w:t>Foreign-seated ICA</w:t>
            </w:r>
          </w:p>
        </w:tc>
        <w:tc>
          <w:tcPr>
            <w:tcW w:w="3550" w:type="dxa"/>
            <w:tcMar>
              <w:top w:w="70" w:type="dxa"/>
              <w:left w:w="110" w:type="dxa"/>
              <w:bottom w:w="70" w:type="dxa"/>
              <w:right w:w="110" w:type="dxa"/>
            </w:tcMar>
          </w:tcPr>
          <w:p w14:paraId="75E6E105" w14:textId="77777777" w:rsidR="00004105" w:rsidRDefault="00000000">
            <w:pPr>
              <w:spacing w:line="244" w:lineRule="auto"/>
            </w:pPr>
            <w:r>
              <w:rPr>
                <w:sz w:val="19"/>
                <w:szCs w:val="19"/>
              </w:rPr>
              <w:t>Available via the proviso to s. 2(2), unless excluded.</w:t>
            </w:r>
          </w:p>
        </w:tc>
        <w:tc>
          <w:tcPr>
            <w:tcW w:w="3550" w:type="dxa"/>
            <w:tcMar>
              <w:top w:w="70" w:type="dxa"/>
              <w:left w:w="110" w:type="dxa"/>
              <w:bottom w:w="70" w:type="dxa"/>
              <w:right w:w="110" w:type="dxa"/>
            </w:tcMar>
          </w:tcPr>
          <w:p w14:paraId="35537108" w14:textId="77777777" w:rsidR="00004105" w:rsidRDefault="00000000">
            <w:pPr>
              <w:spacing w:line="244" w:lineRule="auto"/>
            </w:pPr>
            <w:r>
              <w:rPr>
                <w:sz w:val="19"/>
                <w:szCs w:val="19"/>
              </w:rPr>
              <w:t>Not applicable; powers derive from the law of the seat.</w:t>
            </w:r>
          </w:p>
        </w:tc>
      </w:tr>
    </w:tbl>
    <w:p w14:paraId="4B6A182A" w14:textId="77777777" w:rsidR="00004105" w:rsidRDefault="00004105">
      <w:pPr>
        <w:spacing w:after="110"/>
      </w:pPr>
    </w:p>
    <w:p w14:paraId="402DDE25" w14:textId="77777777" w:rsidR="00004105" w:rsidRDefault="00000000">
      <w:pPr>
        <w:pStyle w:val="Heading1"/>
        <w:keepNext/>
        <w:pBdr>
          <w:top w:val="single" w:sz="8" w:space="10" w:color="999999"/>
        </w:pBdr>
        <w:spacing w:before="460" w:after="170"/>
      </w:pPr>
      <w:bookmarkStart w:id="30" w:name="_Toc240747365"/>
      <w:r>
        <w:t>6  Number of Arbitrators: s. 10</w:t>
      </w:r>
      <w:bookmarkEnd w:id="30"/>
    </w:p>
    <w:p w14:paraId="3AB017F2" w14:textId="77777777" w:rsidR="00004105" w:rsidRDefault="00000000">
      <w:pPr>
        <w:spacing w:before="80" w:after="110" w:line="250" w:lineRule="auto"/>
        <w:ind w:left="504" w:right="288"/>
        <w:jc w:val="both"/>
      </w:pPr>
      <w:r>
        <w:rPr>
          <w:b/>
          <w:bCs/>
          <w:sz w:val="20"/>
          <w:szCs w:val="20"/>
        </w:rPr>
        <w:t>10.</w:t>
      </w:r>
      <w:r>
        <w:rPr>
          <w:sz w:val="20"/>
          <w:szCs w:val="20"/>
        </w:rPr>
        <w:t xml:space="preserve"> (1) The parties are free to determine the number of arbitrators, provided that such number </w:t>
      </w:r>
      <w:r>
        <w:rPr>
          <w:b/>
          <w:bCs/>
          <w:sz w:val="20"/>
          <w:szCs w:val="20"/>
        </w:rPr>
        <w:t>shall not be an even number</w:t>
      </w:r>
      <w:r>
        <w:rPr>
          <w:sz w:val="20"/>
          <w:szCs w:val="20"/>
        </w:rPr>
        <w:t xml:space="preserve">. (2) Failing the determination referred to in sub-section (1), the arbitral tribunal shall consist of a </w:t>
      </w:r>
      <w:r>
        <w:rPr>
          <w:b/>
          <w:bCs/>
          <w:sz w:val="20"/>
          <w:szCs w:val="20"/>
        </w:rPr>
        <w:t>sole arbitrator</w:t>
      </w:r>
      <w:r>
        <w:rPr>
          <w:sz w:val="20"/>
          <w:szCs w:val="20"/>
        </w:rPr>
        <w:t>.</w:t>
      </w:r>
    </w:p>
    <w:p w14:paraId="109364FA" w14:textId="77777777" w:rsidR="00004105" w:rsidRDefault="00000000">
      <w:pPr>
        <w:spacing w:after="110"/>
        <w:jc w:val="both"/>
      </w:pPr>
      <w:r>
        <w:t xml:space="preserve">Party autonomy is the primary rule; the odd-number requirement exists because an even-numbered tribunal may deadlock. The Indian default is </w:t>
      </w:r>
      <w:r>
        <w:rPr>
          <w:b/>
          <w:bCs/>
        </w:rPr>
        <w:t>one</w:t>
      </w:r>
      <w:r>
        <w:t xml:space="preserve"> arbitrator, unlike the Model Law, where it is three. Where three are appointed, the third, chosen by the two party nominees, is the </w:t>
      </w:r>
      <w:r>
        <w:rPr>
          <w:b/>
          <w:bCs/>
        </w:rPr>
        <w:t>presiding arbitrator</w:t>
      </w:r>
      <w:r>
        <w:t xml:space="preserve"> — not an umpire. The umpire (who decided when the arbitrators disagreed) does not exist under this Act: the presiding arbitrator sits and decides with the others, and his view prevails where there is no majority.</w:t>
      </w:r>
    </w:p>
    <w:p w14:paraId="019577EE" w14:textId="77777777" w:rsidR="00004105" w:rsidRDefault="00000000">
      <w:pPr>
        <w:pStyle w:val="Heading2"/>
        <w:keepNext/>
        <w:spacing w:before="240" w:after="110"/>
      </w:pPr>
      <w:bookmarkStart w:id="31" w:name="_Toc240747366"/>
      <w:r>
        <w:t>6.1  Is s. 10 mandatory or directory?</w:t>
      </w:r>
      <w:bookmarkEnd w:id="31"/>
    </w:p>
    <w:p w14:paraId="5E26A646" w14:textId="77777777" w:rsidR="00004105" w:rsidRDefault="00000000">
      <w:pPr>
        <w:keepNext/>
        <w:spacing w:before="170" w:after="60"/>
      </w:pPr>
      <w:r>
        <w:rPr>
          <w:b/>
          <w:bCs/>
        </w:rPr>
        <w:t>Narayan Prasad Lohia v. Nikunj Kumar Lohia</w:t>
      </w:r>
      <w:r>
        <w:rPr>
          <w:color w:val="404040"/>
          <w:sz w:val="19"/>
          <w:szCs w:val="19"/>
        </w:rPr>
        <w:t xml:space="preserve">  (2002) 3 SCC 572; AIR 2002 SC 1139 (SC, 3 Judges, 20 Feb 2002).</w:t>
      </w:r>
    </w:p>
    <w:p w14:paraId="0BC5A9D8" w14:textId="77777777" w:rsidR="00004105" w:rsidRDefault="00000000">
      <w:pPr>
        <w:spacing w:after="70" w:line="258" w:lineRule="auto"/>
        <w:ind w:left="259"/>
        <w:jc w:val="both"/>
      </w:pPr>
      <w:r>
        <w:rPr>
          <w:b/>
          <w:bCs/>
          <w:sz w:val="21"/>
          <w:szCs w:val="21"/>
        </w:rPr>
        <w:t xml:space="preserve">Facts. </w:t>
      </w:r>
      <w:r>
        <w:rPr>
          <w:sz w:val="21"/>
          <w:szCs w:val="21"/>
        </w:rPr>
        <w:t>Family disputes over businesses and properties were referred to two named arbitrators by agreement of 29 September 1996, and the award was made by both. The respondents then argued that an arbitration by two arbitrators contravened s. 10, making the tribunal void and the award unenforceable.</w:t>
      </w:r>
    </w:p>
    <w:p w14:paraId="39117D50" w14:textId="77777777" w:rsidR="00004105" w:rsidRDefault="00000000">
      <w:pPr>
        <w:spacing w:after="70" w:line="258" w:lineRule="auto"/>
        <w:ind w:left="259"/>
        <w:jc w:val="both"/>
      </w:pPr>
      <w:r>
        <w:rPr>
          <w:b/>
          <w:bCs/>
          <w:sz w:val="21"/>
          <w:szCs w:val="21"/>
        </w:rPr>
        <w:t xml:space="preserve">Held. </w:t>
      </w:r>
      <w:r>
        <w:rPr>
          <w:sz w:val="21"/>
          <w:szCs w:val="21"/>
        </w:rPr>
        <w:t xml:space="preserve">The award stood. </w:t>
      </w:r>
      <w:r>
        <w:rPr>
          <w:b/>
          <w:bCs/>
          <w:sz w:val="21"/>
          <w:szCs w:val="21"/>
        </w:rPr>
        <w:t>S. 10 is derogable.</w:t>
      </w:r>
      <w:r>
        <w:rPr>
          <w:sz w:val="21"/>
          <w:szCs w:val="21"/>
        </w:rPr>
        <w:t xml:space="preserve"> The argument rested on s. 34(2)(a)(v), which allows an award to be set aside where the composition or procedure did not accord with the parties' agreement, unless that agreement conflicted with a non-derogable provision, or, </w:t>
      </w:r>
      <w:r>
        <w:rPr>
          <w:b/>
          <w:bCs/>
          <w:sz w:val="21"/>
          <w:szCs w:val="21"/>
        </w:rPr>
        <w:t>“failing such agreement”</w:t>
      </w:r>
      <w:r>
        <w:rPr>
          <w:sz w:val="21"/>
          <w:szCs w:val="21"/>
        </w:rPr>
        <w:t xml:space="preserve">, did not accord with Part I. Those words refer to an agreement on composition or procedure and operate only where there is none. Here the agreement itself provided for two arbitrators and was followed. So long as composition and procedure follow the parties' agreement, s. 34 does not permit challenge merely because the composition conflicted with a provision of Part I. Separately, an objection to competence must be raised under </w:t>
      </w:r>
      <w:r>
        <w:rPr>
          <w:b/>
          <w:bCs/>
          <w:sz w:val="21"/>
          <w:szCs w:val="21"/>
        </w:rPr>
        <w:t>s. 16(2)</w:t>
      </w:r>
      <w:r>
        <w:rPr>
          <w:sz w:val="21"/>
          <w:szCs w:val="21"/>
        </w:rPr>
        <w:t xml:space="preserve"> not later than the statement of defence; a party failing to do so is deemed to have waived it (s. 16 with s. 4).</w:t>
      </w:r>
    </w:p>
    <w:p w14:paraId="6F014897" w14:textId="77777777" w:rsidR="00004105" w:rsidRDefault="00000000">
      <w:pPr>
        <w:spacing w:after="70" w:line="258" w:lineRule="auto"/>
        <w:ind w:left="259"/>
        <w:jc w:val="both"/>
      </w:pPr>
      <w:r>
        <w:rPr>
          <w:b/>
          <w:bCs/>
          <w:sz w:val="21"/>
          <w:szCs w:val="21"/>
        </w:rPr>
        <w:t xml:space="preserve">Why it matters. </w:t>
      </w:r>
      <w:r>
        <w:rPr>
          <w:sz w:val="21"/>
          <w:szCs w:val="21"/>
        </w:rPr>
        <w:t>Governing authority on s. 10, and also on s. 4 and s. 16(2). It shows how to identify a non-derogable provision: the test is not whether the language is prohibitory but whether the Act lets the parties agree otherwise.</w:t>
      </w:r>
    </w:p>
    <w:p w14:paraId="1F4AC397" w14:textId="77777777" w:rsidR="00004105" w:rsidRDefault="00000000">
      <w:pPr>
        <w:spacing w:after="70" w:line="258" w:lineRule="auto"/>
        <w:ind w:left="259"/>
        <w:jc w:val="both"/>
      </w:pPr>
      <w:r>
        <w:rPr>
          <w:b/>
          <w:bCs/>
          <w:sz w:val="21"/>
          <w:szCs w:val="21"/>
        </w:rPr>
        <w:t xml:space="preserve">Status. </w:t>
      </w:r>
      <w:r>
        <w:rPr>
          <w:sz w:val="21"/>
          <w:szCs w:val="21"/>
        </w:rPr>
        <w:t>Good law. The question of law was decided on 20 February 2002; a later order in the same litigation dealt with remaining aspects. The class short form “Lohia v. Lohia” should be expanded in an answer.</w:t>
      </w:r>
    </w:p>
    <w:p w14:paraId="123E3F91" w14:textId="77777777" w:rsidR="00004105" w:rsidRDefault="00000000">
      <w:pPr>
        <w:pStyle w:val="Heading1"/>
        <w:keepNext/>
        <w:pBdr>
          <w:top w:val="single" w:sz="8" w:space="10" w:color="999999"/>
        </w:pBdr>
        <w:spacing w:before="460" w:after="170"/>
      </w:pPr>
      <w:bookmarkStart w:id="32" w:name="_Toc240747367"/>
      <w:r>
        <w:lastRenderedPageBreak/>
        <w:t>7  Appointment of Arbitrators: s. 11</w:t>
      </w:r>
      <w:bookmarkEnd w:id="32"/>
    </w:p>
    <w:p w14:paraId="79194AA1" w14:textId="77777777" w:rsidR="00004105" w:rsidRDefault="00000000">
      <w:pPr>
        <w:spacing w:after="110"/>
        <w:jc w:val="both"/>
      </w:pPr>
      <w:r>
        <w:t>S. 11 is the default machinery. It applies where the parties made no provision for appointment, where their machinery has broken down, and where an arbitrator must be replaced — s. 15(2) requiring the substitute to be appointed by the same route as the original.</w:t>
      </w:r>
    </w:p>
    <w:p w14:paraId="5A510217" w14:textId="77777777" w:rsidR="00004105" w:rsidRDefault="00000000">
      <w:pPr>
        <w:pStyle w:val="Heading2"/>
        <w:keepNext/>
        <w:spacing w:before="240" w:after="110"/>
      </w:pPr>
      <w:bookmarkStart w:id="33" w:name="_Toc240747368"/>
      <w:r>
        <w:t>7.1  The scheme</w:t>
      </w:r>
      <w:bookmarkEnd w:id="33"/>
    </w:p>
    <w:p w14:paraId="70CA1314" w14:textId="77777777" w:rsidR="00004105" w:rsidRDefault="00000000">
      <w:pPr>
        <w:pStyle w:val="ListParagraph"/>
        <w:numPr>
          <w:ilvl w:val="0"/>
          <w:numId w:val="8"/>
        </w:numPr>
        <w:spacing w:after="70"/>
        <w:jc w:val="both"/>
      </w:pPr>
      <w:r>
        <w:rPr>
          <w:b/>
          <w:bCs/>
        </w:rPr>
        <w:t>(1)</w:t>
      </w:r>
      <w:r>
        <w:t xml:space="preserve"> A person of </w:t>
      </w:r>
      <w:r>
        <w:rPr>
          <w:b/>
          <w:bCs/>
        </w:rPr>
        <w:t>any nationality</w:t>
      </w:r>
      <w:r>
        <w:t xml:space="preserve"> may be an arbitrator, unless otherwise agreed.</w:t>
      </w:r>
    </w:p>
    <w:p w14:paraId="134AE798" w14:textId="77777777" w:rsidR="00004105" w:rsidRDefault="00000000">
      <w:pPr>
        <w:pStyle w:val="ListParagraph"/>
        <w:numPr>
          <w:ilvl w:val="0"/>
          <w:numId w:val="8"/>
        </w:numPr>
        <w:spacing w:after="70"/>
        <w:jc w:val="both"/>
      </w:pPr>
      <w:r>
        <w:rPr>
          <w:b/>
          <w:bCs/>
        </w:rPr>
        <w:t>(2)</w:t>
      </w:r>
      <w:r>
        <w:t xml:space="preserve"> Subject to (6), the parties are free to agree a procedure for appointment.</w:t>
      </w:r>
    </w:p>
    <w:p w14:paraId="3BA37954" w14:textId="77777777" w:rsidR="00004105" w:rsidRDefault="00000000">
      <w:pPr>
        <w:pStyle w:val="ListParagraph"/>
        <w:numPr>
          <w:ilvl w:val="0"/>
          <w:numId w:val="8"/>
        </w:numPr>
        <w:spacing w:after="70"/>
        <w:jc w:val="both"/>
      </w:pPr>
      <w:r>
        <w:rPr>
          <w:b/>
          <w:bCs/>
        </w:rPr>
        <w:t>(3)</w:t>
      </w:r>
      <w:r>
        <w:t xml:space="preserve"> Failing agreement, in a three-member arbitration each party appoints one and the two appoint the third, who acts as </w:t>
      </w:r>
      <w:r>
        <w:rPr>
          <w:b/>
          <w:bCs/>
        </w:rPr>
        <w:t>presiding arbitrator</w:t>
      </w:r>
      <w:r>
        <w:t>.</w:t>
      </w:r>
    </w:p>
    <w:p w14:paraId="09724D75" w14:textId="77777777" w:rsidR="00004105" w:rsidRDefault="00000000">
      <w:pPr>
        <w:pStyle w:val="ListParagraph"/>
        <w:numPr>
          <w:ilvl w:val="0"/>
          <w:numId w:val="8"/>
        </w:numPr>
        <w:spacing w:after="70"/>
        <w:jc w:val="both"/>
      </w:pPr>
      <w:r>
        <w:rPr>
          <w:b/>
          <w:bCs/>
        </w:rPr>
        <w:t>(3A)</w:t>
      </w:r>
      <w:r>
        <w:t xml:space="preserve"> The Supreme Court and High Courts may designate arbitral institutions graded by the Arbitration Council (inserted 2019).</w:t>
      </w:r>
    </w:p>
    <w:p w14:paraId="01122EFD" w14:textId="77777777" w:rsidR="00004105" w:rsidRDefault="00000000">
      <w:pPr>
        <w:pStyle w:val="ListParagraph"/>
        <w:numPr>
          <w:ilvl w:val="0"/>
          <w:numId w:val="8"/>
        </w:numPr>
        <w:spacing w:after="70"/>
        <w:jc w:val="both"/>
      </w:pPr>
      <w:r>
        <w:rPr>
          <w:b/>
          <w:bCs/>
        </w:rPr>
        <w:t>(4)</w:t>
      </w:r>
      <w:r>
        <w:t xml:space="preserve"> Where (3) applies and a party fails to appoint within </w:t>
      </w:r>
      <w:r>
        <w:rPr>
          <w:b/>
          <w:bCs/>
        </w:rPr>
        <w:t>30 days</w:t>
      </w:r>
      <w:r>
        <w:t xml:space="preserve"> of request, or the two appointees fail to agree on the third within 30 days of their appointment, the appointment is made on application — by the authority designated by the </w:t>
      </w:r>
      <w:r>
        <w:rPr>
          <w:b/>
          <w:bCs/>
        </w:rPr>
        <w:t>Supreme Court</w:t>
      </w:r>
      <w:r>
        <w:t xml:space="preserve"> for ICA, otherwise by the </w:t>
      </w:r>
      <w:r>
        <w:rPr>
          <w:b/>
          <w:bCs/>
        </w:rPr>
        <w:t>High Court</w:t>
      </w:r>
      <w:r>
        <w:t>.</w:t>
      </w:r>
    </w:p>
    <w:p w14:paraId="31A15D34" w14:textId="77777777" w:rsidR="00004105" w:rsidRDefault="00000000">
      <w:pPr>
        <w:pStyle w:val="ListParagraph"/>
        <w:numPr>
          <w:ilvl w:val="0"/>
          <w:numId w:val="8"/>
        </w:numPr>
        <w:spacing w:after="70"/>
        <w:jc w:val="both"/>
      </w:pPr>
      <w:r>
        <w:rPr>
          <w:b/>
          <w:bCs/>
        </w:rPr>
        <w:t>(5)</w:t>
      </w:r>
      <w:r>
        <w:t xml:space="preserve"> Sole-arbitrator case: if the parties do not agree within 30 days of a request, appointment follows (4).</w:t>
      </w:r>
    </w:p>
    <w:p w14:paraId="16815DB3" w14:textId="77777777" w:rsidR="00004105" w:rsidRDefault="00000000">
      <w:pPr>
        <w:pStyle w:val="ListParagraph"/>
        <w:numPr>
          <w:ilvl w:val="0"/>
          <w:numId w:val="8"/>
        </w:numPr>
        <w:spacing w:after="70"/>
        <w:jc w:val="both"/>
      </w:pPr>
      <w:r>
        <w:rPr>
          <w:b/>
          <w:bCs/>
        </w:rPr>
        <w:t>(6)</w:t>
      </w:r>
      <w:r>
        <w:t xml:space="preserve"> Where an agreed procedure exists and (a) a party fails to act under it, (b) the parties or the two appointees fail to reach an agreement expected of them, or (c) a person or institution fails to perform a function entrusted to it — the residuary ground — appointment is made on application.</w:t>
      </w:r>
    </w:p>
    <w:p w14:paraId="7BF457C8" w14:textId="77777777" w:rsidR="00004105" w:rsidRDefault="00000000">
      <w:pPr>
        <w:pStyle w:val="ListParagraph"/>
        <w:numPr>
          <w:ilvl w:val="0"/>
          <w:numId w:val="8"/>
        </w:numPr>
        <w:spacing w:after="70"/>
        <w:jc w:val="both"/>
      </w:pPr>
      <w:r>
        <w:rPr>
          <w:b/>
          <w:bCs/>
        </w:rPr>
        <w:t>(6A)</w:t>
      </w:r>
      <w:r>
        <w:t xml:space="preserve"> The court shall, notwithstanding any judgment, decree or order of any court, </w:t>
      </w:r>
      <w:r>
        <w:rPr>
          <w:b/>
          <w:bCs/>
        </w:rPr>
        <w:t>confine itself to the examination of the existence of an arbitration agreement</w:t>
      </w:r>
      <w:r>
        <w:t xml:space="preserve"> (inserted 2015).</w:t>
      </w:r>
    </w:p>
    <w:p w14:paraId="67D87B3E" w14:textId="77777777" w:rsidR="00004105" w:rsidRDefault="00000000">
      <w:pPr>
        <w:pStyle w:val="ListParagraph"/>
        <w:numPr>
          <w:ilvl w:val="0"/>
          <w:numId w:val="8"/>
        </w:numPr>
        <w:spacing w:after="70"/>
        <w:jc w:val="both"/>
      </w:pPr>
      <w:r>
        <w:rPr>
          <w:b/>
          <w:bCs/>
        </w:rPr>
        <w:t>(6B)</w:t>
      </w:r>
      <w:r>
        <w:t xml:space="preserve"> Designation of a person or institution is </w:t>
      </w:r>
      <w:r>
        <w:rPr>
          <w:b/>
          <w:bCs/>
        </w:rPr>
        <w:t>not a delegation of judicial power</w:t>
      </w:r>
      <w:r>
        <w:t>; its scope is limited to the act of designation.</w:t>
      </w:r>
    </w:p>
    <w:p w14:paraId="76FCEB09" w14:textId="77777777" w:rsidR="00004105" w:rsidRDefault="00000000">
      <w:pPr>
        <w:pStyle w:val="ListParagraph"/>
        <w:numPr>
          <w:ilvl w:val="0"/>
          <w:numId w:val="8"/>
        </w:numPr>
        <w:spacing w:after="70"/>
        <w:jc w:val="both"/>
      </w:pPr>
      <w:r>
        <w:rPr>
          <w:b/>
          <w:bCs/>
        </w:rPr>
        <w:t>(7)</w:t>
      </w:r>
      <w:r>
        <w:t xml:space="preserve"> The decision is </w:t>
      </w:r>
      <w:r>
        <w:rPr>
          <w:b/>
          <w:bCs/>
        </w:rPr>
        <w:t>final</w:t>
      </w:r>
      <w:r>
        <w:t xml:space="preserve"> and no appeal, including a Letters Patent Appeal, lies. “Final” operates on the statutory remedies; it does not purport to exclude constitutional jurisdiction.</w:t>
      </w:r>
    </w:p>
    <w:p w14:paraId="5FD1BF97" w14:textId="77777777" w:rsidR="00004105" w:rsidRDefault="00000000">
      <w:pPr>
        <w:pStyle w:val="ListParagraph"/>
        <w:numPr>
          <w:ilvl w:val="0"/>
          <w:numId w:val="8"/>
        </w:numPr>
        <w:spacing w:after="70"/>
        <w:jc w:val="both"/>
      </w:pPr>
      <w:r>
        <w:rPr>
          <w:b/>
          <w:bCs/>
        </w:rPr>
        <w:t>(8)</w:t>
      </w:r>
      <w:r>
        <w:t xml:space="preserve"> Before appointing, the authority must seek a </w:t>
      </w:r>
      <w:r>
        <w:rPr>
          <w:b/>
          <w:bCs/>
        </w:rPr>
        <w:t>written disclosure</w:t>
      </w:r>
      <w:r>
        <w:t xml:space="preserve"> under s. 12(1) and have due regard to (a) qualifications required by the agreement and (b) the disclosure and other considerations likely to secure an independent and impartial arbitrator.</w:t>
      </w:r>
    </w:p>
    <w:p w14:paraId="0CAFDF59" w14:textId="77777777" w:rsidR="00004105" w:rsidRDefault="00000000">
      <w:pPr>
        <w:pStyle w:val="ListParagraph"/>
        <w:numPr>
          <w:ilvl w:val="0"/>
          <w:numId w:val="8"/>
        </w:numPr>
        <w:spacing w:after="70"/>
        <w:jc w:val="both"/>
      </w:pPr>
      <w:r>
        <w:rPr>
          <w:b/>
          <w:bCs/>
        </w:rPr>
        <w:t>(9)</w:t>
      </w:r>
      <w:r>
        <w:t xml:space="preserve"> In ICA, where the parties are of different nationalities, a sole or third arbitrator may be of a </w:t>
      </w:r>
      <w:r>
        <w:rPr>
          <w:b/>
          <w:bCs/>
        </w:rPr>
        <w:t>third nationality</w:t>
      </w:r>
      <w:r>
        <w:t>.</w:t>
      </w:r>
    </w:p>
    <w:p w14:paraId="5218047D" w14:textId="77777777" w:rsidR="00004105" w:rsidRDefault="00000000">
      <w:pPr>
        <w:pStyle w:val="ListParagraph"/>
        <w:numPr>
          <w:ilvl w:val="0"/>
          <w:numId w:val="8"/>
        </w:numPr>
        <w:spacing w:after="70"/>
        <w:jc w:val="both"/>
      </w:pPr>
      <w:r>
        <w:rPr>
          <w:b/>
          <w:bCs/>
        </w:rPr>
        <w:t>(11)</w:t>
      </w:r>
      <w:r>
        <w:t xml:space="preserve"> Where requests are made to different authorities, the one approached </w:t>
      </w:r>
      <w:r>
        <w:rPr>
          <w:b/>
          <w:bCs/>
        </w:rPr>
        <w:t>first</w:t>
      </w:r>
      <w:r>
        <w:t xml:space="preserve"> alone is competent — preventing forum shopping.</w:t>
      </w:r>
    </w:p>
    <w:p w14:paraId="7E712139" w14:textId="77777777" w:rsidR="00004105" w:rsidRDefault="00000000">
      <w:pPr>
        <w:pStyle w:val="ListParagraph"/>
        <w:numPr>
          <w:ilvl w:val="0"/>
          <w:numId w:val="8"/>
        </w:numPr>
        <w:spacing w:after="70"/>
        <w:jc w:val="both"/>
      </w:pPr>
      <w:r>
        <w:rPr>
          <w:b/>
          <w:bCs/>
        </w:rPr>
        <w:t>(12)</w:t>
      </w:r>
      <w:r>
        <w:t xml:space="preserve"> ICA goes to the authority designated by the Supreme Court; all other arbitrations to the High Court.</w:t>
      </w:r>
    </w:p>
    <w:p w14:paraId="55148489" w14:textId="77777777" w:rsidR="00004105" w:rsidRDefault="00000000">
      <w:pPr>
        <w:pStyle w:val="ListParagraph"/>
        <w:numPr>
          <w:ilvl w:val="0"/>
          <w:numId w:val="8"/>
        </w:numPr>
        <w:spacing w:after="70"/>
        <w:jc w:val="both"/>
      </w:pPr>
      <w:r>
        <w:rPr>
          <w:b/>
          <w:bCs/>
        </w:rPr>
        <w:t>(13)</w:t>
      </w:r>
      <w:r>
        <w:t xml:space="preserve"> An application is to be disposed of within </w:t>
      </w:r>
      <w:r>
        <w:rPr>
          <w:b/>
          <w:bCs/>
        </w:rPr>
        <w:t>30 days</w:t>
      </w:r>
      <w:r>
        <w:t xml:space="preserve"> of service of notice.</w:t>
      </w:r>
    </w:p>
    <w:p w14:paraId="0F2D6D24" w14:textId="77777777" w:rsidR="00004105" w:rsidRDefault="00000000">
      <w:pPr>
        <w:pStyle w:val="ListParagraph"/>
        <w:numPr>
          <w:ilvl w:val="0"/>
          <w:numId w:val="8"/>
        </w:numPr>
        <w:spacing w:after="70"/>
        <w:jc w:val="both"/>
      </w:pPr>
      <w:r>
        <w:rPr>
          <w:b/>
          <w:bCs/>
        </w:rPr>
        <w:t>(14)</w:t>
      </w:r>
      <w:r>
        <w:t xml:space="preserve"> Fees are determined subject to the rates in the </w:t>
      </w:r>
      <w:r>
        <w:rPr>
          <w:b/>
          <w:bCs/>
        </w:rPr>
        <w:t>Fourth Schedule</w:t>
      </w:r>
      <w:r>
        <w:t>, except in ICA and where the parties have agreed on institutional fee rules.</w:t>
      </w:r>
    </w:p>
    <w:p w14:paraId="5CC0AABC" w14:textId="77777777" w:rsidR="00004105" w:rsidRDefault="00000000">
      <w:pPr>
        <w:spacing w:after="110"/>
        <w:jc w:val="both"/>
      </w:pPr>
      <w:r>
        <w:t xml:space="preserve">Read with </w:t>
      </w:r>
      <w:r>
        <w:rPr>
          <w:b/>
          <w:bCs/>
        </w:rPr>
        <w:t>s. 2(1)(e)</w:t>
      </w:r>
      <w:r>
        <w:t>, which defines “Court” and in effect creates a special forum in arbitration matters — the principal civil court of original jurisdiction in a district, or the High Court exercising ordinary original civil jurisdiction, and for ICA the High Court.</w:t>
      </w:r>
    </w:p>
    <w:p w14:paraId="6662D206" w14:textId="77777777" w:rsidR="00004105" w:rsidRDefault="00000000">
      <w:pPr>
        <w:pStyle w:val="Heading2"/>
        <w:keepNext/>
        <w:spacing w:before="240" w:after="110"/>
      </w:pPr>
      <w:bookmarkStart w:id="34" w:name="_Toc240747369"/>
      <w:r>
        <w:lastRenderedPageBreak/>
        <w:t>7.2  The controversy: judicial or administrative power?</w:t>
      </w:r>
      <w:bookmarkEnd w:id="34"/>
    </w:p>
    <w:p w14:paraId="78202750" w14:textId="77777777" w:rsidR="00004105" w:rsidRDefault="00000000">
      <w:pPr>
        <w:spacing w:after="110"/>
        <w:jc w:val="both"/>
      </w:pPr>
      <w:r>
        <w:t xml:space="preserve">As enacted, appointment was by “the Chief Justice or any person or institution designated by him”. Two features generated a decade of litigation: India had departed from the Model Law, which vests the power in a </w:t>
      </w:r>
      <w:r>
        <w:rPr>
          <w:b/>
          <w:bCs/>
        </w:rPr>
        <w:t>court</w:t>
      </w:r>
      <w:r>
        <w:t xml:space="preserve">, by naming the Chief Justice instead; and the power was delegable to “any person or institution”, whereas judicial power cannot ordinarily be delegated. The characterisation mattered for three things — whether contested preliminary issues could be decided (a </w:t>
      </w:r>
      <w:r>
        <w:rPr>
          <w:b/>
          <w:bCs/>
        </w:rPr>
        <w:t>mini-trial</w:t>
      </w:r>
      <w:r>
        <w:t xml:space="preserve">), whether the order was open to Art. 136 or only to mandamus, and how far the power could be delegated. The </w:t>
      </w:r>
      <w:r>
        <w:rPr>
          <w:b/>
          <w:bCs/>
        </w:rPr>
        <w:t>Appointment of Arbitrators by the Chief Justice of India Scheme, 1996</w:t>
      </w:r>
      <w:r>
        <w:t xml:space="preserve"> complicated matters by using the vocabulary of adjudication (“notice”, “decision”); against which it was said that an interpretation placed on delegated legislation cannot be used to construe the parent Act.</w:t>
      </w:r>
    </w:p>
    <w:p w14:paraId="049120ED" w14:textId="77777777" w:rsidR="00004105" w:rsidRDefault="00000000">
      <w:pPr>
        <w:spacing w:after="110"/>
        <w:jc w:val="both"/>
      </w:pPr>
      <w:r>
        <w:t xml:space="preserve">The administrative-law premise for the objection to splitting the power was that if one person hears and another decides, </w:t>
      </w:r>
      <w:r>
        <w:rPr>
          <w:i/>
          <w:iCs/>
        </w:rPr>
        <w:t>audi alteram partem</w:t>
      </w:r>
      <w:r>
        <w:t xml:space="preserve"> fails.</w:t>
      </w:r>
    </w:p>
    <w:p w14:paraId="4EA8D720" w14:textId="77777777" w:rsidR="00004105" w:rsidRDefault="00000000">
      <w:pPr>
        <w:keepNext/>
        <w:spacing w:before="170" w:after="60"/>
      </w:pPr>
      <w:r>
        <w:rPr>
          <w:b/>
          <w:bCs/>
        </w:rPr>
        <w:t>Gullapalli Nageswara Rao v. A.P. State Road Transport Corporation (Gullapalli-I)</w:t>
      </w:r>
      <w:r>
        <w:rPr>
          <w:color w:val="404040"/>
          <w:sz w:val="19"/>
          <w:szCs w:val="19"/>
        </w:rPr>
        <w:t xml:space="preserve">  AIR 1959 SC 308 (SC, Constitution Bench of 5, decided 5 Nov 1958, Subba Rao J.).</w:t>
      </w:r>
    </w:p>
    <w:p w14:paraId="3E51B4DA" w14:textId="77777777" w:rsidR="00004105" w:rsidRDefault="00000000">
      <w:pPr>
        <w:spacing w:after="70" w:line="258" w:lineRule="auto"/>
        <w:ind w:left="259"/>
        <w:jc w:val="both"/>
      </w:pPr>
      <w:r>
        <w:rPr>
          <w:b/>
          <w:bCs/>
          <w:sz w:val="21"/>
          <w:szCs w:val="21"/>
        </w:rPr>
        <w:t xml:space="preserve">Facts. </w:t>
      </w:r>
      <w:r>
        <w:rPr>
          <w:sz w:val="21"/>
          <w:szCs w:val="21"/>
        </w:rPr>
        <w:t>Objections to a road transport nationalisation scheme were heard by the Secretary of the Transport Department but the scheme was considered and approved by the Minister; the Department was in substance an interested party.</w:t>
      </w:r>
    </w:p>
    <w:p w14:paraId="5F93DAF2" w14:textId="77777777" w:rsidR="00004105" w:rsidRDefault="00000000">
      <w:pPr>
        <w:spacing w:after="70" w:line="258" w:lineRule="auto"/>
        <w:ind w:left="259"/>
        <w:jc w:val="both"/>
      </w:pPr>
      <w:r>
        <w:rPr>
          <w:b/>
          <w:bCs/>
          <w:sz w:val="21"/>
          <w:szCs w:val="21"/>
        </w:rPr>
        <w:t xml:space="preserve">Held. </w:t>
      </w:r>
      <w:r>
        <w:rPr>
          <w:sz w:val="21"/>
          <w:szCs w:val="21"/>
        </w:rPr>
        <w:t xml:space="preserve">The scheme was quashed for breach of natural justice. Its two rules are </w:t>
      </w:r>
      <w:r>
        <w:rPr>
          <w:i/>
          <w:iCs/>
          <w:sz w:val="21"/>
          <w:szCs w:val="21"/>
        </w:rPr>
        <w:t>nemo judex in causa sua</w:t>
      </w:r>
      <w:r>
        <w:rPr>
          <w:sz w:val="21"/>
          <w:szCs w:val="21"/>
        </w:rPr>
        <w:t xml:space="preserve"> and </w:t>
      </w:r>
      <w:r>
        <w:rPr>
          <w:i/>
          <w:iCs/>
          <w:sz w:val="21"/>
          <w:szCs w:val="21"/>
        </w:rPr>
        <w:t>audi alteram partem</w:t>
      </w:r>
      <w:r>
        <w:rPr>
          <w:sz w:val="21"/>
          <w:szCs w:val="21"/>
        </w:rPr>
        <w:t xml:space="preserve">, and the second carries with it that </w:t>
      </w:r>
      <w:r>
        <w:rPr>
          <w:b/>
          <w:bCs/>
          <w:sz w:val="21"/>
          <w:szCs w:val="21"/>
        </w:rPr>
        <w:t>the authority which decides must be the authority which hears</w:t>
      </w:r>
      <w:r>
        <w:rPr>
          <w:sz w:val="21"/>
          <w:szCs w:val="21"/>
        </w:rPr>
        <w:t>. A split process denies the right to be heard, aggravated here by the Department's interest.</w:t>
      </w:r>
    </w:p>
    <w:p w14:paraId="46436841" w14:textId="77777777" w:rsidR="00004105" w:rsidRDefault="00000000">
      <w:pPr>
        <w:spacing w:after="70" w:line="258" w:lineRule="auto"/>
        <w:ind w:left="259"/>
        <w:jc w:val="both"/>
      </w:pPr>
      <w:r>
        <w:rPr>
          <w:b/>
          <w:bCs/>
          <w:sz w:val="21"/>
          <w:szCs w:val="21"/>
        </w:rPr>
        <w:t xml:space="preserve">Why it matters. </w:t>
      </w:r>
      <w:r>
        <w:rPr>
          <w:sz w:val="21"/>
          <w:szCs w:val="21"/>
        </w:rPr>
        <w:t>Supplies the reason the s. 11 power could not be split between a person who hears and a person who decides; its second limb (no interested decision-maker) reappears in s. 12 and in the constitutional objection to unilateral appointment clauses.</w:t>
      </w:r>
    </w:p>
    <w:p w14:paraId="2303667F" w14:textId="77777777" w:rsidR="00004105" w:rsidRDefault="00000000">
      <w:pPr>
        <w:spacing w:after="70" w:line="258" w:lineRule="auto"/>
        <w:ind w:left="259"/>
        <w:jc w:val="both"/>
      </w:pPr>
      <w:r>
        <w:rPr>
          <w:b/>
          <w:bCs/>
          <w:sz w:val="21"/>
          <w:szCs w:val="21"/>
        </w:rPr>
        <w:t xml:space="preserve">Status. </w:t>
      </w:r>
      <w:r>
        <w:rPr>
          <w:sz w:val="21"/>
          <w:szCs w:val="21"/>
        </w:rPr>
        <w:t xml:space="preserve">Good law. Distinguish </w:t>
      </w:r>
      <w:r>
        <w:rPr>
          <w:b/>
          <w:bCs/>
          <w:sz w:val="21"/>
          <w:szCs w:val="21"/>
        </w:rPr>
        <w:t>Gullapalli-II</w:t>
      </w:r>
      <w:r>
        <w:rPr>
          <w:sz w:val="21"/>
          <w:szCs w:val="21"/>
        </w:rPr>
        <w:t>, AIR 1959 SC 1376 (21 Aug 1959), where a corrected procedure — the Minister both hearing and deciding — was upheld.</w:t>
      </w:r>
    </w:p>
    <w:p w14:paraId="547FEAA8" w14:textId="77777777" w:rsidR="00004105" w:rsidRDefault="00000000">
      <w:pPr>
        <w:pStyle w:val="Heading2"/>
        <w:keepNext/>
        <w:spacing w:before="240" w:after="110"/>
      </w:pPr>
      <w:bookmarkStart w:id="35" w:name="_Toc240747370"/>
      <w:r>
        <w:t>7.3  The line of authority</w:t>
      </w:r>
      <w:bookmarkEnd w:id="35"/>
    </w:p>
    <w:p w14:paraId="4A5A04AD" w14:textId="77777777" w:rsidR="00004105" w:rsidRDefault="00000000">
      <w:pPr>
        <w:keepNext/>
        <w:spacing w:before="170" w:after="60"/>
      </w:pPr>
      <w:r>
        <w:rPr>
          <w:b/>
          <w:bCs/>
        </w:rPr>
        <w:t>Konkan Railway Corporation Ltd. v. Mehul Construction Co.</w:t>
      </w:r>
      <w:r>
        <w:rPr>
          <w:color w:val="404040"/>
          <w:sz w:val="19"/>
          <w:szCs w:val="19"/>
        </w:rPr>
        <w:t xml:space="preserve">  (2000) 7 SCC 201 (SC, 3 Judges).</w:t>
      </w:r>
    </w:p>
    <w:p w14:paraId="7A722BEC" w14:textId="77777777" w:rsidR="00004105" w:rsidRDefault="00000000">
      <w:pPr>
        <w:spacing w:after="70" w:line="258" w:lineRule="auto"/>
        <w:ind w:left="259"/>
        <w:jc w:val="both"/>
      </w:pPr>
      <w:r>
        <w:rPr>
          <w:b/>
          <w:bCs/>
          <w:sz w:val="21"/>
          <w:szCs w:val="21"/>
        </w:rPr>
        <w:t xml:space="preserve">Held. </w:t>
      </w:r>
      <w:r>
        <w:rPr>
          <w:sz w:val="21"/>
          <w:szCs w:val="21"/>
        </w:rPr>
        <w:t xml:space="preserve">The power is </w:t>
      </w:r>
      <w:r>
        <w:rPr>
          <w:b/>
          <w:bCs/>
          <w:sz w:val="21"/>
          <w:szCs w:val="21"/>
        </w:rPr>
        <w:t>administrative</w:t>
      </w:r>
      <w:r>
        <w:rPr>
          <w:sz w:val="21"/>
          <w:szCs w:val="21"/>
        </w:rPr>
        <w:t xml:space="preserve">, not judicial; an order refusing appointment is not amenable to Art. 136, and the remedy is mandamus. Reasoning: the Model Law vests the power in a court, whereas the Act designates the Chief Justice — had a judicial function been intended, Parliament would have said “court” or “judicial authority”. The function is to </w:t>
      </w:r>
      <w:r>
        <w:rPr>
          <w:b/>
          <w:bCs/>
          <w:sz w:val="21"/>
          <w:szCs w:val="21"/>
        </w:rPr>
        <w:t>aid the constitution of the tribunal</w:t>
      </w:r>
      <w:r>
        <w:rPr>
          <w:sz w:val="21"/>
          <w:szCs w:val="21"/>
        </w:rPr>
        <w:t>; the legislative intent is that the arbitral process be set in motion without delay and contentious issues left to the tribunal, and ss. 13 and 16 show that qualifications, independence, impartiality and jurisdiction may be raised before the arbitrator. A refusal is non-performance of duty, so mandamus lies as against an administrative order.</w:t>
      </w:r>
    </w:p>
    <w:p w14:paraId="090BFD17" w14:textId="77777777" w:rsidR="00004105" w:rsidRDefault="00000000">
      <w:pPr>
        <w:spacing w:after="70" w:line="258" w:lineRule="auto"/>
        <w:ind w:left="259"/>
        <w:jc w:val="both"/>
      </w:pPr>
      <w:r>
        <w:rPr>
          <w:b/>
          <w:bCs/>
          <w:sz w:val="21"/>
          <w:szCs w:val="21"/>
        </w:rPr>
        <w:t xml:space="preserve">Why it matters. </w:t>
      </w:r>
      <w:r>
        <w:rPr>
          <w:sz w:val="21"/>
          <w:szCs w:val="21"/>
        </w:rPr>
        <w:t>Origin of the administrative view and of the objection to a mini-trial at the appointment stage.</w:t>
      </w:r>
    </w:p>
    <w:p w14:paraId="2BF914AD" w14:textId="77777777" w:rsidR="00004105" w:rsidRDefault="00000000">
      <w:pPr>
        <w:spacing w:after="70" w:line="258" w:lineRule="auto"/>
        <w:ind w:left="259"/>
        <w:jc w:val="both"/>
      </w:pPr>
      <w:r>
        <w:rPr>
          <w:b/>
          <w:bCs/>
          <w:sz w:val="21"/>
          <w:szCs w:val="21"/>
        </w:rPr>
        <w:t xml:space="preserve">Status. </w:t>
      </w:r>
      <w:r>
        <w:rPr>
          <w:sz w:val="21"/>
          <w:szCs w:val="21"/>
        </w:rPr>
        <w:t xml:space="preserve">Affirmed in </w:t>
      </w:r>
      <w:r>
        <w:rPr>
          <w:i/>
          <w:iCs/>
          <w:sz w:val="21"/>
          <w:szCs w:val="21"/>
        </w:rPr>
        <w:t>Konkan Railway v. Rani Construction</w:t>
      </w:r>
      <w:r>
        <w:rPr>
          <w:sz w:val="21"/>
          <w:szCs w:val="21"/>
        </w:rPr>
        <w:t xml:space="preserve">, (2002) 2 SCC 388 (Constitution Bench), but </w:t>
      </w:r>
      <w:r>
        <w:rPr>
          <w:b/>
          <w:bCs/>
          <w:sz w:val="21"/>
          <w:szCs w:val="21"/>
        </w:rPr>
        <w:t>overruled on the nature of the power</w:t>
      </w:r>
      <w:r>
        <w:rPr>
          <w:sz w:val="21"/>
          <w:szCs w:val="21"/>
        </w:rPr>
        <w:t xml:space="preserve"> by </w:t>
      </w:r>
      <w:r>
        <w:rPr>
          <w:i/>
          <w:iCs/>
          <w:sz w:val="21"/>
          <w:szCs w:val="21"/>
        </w:rPr>
        <w:t>SBP &amp; Co. v. Patel Engineering</w:t>
      </w:r>
      <w:r>
        <w:rPr>
          <w:sz w:val="21"/>
          <w:szCs w:val="21"/>
        </w:rPr>
        <w:t>. Its reasoning on the narrow scope of the enquiry has in effect been restored by statute (7.4).</w:t>
      </w:r>
    </w:p>
    <w:p w14:paraId="0D9B08F7" w14:textId="77777777" w:rsidR="00004105" w:rsidRDefault="00000000">
      <w:pPr>
        <w:spacing w:after="110"/>
        <w:jc w:val="both"/>
      </w:pPr>
      <w:r>
        <w:rPr>
          <w:b/>
          <w:bCs/>
        </w:rPr>
        <w:t>Rani Construction</w:t>
      </w:r>
      <w:r>
        <w:t xml:space="preserve"> added two propositions of continuing value: a scheme framed under s. 11 cannot govern the interpretation of s. 11, and to the extent clause 1 of the 1996 Scheme required a show-cause notice it went beyond the section and was bad; and an order nominating an arbitrator is not adjudicatory, the Chief Justice or his designate is not a tribunal, and no SLP lies under Art. 136 — “tribunal” there meaning a </w:t>
      </w:r>
      <w:r>
        <w:rPr>
          <w:b/>
          <w:bCs/>
        </w:rPr>
        <w:t>public</w:t>
      </w:r>
      <w:r>
        <w:t xml:space="preserve"> tribunal, not a private arbitral tribunal.</w:t>
      </w:r>
    </w:p>
    <w:p w14:paraId="0FB3B696" w14:textId="77777777" w:rsidR="00004105" w:rsidRDefault="00000000">
      <w:pPr>
        <w:keepNext/>
        <w:spacing w:before="170" w:after="60"/>
      </w:pPr>
      <w:r>
        <w:rPr>
          <w:b/>
          <w:bCs/>
        </w:rPr>
        <w:lastRenderedPageBreak/>
        <w:t>SBP &amp; Co. v. Patel Engineering Ltd.</w:t>
      </w:r>
      <w:r>
        <w:rPr>
          <w:color w:val="404040"/>
          <w:sz w:val="19"/>
          <w:szCs w:val="19"/>
        </w:rPr>
        <w:t xml:space="preserve">  (2005) 8 SCC 618; AIR 2006 SC 450 (SC, 7 Judges, 26 Oct 2005).</w:t>
      </w:r>
    </w:p>
    <w:p w14:paraId="7C705D93" w14:textId="77777777" w:rsidR="00004105" w:rsidRDefault="00000000">
      <w:pPr>
        <w:spacing w:after="70" w:line="258" w:lineRule="auto"/>
        <w:ind w:left="259"/>
        <w:jc w:val="both"/>
      </w:pPr>
      <w:r>
        <w:rPr>
          <w:b/>
          <w:bCs/>
          <w:sz w:val="21"/>
          <w:szCs w:val="21"/>
        </w:rPr>
        <w:t xml:space="preserve">Held. </w:t>
      </w:r>
      <w:r>
        <w:rPr>
          <w:sz w:val="21"/>
          <w:szCs w:val="21"/>
        </w:rPr>
        <w:t xml:space="preserve">By majority, the s. 11(6) power is </w:t>
      </w:r>
      <w:r>
        <w:rPr>
          <w:b/>
          <w:bCs/>
          <w:sz w:val="21"/>
          <w:szCs w:val="21"/>
        </w:rPr>
        <w:t>judicial</w:t>
      </w:r>
      <w:r>
        <w:rPr>
          <w:sz w:val="21"/>
          <w:szCs w:val="21"/>
        </w:rPr>
        <w:t xml:space="preserve">; </w:t>
      </w:r>
      <w:r>
        <w:rPr>
          <w:i/>
          <w:iCs/>
          <w:sz w:val="21"/>
          <w:szCs w:val="21"/>
        </w:rPr>
        <w:t>Rani Construction</w:t>
      </w:r>
      <w:r>
        <w:rPr>
          <w:sz w:val="21"/>
          <w:szCs w:val="21"/>
        </w:rPr>
        <w:t xml:space="preserve"> overruled. (i) The power, in its entirety, may be delegated by the Chief Justice of a High Court only to another Judge of that Court, and by the CJI only to another Judge of the Supreme Court. (ii) A designated Judge exercises the Chief Justice's statutory power, so whatever is available to the Chief Justice is available in full to the designate. (iii) The Chief Justice or designate may decide the </w:t>
      </w:r>
      <w:r>
        <w:rPr>
          <w:b/>
          <w:bCs/>
          <w:sz w:val="21"/>
          <w:szCs w:val="21"/>
        </w:rPr>
        <w:t>preliminary aspects</w:t>
      </w:r>
      <w:r>
        <w:rPr>
          <w:sz w:val="21"/>
          <w:szCs w:val="21"/>
        </w:rPr>
        <w:t xml:space="preserve"> — his own jurisdiction to entertain the request, the existence of a valid arbitration agreement, the existence of a live claim, the existence of the condition for exercising the power, and the arbitrator's qualifications. (iv) He may seek an institution's opinion on nominating a qualified arbitrator under s. 11(8), but the appointing order must be his own. (v) Designating a District Judge is not warranted. Recourse lies under Art. 136, not Art. 226.</w:t>
      </w:r>
    </w:p>
    <w:p w14:paraId="7DC2BC5F" w14:textId="77777777" w:rsidR="00004105" w:rsidRDefault="00000000">
      <w:pPr>
        <w:spacing w:after="70" w:line="258" w:lineRule="auto"/>
        <w:ind w:left="259"/>
        <w:jc w:val="both"/>
      </w:pPr>
      <w:r>
        <w:rPr>
          <w:b/>
          <w:bCs/>
          <w:sz w:val="21"/>
          <w:szCs w:val="21"/>
        </w:rPr>
        <w:t xml:space="preserve">Why it matters. </w:t>
      </w:r>
      <w:r>
        <w:rPr>
          <w:sz w:val="21"/>
          <w:szCs w:val="21"/>
        </w:rPr>
        <w:t>The high-water mark of judicial involvement at the appointment stage — and the decision Parliament legislated against in 2015.</w:t>
      </w:r>
    </w:p>
    <w:p w14:paraId="32C17EF9" w14:textId="77777777" w:rsidR="00004105" w:rsidRDefault="00000000">
      <w:pPr>
        <w:spacing w:after="70" w:line="258" w:lineRule="auto"/>
        <w:ind w:left="259"/>
        <w:jc w:val="both"/>
      </w:pPr>
      <w:r>
        <w:rPr>
          <w:b/>
          <w:bCs/>
          <w:sz w:val="21"/>
          <w:szCs w:val="21"/>
        </w:rPr>
        <w:t>Status. Partly displaced.</w:t>
      </w:r>
      <w:r>
        <w:rPr>
          <w:sz w:val="21"/>
          <w:szCs w:val="21"/>
        </w:rPr>
        <w:t xml:space="preserve"> The characterisation as judicial survives; the </w:t>
      </w:r>
      <w:r>
        <w:rPr>
          <w:b/>
          <w:bCs/>
          <w:sz w:val="21"/>
          <w:szCs w:val="21"/>
        </w:rPr>
        <w:t>wide preliminary enquiry does not</w:t>
      </w:r>
      <w:r>
        <w:rPr>
          <w:sz w:val="21"/>
          <w:szCs w:val="21"/>
        </w:rPr>
        <w:t xml:space="preserve"> — </w:t>
      </w:r>
      <w:r>
        <w:rPr>
          <w:i/>
          <w:iCs/>
          <w:sz w:val="21"/>
          <w:szCs w:val="21"/>
        </w:rPr>
        <w:t>Mayavati Trading Pvt. Ltd. v. Pradyuat Deb Burman</w:t>
      </w:r>
      <w:r>
        <w:rPr>
          <w:sz w:val="21"/>
          <w:szCs w:val="21"/>
        </w:rPr>
        <w:t xml:space="preserve">, (2019) 8 SCC 714, held that after s. 11(6A) </w:t>
      </w:r>
      <w:r>
        <w:rPr>
          <w:i/>
          <w:iCs/>
          <w:sz w:val="21"/>
          <w:szCs w:val="21"/>
        </w:rPr>
        <w:t>Patel Engineering</w:t>
      </w:r>
      <w:r>
        <w:rPr>
          <w:sz w:val="21"/>
          <w:szCs w:val="21"/>
        </w:rPr>
        <w:t xml:space="preserve"> is no longer good law on that point.</w:t>
      </w:r>
    </w:p>
    <w:p w14:paraId="4430F70A" w14:textId="77777777" w:rsidR="00004105" w:rsidRDefault="00000000">
      <w:pPr>
        <w:pStyle w:val="Heading2"/>
        <w:keepNext/>
        <w:spacing w:before="240" w:after="110"/>
      </w:pPr>
      <w:bookmarkStart w:id="36" w:name="_Toc240747371"/>
      <w:r>
        <w:t>7.4  Present position on the scope of enquiry</w:t>
      </w:r>
      <w:bookmarkEnd w:id="36"/>
    </w:p>
    <w:p w14:paraId="258219A5" w14:textId="77777777" w:rsidR="00004105" w:rsidRDefault="00000000">
      <w:pPr>
        <w:pStyle w:val="ListParagraph"/>
        <w:numPr>
          <w:ilvl w:val="0"/>
          <w:numId w:val="9"/>
        </w:numPr>
        <w:spacing w:after="70"/>
        <w:jc w:val="both"/>
      </w:pPr>
      <w:r>
        <w:rPr>
          <w:i/>
          <w:iCs/>
        </w:rPr>
        <w:t>Mehul Construction</w:t>
      </w:r>
      <w:r>
        <w:t xml:space="preserve"> (2000) and </w:t>
      </w:r>
      <w:r>
        <w:rPr>
          <w:i/>
          <w:iCs/>
        </w:rPr>
        <w:t>Rani Construction</w:t>
      </w:r>
      <w:r>
        <w:t xml:space="preserve"> (2002) — administrative; enquiry minimal.</w:t>
      </w:r>
    </w:p>
    <w:p w14:paraId="0B1E8EB5" w14:textId="77777777" w:rsidR="00004105" w:rsidRDefault="00000000">
      <w:pPr>
        <w:pStyle w:val="ListParagraph"/>
        <w:numPr>
          <w:ilvl w:val="0"/>
          <w:numId w:val="9"/>
        </w:numPr>
        <w:spacing w:after="70"/>
        <w:jc w:val="both"/>
      </w:pPr>
      <w:r>
        <w:rPr>
          <w:i/>
          <w:iCs/>
        </w:rPr>
        <w:t>SBP &amp; Co. v. Patel Engineering</w:t>
      </w:r>
      <w:r>
        <w:t xml:space="preserve"> (2005, 7 Judges) — judicial; wide enquiry.</w:t>
      </w:r>
    </w:p>
    <w:p w14:paraId="2E557F56" w14:textId="77777777" w:rsidR="00004105" w:rsidRDefault="00000000">
      <w:pPr>
        <w:pStyle w:val="ListParagraph"/>
        <w:numPr>
          <w:ilvl w:val="0"/>
          <w:numId w:val="9"/>
        </w:numPr>
        <w:spacing w:after="70"/>
        <w:jc w:val="both"/>
      </w:pPr>
      <w:r>
        <w:rPr>
          <w:i/>
          <w:iCs/>
        </w:rPr>
        <w:t>National Insurance Co. v. Boghara Polyfab</w:t>
      </w:r>
      <w:r>
        <w:t>, (2009) 1 SCC 267 — catalogued the issues decidable on that approach.</w:t>
      </w:r>
    </w:p>
    <w:p w14:paraId="2102C7F5" w14:textId="77777777" w:rsidR="00004105" w:rsidRDefault="00000000">
      <w:pPr>
        <w:pStyle w:val="ListParagraph"/>
        <w:numPr>
          <w:ilvl w:val="0"/>
          <w:numId w:val="9"/>
        </w:numPr>
        <w:spacing w:after="70"/>
        <w:jc w:val="both"/>
      </w:pPr>
      <w:r>
        <w:t xml:space="preserve">2015: </w:t>
      </w:r>
      <w:r>
        <w:rPr>
          <w:b/>
          <w:bCs/>
        </w:rPr>
        <w:t>s. 11(6A)</w:t>
      </w:r>
      <w:r>
        <w:t xml:space="preserve"> confines the court to the existence of the arbitration agreement.</w:t>
      </w:r>
    </w:p>
    <w:p w14:paraId="02BDC0F3" w14:textId="77777777" w:rsidR="00004105" w:rsidRDefault="00000000">
      <w:pPr>
        <w:pStyle w:val="ListParagraph"/>
        <w:numPr>
          <w:ilvl w:val="0"/>
          <w:numId w:val="9"/>
        </w:numPr>
        <w:spacing w:after="70"/>
        <w:jc w:val="both"/>
      </w:pPr>
      <w:r>
        <w:rPr>
          <w:i/>
          <w:iCs/>
        </w:rPr>
        <w:t>Duro Felguera S.A. v. Gangavaram Port Ltd.</w:t>
      </w:r>
      <w:r>
        <w:t>, (2017) 9 SCC 729 — enquiry confined to existence.</w:t>
      </w:r>
    </w:p>
    <w:p w14:paraId="449FCD92" w14:textId="77777777" w:rsidR="00004105" w:rsidRDefault="00000000">
      <w:pPr>
        <w:pStyle w:val="ListParagraph"/>
        <w:numPr>
          <w:ilvl w:val="0"/>
          <w:numId w:val="9"/>
        </w:numPr>
        <w:spacing w:after="70"/>
        <w:jc w:val="both"/>
      </w:pPr>
      <w:r>
        <w:rPr>
          <w:i/>
          <w:iCs/>
        </w:rPr>
        <w:t>Mayavati Trading</w:t>
      </w:r>
      <w:r>
        <w:t xml:space="preserve"> (2019) — the wide enquiry is no longer good law.</w:t>
      </w:r>
    </w:p>
    <w:p w14:paraId="419E22B9" w14:textId="77777777" w:rsidR="00004105" w:rsidRDefault="00000000">
      <w:pPr>
        <w:pStyle w:val="ListParagraph"/>
        <w:numPr>
          <w:ilvl w:val="0"/>
          <w:numId w:val="9"/>
        </w:numPr>
        <w:spacing w:after="70"/>
        <w:jc w:val="both"/>
      </w:pPr>
      <w:r>
        <w:rPr>
          <w:i/>
          <w:iCs/>
        </w:rPr>
        <w:t>In Re: Interplay</w:t>
      </w:r>
      <w:r>
        <w:t>, 2023 INSC 1066 (7 Judges) — s. 11(6A) remains in force; narrow enquiry reaffirmed; stamping belongs to the tribunal.</w:t>
      </w:r>
    </w:p>
    <w:p w14:paraId="6AA6E507" w14:textId="77777777" w:rsidR="00004105" w:rsidRDefault="00000000">
      <w:pPr>
        <w:spacing w:after="110"/>
        <w:jc w:val="both"/>
      </w:pPr>
      <w:r>
        <w:rPr>
          <w:b/>
          <w:bCs/>
        </w:rPr>
        <w:t>State it thus:</w:t>
      </w:r>
      <w:r>
        <w:t xml:space="preserve"> the referral court makes a limited </w:t>
      </w:r>
      <w:r>
        <w:rPr>
          <w:i/>
          <w:iCs/>
        </w:rPr>
        <w:t>prima facie</w:t>
      </w:r>
      <w:r>
        <w:t xml:space="preserve"> examination confined to the </w:t>
      </w:r>
      <w:r>
        <w:rPr>
          <w:b/>
          <w:bCs/>
        </w:rPr>
        <w:t>existence</w:t>
      </w:r>
      <w:r>
        <w:t xml:space="preserve"> (and prima facie validity) of the arbitration agreement. Arbitrability and validity are for the tribunal under s. 16, consistently with the rule of first priority. Reference may be declined only where the claim is </w:t>
      </w:r>
      <w:r>
        <w:rPr>
          <w:i/>
          <w:iCs/>
        </w:rPr>
        <w:t>ex facie</w:t>
      </w:r>
      <w:r>
        <w:t xml:space="preserve"> or manifestly non-arbitrable, or the agreement manifestly non-existent. Stamping objections do not arise at this stage.</w:t>
      </w:r>
    </w:p>
    <w:p w14:paraId="1FAD24DF" w14:textId="77777777" w:rsidR="00004105" w:rsidRDefault="00000000">
      <w:pPr>
        <w:pBdr>
          <w:left w:val="single" w:sz="12" w:space="8" w:color="7A7A7A"/>
        </w:pBdr>
        <w:spacing w:before="110" w:after="140" w:line="252" w:lineRule="auto"/>
        <w:ind w:left="288"/>
        <w:jc w:val="both"/>
      </w:pPr>
      <w:r>
        <w:rPr>
          <w:b/>
          <w:bCs/>
          <w:sz w:val="20"/>
          <w:szCs w:val="20"/>
        </w:rPr>
        <w:t>S. 11(6A) has not been deleted.</w:t>
      </w:r>
      <w:r>
        <w:rPr>
          <w:sz w:val="20"/>
          <w:szCs w:val="20"/>
        </w:rPr>
        <w:t xml:space="preserve"> S. 3 of the 2019 Amendment purported to omit it, but that omission was </w:t>
      </w:r>
      <w:r>
        <w:rPr>
          <w:b/>
          <w:bCs/>
          <w:sz w:val="20"/>
          <w:szCs w:val="20"/>
        </w:rPr>
        <w:t>never notified</w:t>
      </w:r>
      <w:r>
        <w:rPr>
          <w:sz w:val="20"/>
          <w:szCs w:val="20"/>
        </w:rPr>
        <w:t xml:space="preserve">, so s. 11(6A) is operative. </w:t>
      </w:r>
      <w:r>
        <w:rPr>
          <w:i/>
          <w:iCs/>
          <w:sz w:val="20"/>
          <w:szCs w:val="20"/>
        </w:rPr>
        <w:t>In Re: Interplay</w:t>
      </w:r>
      <w:r>
        <w:rPr>
          <w:sz w:val="20"/>
          <w:szCs w:val="20"/>
        </w:rPr>
        <w:t xml:space="preserve"> confirmed this and noted that </w:t>
      </w:r>
      <w:r>
        <w:rPr>
          <w:i/>
          <w:iCs/>
          <w:sz w:val="20"/>
          <w:szCs w:val="20"/>
        </w:rPr>
        <w:t>Vidya Drolia</w:t>
      </w:r>
      <w:r>
        <w:rPr>
          <w:sz w:val="20"/>
          <w:szCs w:val="20"/>
        </w:rPr>
        <w:t>, (2021) 2 SCC 1, had wrongly assumed the omission was in force.</w:t>
      </w:r>
    </w:p>
    <w:p w14:paraId="506C44FE" w14:textId="77777777" w:rsidR="00004105" w:rsidRDefault="00000000">
      <w:pPr>
        <w:pStyle w:val="Heading2"/>
        <w:keepNext/>
        <w:spacing w:before="240" w:after="110"/>
      </w:pPr>
      <w:bookmarkStart w:id="37" w:name="_Toc240747372"/>
      <w:r>
        <w:t>7.5  The 2019 institutional scheme</w:t>
      </w:r>
      <w:bookmarkEnd w:id="37"/>
    </w:p>
    <w:p w14:paraId="649FB723" w14:textId="77777777" w:rsidR="00004105" w:rsidRDefault="00000000">
      <w:pPr>
        <w:spacing w:after="110"/>
        <w:jc w:val="both"/>
      </w:pPr>
      <w:r>
        <w:t xml:space="preserve">The 2019 Amendment routed appointments through graded arbitral institutions designated by the Supreme Court or High Court, and created Part IA for an Arbitration Council of India to grade them. The stated objects were to use recognised institutions rather than courts, to promote institutional over ad hoc arbitration, and to reduce the burden on the Supreme Court and High Courts. </w:t>
      </w:r>
      <w:r>
        <w:rPr>
          <w:b/>
          <w:bCs/>
        </w:rPr>
        <w:t>That machinery is not operational</w:t>
      </w:r>
      <w:r>
        <w:t xml:space="preserve"> — the Council has not been constituted and institutions have not been graded or designated — so appointments continue to be made by the Supreme Court and the High Courts.</w:t>
      </w:r>
    </w:p>
    <w:p w14:paraId="5E41A503" w14:textId="77777777" w:rsidR="00004105" w:rsidRDefault="00000000">
      <w:pPr>
        <w:pBdr>
          <w:left w:val="single" w:sz="12" w:space="8" w:color="7A7A7A"/>
        </w:pBdr>
        <w:spacing w:before="110" w:after="140" w:line="252" w:lineRule="auto"/>
        <w:ind w:left="288"/>
        <w:jc w:val="both"/>
      </w:pPr>
      <w:r>
        <w:rPr>
          <w:sz w:val="20"/>
          <w:szCs w:val="20"/>
        </w:rPr>
        <w:t>The precise notification status of each 2019 change to s. 11, and of Part IA, should be confirmed from the Gazette or India Code. What is established is that the institutional machinery is not operational and s. 11(6A) remains in force.</w:t>
      </w:r>
    </w:p>
    <w:p w14:paraId="17644221" w14:textId="77777777" w:rsidR="00004105" w:rsidRDefault="00000000">
      <w:pPr>
        <w:pStyle w:val="Heading1"/>
        <w:keepNext/>
        <w:pBdr>
          <w:top w:val="single" w:sz="8" w:space="10" w:color="999999"/>
        </w:pBdr>
        <w:spacing w:before="460" w:after="170"/>
      </w:pPr>
      <w:bookmarkStart w:id="38" w:name="_Toc240747373"/>
      <w:r>
        <w:lastRenderedPageBreak/>
        <w:t>8  Grounds and Procedure for Challenge: ss. 12 and 13</w:t>
      </w:r>
      <w:bookmarkEnd w:id="38"/>
    </w:p>
    <w:p w14:paraId="7C499DE3" w14:textId="77777777" w:rsidR="00004105" w:rsidRDefault="00000000">
      <w:pPr>
        <w:spacing w:after="110"/>
        <w:jc w:val="both"/>
      </w:pPr>
      <w:r>
        <w:t xml:space="preserve">An arbitrator decides in place of a judge and must be independent and impartial. Two features frame the whole scheme: the test is </w:t>
      </w:r>
      <w:r>
        <w:rPr>
          <w:b/>
          <w:bCs/>
        </w:rPr>
        <w:t>not actual bias but the likelihood or appearance of bias</w:t>
      </w:r>
      <w:r>
        <w:t xml:space="preserve"> — whether circumstances give rise to justifiable doubts; and disclosure is a </w:t>
      </w:r>
      <w:r>
        <w:rPr>
          <w:b/>
          <w:bCs/>
        </w:rPr>
        <w:t>continuing duty</w:t>
      </w:r>
      <w:r>
        <w:t>, not a single event at appointment.</w:t>
      </w:r>
    </w:p>
    <w:p w14:paraId="2F3B0C9F" w14:textId="77777777" w:rsidR="00004105" w:rsidRDefault="00000000">
      <w:pPr>
        <w:pStyle w:val="Heading2"/>
        <w:keepNext/>
        <w:spacing w:before="240" w:after="110"/>
      </w:pPr>
      <w:bookmarkStart w:id="39" w:name="_Toc240747374"/>
      <w:r>
        <w:t>8.1  S. 12 — disclosure, grounds, ineligibility</w:t>
      </w:r>
      <w:bookmarkEnd w:id="39"/>
    </w:p>
    <w:p w14:paraId="075FECAF" w14:textId="77777777" w:rsidR="00004105" w:rsidRDefault="00000000">
      <w:pPr>
        <w:spacing w:after="110"/>
        <w:jc w:val="both"/>
      </w:pPr>
      <w:r>
        <w:rPr>
          <w:b/>
          <w:bCs/>
        </w:rPr>
        <w:t>12(1) Disclosure.</w:t>
      </w:r>
      <w:r>
        <w:t xml:space="preserve"> A person approached about a possible appointment must disclose in writing any circumstances </w:t>
      </w:r>
      <w:r>
        <w:rPr>
          <w:b/>
          <w:bCs/>
        </w:rPr>
        <w:t>(a)</w:t>
      </w:r>
      <w:r>
        <w:t xml:space="preserve"> such as the existence, direct or indirect, of any past or present relationship with or interest in any party or in the subject matter — financial, business, professional or other — likely to give rise to justifiable doubts as to independence or impartiality; and </w:t>
      </w:r>
      <w:r>
        <w:rPr>
          <w:b/>
          <w:bCs/>
        </w:rPr>
        <w:t>(b)</w:t>
      </w:r>
      <w:r>
        <w:t xml:space="preserve"> likely to affect his ability to devote sufficient time, in particular to complete the arbitration within twelve months. </w:t>
      </w:r>
      <w:r>
        <w:rPr>
          <w:i/>
          <w:iCs/>
        </w:rPr>
        <w:t>Explanation 1</w:t>
      </w:r>
      <w:r>
        <w:t xml:space="preserve">: the </w:t>
      </w:r>
      <w:r>
        <w:rPr>
          <w:b/>
          <w:bCs/>
        </w:rPr>
        <w:t>Fifth Schedule</w:t>
      </w:r>
      <w:r>
        <w:t xml:space="preserve"> guides the assessment of justifiable doubts. </w:t>
      </w:r>
      <w:r>
        <w:rPr>
          <w:i/>
          <w:iCs/>
        </w:rPr>
        <w:t>Explanation 2</w:t>
      </w:r>
      <w:r>
        <w:t xml:space="preserve">: disclosure is in the </w:t>
      </w:r>
      <w:r>
        <w:rPr>
          <w:b/>
          <w:bCs/>
        </w:rPr>
        <w:t>Sixth Schedule</w:t>
      </w:r>
      <w:r>
        <w:t xml:space="preserve"> form.</w:t>
      </w:r>
    </w:p>
    <w:p w14:paraId="06079C8A" w14:textId="77777777" w:rsidR="00004105" w:rsidRDefault="00000000">
      <w:pPr>
        <w:spacing w:after="110"/>
        <w:jc w:val="both"/>
      </w:pPr>
      <w:r>
        <w:rPr>
          <w:b/>
          <w:bCs/>
        </w:rPr>
        <w:t>12(2)</w:t>
      </w:r>
      <w:r>
        <w:t xml:space="preserve"> The duty continues from appointment and throughout the proceedings, without delay, unless the parties have already been informed by him.</w:t>
      </w:r>
    </w:p>
    <w:p w14:paraId="6D0D1EFD" w14:textId="77777777" w:rsidR="00004105" w:rsidRDefault="00000000">
      <w:pPr>
        <w:spacing w:after="110"/>
        <w:jc w:val="both"/>
      </w:pPr>
      <w:r>
        <w:rPr>
          <w:b/>
          <w:bCs/>
        </w:rPr>
        <w:t>12(3) Grounds.</w:t>
      </w:r>
      <w:r>
        <w:t xml:space="preserve"> An arbitrator may be challenged </w:t>
      </w:r>
      <w:r>
        <w:rPr>
          <w:b/>
          <w:bCs/>
        </w:rPr>
        <w:t>only</w:t>
      </w:r>
      <w:r>
        <w:t xml:space="preserve"> if (a) circumstances exist giving rise to justifiable doubts as to independence or impartiality, or (b) he lacks the qualifications agreed by the parties. The word “only” makes this a </w:t>
      </w:r>
      <w:r>
        <w:rPr>
          <w:b/>
          <w:bCs/>
        </w:rPr>
        <w:t>filtering mechanism</w:t>
      </w:r>
      <w:r>
        <w:t xml:space="preserve"> against frivolous objections. The justifiable-doubts standard comes from the UNCITRAL Model Law.</w:t>
      </w:r>
    </w:p>
    <w:p w14:paraId="2B6ACD57" w14:textId="77777777" w:rsidR="00004105" w:rsidRDefault="00000000">
      <w:pPr>
        <w:spacing w:after="110"/>
        <w:jc w:val="both"/>
      </w:pPr>
      <w:r>
        <w:rPr>
          <w:b/>
          <w:bCs/>
        </w:rPr>
        <w:t>12(4)</w:t>
      </w:r>
      <w:r>
        <w:t xml:space="preserve"> A party may challenge its </w:t>
      </w:r>
      <w:r>
        <w:rPr>
          <w:b/>
          <w:bCs/>
        </w:rPr>
        <w:t>own</w:t>
      </w:r>
      <w:r>
        <w:t xml:space="preserve"> appointee, or one in whose appointment it participated, only for reasons of which it became aware </w:t>
      </w:r>
      <w:r>
        <w:rPr>
          <w:b/>
          <w:bCs/>
        </w:rPr>
        <w:t>after</w:t>
      </w:r>
      <w:r>
        <w:t xml:space="preserve"> the appointment.</w:t>
      </w:r>
    </w:p>
    <w:p w14:paraId="3B545EFE" w14:textId="77777777" w:rsidR="00004105" w:rsidRDefault="00000000">
      <w:pPr>
        <w:spacing w:after="110"/>
        <w:jc w:val="both"/>
      </w:pPr>
      <w:r>
        <w:rPr>
          <w:b/>
          <w:bCs/>
        </w:rPr>
        <w:t>12(5) Ineligibility.</w:t>
      </w:r>
    </w:p>
    <w:p w14:paraId="2ECD0EB1" w14:textId="77777777" w:rsidR="00004105" w:rsidRDefault="00000000">
      <w:pPr>
        <w:spacing w:before="80" w:after="110" w:line="250" w:lineRule="auto"/>
        <w:ind w:left="504" w:right="288"/>
        <w:jc w:val="both"/>
      </w:pPr>
      <w:r>
        <w:rPr>
          <w:sz w:val="20"/>
          <w:szCs w:val="20"/>
        </w:rPr>
        <w:t xml:space="preserve">Notwithstanding any prior agreement to the contrary, any person whose relationship, with the parties or counsel or the subject-matter of the dispute, falls under any of the categories specified in the </w:t>
      </w:r>
      <w:r>
        <w:rPr>
          <w:b/>
          <w:bCs/>
          <w:sz w:val="20"/>
          <w:szCs w:val="20"/>
        </w:rPr>
        <w:t>Seventh Schedule</w:t>
      </w:r>
      <w:r>
        <w:rPr>
          <w:sz w:val="20"/>
          <w:szCs w:val="20"/>
        </w:rPr>
        <w:t xml:space="preserve"> shall be </w:t>
      </w:r>
      <w:r>
        <w:rPr>
          <w:b/>
          <w:bCs/>
          <w:sz w:val="20"/>
          <w:szCs w:val="20"/>
        </w:rPr>
        <w:t>ineligible</w:t>
      </w:r>
      <w:r>
        <w:rPr>
          <w:sz w:val="20"/>
          <w:szCs w:val="20"/>
        </w:rPr>
        <w:t xml:space="preserve"> to be appointed as an arbitrator: Provided that parties may, subsequent to disputes having arisen between them, waive the applicability of this sub-section by an </w:t>
      </w:r>
      <w:r>
        <w:rPr>
          <w:b/>
          <w:bCs/>
          <w:sz w:val="20"/>
          <w:szCs w:val="20"/>
        </w:rPr>
        <w:t>express agreement in writing</w:t>
      </w:r>
      <w:r>
        <w:rPr>
          <w:sz w:val="20"/>
          <w:szCs w:val="20"/>
        </w:rPr>
        <w:t>.</w:t>
      </w:r>
    </w:p>
    <w:p w14:paraId="0BB95CAB" w14:textId="77777777" w:rsidR="00004105" w:rsidRDefault="00000000">
      <w:pPr>
        <w:spacing w:after="110"/>
        <w:jc w:val="both"/>
      </w:pPr>
      <w:r>
        <w:rPr>
          <w:b/>
          <w:bCs/>
        </w:rPr>
        <w:t>The distinction between 12(3) and 12(5) is fundamental.</w:t>
      </w:r>
      <w:r>
        <w:t xml:space="preserve"> Sub-s. (3) creates a ground of </w:t>
      </w:r>
      <w:r>
        <w:rPr>
          <w:b/>
          <w:bCs/>
        </w:rPr>
        <w:t>challenge</w:t>
      </w:r>
      <w:r>
        <w:t xml:space="preserve">, decided under s. 13. Sub-s. (5) creates an </w:t>
      </w:r>
      <w:r>
        <w:rPr>
          <w:b/>
          <w:bCs/>
        </w:rPr>
        <w:t>ineligibility</w:t>
      </w:r>
      <w:r>
        <w:t xml:space="preserve"> operating in law, and its non obstante clause overrides any prior agreement — including the very contractual clause that named him. It is waivable only by express written agreement made </w:t>
      </w:r>
      <w:r>
        <w:rPr>
          <w:b/>
          <w:bCs/>
        </w:rPr>
        <w:t>after</w:t>
      </w:r>
      <w:r>
        <w:t xml:space="preserve"> the dispute has arisen; conduct, participation and silence will not do.</w:t>
      </w:r>
    </w:p>
    <w:p w14:paraId="6124C0B8" w14:textId="77777777" w:rsidR="00004105" w:rsidRDefault="00000000">
      <w:pPr>
        <w:pStyle w:val="Heading3"/>
        <w:keepNext/>
        <w:spacing w:before="170" w:after="80"/>
      </w:pPr>
      <w:r>
        <w:t>8.1.1  The IBA traffic-light system</w:t>
      </w:r>
    </w:p>
    <w:p w14:paraId="5A024050" w14:textId="77777777" w:rsidR="00004105" w:rsidRDefault="00000000">
      <w:pPr>
        <w:pStyle w:val="ListParagraph"/>
        <w:numPr>
          <w:ilvl w:val="0"/>
          <w:numId w:val="10"/>
        </w:numPr>
        <w:spacing w:after="70"/>
        <w:jc w:val="both"/>
      </w:pPr>
      <w:r>
        <w:rPr>
          <w:b/>
          <w:bCs/>
        </w:rPr>
        <w:t>Green list</w:t>
      </w:r>
      <w:r>
        <w:t xml:space="preserve"> — no conflict, no disclosure required (e.g. a mere social or professional acquaintance with counsel).</w:t>
      </w:r>
    </w:p>
    <w:p w14:paraId="236A255D" w14:textId="77777777" w:rsidR="00004105" w:rsidRDefault="00000000">
      <w:pPr>
        <w:pStyle w:val="ListParagraph"/>
        <w:numPr>
          <w:ilvl w:val="0"/>
          <w:numId w:val="10"/>
        </w:numPr>
        <w:spacing w:after="70"/>
        <w:jc w:val="both"/>
      </w:pPr>
      <w:r>
        <w:rPr>
          <w:b/>
          <w:bCs/>
        </w:rPr>
        <w:t>Orange list</w:t>
      </w:r>
      <w:r>
        <w:t xml:space="preserve"> — may raise doubts without necessarily showing partiality; disclosure required, and the arbitrator may serve unless a party objects (e.g. having sat in a related case).</w:t>
      </w:r>
    </w:p>
    <w:p w14:paraId="3A2834A1" w14:textId="77777777" w:rsidR="00004105" w:rsidRDefault="00000000">
      <w:pPr>
        <w:pStyle w:val="ListParagraph"/>
        <w:numPr>
          <w:ilvl w:val="0"/>
          <w:numId w:val="10"/>
        </w:numPr>
        <w:spacing w:after="70"/>
        <w:jc w:val="both"/>
      </w:pPr>
      <w:r>
        <w:rPr>
          <w:b/>
          <w:bCs/>
        </w:rPr>
        <w:t>Red list</w:t>
      </w:r>
      <w:r>
        <w:t xml:space="preserve"> — serious doubts, subdivided into </w:t>
      </w:r>
      <w:r>
        <w:rPr>
          <w:b/>
          <w:bCs/>
        </w:rPr>
        <w:t>waivable</w:t>
      </w:r>
      <w:r>
        <w:t xml:space="preserve"> and </w:t>
      </w:r>
      <w:r>
        <w:rPr>
          <w:b/>
          <w:bCs/>
        </w:rPr>
        <w:t>non-waivable</w:t>
      </w:r>
      <w:r>
        <w:t xml:space="preserve"> (e.g. a close family relationship with a party is waivable if the parties agree).</w:t>
      </w:r>
    </w:p>
    <w:p w14:paraId="3377E825" w14:textId="77777777" w:rsidR="00004105" w:rsidRDefault="00000000">
      <w:pPr>
        <w:pBdr>
          <w:left w:val="single" w:sz="12" w:space="8" w:color="7A7A7A"/>
        </w:pBdr>
        <w:spacing w:before="110" w:after="140" w:line="252" w:lineRule="auto"/>
        <w:ind w:left="288"/>
        <w:jc w:val="both"/>
      </w:pPr>
      <w:r>
        <w:rPr>
          <w:sz w:val="20"/>
          <w:szCs w:val="20"/>
        </w:rPr>
        <w:t xml:space="preserve">The class equation of the Seventh Schedule with the IBA “red list”, split into waivable and non-waivable, is a teaching analogy only. The Act's Seventh Schedule is a </w:t>
      </w:r>
      <w:r>
        <w:rPr>
          <w:b/>
          <w:bCs/>
          <w:sz w:val="20"/>
          <w:szCs w:val="20"/>
        </w:rPr>
        <w:t>single</w:t>
      </w:r>
      <w:r>
        <w:rPr>
          <w:sz w:val="20"/>
          <w:szCs w:val="20"/>
        </w:rPr>
        <w:t xml:space="preserve"> list of disqualifying relationships, and the only permitted waiver is the express written waiver under the proviso to s. 12(5). The IBA Guidelines (updated 2024) are guidance, not enacted law.</w:t>
      </w:r>
    </w:p>
    <w:p w14:paraId="1A119D40" w14:textId="77777777" w:rsidR="00004105" w:rsidRDefault="00000000">
      <w:pPr>
        <w:pStyle w:val="Heading2"/>
        <w:keepNext/>
        <w:spacing w:before="240" w:after="110"/>
      </w:pPr>
      <w:bookmarkStart w:id="40" w:name="_Toc240747375"/>
      <w:r>
        <w:lastRenderedPageBreak/>
        <w:t>8.2  S. 13 — procedure</w:t>
      </w:r>
      <w:bookmarkEnd w:id="40"/>
    </w:p>
    <w:p w14:paraId="30CA5081" w14:textId="77777777" w:rsidR="00004105" w:rsidRDefault="00000000">
      <w:pPr>
        <w:pStyle w:val="ListParagraph"/>
        <w:numPr>
          <w:ilvl w:val="0"/>
          <w:numId w:val="11"/>
        </w:numPr>
        <w:spacing w:after="70"/>
        <w:jc w:val="both"/>
      </w:pPr>
      <w:r>
        <w:rPr>
          <w:b/>
          <w:bCs/>
        </w:rPr>
        <w:t>(1)</w:t>
      </w:r>
      <w:r>
        <w:t xml:space="preserve"> Subject to (4), the parties are free to agree a challenge procedure.</w:t>
      </w:r>
    </w:p>
    <w:p w14:paraId="5C7F3DCD" w14:textId="77777777" w:rsidR="00004105" w:rsidRDefault="00000000">
      <w:pPr>
        <w:pStyle w:val="ListParagraph"/>
        <w:numPr>
          <w:ilvl w:val="0"/>
          <w:numId w:val="11"/>
        </w:numPr>
        <w:spacing w:after="70"/>
        <w:jc w:val="both"/>
      </w:pPr>
      <w:r>
        <w:rPr>
          <w:b/>
          <w:bCs/>
        </w:rPr>
        <w:t>(2)</w:t>
      </w:r>
      <w:r>
        <w:t xml:space="preserve"> Failing agreement, the challenging party must, within </w:t>
      </w:r>
      <w:r>
        <w:rPr>
          <w:b/>
          <w:bCs/>
        </w:rPr>
        <w:t>fifteen days</w:t>
      </w:r>
      <w:r>
        <w:t xml:space="preserve"> of becoming aware of the constitution of the tribunal or of any circumstance in s. 12(3), send a </w:t>
      </w:r>
      <w:r>
        <w:rPr>
          <w:b/>
          <w:bCs/>
        </w:rPr>
        <w:t>written statement of reasons to the tribunal</w:t>
      </w:r>
      <w:r>
        <w:t>.</w:t>
      </w:r>
    </w:p>
    <w:p w14:paraId="1872D29E" w14:textId="77777777" w:rsidR="00004105" w:rsidRDefault="00000000">
      <w:pPr>
        <w:pStyle w:val="ListParagraph"/>
        <w:numPr>
          <w:ilvl w:val="0"/>
          <w:numId w:val="11"/>
        </w:numPr>
        <w:spacing w:after="70"/>
        <w:jc w:val="both"/>
      </w:pPr>
      <w:r>
        <w:rPr>
          <w:b/>
          <w:bCs/>
        </w:rPr>
        <w:t>(3)</w:t>
      </w:r>
      <w:r>
        <w:t xml:space="preserve"> Unless the arbitrator withdraws or the other party agrees to the challenge, </w:t>
      </w:r>
      <w:r>
        <w:rPr>
          <w:b/>
          <w:bCs/>
        </w:rPr>
        <w:t>the tribunal itself decides</w:t>
      </w:r>
      <w:r>
        <w:t>.</w:t>
      </w:r>
    </w:p>
    <w:p w14:paraId="0806B585" w14:textId="77777777" w:rsidR="00004105" w:rsidRDefault="00000000">
      <w:pPr>
        <w:pStyle w:val="ListParagraph"/>
        <w:numPr>
          <w:ilvl w:val="0"/>
          <w:numId w:val="11"/>
        </w:numPr>
        <w:spacing w:after="70"/>
        <w:jc w:val="both"/>
      </w:pPr>
      <w:r>
        <w:rPr>
          <w:b/>
          <w:bCs/>
        </w:rPr>
        <w:t>(4)</w:t>
      </w:r>
      <w:r>
        <w:t xml:space="preserve"> If the challenge fails, the tribunal </w:t>
      </w:r>
      <w:r>
        <w:rPr>
          <w:b/>
          <w:bCs/>
        </w:rPr>
        <w:t>continues</w:t>
      </w:r>
      <w:r>
        <w:t xml:space="preserve"> and makes an award.</w:t>
      </w:r>
    </w:p>
    <w:p w14:paraId="046E52B0" w14:textId="77777777" w:rsidR="00004105" w:rsidRDefault="00000000">
      <w:pPr>
        <w:pStyle w:val="ListParagraph"/>
        <w:numPr>
          <w:ilvl w:val="0"/>
          <w:numId w:val="11"/>
        </w:numPr>
        <w:spacing w:after="70"/>
        <w:jc w:val="both"/>
      </w:pPr>
      <w:r>
        <w:rPr>
          <w:b/>
          <w:bCs/>
        </w:rPr>
        <w:t>(5)</w:t>
      </w:r>
      <w:r>
        <w:t xml:space="preserve"> The challenging party may then apply to set the award aside under </w:t>
      </w:r>
      <w:r>
        <w:rPr>
          <w:b/>
          <w:bCs/>
        </w:rPr>
        <w:t>s. 34</w:t>
      </w:r>
      <w:r>
        <w:t>.</w:t>
      </w:r>
    </w:p>
    <w:p w14:paraId="1766D33A" w14:textId="77777777" w:rsidR="00004105" w:rsidRDefault="00000000">
      <w:pPr>
        <w:pStyle w:val="ListParagraph"/>
        <w:numPr>
          <w:ilvl w:val="0"/>
          <w:numId w:val="11"/>
        </w:numPr>
        <w:spacing w:after="70"/>
        <w:jc w:val="both"/>
      </w:pPr>
      <w:r>
        <w:rPr>
          <w:b/>
          <w:bCs/>
        </w:rPr>
        <w:t>(6)</w:t>
      </w:r>
      <w:r>
        <w:t xml:space="preserve"> If the award is set aside, the court may decide whether the challenged arbitrator is entitled to any fees.</w:t>
      </w:r>
    </w:p>
    <w:p w14:paraId="5EC20EC4" w14:textId="77777777" w:rsidR="00004105" w:rsidRDefault="00000000">
      <w:pPr>
        <w:spacing w:after="110"/>
        <w:jc w:val="both"/>
      </w:pPr>
      <w:r>
        <w:t>The scheme is deliberately anti-dilatory: a failed challenge does not halt the arbitration, so a challenge cannot be used to stop an arbitration a party expects to lose. Note that the tribunal decides a challenge to its own member — unusual, and tolerated because the safeguard is s. 34. The challenged arbitrator must be given an opportunity to comment, as natural justice requires.</w:t>
      </w:r>
    </w:p>
    <w:p w14:paraId="55BD65F8" w14:textId="77777777" w:rsidR="00004105" w:rsidRDefault="00000000">
      <w:pPr>
        <w:pStyle w:val="Heading2"/>
        <w:keepNext/>
        <w:spacing w:before="240" w:after="110"/>
      </w:pPr>
      <w:bookmarkStart w:id="41" w:name="_Toc240747376"/>
      <w:r>
        <w:t>8.3  The standard applied: the Chagos challenge</w:t>
      </w:r>
      <w:bookmarkEnd w:id="41"/>
    </w:p>
    <w:p w14:paraId="5DFDC318" w14:textId="77777777" w:rsidR="00004105" w:rsidRDefault="00000000">
      <w:pPr>
        <w:keepNext/>
        <w:spacing w:before="170" w:after="60"/>
      </w:pPr>
      <w:r>
        <w:rPr>
          <w:b/>
          <w:bCs/>
        </w:rPr>
        <w:t>Chagos Marine Protected Area Arbitration (Mauritius v. United Kingdom) — Reasoned Decision on Challenge</w:t>
      </w:r>
      <w:r>
        <w:rPr>
          <w:color w:val="404040"/>
          <w:sz w:val="19"/>
          <w:szCs w:val="19"/>
        </w:rPr>
        <w:t xml:space="preserve">  PCA Case No. 2011-03 (UNCLOS Annex VII); decision on the challenge to Judge Sir Christopher Greenwood, 30 Nov 2011. Merits Award 18 Mar 2015.</w:t>
      </w:r>
    </w:p>
    <w:p w14:paraId="6B324E0D" w14:textId="77777777" w:rsidR="00004105" w:rsidRDefault="00000000">
      <w:pPr>
        <w:spacing w:after="70" w:line="258" w:lineRule="auto"/>
        <w:ind w:left="259"/>
        <w:jc w:val="both"/>
      </w:pPr>
      <w:r>
        <w:rPr>
          <w:b/>
          <w:bCs/>
          <w:sz w:val="21"/>
          <w:szCs w:val="21"/>
        </w:rPr>
        <w:t xml:space="preserve">Facts. </w:t>
      </w:r>
      <w:r>
        <w:rPr>
          <w:sz w:val="21"/>
          <w:szCs w:val="21"/>
        </w:rPr>
        <w:t>Mauritius commenced arbitration in 2010 over the UK's creation of a Marine Protected Area. The UK nominated Judge Greenwood. Mauritius sought further disclosure, concerned at the long-standing and close working relationship between him and the UK Government and at his having advised the UK on sensitive questions of international law, then challenged the appointment — he had acted for the UK within the preceding three years, and the relationship continued, as shown by his participation in selecting the new FCO legal adviser after his appointment.</w:t>
      </w:r>
    </w:p>
    <w:p w14:paraId="03E93CDE" w14:textId="77777777" w:rsidR="00004105" w:rsidRDefault="00000000">
      <w:pPr>
        <w:spacing w:after="70" w:line="258" w:lineRule="auto"/>
        <w:ind w:left="259"/>
        <w:jc w:val="both"/>
      </w:pPr>
      <w:r>
        <w:rPr>
          <w:b/>
          <w:bCs/>
          <w:sz w:val="21"/>
          <w:szCs w:val="21"/>
        </w:rPr>
        <w:t xml:space="preserve">Held. </w:t>
      </w:r>
      <w:r>
        <w:rPr>
          <w:sz w:val="21"/>
          <w:szCs w:val="21"/>
        </w:rPr>
        <w:t xml:space="preserve">The challenge was </w:t>
      </w:r>
      <w:r>
        <w:rPr>
          <w:b/>
          <w:bCs/>
          <w:sz w:val="21"/>
          <w:szCs w:val="21"/>
        </w:rPr>
        <w:t>dismissed</w:t>
      </w:r>
      <w:r>
        <w:rPr>
          <w:sz w:val="21"/>
          <w:szCs w:val="21"/>
        </w:rPr>
        <w:t xml:space="preserve">. Mauritius expressly alleged no actual bias: its case was that the relationship was incompatible with an </w:t>
      </w:r>
      <w:r>
        <w:rPr>
          <w:b/>
          <w:bCs/>
          <w:sz w:val="21"/>
          <w:szCs w:val="21"/>
        </w:rPr>
        <w:t>appearance-of-bias</w:t>
      </w:r>
      <w:r>
        <w:rPr>
          <w:sz w:val="21"/>
          <w:szCs w:val="21"/>
        </w:rPr>
        <w:t xml:space="preserve"> standard as codified in the IBA Guidelines, which it treated as a general principle of law. The UK argued that the principal test is </w:t>
      </w:r>
      <w:r>
        <w:rPr>
          <w:b/>
          <w:bCs/>
          <w:sz w:val="21"/>
          <w:szCs w:val="21"/>
        </w:rPr>
        <w:t>prior involvement in the subject matter</w:t>
      </w:r>
      <w:r>
        <w:rPr>
          <w:sz w:val="21"/>
          <w:szCs w:val="21"/>
        </w:rPr>
        <w:t xml:space="preserve">, as in the practice of the ICJ, ITLOS and other inter-State tribunals. Judge Greenwood commented on the challenge (as is the norm), denied involvement with the Statement of Claim issues or the Chagos Islands, and noted that he had also appeared </w:t>
      </w:r>
      <w:r>
        <w:rPr>
          <w:b/>
          <w:bCs/>
          <w:sz w:val="21"/>
          <w:szCs w:val="21"/>
        </w:rPr>
        <w:t>against</w:t>
      </w:r>
      <w:r>
        <w:rPr>
          <w:sz w:val="21"/>
          <w:szCs w:val="21"/>
        </w:rPr>
        <w:t xml:space="preserve"> the UK and had advised more than twenty other States. The tribunal held the applicable standard to be that in </w:t>
      </w:r>
      <w:r>
        <w:rPr>
          <w:b/>
          <w:bCs/>
          <w:sz w:val="21"/>
          <w:szCs w:val="21"/>
        </w:rPr>
        <w:t>Art. 10 of the PCA Optional Rules for Arbitrating Disputes between Two States</w:t>
      </w:r>
      <w:r>
        <w:rPr>
          <w:sz w:val="21"/>
          <w:szCs w:val="21"/>
        </w:rPr>
        <w:t xml:space="preserve"> — challenge lies where circumstances give rise to </w:t>
      </w:r>
      <w:r>
        <w:rPr>
          <w:b/>
          <w:bCs/>
          <w:sz w:val="21"/>
          <w:szCs w:val="21"/>
        </w:rPr>
        <w:t>justifiable doubts</w:t>
      </w:r>
      <w:r>
        <w:rPr>
          <w:sz w:val="21"/>
          <w:szCs w:val="21"/>
        </w:rPr>
        <w:t xml:space="preserve"> as to impartiality or independence — and that this forms part of the practice of inter-State tribunals. Applied, his prior engagements raised no justifiable doubts.</w:t>
      </w:r>
    </w:p>
    <w:p w14:paraId="25D0B298" w14:textId="77777777" w:rsidR="00004105" w:rsidRDefault="00000000">
      <w:pPr>
        <w:spacing w:after="70" w:line="258" w:lineRule="auto"/>
        <w:ind w:left="259"/>
        <w:jc w:val="both"/>
      </w:pPr>
      <w:r>
        <w:rPr>
          <w:b/>
          <w:bCs/>
          <w:sz w:val="21"/>
          <w:szCs w:val="21"/>
        </w:rPr>
        <w:t xml:space="preserve">Why it matters. </w:t>
      </w:r>
      <w:r>
        <w:rPr>
          <w:sz w:val="21"/>
          <w:szCs w:val="21"/>
        </w:rPr>
        <w:t xml:space="preserve">The same standard as s. 12(3). Three transferable points: the test is likelihood or appearance of bias, not actual bias; what proved decisive was </w:t>
      </w:r>
      <w:r>
        <w:rPr>
          <w:b/>
          <w:bCs/>
          <w:sz w:val="21"/>
          <w:szCs w:val="21"/>
        </w:rPr>
        <w:t>involvement in the subject matter of the dispute</w:t>
      </w:r>
      <w:r>
        <w:rPr>
          <w:sz w:val="21"/>
          <w:szCs w:val="21"/>
        </w:rPr>
        <w:t xml:space="preserve"> (here the Chagos Archipelago and the MPA), which was not established; and the challenged arbitrator is heard on the challenge.</w:t>
      </w:r>
    </w:p>
    <w:p w14:paraId="52602F8F" w14:textId="77777777" w:rsidR="00004105" w:rsidRDefault="00000000">
      <w:pPr>
        <w:spacing w:after="70" w:line="258" w:lineRule="auto"/>
        <w:ind w:left="259"/>
        <w:jc w:val="both"/>
      </w:pPr>
      <w:r>
        <w:rPr>
          <w:b/>
          <w:bCs/>
          <w:sz w:val="21"/>
          <w:szCs w:val="21"/>
        </w:rPr>
        <w:t xml:space="preserve">Status. </w:t>
      </w:r>
      <w:r>
        <w:rPr>
          <w:sz w:val="21"/>
          <w:szCs w:val="21"/>
        </w:rPr>
        <w:t>An inter-State arbitral decision — persuasive on the content of the standard, not binding in India, where s. 12 and the Schedules govern.</w:t>
      </w:r>
    </w:p>
    <w:p w14:paraId="4F0D5F95" w14:textId="77777777" w:rsidR="00004105" w:rsidRDefault="00000000">
      <w:pPr>
        <w:pStyle w:val="Heading2"/>
        <w:keepNext/>
        <w:spacing w:before="240" w:after="110"/>
      </w:pPr>
      <w:bookmarkStart w:id="42" w:name="_Toc240747377"/>
      <w:r>
        <w:t>8.4  The departmental arbitrator</w:t>
      </w:r>
      <w:bookmarkEnd w:id="42"/>
    </w:p>
    <w:p w14:paraId="4F18C0C7" w14:textId="77777777" w:rsidR="00004105" w:rsidRDefault="00000000">
      <w:pPr>
        <w:spacing w:after="110"/>
        <w:jc w:val="both"/>
      </w:pPr>
      <w:r>
        <w:t xml:space="preserve">The most litigated application of s. 12(5) concerns clauses by which a public sector undertaking or government department makes one of its own officers, or that officer's nominee, the arbitrator — long established in defence and railway contracts on the view that departmental officers </w:t>
      </w:r>
      <w:r>
        <w:lastRenderedPageBreak/>
        <w:t>understand the technical subject matter, and sitting very uneasily with the requirement of independence.</w:t>
      </w:r>
    </w:p>
    <w:p w14:paraId="03A8707B" w14:textId="77777777" w:rsidR="00004105" w:rsidRDefault="00000000">
      <w:pPr>
        <w:keepNext/>
        <w:spacing w:before="170" w:after="60"/>
      </w:pPr>
      <w:r>
        <w:rPr>
          <w:b/>
          <w:bCs/>
        </w:rPr>
        <w:t>Indian Oil Corporation Ltd. v. Raja Transport Pvt. Ltd.</w:t>
      </w:r>
      <w:r>
        <w:rPr>
          <w:color w:val="404040"/>
          <w:sz w:val="19"/>
          <w:szCs w:val="19"/>
        </w:rPr>
        <w:t xml:space="preserve">  (2009) 8 SCC 520 (SC, 24 Aug 2009).</w:t>
      </w:r>
    </w:p>
    <w:p w14:paraId="6FEFDE85" w14:textId="77777777" w:rsidR="00004105" w:rsidRDefault="00000000">
      <w:pPr>
        <w:spacing w:after="70" w:line="258" w:lineRule="auto"/>
        <w:ind w:left="259"/>
        <w:jc w:val="both"/>
      </w:pPr>
      <w:r>
        <w:rPr>
          <w:b/>
          <w:bCs/>
          <w:sz w:val="21"/>
          <w:szCs w:val="21"/>
        </w:rPr>
        <w:t xml:space="preserve">Held. </w:t>
      </w:r>
      <w:r>
        <w:rPr>
          <w:sz w:val="21"/>
          <w:szCs w:val="21"/>
        </w:rPr>
        <w:t xml:space="preserve">An employee of a party is </w:t>
      </w:r>
      <w:r>
        <w:rPr>
          <w:b/>
          <w:bCs/>
          <w:sz w:val="21"/>
          <w:szCs w:val="21"/>
        </w:rPr>
        <w:t>not per se</w:t>
      </w:r>
      <w:r>
        <w:rPr>
          <w:sz w:val="21"/>
          <w:szCs w:val="21"/>
        </w:rPr>
        <w:t xml:space="preserve"> disqualified. Where the parties agreed that a named senior officer would arbitrate, he is presumed independent and impartial, and the clause will be given effect unless a reasonable apprehension of bias is made out on the facts; a bare allegation of employment is insufficient.</w:t>
      </w:r>
    </w:p>
    <w:p w14:paraId="60388B3A" w14:textId="77777777" w:rsidR="00004105" w:rsidRDefault="00000000">
      <w:pPr>
        <w:spacing w:after="70" w:line="258" w:lineRule="auto"/>
        <w:ind w:left="259"/>
        <w:jc w:val="both"/>
      </w:pPr>
      <w:r>
        <w:rPr>
          <w:b/>
          <w:bCs/>
          <w:sz w:val="21"/>
          <w:szCs w:val="21"/>
        </w:rPr>
        <w:t xml:space="preserve">Why it matters. </w:t>
      </w:r>
      <w:r>
        <w:rPr>
          <w:sz w:val="21"/>
          <w:szCs w:val="21"/>
        </w:rPr>
        <w:t>The leading pre-2015 authority, and the necessary background to s. 12(5).</w:t>
      </w:r>
    </w:p>
    <w:p w14:paraId="74421419" w14:textId="77777777" w:rsidR="00004105" w:rsidRDefault="00000000">
      <w:pPr>
        <w:spacing w:after="70" w:line="258" w:lineRule="auto"/>
        <w:ind w:left="259"/>
        <w:jc w:val="both"/>
      </w:pPr>
      <w:r>
        <w:rPr>
          <w:b/>
          <w:bCs/>
          <w:sz w:val="21"/>
          <w:szCs w:val="21"/>
        </w:rPr>
        <w:t>Status. Largely superseded.</w:t>
      </w:r>
      <w:r>
        <w:rPr>
          <w:sz w:val="21"/>
          <w:szCs w:val="21"/>
        </w:rPr>
        <w:t xml:space="preserve"> For arbitrations under the amended Act, s. 12(5) with the Seventh Schedule, and </w:t>
      </w:r>
      <w:r>
        <w:rPr>
          <w:i/>
          <w:iCs/>
          <w:sz w:val="21"/>
          <w:szCs w:val="21"/>
        </w:rPr>
        <w:t>TRF</w:t>
      </w:r>
      <w:r>
        <w:rPr>
          <w:sz w:val="21"/>
          <w:szCs w:val="21"/>
        </w:rPr>
        <w:t xml:space="preserve"> and </w:t>
      </w:r>
      <w:r>
        <w:rPr>
          <w:i/>
          <w:iCs/>
          <w:sz w:val="21"/>
          <w:szCs w:val="21"/>
        </w:rPr>
        <w:t>Perkins Eastman</w:t>
      </w:r>
      <w:r>
        <w:rPr>
          <w:sz w:val="21"/>
          <w:szCs w:val="21"/>
        </w:rPr>
        <w:t>, have displaced the presumption of independence for interested employees. Cite it for the historical position, not as current law.</w:t>
      </w:r>
    </w:p>
    <w:p w14:paraId="2609EFBB" w14:textId="77777777" w:rsidR="00004105" w:rsidRDefault="00000000">
      <w:pPr>
        <w:keepNext/>
        <w:spacing w:before="170" w:after="60"/>
      </w:pPr>
      <w:r>
        <w:rPr>
          <w:b/>
          <w:bCs/>
        </w:rPr>
        <w:t>Bharat Broadband Network Ltd. v. United Telecoms Ltd.</w:t>
      </w:r>
      <w:r>
        <w:rPr>
          <w:color w:val="404040"/>
          <w:sz w:val="19"/>
          <w:szCs w:val="19"/>
        </w:rPr>
        <w:t xml:space="preserve">  (2019) 5 SCC 755; 2019 INSC 537 (SC, 16 Apr 2019, R.F. Nariman J.).</w:t>
      </w:r>
    </w:p>
    <w:p w14:paraId="663E9AF2" w14:textId="77777777" w:rsidR="00004105" w:rsidRDefault="00000000">
      <w:pPr>
        <w:spacing w:after="70" w:line="258" w:lineRule="auto"/>
        <w:ind w:left="259"/>
        <w:jc w:val="both"/>
      </w:pPr>
      <w:r>
        <w:rPr>
          <w:b/>
          <w:bCs/>
          <w:sz w:val="21"/>
          <w:szCs w:val="21"/>
        </w:rPr>
        <w:t xml:space="preserve">Facts. </w:t>
      </w:r>
      <w:r>
        <w:rPr>
          <w:sz w:val="21"/>
          <w:szCs w:val="21"/>
        </w:rPr>
        <w:t>The contract made the CMD, or his nominee, sole arbitrator; the CMD appointed K.H. Khan. Item 5 of the Seventh Schedule covers an arbitrator who is a manager, director or part of the management, or has similar controlling influence, in an affiliate of a party directly involved in the dispute. United Telecoms had filed its statement of claim without reservation.</w:t>
      </w:r>
    </w:p>
    <w:p w14:paraId="0ACB10BB" w14:textId="77777777" w:rsidR="00004105" w:rsidRDefault="00000000">
      <w:pPr>
        <w:spacing w:after="70" w:line="258" w:lineRule="auto"/>
        <w:ind w:left="259"/>
        <w:jc w:val="both"/>
      </w:pPr>
      <w:r>
        <w:rPr>
          <w:b/>
          <w:bCs/>
          <w:sz w:val="21"/>
          <w:szCs w:val="21"/>
        </w:rPr>
        <w:t xml:space="preserve">Held. </w:t>
      </w:r>
      <w:r>
        <w:rPr>
          <w:sz w:val="21"/>
          <w:szCs w:val="21"/>
        </w:rPr>
        <w:t xml:space="preserve">The appointment was </w:t>
      </w:r>
      <w:r>
        <w:rPr>
          <w:b/>
          <w:bCs/>
          <w:sz w:val="21"/>
          <w:szCs w:val="21"/>
        </w:rPr>
        <w:t>void</w:t>
      </w:r>
      <w:r>
        <w:rPr>
          <w:sz w:val="21"/>
          <w:szCs w:val="21"/>
        </w:rPr>
        <w:t xml:space="preserve"> and the mandate terminated. A person ineligible under s. 12(5) is ineligible in law — *</w:t>
      </w:r>
      <w:r>
        <w:rPr>
          <w:b/>
          <w:bCs/>
          <w:sz w:val="21"/>
          <w:szCs w:val="21"/>
        </w:rPr>
        <w:t>de jure</w:t>
      </w:r>
      <w:r>
        <w:rPr>
          <w:i/>
          <w:iCs/>
          <w:sz w:val="21"/>
          <w:szCs w:val="21"/>
        </w:rPr>
        <w:t xml:space="preserve"> — and cannot act. Applying </w:t>
      </w:r>
      <w:r>
        <w:rPr>
          <w:sz w:val="21"/>
          <w:szCs w:val="21"/>
        </w:rPr>
        <w:t>TRF</w:t>
      </w:r>
      <w:r>
        <w:rPr>
          <w:i/>
          <w:iCs/>
          <w:sz w:val="21"/>
          <w:szCs w:val="21"/>
        </w:rPr>
        <w:t>, an ineligible person cannot appoint an arbitrator, since he cannot delegate an authority he lacks. Ineligibility is waivable only by an express agreement in writing after the dispute arises; filing a claim without reservation is not such an agreement. Being de jure unable to act, the mandate stood terminated under s. 14</w:t>
      </w:r>
      <w:r>
        <w:rPr>
          <w:sz w:val="21"/>
          <w:szCs w:val="21"/>
        </w:rPr>
        <w:t>*.</w:t>
      </w:r>
    </w:p>
    <w:p w14:paraId="2B4D8F1B" w14:textId="77777777" w:rsidR="00004105" w:rsidRDefault="00000000">
      <w:pPr>
        <w:spacing w:after="70" w:line="258" w:lineRule="auto"/>
        <w:ind w:left="259"/>
        <w:jc w:val="both"/>
      </w:pPr>
      <w:r>
        <w:rPr>
          <w:b/>
          <w:bCs/>
          <w:sz w:val="21"/>
          <w:szCs w:val="21"/>
        </w:rPr>
        <w:t xml:space="preserve">Why it matters. </w:t>
      </w:r>
      <w:r>
        <w:rPr>
          <w:sz w:val="21"/>
          <w:szCs w:val="21"/>
        </w:rPr>
        <w:t>Governing authority on s. 12(5), on the form the statutory waiver must take, and on the effect on an appointment already made. It also links ss. 12, 14 and 15: statutory ineligibility produces de jure inability, which terminates the mandate under s. 14, whereupon a substitute is appointed under s. 15(2).</w:t>
      </w:r>
    </w:p>
    <w:p w14:paraId="5977C8FD" w14:textId="77777777" w:rsidR="00004105" w:rsidRDefault="00000000">
      <w:pPr>
        <w:spacing w:after="70" w:line="258" w:lineRule="auto"/>
        <w:ind w:left="259"/>
        <w:jc w:val="both"/>
      </w:pPr>
      <w:r>
        <w:rPr>
          <w:b/>
          <w:bCs/>
          <w:sz w:val="21"/>
          <w:szCs w:val="21"/>
        </w:rPr>
        <w:t xml:space="preserve">Status. </w:t>
      </w:r>
      <w:r>
        <w:rPr>
          <w:sz w:val="21"/>
          <w:szCs w:val="21"/>
        </w:rPr>
        <w:t>Good law.</w:t>
      </w:r>
    </w:p>
    <w:p w14:paraId="63666501" w14:textId="77777777" w:rsidR="00004105" w:rsidRDefault="00000000">
      <w:pPr>
        <w:pStyle w:val="Heading2"/>
        <w:keepNext/>
        <w:spacing w:before="240" w:after="110"/>
      </w:pPr>
      <w:bookmarkStart w:id="43" w:name="_Toc240747378"/>
      <w:r>
        <w:t>8.5  Present position on unilateral appointment</w:t>
      </w:r>
      <w:bookmarkEnd w:id="43"/>
    </w:p>
    <w:p w14:paraId="6A3DC20F" w14:textId="77777777" w:rsidR="00004105" w:rsidRDefault="00000000">
      <w:pPr>
        <w:pStyle w:val="ListParagraph"/>
        <w:numPr>
          <w:ilvl w:val="0"/>
          <w:numId w:val="12"/>
        </w:numPr>
        <w:spacing w:after="70"/>
        <w:jc w:val="both"/>
      </w:pPr>
      <w:r>
        <w:rPr>
          <w:i/>
          <w:iCs/>
        </w:rPr>
        <w:t>TRF Ltd. v. Energo Engineering Projects Ltd.</w:t>
      </w:r>
      <w:r>
        <w:t xml:space="preserve">, (2017) 8 SCC 377 (3 Judges) — a person himself ineligible under s. 12(5) cannot </w:t>
      </w:r>
      <w:r>
        <w:rPr>
          <w:b/>
          <w:bCs/>
        </w:rPr>
        <w:t>nominate</w:t>
      </w:r>
      <w:r>
        <w:t xml:space="preserve"> an arbitrator.</w:t>
      </w:r>
    </w:p>
    <w:p w14:paraId="5E4AAC76" w14:textId="77777777" w:rsidR="00004105" w:rsidRDefault="00000000">
      <w:pPr>
        <w:pStyle w:val="ListParagraph"/>
        <w:numPr>
          <w:ilvl w:val="0"/>
          <w:numId w:val="12"/>
        </w:numPr>
        <w:spacing w:after="70"/>
        <w:jc w:val="both"/>
      </w:pPr>
      <w:r>
        <w:rPr>
          <w:i/>
          <w:iCs/>
        </w:rPr>
        <w:t>Perkins Eastman Architects DPC v. HSCC (India) Ltd.</w:t>
      </w:r>
      <w:r>
        <w:t xml:space="preserve">, 2019 SCC OnLine SC 1517; (2020) 20 SCC 760 — a party interested in the outcome cannot </w:t>
      </w:r>
      <w:r>
        <w:rPr>
          <w:b/>
          <w:bCs/>
        </w:rPr>
        <w:t>unilaterally appoint</w:t>
      </w:r>
      <w:r>
        <w:t xml:space="preserve"> the sole arbitrator: the interest that disqualifies a person from acting equally disqualifies him from choosing who acts.</w:t>
      </w:r>
    </w:p>
    <w:p w14:paraId="71C72419" w14:textId="77777777" w:rsidR="00004105" w:rsidRDefault="00000000">
      <w:pPr>
        <w:pStyle w:val="ListParagraph"/>
        <w:numPr>
          <w:ilvl w:val="0"/>
          <w:numId w:val="12"/>
        </w:numPr>
        <w:spacing w:after="70"/>
        <w:jc w:val="both"/>
      </w:pPr>
      <w:r>
        <w:rPr>
          <w:i/>
          <w:iCs/>
        </w:rPr>
        <w:t>Central Organisation for Railway Electrification v. ECI-SPIC-SMO-MCML (JV)</w:t>
      </w:r>
      <w:r>
        <w:t xml:space="preserve"> (</w:t>
      </w:r>
      <w:r>
        <w:rPr>
          <w:b/>
          <w:bCs/>
        </w:rPr>
        <w:t>CORE-II</w:t>
      </w:r>
      <w:r>
        <w:t xml:space="preserve">), 2024 INSC 857; 2024 SCC OnLine SC 3219 (Constitution Bench of 5, 8 Nov 2024) — unilateral appointment clauses in </w:t>
      </w:r>
      <w:r>
        <w:rPr>
          <w:b/>
          <w:bCs/>
        </w:rPr>
        <w:t>public-private contracts violate Art. 14</w:t>
      </w:r>
      <w:r>
        <w:t xml:space="preserve"> and are impermissible, with prospective effect. </w:t>
      </w:r>
      <w:r>
        <w:rPr>
          <w:i/>
          <w:iCs/>
        </w:rPr>
        <w:t>CORE-I</w:t>
      </w:r>
      <w:r>
        <w:t>, (2020) 14 SCC 712, is overruled on the point.</w:t>
      </w:r>
    </w:p>
    <w:p w14:paraId="7FC0CF3C" w14:textId="77777777" w:rsidR="00004105" w:rsidRDefault="00000000">
      <w:pPr>
        <w:spacing w:after="110"/>
        <w:jc w:val="both"/>
      </w:pPr>
      <w:r>
        <w:rPr>
          <w:b/>
          <w:bCs/>
        </w:rPr>
        <w:t>Result:</w:t>
      </w:r>
      <w:r>
        <w:t xml:space="preserve"> the departmental arbitrator as traditionally practised is no longer sustainable. A Seventh Schedule person is ineligible; an ineligible person cannot appoint; an interested party cannot unilaterally appoint a sole arbitrator; and in public-private contracts such a clause is unconstitutional. The class observation that the Seventh Schedule draws no distinction between governmental and private organisations is correct — it speaks in terms of relationships and applies to both.</w:t>
      </w:r>
    </w:p>
    <w:p w14:paraId="22DB3041" w14:textId="77777777" w:rsidR="00004105" w:rsidRDefault="00000000">
      <w:pPr>
        <w:pBdr>
          <w:left w:val="single" w:sz="12" w:space="8" w:color="7A7A7A"/>
        </w:pBdr>
        <w:spacing w:before="110" w:after="140" w:line="252" w:lineRule="auto"/>
        <w:ind w:left="288"/>
        <w:jc w:val="both"/>
      </w:pPr>
      <w:r>
        <w:rPr>
          <w:sz w:val="20"/>
          <w:szCs w:val="20"/>
        </w:rPr>
        <w:t xml:space="preserve">The bound-volume SCC citation for </w:t>
      </w:r>
      <w:r>
        <w:rPr>
          <w:i/>
          <w:iCs/>
          <w:sz w:val="20"/>
          <w:szCs w:val="20"/>
        </w:rPr>
        <w:t>CORE-II</w:t>
      </w:r>
      <w:r>
        <w:rPr>
          <w:sz w:val="20"/>
          <w:szCs w:val="20"/>
        </w:rPr>
        <w:t xml:space="preserve"> was not confirmed; the neutral and SCC OnLine citations, bench strength and date are established.</w:t>
      </w:r>
    </w:p>
    <w:p w14:paraId="4DD6E00A" w14:textId="77777777" w:rsidR="00004105" w:rsidRDefault="00000000">
      <w:pPr>
        <w:pStyle w:val="Heading1"/>
        <w:keepNext/>
        <w:pBdr>
          <w:top w:val="single" w:sz="8" w:space="10" w:color="999999"/>
        </w:pBdr>
        <w:spacing w:before="460" w:after="170"/>
      </w:pPr>
      <w:bookmarkStart w:id="44" w:name="_Toc240747379"/>
      <w:r>
        <w:lastRenderedPageBreak/>
        <w:t>9  Failure to Act, Termination and Substitution: ss. 14 and 15</w:t>
      </w:r>
      <w:bookmarkEnd w:id="44"/>
    </w:p>
    <w:p w14:paraId="475DC2D6" w14:textId="77777777" w:rsidR="00004105" w:rsidRDefault="00000000">
      <w:pPr>
        <w:spacing w:after="110"/>
        <w:jc w:val="both"/>
      </w:pPr>
      <w:r>
        <w:t>An arbitrator who cannot do the job must be replaced, and the arbitration must continue rather than collapse. S. 14 deals with inability and failure to act; s. 15 gathers the remaining modes of termination and supplies the substitution machinery.</w:t>
      </w:r>
    </w:p>
    <w:p w14:paraId="73087876" w14:textId="77777777" w:rsidR="00004105" w:rsidRDefault="00000000">
      <w:pPr>
        <w:pStyle w:val="Heading2"/>
        <w:keepNext/>
        <w:spacing w:before="240" w:after="110"/>
      </w:pPr>
      <w:bookmarkStart w:id="45" w:name="_Toc240747380"/>
      <w:r>
        <w:t>9.1  S. 14 — failure or impossibility to act</w:t>
      </w:r>
      <w:bookmarkEnd w:id="45"/>
    </w:p>
    <w:p w14:paraId="27023636" w14:textId="77777777" w:rsidR="00004105" w:rsidRDefault="00000000">
      <w:pPr>
        <w:spacing w:after="110"/>
        <w:jc w:val="both"/>
      </w:pPr>
      <w:r>
        <w:t>The mandate terminates, and the arbitrator is to be substituted, where—</w:t>
      </w:r>
    </w:p>
    <w:p w14:paraId="1AE68C50" w14:textId="77777777" w:rsidR="00004105" w:rsidRDefault="00000000">
      <w:pPr>
        <w:pStyle w:val="ListParagraph"/>
        <w:numPr>
          <w:ilvl w:val="0"/>
          <w:numId w:val="13"/>
        </w:numPr>
        <w:spacing w:after="70"/>
        <w:jc w:val="both"/>
      </w:pPr>
      <w:r>
        <w:t xml:space="preserve">he becomes </w:t>
      </w:r>
      <w:r>
        <w:rPr>
          <w:b/>
          <w:bCs/>
        </w:rPr>
        <w:t>de jure or de facto unable</w:t>
      </w:r>
      <w:r>
        <w:t xml:space="preserve"> to perform his functions, or for other reasons </w:t>
      </w:r>
      <w:r>
        <w:rPr>
          <w:b/>
          <w:bCs/>
        </w:rPr>
        <w:t>fails to act without undue delay</w:t>
      </w:r>
      <w:r>
        <w:t>; and</w:t>
      </w:r>
    </w:p>
    <w:p w14:paraId="19A1929C" w14:textId="77777777" w:rsidR="00004105" w:rsidRDefault="00000000">
      <w:pPr>
        <w:pStyle w:val="ListParagraph"/>
        <w:numPr>
          <w:ilvl w:val="0"/>
          <w:numId w:val="13"/>
        </w:numPr>
        <w:spacing w:after="70"/>
        <w:jc w:val="both"/>
      </w:pPr>
      <w:r>
        <w:t xml:space="preserve">he </w:t>
      </w:r>
      <w:r>
        <w:rPr>
          <w:b/>
          <w:bCs/>
        </w:rPr>
        <w:t>withdraws</w:t>
      </w:r>
      <w:r>
        <w:t xml:space="preserve"> from office, or </w:t>
      </w:r>
      <w:r>
        <w:rPr>
          <w:b/>
          <w:bCs/>
        </w:rPr>
        <w:t>the parties agree</w:t>
      </w:r>
      <w:r>
        <w:t xml:space="preserve"> to terminate the mandate.</w:t>
      </w:r>
    </w:p>
    <w:p w14:paraId="66823154" w14:textId="77777777" w:rsidR="00004105" w:rsidRDefault="00000000">
      <w:pPr>
        <w:spacing w:after="110"/>
        <w:jc w:val="both"/>
      </w:pPr>
      <w:r>
        <w:t>The words directing that he “shall be substituted by another arbitrator” were added in 2015, making explicit what s. 15(2) implied: the object is replacement, not abandonment.</w:t>
      </w:r>
    </w:p>
    <w:tbl>
      <w:tblPr>
        <w:tblW w:w="8850" w:type="dxa"/>
        <w:tblBorders>
          <w:top w:val="single" w:sz="3" w:space="0" w:color="8A8A8A"/>
          <w:left w:val="single" w:sz="3" w:space="0" w:color="8A8A8A"/>
          <w:bottom w:val="single" w:sz="3" w:space="0" w:color="8A8A8A"/>
          <w:right w:val="single" w:sz="3" w:space="0" w:color="8A8A8A"/>
          <w:insideH w:val="single" w:sz="2" w:space="0" w:color="C4C4C4"/>
          <w:insideV w:val="single" w:sz="2" w:space="0" w:color="C4C4C4"/>
        </w:tblBorders>
        <w:tblCellMar>
          <w:left w:w="10" w:type="dxa"/>
          <w:right w:w="10" w:type="dxa"/>
        </w:tblCellMar>
        <w:tblLook w:val="0000" w:firstRow="0" w:lastRow="0" w:firstColumn="0" w:lastColumn="0" w:noHBand="0" w:noVBand="0"/>
      </w:tblPr>
      <w:tblGrid>
        <w:gridCol w:w="2100"/>
        <w:gridCol w:w="6750"/>
      </w:tblGrid>
      <w:tr w:rsidR="00004105" w14:paraId="6BE7B640" w14:textId="77777777">
        <w:tblPrEx>
          <w:tblCellMar>
            <w:top w:w="0" w:type="dxa"/>
            <w:bottom w:w="0" w:type="dxa"/>
          </w:tblCellMar>
        </w:tblPrEx>
        <w:trPr>
          <w:tblHeader/>
        </w:trPr>
        <w:tc>
          <w:tcPr>
            <w:tcW w:w="2100" w:type="dxa"/>
            <w:shd w:val="clear" w:color="auto" w:fill="EDEDED"/>
            <w:tcMar>
              <w:top w:w="70" w:type="dxa"/>
              <w:left w:w="110" w:type="dxa"/>
              <w:bottom w:w="70" w:type="dxa"/>
              <w:right w:w="110" w:type="dxa"/>
            </w:tcMar>
          </w:tcPr>
          <w:p w14:paraId="2BAB485F" w14:textId="77777777" w:rsidR="00004105" w:rsidRDefault="00000000">
            <w:pPr>
              <w:spacing w:line="244" w:lineRule="auto"/>
            </w:pPr>
            <w:r>
              <w:rPr>
                <w:b/>
                <w:bCs/>
                <w:sz w:val="19"/>
                <w:szCs w:val="19"/>
              </w:rPr>
              <w:t>Category</w:t>
            </w:r>
          </w:p>
        </w:tc>
        <w:tc>
          <w:tcPr>
            <w:tcW w:w="6750" w:type="dxa"/>
            <w:shd w:val="clear" w:color="auto" w:fill="EDEDED"/>
            <w:tcMar>
              <w:top w:w="70" w:type="dxa"/>
              <w:left w:w="110" w:type="dxa"/>
              <w:bottom w:w="70" w:type="dxa"/>
              <w:right w:w="110" w:type="dxa"/>
            </w:tcMar>
          </w:tcPr>
          <w:p w14:paraId="65042AB8" w14:textId="77777777" w:rsidR="00004105" w:rsidRDefault="00000000">
            <w:pPr>
              <w:spacing w:line="244" w:lineRule="auto"/>
            </w:pPr>
            <w:r>
              <w:rPr>
                <w:b/>
                <w:bCs/>
                <w:sz w:val="19"/>
                <w:szCs w:val="19"/>
              </w:rPr>
              <w:t>Nature and illustrations</w:t>
            </w:r>
          </w:p>
        </w:tc>
      </w:tr>
      <w:tr w:rsidR="00004105" w14:paraId="6D87E15E" w14:textId="77777777">
        <w:tblPrEx>
          <w:tblCellMar>
            <w:top w:w="0" w:type="dxa"/>
            <w:bottom w:w="0" w:type="dxa"/>
          </w:tblCellMar>
        </w:tblPrEx>
        <w:tc>
          <w:tcPr>
            <w:tcW w:w="2100" w:type="dxa"/>
            <w:tcMar>
              <w:top w:w="70" w:type="dxa"/>
              <w:left w:w="110" w:type="dxa"/>
              <w:bottom w:w="70" w:type="dxa"/>
              <w:right w:w="110" w:type="dxa"/>
            </w:tcMar>
          </w:tcPr>
          <w:p w14:paraId="3347942F" w14:textId="77777777" w:rsidR="00004105" w:rsidRDefault="00000000">
            <w:pPr>
              <w:spacing w:line="244" w:lineRule="auto"/>
            </w:pPr>
            <w:r>
              <w:rPr>
                <w:sz w:val="19"/>
                <w:szCs w:val="19"/>
              </w:rPr>
              <w:t>De jure inability</w:t>
            </w:r>
          </w:p>
        </w:tc>
        <w:tc>
          <w:tcPr>
            <w:tcW w:w="6750" w:type="dxa"/>
            <w:tcMar>
              <w:top w:w="70" w:type="dxa"/>
              <w:left w:w="110" w:type="dxa"/>
              <w:bottom w:w="70" w:type="dxa"/>
              <w:right w:w="110" w:type="dxa"/>
            </w:tcMar>
          </w:tcPr>
          <w:p w14:paraId="5C0CAE4F" w14:textId="77777777" w:rsidR="00004105" w:rsidRDefault="00000000">
            <w:pPr>
              <w:spacing w:line="244" w:lineRule="auto"/>
            </w:pPr>
            <w:r>
              <w:rPr>
                <w:sz w:val="19"/>
                <w:szCs w:val="19"/>
              </w:rPr>
              <w:t xml:space="preserve">Disabled in law; status, not physical capacity, disqualifies. The class illustration is insolvency. The important modern instance is s. 12(5) ineligibility: </w:t>
            </w:r>
            <w:r>
              <w:rPr>
                <w:i/>
                <w:iCs/>
                <w:sz w:val="19"/>
                <w:szCs w:val="19"/>
              </w:rPr>
              <w:t>Bharat Broadband</w:t>
            </w:r>
            <w:r>
              <w:rPr>
                <w:sz w:val="19"/>
                <w:szCs w:val="19"/>
              </w:rPr>
              <w:t xml:space="preserve"> holds such a person de jure unable, so the mandate terminates under s. 14.</w:t>
            </w:r>
          </w:p>
        </w:tc>
      </w:tr>
      <w:tr w:rsidR="00004105" w14:paraId="3E1FCE2D" w14:textId="77777777">
        <w:tblPrEx>
          <w:tblCellMar>
            <w:top w:w="0" w:type="dxa"/>
            <w:bottom w:w="0" w:type="dxa"/>
          </w:tblCellMar>
        </w:tblPrEx>
        <w:tc>
          <w:tcPr>
            <w:tcW w:w="2100" w:type="dxa"/>
            <w:tcMar>
              <w:top w:w="70" w:type="dxa"/>
              <w:left w:w="110" w:type="dxa"/>
              <w:bottom w:w="70" w:type="dxa"/>
              <w:right w:w="110" w:type="dxa"/>
            </w:tcMar>
          </w:tcPr>
          <w:p w14:paraId="10DDB6BB" w14:textId="77777777" w:rsidR="00004105" w:rsidRDefault="00000000">
            <w:pPr>
              <w:spacing w:line="244" w:lineRule="auto"/>
            </w:pPr>
            <w:r>
              <w:rPr>
                <w:sz w:val="19"/>
                <w:szCs w:val="19"/>
              </w:rPr>
              <w:t>De facto inability</w:t>
            </w:r>
          </w:p>
        </w:tc>
        <w:tc>
          <w:tcPr>
            <w:tcW w:w="6750" w:type="dxa"/>
            <w:tcMar>
              <w:top w:w="70" w:type="dxa"/>
              <w:left w:w="110" w:type="dxa"/>
              <w:bottom w:w="70" w:type="dxa"/>
              <w:right w:w="110" w:type="dxa"/>
            </w:tcMar>
          </w:tcPr>
          <w:p w14:paraId="24B7E6D9" w14:textId="77777777" w:rsidR="00004105" w:rsidRDefault="00000000">
            <w:pPr>
              <w:spacing w:line="244" w:lineRule="auto"/>
            </w:pPr>
            <w:r>
              <w:rPr>
                <w:sz w:val="19"/>
                <w:szCs w:val="19"/>
              </w:rPr>
              <w:t>Disabled in fact though still qualified in law — detention or arrest, serious illness, unsoundness of mind. The test is practical: can he summon and hear witnesses, read the documents, deliberate and decide?</w:t>
            </w:r>
          </w:p>
        </w:tc>
      </w:tr>
      <w:tr w:rsidR="00004105" w14:paraId="6123B86F" w14:textId="77777777">
        <w:tblPrEx>
          <w:tblCellMar>
            <w:top w:w="0" w:type="dxa"/>
            <w:bottom w:w="0" w:type="dxa"/>
          </w:tblCellMar>
        </w:tblPrEx>
        <w:tc>
          <w:tcPr>
            <w:tcW w:w="2100" w:type="dxa"/>
            <w:tcMar>
              <w:top w:w="70" w:type="dxa"/>
              <w:left w:w="110" w:type="dxa"/>
              <w:bottom w:w="70" w:type="dxa"/>
              <w:right w:w="110" w:type="dxa"/>
            </w:tcMar>
          </w:tcPr>
          <w:p w14:paraId="653568CA" w14:textId="77777777" w:rsidR="00004105" w:rsidRDefault="00000000">
            <w:pPr>
              <w:spacing w:line="244" w:lineRule="auto"/>
            </w:pPr>
            <w:r>
              <w:rPr>
                <w:sz w:val="19"/>
                <w:szCs w:val="19"/>
              </w:rPr>
              <w:t>Failure to act without undue delay</w:t>
            </w:r>
          </w:p>
        </w:tc>
        <w:tc>
          <w:tcPr>
            <w:tcW w:w="6750" w:type="dxa"/>
            <w:tcMar>
              <w:top w:w="70" w:type="dxa"/>
              <w:left w:w="110" w:type="dxa"/>
              <w:bottom w:w="70" w:type="dxa"/>
              <w:right w:w="110" w:type="dxa"/>
            </w:tcMar>
          </w:tcPr>
          <w:p w14:paraId="4D02026C" w14:textId="77777777" w:rsidR="00004105" w:rsidRDefault="00000000">
            <w:pPr>
              <w:spacing w:line="244" w:lineRule="auto"/>
            </w:pPr>
            <w:r>
              <w:rPr>
                <w:sz w:val="19"/>
                <w:szCs w:val="19"/>
              </w:rPr>
              <w:t>A separate limb: he is able to act but does not do so within a reasonable time. A failure of performance, not an incapacity.</w:t>
            </w:r>
          </w:p>
        </w:tc>
      </w:tr>
    </w:tbl>
    <w:p w14:paraId="326753F1" w14:textId="77777777" w:rsidR="00004105" w:rsidRDefault="00004105">
      <w:pPr>
        <w:spacing w:after="110"/>
      </w:pPr>
    </w:p>
    <w:p w14:paraId="410C0151" w14:textId="77777777" w:rsidR="00004105" w:rsidRDefault="00000000">
      <w:pPr>
        <w:spacing w:after="110"/>
        <w:jc w:val="both"/>
      </w:pPr>
      <w:r>
        <w:rPr>
          <w:b/>
          <w:bCs/>
        </w:rPr>
        <w:t>S. 14(2).</w:t>
      </w:r>
      <w:r>
        <w:t xml:space="preserve"> If a controversy remains on any ground in clause (a), a party may — unless the parties agree otherwise — apply to </w:t>
      </w:r>
      <w:r>
        <w:rPr>
          <w:b/>
          <w:bCs/>
        </w:rPr>
        <w:t>the court</w:t>
      </w:r>
      <w:r>
        <w:t xml:space="preserve"> to decide on termination. This is one of the instances in which Part I expressly authorises intervention, so it is consistent with s. 5.</w:t>
      </w:r>
    </w:p>
    <w:p w14:paraId="049B662F" w14:textId="77777777" w:rsidR="00004105" w:rsidRDefault="00000000">
      <w:pPr>
        <w:spacing w:after="110"/>
        <w:jc w:val="both"/>
      </w:pPr>
      <w:r>
        <w:rPr>
          <w:b/>
          <w:bCs/>
        </w:rPr>
        <w:t>S. 14(3).</w:t>
      </w:r>
      <w:r>
        <w:t xml:space="preserve"> Withdrawal, or a party's agreement to termination, </w:t>
      </w:r>
      <w:r>
        <w:rPr>
          <w:b/>
          <w:bCs/>
        </w:rPr>
        <w:t>does not imply acceptance of the validity</w:t>
      </w:r>
      <w:r>
        <w:t xml:space="preserve"> of any ground in s. 14 or s. 12(3). This removes the disincentive to a graceful exit: an arbitrator who resigns rather than fight a challenge has not conceded bias, and a party who consents has not conceded the ground.</w:t>
      </w:r>
    </w:p>
    <w:p w14:paraId="58ABBFD0" w14:textId="77777777" w:rsidR="00004105" w:rsidRDefault="00000000">
      <w:pPr>
        <w:pStyle w:val="Heading2"/>
        <w:keepNext/>
        <w:spacing w:before="240" w:after="110"/>
      </w:pPr>
      <w:bookmarkStart w:id="46" w:name="_Toc240747381"/>
      <w:r>
        <w:t>9.2  S. 15 — termination of mandate and substitution</w:t>
      </w:r>
      <w:bookmarkEnd w:id="46"/>
    </w:p>
    <w:p w14:paraId="4FEA64E1" w14:textId="77777777" w:rsidR="00004105" w:rsidRDefault="00000000">
      <w:pPr>
        <w:pStyle w:val="ListParagraph"/>
        <w:numPr>
          <w:ilvl w:val="0"/>
          <w:numId w:val="14"/>
        </w:numPr>
        <w:spacing w:after="70"/>
        <w:jc w:val="both"/>
      </w:pPr>
      <w:r>
        <w:rPr>
          <w:b/>
          <w:bCs/>
        </w:rPr>
        <w:t>(1)</w:t>
      </w:r>
      <w:r>
        <w:t xml:space="preserve"> In addition to the circumstances in s. 13 or s. 14, the mandate terminates (a) where the arbitrator withdraws for </w:t>
      </w:r>
      <w:r>
        <w:rPr>
          <w:b/>
          <w:bCs/>
        </w:rPr>
        <w:t>any</w:t>
      </w:r>
      <w:r>
        <w:t xml:space="preserve"> reason, or (b) by or pursuant to </w:t>
      </w:r>
      <w:r>
        <w:rPr>
          <w:b/>
          <w:bCs/>
        </w:rPr>
        <w:t>agreement of the parties</w:t>
      </w:r>
      <w:r>
        <w:t>. The opening words show that ss. 13, 14 and 15 are cumulative.</w:t>
      </w:r>
    </w:p>
    <w:p w14:paraId="6E2CEF2A" w14:textId="77777777" w:rsidR="00004105" w:rsidRDefault="00000000">
      <w:pPr>
        <w:pStyle w:val="ListParagraph"/>
        <w:numPr>
          <w:ilvl w:val="0"/>
          <w:numId w:val="14"/>
        </w:numPr>
        <w:spacing w:after="70"/>
        <w:jc w:val="both"/>
      </w:pPr>
      <w:r>
        <w:rPr>
          <w:b/>
          <w:bCs/>
        </w:rPr>
        <w:t>(2)</w:t>
      </w:r>
      <w:r>
        <w:t xml:space="preserve"> On termination, a substitute is appointed </w:t>
      </w:r>
      <w:r>
        <w:rPr>
          <w:b/>
          <w:bCs/>
        </w:rPr>
        <w:t>according to the rules that were applicable to the appointment of the arbitrator being replaced</w:t>
      </w:r>
      <w:r>
        <w:t xml:space="preserve"> — the same route as the original appointment. This is why s. 11 continues to matter after the tribunal is first constituted.</w:t>
      </w:r>
    </w:p>
    <w:p w14:paraId="4CE01FE2" w14:textId="77777777" w:rsidR="00004105" w:rsidRDefault="00000000">
      <w:pPr>
        <w:pStyle w:val="ListParagraph"/>
        <w:numPr>
          <w:ilvl w:val="0"/>
          <w:numId w:val="14"/>
        </w:numPr>
        <w:spacing w:after="70"/>
        <w:jc w:val="both"/>
      </w:pPr>
      <w:r>
        <w:rPr>
          <w:b/>
          <w:bCs/>
        </w:rPr>
        <w:t>(3)</w:t>
      </w:r>
      <w:r>
        <w:t xml:space="preserve"> Unless otherwise agreed, hearings previously held </w:t>
      </w:r>
      <w:r>
        <w:rPr>
          <w:b/>
          <w:bCs/>
        </w:rPr>
        <w:t>may be repeated at the discretion of the tribunal</w:t>
      </w:r>
      <w:r>
        <w:t xml:space="preserve"> — the discretion is the tribunal's, and will ordinarily be exercised where the reconstituted tribunal cannot fairly decide on the existing record (again, he who decides must hear).</w:t>
      </w:r>
    </w:p>
    <w:p w14:paraId="4D340415" w14:textId="77777777" w:rsidR="00004105" w:rsidRDefault="00000000">
      <w:pPr>
        <w:pStyle w:val="ListParagraph"/>
        <w:numPr>
          <w:ilvl w:val="0"/>
          <w:numId w:val="14"/>
        </w:numPr>
        <w:spacing w:after="70"/>
        <w:jc w:val="both"/>
      </w:pPr>
      <w:r>
        <w:rPr>
          <w:b/>
          <w:bCs/>
        </w:rPr>
        <w:t>(4)</w:t>
      </w:r>
      <w:r>
        <w:t xml:space="preserve"> Unless otherwise agreed, an order or ruling made before the replacement is </w:t>
      </w:r>
      <w:r>
        <w:rPr>
          <w:b/>
          <w:bCs/>
        </w:rPr>
        <w:t>not invalid solely</w:t>
      </w:r>
      <w:r>
        <w:t xml:space="preserve"> because the composition has changed — without which every substitution would unravel the interlocutory history.</w:t>
      </w:r>
    </w:p>
    <w:p w14:paraId="5F8D7171" w14:textId="77777777" w:rsidR="00004105" w:rsidRDefault="00000000">
      <w:pPr>
        <w:spacing w:after="110"/>
        <w:jc w:val="both"/>
      </w:pPr>
      <w:r>
        <w:rPr>
          <w:b/>
          <w:bCs/>
        </w:rPr>
        <w:lastRenderedPageBreak/>
        <w:t>Routes to termination, summarised:</w:t>
      </w:r>
      <w:r>
        <w:t xml:space="preserve"> successful challenge (ss. 12–13); de jure or de facto inability or failure to act, with recourse to the court under s. 14(2); withdrawal or agreement (ss. 14(1)(b), 15(1)); and, outside these topics but worth noting, expiry of the s. 29A period unless extended.</w:t>
      </w:r>
    </w:p>
    <w:p w14:paraId="5045F7C2" w14:textId="77777777" w:rsidR="00004105" w:rsidRDefault="00000000">
      <w:pPr>
        <w:pStyle w:val="Heading1"/>
        <w:keepNext/>
        <w:pBdr>
          <w:top w:val="single" w:sz="8" w:space="10" w:color="999999"/>
        </w:pBdr>
        <w:spacing w:before="460" w:after="170"/>
      </w:pPr>
      <w:bookmarkStart w:id="47" w:name="_Toc240747382"/>
      <w:r>
        <w:t>10  Competence of the Arbitral Tribunal: s. 16</w:t>
      </w:r>
      <w:bookmarkEnd w:id="47"/>
    </w:p>
    <w:p w14:paraId="273EA30C" w14:textId="77777777" w:rsidR="00004105" w:rsidRDefault="00000000">
      <w:pPr>
        <w:spacing w:after="110"/>
        <w:jc w:val="both"/>
      </w:pPr>
      <w:r>
        <w:t xml:space="preserve">S. 16 answers a question that would otherwise be circular. The tribunal's authority comes from the arbitration agreement; if a party denies that a valid agreement exists, who decides? The Act resolves it by two doctrines. </w:t>
      </w:r>
      <w:r>
        <w:rPr>
          <w:b/>
          <w:bCs/>
        </w:rPr>
        <w:t>Competence-competence</w:t>
      </w:r>
      <w:r>
        <w:t xml:space="preserve"> gives the tribunal power to rule on its own jurisdiction. </w:t>
      </w:r>
      <w:r>
        <w:rPr>
          <w:b/>
          <w:bCs/>
        </w:rPr>
        <w:t>Separability</w:t>
      </w:r>
      <w:r>
        <w:t xml:space="preserve"> treats the arbitration clause as independent of the contract containing it, so an attack on the contract does not automatically destroy that authority.</w:t>
      </w:r>
    </w:p>
    <w:p w14:paraId="2901C779" w14:textId="77777777" w:rsidR="00004105" w:rsidRDefault="00000000">
      <w:pPr>
        <w:pStyle w:val="Heading2"/>
        <w:keepNext/>
        <w:spacing w:before="240" w:after="110"/>
      </w:pPr>
      <w:bookmarkStart w:id="48" w:name="_Toc240747383"/>
      <w:r>
        <w:t>10.1  S. 16(1) — the two doctrines</w:t>
      </w:r>
      <w:bookmarkEnd w:id="48"/>
    </w:p>
    <w:p w14:paraId="444E24B4" w14:textId="77777777" w:rsidR="00004105" w:rsidRDefault="00000000">
      <w:pPr>
        <w:spacing w:after="110"/>
        <w:jc w:val="both"/>
      </w:pPr>
      <w:r>
        <w:t>The tribunal may rule on its own jurisdiction, including on any objection as to the existence or validity of the arbitration agreement, and for that purpose—</w:t>
      </w:r>
    </w:p>
    <w:p w14:paraId="04E2ECA1" w14:textId="77777777" w:rsidR="00004105" w:rsidRDefault="00000000">
      <w:pPr>
        <w:pStyle w:val="ListParagraph"/>
        <w:numPr>
          <w:ilvl w:val="0"/>
          <w:numId w:val="15"/>
        </w:numPr>
        <w:spacing w:after="70"/>
        <w:jc w:val="both"/>
      </w:pPr>
      <w:r>
        <w:t xml:space="preserve">an arbitration clause forming part of a contract </w:t>
      </w:r>
      <w:r>
        <w:rPr>
          <w:b/>
          <w:bCs/>
        </w:rPr>
        <w:t>shall be treated as an agreement independent of the other terms</w:t>
      </w:r>
      <w:r>
        <w:t xml:space="preserve"> of the contract; and</w:t>
      </w:r>
    </w:p>
    <w:p w14:paraId="109C8ACC" w14:textId="77777777" w:rsidR="00004105" w:rsidRDefault="00000000">
      <w:pPr>
        <w:pStyle w:val="ListParagraph"/>
        <w:numPr>
          <w:ilvl w:val="0"/>
          <w:numId w:val="15"/>
        </w:numPr>
        <w:spacing w:after="70"/>
        <w:jc w:val="both"/>
      </w:pPr>
      <w:r>
        <w:t>a decision by the tribunal that the contract is null and void *</w:t>
      </w:r>
      <w:r>
        <w:rPr>
          <w:i/>
          <w:iCs/>
        </w:rPr>
        <w:t xml:space="preserve">shall not entail </w:t>
      </w:r>
      <w:r>
        <w:t>ipso jure</w:t>
      </w:r>
      <w:r>
        <w:rPr>
          <w:i/>
          <w:iCs/>
        </w:rPr>
        <w:t xml:space="preserve"> the invalidity of the arbitration clause</w:t>
      </w:r>
      <w:r>
        <w:t>*.</w:t>
      </w:r>
    </w:p>
    <w:p w14:paraId="60857153" w14:textId="77777777" w:rsidR="00004105" w:rsidRDefault="00000000">
      <w:pPr>
        <w:spacing w:after="110"/>
        <w:jc w:val="both"/>
      </w:pPr>
      <w:r>
        <w:rPr>
          <w:i/>
          <w:iCs/>
        </w:rPr>
        <w:t>Ipso jure</w:t>
      </w:r>
      <w:r>
        <w:t xml:space="preserve"> means “by operation of law itself”: invalidity of the main contract does not of itself carry the clause down with it. The clause survives so the tribunal can determine the consequences of the invalidity. The class materials call clause (b) the </w:t>
      </w:r>
      <w:r>
        <w:rPr>
          <w:b/>
          <w:bCs/>
        </w:rPr>
        <w:t>doctrine of separation</w:t>
      </w:r>
      <w:r>
        <w:t xml:space="preserve"> — the same idea as separability or severability.</w:t>
      </w:r>
    </w:p>
    <w:p w14:paraId="7A596659" w14:textId="77777777" w:rsidR="00004105" w:rsidRDefault="00000000">
      <w:pPr>
        <w:spacing w:after="110"/>
        <w:jc w:val="both"/>
      </w:pPr>
      <w:r>
        <w:t xml:space="preserve">Practically, where the contract is said to be void, rescinded or procured by fraud, the tribunal keeps jurisdiction to decide those very questions. It is otherwise where the attack is aimed at the </w:t>
      </w:r>
      <w:r>
        <w:rPr>
          <w:b/>
          <w:bCs/>
        </w:rPr>
        <w:t>arbitration agreement itself</w:t>
      </w:r>
      <w:r>
        <w:t>: separability protects the clause from the contract's fate, not from its own invalidity.</w:t>
      </w:r>
    </w:p>
    <w:p w14:paraId="52B8656F" w14:textId="77777777" w:rsidR="00004105" w:rsidRDefault="00000000">
      <w:pPr>
        <w:pStyle w:val="Heading2"/>
        <w:keepNext/>
        <w:spacing w:before="240" w:after="110"/>
      </w:pPr>
      <w:bookmarkStart w:id="49" w:name="_Toc240747384"/>
      <w:r>
        <w:t>10.2  Timing of pleas — two different rules</w:t>
      </w:r>
      <w:bookmarkEnd w:id="49"/>
    </w:p>
    <w:p w14:paraId="07182BF8" w14:textId="77777777" w:rsidR="00004105" w:rsidRDefault="00000000">
      <w:pPr>
        <w:pStyle w:val="ListParagraph"/>
        <w:numPr>
          <w:ilvl w:val="0"/>
          <w:numId w:val="16"/>
        </w:numPr>
        <w:spacing w:after="70"/>
        <w:jc w:val="both"/>
      </w:pPr>
      <w:r>
        <w:rPr>
          <w:b/>
          <w:bCs/>
        </w:rPr>
        <w:t>No jurisdiction at all</w:t>
      </w:r>
      <w:r>
        <w:t xml:space="preserve"> (an </w:t>
      </w:r>
      <w:r>
        <w:rPr>
          <w:i/>
          <w:iCs/>
        </w:rPr>
        <w:t>ab initio</w:t>
      </w:r>
      <w:r>
        <w:t xml:space="preserve"> objection) — must be raised </w:t>
      </w:r>
      <w:r>
        <w:rPr>
          <w:b/>
          <w:bCs/>
        </w:rPr>
        <w:t>not later than the submission of the statement of defence</w:t>
      </w:r>
      <w:r>
        <w:t xml:space="preserve"> (s. 16(2)). The proviso matters: a party is </w:t>
      </w:r>
      <w:r>
        <w:rPr>
          <w:b/>
          <w:bCs/>
        </w:rPr>
        <w:t>not</w:t>
      </w:r>
      <w:r>
        <w:t xml:space="preserve"> precluded merely because it appointed, or participated in appointing, an arbitrator. Participation in constituting the tribunal is not submission to its jurisdiction.</w:t>
      </w:r>
    </w:p>
    <w:p w14:paraId="455B7800" w14:textId="77777777" w:rsidR="00004105" w:rsidRDefault="00000000">
      <w:pPr>
        <w:pStyle w:val="ListParagraph"/>
        <w:numPr>
          <w:ilvl w:val="0"/>
          <w:numId w:val="16"/>
        </w:numPr>
        <w:spacing w:after="70"/>
        <w:jc w:val="both"/>
      </w:pPr>
      <w:r>
        <w:rPr>
          <w:b/>
          <w:bCs/>
        </w:rPr>
        <w:t>Excess of the scope of authority</w:t>
      </w:r>
      <w:r>
        <w:t xml:space="preserve"> — must be raised </w:t>
      </w:r>
      <w:r>
        <w:rPr>
          <w:b/>
          <w:bCs/>
        </w:rPr>
        <w:t>as soon as the matter alleged to be beyond the scope is raised</w:t>
      </w:r>
      <w:r>
        <w:t xml:space="preserve"> during the proceedings (s. 16(3)). It cannot be tied to the statement of defence, because the excess may occur at any stage.</w:t>
      </w:r>
    </w:p>
    <w:p w14:paraId="61176699" w14:textId="77777777" w:rsidR="00004105" w:rsidRDefault="00000000">
      <w:pPr>
        <w:pStyle w:val="ListParagraph"/>
        <w:numPr>
          <w:ilvl w:val="0"/>
          <w:numId w:val="16"/>
        </w:numPr>
        <w:spacing w:after="70"/>
        <w:jc w:val="both"/>
      </w:pPr>
      <w:r>
        <w:rPr>
          <w:b/>
          <w:bCs/>
        </w:rPr>
        <w:t>Condonation</w:t>
      </w:r>
      <w:r>
        <w:t xml:space="preserve"> — the tribunal may admit a later plea in either case if it considers the delay </w:t>
      </w:r>
      <w:r>
        <w:rPr>
          <w:b/>
          <w:bCs/>
        </w:rPr>
        <w:t>justified</w:t>
      </w:r>
      <w:r>
        <w:t xml:space="preserve"> (s. 16(4)).</w:t>
      </w:r>
    </w:p>
    <w:p w14:paraId="59C7EA2D" w14:textId="77777777" w:rsidR="00004105" w:rsidRDefault="00000000">
      <w:pPr>
        <w:spacing w:after="110"/>
        <w:jc w:val="both"/>
      </w:pPr>
      <w:r>
        <w:t>Contrast ordinary civil procedure, where a plea to jurisdiction may often be taken later. Here the outer limit is fixed and the sanction for delay is loss of the plea, subject to condonation — the same policy as s. 4: no objection may be kept in reserve.</w:t>
      </w:r>
    </w:p>
    <w:p w14:paraId="656F9E15" w14:textId="77777777" w:rsidR="00004105" w:rsidRDefault="00000000">
      <w:pPr>
        <w:pStyle w:val="Heading2"/>
        <w:keepNext/>
        <w:spacing w:before="240" w:after="110"/>
      </w:pPr>
      <w:bookmarkStart w:id="50" w:name="_Toc240747385"/>
      <w:r>
        <w:t>10.3  Consequences: s. 16(5) and (6)</w:t>
      </w:r>
      <w:bookmarkEnd w:id="50"/>
    </w:p>
    <w:p w14:paraId="06106E63" w14:textId="77777777" w:rsidR="00004105" w:rsidRDefault="00000000">
      <w:pPr>
        <w:spacing w:after="110"/>
        <w:jc w:val="both"/>
      </w:pPr>
      <w:r>
        <w:t xml:space="preserve">The tribunal decides the plea. Where it </w:t>
      </w:r>
      <w:r>
        <w:rPr>
          <w:b/>
          <w:bCs/>
        </w:rPr>
        <w:t>rejects</w:t>
      </w:r>
      <w:r>
        <w:t xml:space="preserve"> the plea it continues and makes an award, and the aggrieved party's remedy is an application under </w:t>
      </w:r>
      <w:r>
        <w:rPr>
          <w:b/>
          <w:bCs/>
        </w:rPr>
        <w:t>s. 34</w:t>
      </w:r>
      <w:r>
        <w:t xml:space="preserve">. Note the asymmetry: a rejection is </w:t>
      </w:r>
      <w:r>
        <w:rPr>
          <w:b/>
          <w:bCs/>
        </w:rPr>
        <w:t>not separately appealable</w:t>
      </w:r>
      <w:r>
        <w:t xml:space="preserve"> — the objector must see the arbitration through to an award — whereas </w:t>
      </w:r>
      <w:r>
        <w:lastRenderedPageBreak/>
        <w:t xml:space="preserve">an order </w:t>
      </w:r>
      <w:r>
        <w:rPr>
          <w:b/>
          <w:bCs/>
        </w:rPr>
        <w:t>accepting</w:t>
      </w:r>
      <w:r>
        <w:t xml:space="preserve"> a plea of no jurisdiction ends the arbitration and is appealable under </w:t>
      </w:r>
      <w:r>
        <w:rPr>
          <w:b/>
          <w:bCs/>
        </w:rPr>
        <w:t>s. 37(2)(a)</w:t>
      </w:r>
      <w:r>
        <w:t>. The design is deliberately weighted against interlocutory interference.</w:t>
      </w:r>
    </w:p>
    <w:p w14:paraId="3F678EE0" w14:textId="77777777" w:rsidR="00004105" w:rsidRDefault="00000000">
      <w:pPr>
        <w:pStyle w:val="Heading2"/>
        <w:keepNext/>
        <w:spacing w:before="240" w:after="110"/>
      </w:pPr>
      <w:bookmarkStart w:id="51" w:name="_Toc240747386"/>
      <w:r>
        <w:t>10.4  Link with ss. 8 and 11</w:t>
      </w:r>
      <w:bookmarkEnd w:id="51"/>
    </w:p>
    <w:p w14:paraId="02E10916" w14:textId="77777777" w:rsidR="00004105" w:rsidRDefault="00000000">
      <w:pPr>
        <w:spacing w:after="110"/>
        <w:jc w:val="both"/>
      </w:pPr>
      <w:r>
        <w:t xml:space="preserve">S. 16 is the source of the </w:t>
      </w:r>
      <w:r>
        <w:rPr>
          <w:b/>
          <w:bCs/>
        </w:rPr>
        <w:t>rule of first priority</w:t>
      </w:r>
      <w:r>
        <w:t>. Where existence or validity is in issue the tribunal decides first; the court's role is confined to a prima facie view under s. 8 and, by s. 11(6A), to the existence of the agreement under s. 11. Fuller consideration comes only under s. 34, and even then within that section's limits.</w:t>
      </w:r>
    </w:p>
    <w:p w14:paraId="0E263F14" w14:textId="77777777" w:rsidR="00004105" w:rsidRDefault="00000000">
      <w:pPr>
        <w:spacing w:after="110"/>
        <w:jc w:val="both"/>
      </w:pPr>
      <w:r>
        <w:t>The arrangement is imperfect, and the class materials say so candidly: a wrong prima facie view either constitutes a tribunal with no consensual basis, or leaves a valid agreement unenforced. The Act accepts that risk in preference to full determination of jurisdiction at the threshold, and relies on s. 34 as the corrective.</w:t>
      </w:r>
    </w:p>
    <w:p w14:paraId="6C4E8A94" w14:textId="77777777" w:rsidR="00004105" w:rsidRDefault="00000000">
      <w:pPr>
        <w:pStyle w:val="Heading1"/>
        <w:keepNext/>
        <w:pBdr>
          <w:top w:val="single" w:sz="8" w:space="10" w:color="999999"/>
        </w:pBdr>
        <w:spacing w:before="460" w:after="170"/>
      </w:pPr>
      <w:bookmarkStart w:id="52" w:name="_Toc240747387"/>
      <w:r>
        <w:t>11  Conduct of Arbitral Proceedings: Chapter V, ss. 18–26</w:t>
      </w:r>
      <w:bookmarkEnd w:id="52"/>
    </w:p>
    <w:p w14:paraId="1C2735F8" w14:textId="77777777" w:rsidR="00004105" w:rsidRDefault="00000000">
      <w:pPr>
        <w:spacing w:after="110"/>
        <w:jc w:val="both"/>
      </w:pPr>
      <w:r>
        <w:t xml:space="preserve">Chapter V holds two objectives in tension and reconciles them: </w:t>
      </w:r>
      <w:r>
        <w:rPr>
          <w:b/>
          <w:bCs/>
        </w:rPr>
        <w:t>flexibility</w:t>
      </w:r>
      <w:r>
        <w:t xml:space="preserve">, freeing the tribunal from rigid court procedure, and </w:t>
      </w:r>
      <w:r>
        <w:rPr>
          <w:b/>
          <w:bCs/>
        </w:rPr>
        <w:t>due process</w:t>
      </w:r>
      <w:r>
        <w:t>, requiring that whatever procedure is adopted treats the parties equally and hears each properly. Most of the Chapter is derogable (“unless otherwise agreed by the parties”); s. 18 is the non-derogable core.</w:t>
      </w:r>
    </w:p>
    <w:p w14:paraId="274E3BA5" w14:textId="77777777" w:rsidR="00004105" w:rsidRDefault="00000000">
      <w:pPr>
        <w:pStyle w:val="Heading2"/>
        <w:keepNext/>
        <w:spacing w:before="240" w:after="110"/>
      </w:pPr>
      <w:bookmarkStart w:id="53" w:name="_Toc240747388"/>
      <w:r>
        <w:t>11.1  S. 18 — equal treatment</w:t>
      </w:r>
      <w:bookmarkEnd w:id="53"/>
    </w:p>
    <w:p w14:paraId="7F52E687" w14:textId="77777777" w:rsidR="00004105" w:rsidRDefault="00000000">
      <w:pPr>
        <w:spacing w:before="80" w:after="110" w:line="250" w:lineRule="auto"/>
        <w:ind w:left="504" w:right="288"/>
        <w:jc w:val="both"/>
      </w:pPr>
      <w:r>
        <w:rPr>
          <w:b/>
          <w:bCs/>
          <w:sz w:val="20"/>
          <w:szCs w:val="20"/>
        </w:rPr>
        <w:t>18.</w:t>
      </w:r>
      <w:r>
        <w:rPr>
          <w:sz w:val="20"/>
          <w:szCs w:val="20"/>
        </w:rPr>
        <w:t xml:space="preserve"> The parties shall be treated with equality and each party shall be given a </w:t>
      </w:r>
      <w:r>
        <w:rPr>
          <w:b/>
          <w:bCs/>
          <w:sz w:val="20"/>
          <w:szCs w:val="20"/>
        </w:rPr>
        <w:t>full opportunity</w:t>
      </w:r>
      <w:r>
        <w:rPr>
          <w:sz w:val="20"/>
          <w:szCs w:val="20"/>
        </w:rPr>
        <w:t xml:space="preserve"> to present his case.</w:t>
      </w:r>
    </w:p>
    <w:p w14:paraId="2A62D516" w14:textId="77777777" w:rsidR="00004105" w:rsidRDefault="00000000">
      <w:pPr>
        <w:spacing w:after="110"/>
        <w:jc w:val="both"/>
      </w:pPr>
      <w:r>
        <w:t xml:space="preserve">The due process clause of the Act, and </w:t>
      </w:r>
      <w:r>
        <w:rPr>
          <w:b/>
          <w:bCs/>
        </w:rPr>
        <w:t>non-derogable</w:t>
      </w:r>
      <w:r>
        <w:t xml:space="preserve">. Two requirements: equality of treatment, and a full opportunity for each side. It is the arbitral counterpart of </w:t>
      </w:r>
      <w:r>
        <w:rPr>
          <w:i/>
          <w:iCs/>
        </w:rPr>
        <w:t>audi alteram partem</w:t>
      </w:r>
      <w:r>
        <w:t xml:space="preserve">, and breach is the substance of </w:t>
      </w:r>
      <w:r>
        <w:rPr>
          <w:b/>
          <w:bCs/>
        </w:rPr>
        <w:t>s. 34(2)(a)(iii)</w:t>
      </w:r>
      <w:r>
        <w:t xml:space="preserve"> — that the applicant had no proper notice of the appointment or the proceedings, or was otherwise unable to present his case.</w:t>
      </w:r>
    </w:p>
    <w:p w14:paraId="2C957334" w14:textId="77777777" w:rsidR="00004105" w:rsidRDefault="00000000">
      <w:pPr>
        <w:pBdr>
          <w:left w:val="single" w:sz="12" w:space="8" w:color="7A7A7A"/>
        </w:pBdr>
        <w:spacing w:before="110" w:after="140" w:line="252" w:lineRule="auto"/>
        <w:ind w:left="288"/>
        <w:jc w:val="both"/>
      </w:pPr>
      <w:r>
        <w:rPr>
          <w:sz w:val="20"/>
          <w:szCs w:val="20"/>
        </w:rPr>
        <w:t xml:space="preserve">Do not reproduce the class diagram distinguishing “natural justice — public bodies” from “due process — private parties”. The twin rules of natural justice (including </w:t>
      </w:r>
      <w:r>
        <w:rPr>
          <w:i/>
          <w:iCs/>
          <w:sz w:val="20"/>
          <w:szCs w:val="20"/>
        </w:rPr>
        <w:t>Gullapalli-I</w:t>
      </w:r>
      <w:r>
        <w:rPr>
          <w:sz w:val="20"/>
          <w:szCs w:val="20"/>
        </w:rPr>
        <w:t xml:space="preserve">: he who decides must hear) and the statutory guarantees in ss. 12 and 18 apply to </w:t>
      </w:r>
      <w:r>
        <w:rPr>
          <w:b/>
          <w:bCs/>
          <w:sz w:val="20"/>
          <w:szCs w:val="20"/>
        </w:rPr>
        <w:t>every</w:t>
      </w:r>
      <w:r>
        <w:rPr>
          <w:sz w:val="20"/>
          <w:szCs w:val="20"/>
        </w:rPr>
        <w:t xml:space="preserve"> arbitral tribunal, whether the parties are public or private. The label differs between legal traditions; the content does not.</w:t>
      </w:r>
    </w:p>
    <w:p w14:paraId="7C714CEE" w14:textId="77777777" w:rsidR="00004105" w:rsidRDefault="00000000">
      <w:pPr>
        <w:spacing w:after="110"/>
        <w:jc w:val="both"/>
      </w:pPr>
      <w:r>
        <w:rPr>
          <w:b/>
          <w:bCs/>
        </w:rPr>
        <w:t>Reform note.</w:t>
      </w:r>
      <w:r>
        <w:t xml:space="preserve"> The Draft Arbitration and Conciliation (Amendment) Bill, 2024 proposes substituting “fair and reasonable opportunity” for “full opportunity”. That is a </w:t>
      </w:r>
      <w:r>
        <w:rPr>
          <w:b/>
          <w:bCs/>
        </w:rPr>
        <w:t>proposal only</w:t>
      </w:r>
      <w:r>
        <w:t xml:space="preserve"> — see 12.2.</w:t>
      </w:r>
    </w:p>
    <w:p w14:paraId="21A14BC3" w14:textId="77777777" w:rsidR="00004105" w:rsidRDefault="00000000">
      <w:pPr>
        <w:pStyle w:val="Heading2"/>
        <w:keepNext/>
        <w:spacing w:before="240" w:after="110"/>
      </w:pPr>
      <w:bookmarkStart w:id="54" w:name="_Toc240747389"/>
      <w:r>
        <w:t>11.2  S. 19 — rules of procedure</w:t>
      </w:r>
      <w:bookmarkEnd w:id="54"/>
    </w:p>
    <w:p w14:paraId="43E430B6" w14:textId="77777777" w:rsidR="00004105" w:rsidRDefault="00000000">
      <w:pPr>
        <w:pStyle w:val="ListParagraph"/>
        <w:numPr>
          <w:ilvl w:val="0"/>
          <w:numId w:val="17"/>
        </w:numPr>
        <w:spacing w:after="70"/>
        <w:jc w:val="both"/>
      </w:pPr>
      <w:r>
        <w:rPr>
          <w:b/>
          <w:bCs/>
        </w:rPr>
        <w:t>(1)</w:t>
      </w:r>
      <w:r>
        <w:t xml:space="preserve"> The tribunal is </w:t>
      </w:r>
      <w:r>
        <w:rPr>
          <w:b/>
          <w:bCs/>
        </w:rPr>
        <w:t>not bound</w:t>
      </w:r>
      <w:r>
        <w:t xml:space="preserve"> by the Code of Civil Procedure, 1908 or the law of evidence — because technical court procedure lengthens proceedings and would defeat the purpose of arbitration.</w:t>
      </w:r>
    </w:p>
    <w:p w14:paraId="242D8ACA" w14:textId="77777777" w:rsidR="00004105" w:rsidRDefault="00000000">
      <w:pPr>
        <w:pStyle w:val="ListParagraph"/>
        <w:numPr>
          <w:ilvl w:val="0"/>
          <w:numId w:val="17"/>
        </w:numPr>
        <w:spacing w:after="70"/>
        <w:jc w:val="both"/>
      </w:pPr>
      <w:r>
        <w:rPr>
          <w:b/>
          <w:bCs/>
        </w:rPr>
        <w:t>(2)</w:t>
      </w:r>
      <w:r>
        <w:t xml:space="preserve"> Subject to Part I, the parties may agree the procedure.</w:t>
      </w:r>
    </w:p>
    <w:p w14:paraId="0232249A" w14:textId="77777777" w:rsidR="00004105" w:rsidRDefault="00000000">
      <w:pPr>
        <w:pStyle w:val="ListParagraph"/>
        <w:numPr>
          <w:ilvl w:val="0"/>
          <w:numId w:val="17"/>
        </w:numPr>
        <w:spacing w:after="70"/>
        <w:jc w:val="both"/>
      </w:pPr>
      <w:r>
        <w:rPr>
          <w:b/>
          <w:bCs/>
        </w:rPr>
        <w:t>(3)</w:t>
      </w:r>
      <w:r>
        <w:t xml:space="preserve"> Failing agreement, the tribunal may conduct proceedings in the manner it considers appropriate, subject to Part I.</w:t>
      </w:r>
    </w:p>
    <w:p w14:paraId="58B2EAC8" w14:textId="77777777" w:rsidR="00004105" w:rsidRDefault="00000000">
      <w:pPr>
        <w:pStyle w:val="ListParagraph"/>
        <w:numPr>
          <w:ilvl w:val="0"/>
          <w:numId w:val="17"/>
        </w:numPr>
        <w:spacing w:after="70"/>
        <w:jc w:val="both"/>
      </w:pPr>
      <w:r>
        <w:rPr>
          <w:b/>
          <w:bCs/>
        </w:rPr>
        <w:t>(4)</w:t>
      </w:r>
      <w:r>
        <w:t xml:space="preserve"> That power includes determining the </w:t>
      </w:r>
      <w:r>
        <w:rPr>
          <w:b/>
          <w:bCs/>
        </w:rPr>
        <w:t>admissibility, relevance, materiality and weight</w:t>
      </w:r>
      <w:r>
        <w:t xml:space="preserve"> of any evidence.</w:t>
      </w:r>
    </w:p>
    <w:p w14:paraId="62E5D565" w14:textId="77777777" w:rsidR="00004105" w:rsidRDefault="00000000">
      <w:pPr>
        <w:spacing w:after="110"/>
        <w:jc w:val="both"/>
      </w:pPr>
      <w:r>
        <w:t xml:space="preserve">Two points of nuance. The tribunal is </w:t>
      </w:r>
      <w:r>
        <w:rPr>
          <w:b/>
          <w:bCs/>
        </w:rPr>
        <w:t>not bound</w:t>
      </w:r>
      <w:r>
        <w:t xml:space="preserve"> by those enactments but is not forbidden to draw on them, and tribunals commonly do; s. 19 removes the compulsion, not the option. And s. 19(3) is “subject to this Part”, hence subject to s. 18 — procedural freedom does not license unequal </w:t>
      </w:r>
      <w:r>
        <w:lastRenderedPageBreak/>
        <w:t xml:space="preserve">treatment. In practice tribunals hold a procedural hearing at the outset and record the result in </w:t>
      </w:r>
      <w:r>
        <w:rPr>
          <w:b/>
          <w:bCs/>
        </w:rPr>
        <w:t>procedural orders</w:t>
      </w:r>
      <w:r>
        <w:t xml:space="preserve"> fixing the timetable, pleadings, mode of evidence and hearing arrangements. S. 19(4) makes the tribunal master of the evidence.</w:t>
      </w:r>
    </w:p>
    <w:p w14:paraId="26387343" w14:textId="77777777" w:rsidR="00004105" w:rsidRDefault="00000000">
      <w:pPr>
        <w:pBdr>
          <w:left w:val="single" w:sz="12" w:space="8" w:color="7A7A7A"/>
        </w:pBdr>
        <w:spacing w:before="110" w:after="140" w:line="252" w:lineRule="auto"/>
        <w:ind w:left="288"/>
        <w:jc w:val="both"/>
      </w:pPr>
      <w:r>
        <w:rPr>
          <w:sz w:val="20"/>
          <w:szCs w:val="20"/>
        </w:rPr>
        <w:t>Not verified: s. 19(1) as enacted refers to the Indian Evidence Act, 1872, since replaced by the Bharatiya Sakshya Adhiniyam, 2023 (the class note says “CPC and BSA”). Whether s. 19(1) was textually amended, or is read as referring to the new Act under general savings, should be checked in the bare Act. The substance is unaffected.</w:t>
      </w:r>
    </w:p>
    <w:p w14:paraId="5EAA9692" w14:textId="77777777" w:rsidR="00004105" w:rsidRDefault="00000000">
      <w:pPr>
        <w:pStyle w:val="Heading2"/>
        <w:keepNext/>
        <w:spacing w:before="240" w:after="110"/>
      </w:pPr>
      <w:bookmarkStart w:id="55" w:name="_Toc240747390"/>
      <w:r>
        <w:t>11.3  S. 20 — place of arbitration: seat and venue</w:t>
      </w:r>
      <w:bookmarkEnd w:id="55"/>
    </w:p>
    <w:p w14:paraId="515F58F2" w14:textId="77777777" w:rsidR="00004105" w:rsidRDefault="00000000">
      <w:pPr>
        <w:pStyle w:val="ListParagraph"/>
        <w:numPr>
          <w:ilvl w:val="0"/>
          <w:numId w:val="18"/>
        </w:numPr>
        <w:spacing w:after="70"/>
        <w:jc w:val="both"/>
      </w:pPr>
      <w:r>
        <w:rPr>
          <w:b/>
          <w:bCs/>
        </w:rPr>
        <w:t>(1)</w:t>
      </w:r>
      <w:r>
        <w:t xml:space="preserve"> The parties are free to agree the place of arbitration.</w:t>
      </w:r>
    </w:p>
    <w:p w14:paraId="51E42A0F" w14:textId="77777777" w:rsidR="00004105" w:rsidRDefault="00000000">
      <w:pPr>
        <w:pStyle w:val="ListParagraph"/>
        <w:numPr>
          <w:ilvl w:val="0"/>
          <w:numId w:val="18"/>
        </w:numPr>
        <w:spacing w:after="70"/>
        <w:jc w:val="both"/>
      </w:pPr>
      <w:r>
        <w:rPr>
          <w:b/>
          <w:bCs/>
        </w:rPr>
        <w:t>(2)</w:t>
      </w:r>
      <w:r>
        <w:t xml:space="preserve"> Failing agreement, the tribunal determines it having regard to the circumstances of the case, </w:t>
      </w:r>
      <w:r>
        <w:rPr>
          <w:b/>
          <w:bCs/>
        </w:rPr>
        <w:t>including the convenience of the parties</w:t>
      </w:r>
      <w:r>
        <w:t>.</w:t>
      </w:r>
    </w:p>
    <w:p w14:paraId="392E5BBD" w14:textId="77777777" w:rsidR="00004105" w:rsidRDefault="00000000">
      <w:pPr>
        <w:pStyle w:val="ListParagraph"/>
        <w:numPr>
          <w:ilvl w:val="0"/>
          <w:numId w:val="18"/>
        </w:numPr>
        <w:spacing w:after="70"/>
        <w:jc w:val="both"/>
      </w:pPr>
      <w:r>
        <w:rPr>
          <w:b/>
          <w:bCs/>
        </w:rPr>
        <w:t>(3)</w:t>
      </w:r>
      <w:r>
        <w:t xml:space="preserve"> Notwithstanding (1) and (2), the tribunal may, unless otherwise agreed, </w:t>
      </w:r>
      <w:r>
        <w:rPr>
          <w:b/>
          <w:bCs/>
        </w:rPr>
        <w:t>meet at any place</w:t>
      </w:r>
      <w:r>
        <w:t xml:space="preserve"> it considers appropriate for consultation among its members, for hearing witnesses, experts or the parties, or for inspection.</w:t>
      </w:r>
    </w:p>
    <w:p w14:paraId="428236C7" w14:textId="77777777" w:rsidR="00004105" w:rsidRDefault="00000000">
      <w:pPr>
        <w:spacing w:after="110"/>
        <w:jc w:val="both"/>
      </w:pPr>
      <w:r>
        <w:t xml:space="preserve">“Place” in (1) and (2) means the juridical </w:t>
      </w:r>
      <w:r>
        <w:rPr>
          <w:b/>
          <w:bCs/>
        </w:rPr>
        <w:t>seat</w:t>
      </w:r>
      <w:r>
        <w:t xml:space="preserve"> — a legal concept that fixes the </w:t>
      </w:r>
      <w:r>
        <w:rPr>
          <w:i/>
          <w:iCs/>
        </w:rPr>
        <w:t>lex arbitri</w:t>
      </w:r>
      <w:r>
        <w:t xml:space="preserve"> and identifies the supervising courts, including the set-aside jurisdiction. That is why </w:t>
      </w:r>
      <w:r>
        <w:rPr>
          <w:i/>
          <w:iCs/>
        </w:rPr>
        <w:t>BALCO</w:t>
      </w:r>
      <w:r>
        <w:t xml:space="preserve"> adopted a seat-centric approach (1.6). The </w:t>
      </w:r>
      <w:r>
        <w:rPr>
          <w:b/>
          <w:bCs/>
        </w:rPr>
        <w:t>venue</w:t>
      </w:r>
      <w:r>
        <w:t xml:space="preserve"> is where the tribunal in fact sits, and s. 20(3) lets it sit elsewhere without disturbing the seat; a tribunal may be seated in India and hear witnesses abroad, and the legal consequences follow the seat. Where no seat is chosen, the tribunal infers one from the circumstances — the class illustration being that where the same parties' earlier contracts expressly named a seat and the present one is silent, the tribunal may reasonably infer the same seat. That is an inference from circumstances, not a presumption of law.</w:t>
      </w:r>
    </w:p>
    <w:p w14:paraId="187C5752" w14:textId="77777777" w:rsidR="00004105" w:rsidRDefault="00000000">
      <w:pPr>
        <w:pStyle w:val="Heading2"/>
        <w:keepNext/>
        <w:spacing w:before="240" w:after="110"/>
      </w:pPr>
      <w:bookmarkStart w:id="56" w:name="_Toc240747391"/>
      <w:r>
        <w:t>11.4  S. 21 — commencement</w:t>
      </w:r>
      <w:bookmarkEnd w:id="56"/>
    </w:p>
    <w:p w14:paraId="752EB542" w14:textId="77777777" w:rsidR="00004105" w:rsidRDefault="00000000">
      <w:pPr>
        <w:spacing w:after="110"/>
        <w:jc w:val="both"/>
      </w:pPr>
      <w:r>
        <w:t xml:space="preserve">Unless otherwise agreed, proceedings in respect of a particular dispute commence </w:t>
      </w:r>
      <w:r>
        <w:rPr>
          <w:b/>
          <w:bCs/>
        </w:rPr>
        <w:t>on the date the respondent receives the request for that dispute to be referred to arbitration</w:t>
      </w:r>
      <w:r>
        <w:t xml:space="preserve">. Three points: the trigger is </w:t>
      </w:r>
      <w:r>
        <w:rPr>
          <w:b/>
          <w:bCs/>
        </w:rPr>
        <w:t>receipt</w:t>
      </w:r>
      <w:r>
        <w:t xml:space="preserve">, not despatch; the request must relate to the particular dispute, so a general reservation of rights will not do; and this request is the </w:t>
      </w:r>
      <w:r>
        <w:rPr>
          <w:b/>
          <w:bCs/>
        </w:rPr>
        <w:t>notice of arbitration</w:t>
      </w:r>
      <w:r>
        <w:t xml:space="preserve">, to be distinguished from an earlier </w:t>
      </w:r>
      <w:r>
        <w:rPr>
          <w:b/>
          <w:bCs/>
        </w:rPr>
        <w:t>notice of dispute</w:t>
      </w:r>
      <w:r>
        <w:t xml:space="preserve"> or demand — the former invokes the arbitration agreement, the latter merely asserts a grievance, and in practice the notice of arbitration comes well after. The date matters for the ninety-day rule in s. 9(2), for limitation, and for the s. 17 power.</w:t>
      </w:r>
    </w:p>
    <w:p w14:paraId="1BECA854" w14:textId="77777777" w:rsidR="00004105" w:rsidRDefault="00000000">
      <w:pPr>
        <w:pStyle w:val="Heading2"/>
        <w:keepNext/>
        <w:spacing w:before="240" w:after="110"/>
      </w:pPr>
      <w:bookmarkStart w:id="57" w:name="_Toc240747392"/>
      <w:r>
        <w:t>11.5  S. 22 — language</w:t>
      </w:r>
      <w:bookmarkEnd w:id="57"/>
    </w:p>
    <w:p w14:paraId="61026206" w14:textId="77777777" w:rsidR="00004105" w:rsidRDefault="00000000">
      <w:pPr>
        <w:spacing w:after="110"/>
        <w:jc w:val="both"/>
      </w:pPr>
      <w:r>
        <w:rPr>
          <w:b/>
          <w:bCs/>
        </w:rPr>
        <w:t>(1)</w:t>
      </w:r>
      <w:r>
        <w:t xml:space="preserve"> The parties may agree the language; </w:t>
      </w:r>
      <w:r>
        <w:rPr>
          <w:b/>
          <w:bCs/>
        </w:rPr>
        <w:t>(2)</w:t>
      </w:r>
      <w:r>
        <w:t xml:space="preserve"> failing agreement, the tribunal determines it; </w:t>
      </w:r>
      <w:r>
        <w:rPr>
          <w:b/>
          <w:bCs/>
        </w:rPr>
        <w:t>(3)</w:t>
      </w:r>
      <w:r>
        <w:t xml:space="preserve"> unless otherwise specified, the agreement or determination applies to </w:t>
      </w:r>
      <w:r>
        <w:rPr>
          <w:b/>
          <w:bCs/>
        </w:rPr>
        <w:t>any written statement by a party, any hearing, and any arbitral award, decision or other communication by or to the tribunal</w:t>
      </w:r>
      <w:r>
        <w:t xml:space="preserve">; </w:t>
      </w:r>
      <w:r>
        <w:rPr>
          <w:b/>
          <w:bCs/>
        </w:rPr>
        <w:t>(4)</w:t>
      </w:r>
      <w:r>
        <w:t xml:space="preserve"> the tribunal may order that documentary evidence be accompanied by a </w:t>
      </w:r>
      <w:r>
        <w:rPr>
          <w:b/>
          <w:bCs/>
        </w:rPr>
        <w:t>translation</w:t>
      </w:r>
      <w:r>
        <w:t>. Note that (3) reaches the tribunal's own output — awards and decisions — and not merely the parties' submissions.</w:t>
      </w:r>
    </w:p>
    <w:p w14:paraId="33777345" w14:textId="77777777" w:rsidR="00004105" w:rsidRDefault="00000000">
      <w:pPr>
        <w:pStyle w:val="Heading2"/>
        <w:keepNext/>
        <w:spacing w:before="240" w:after="110"/>
      </w:pPr>
      <w:bookmarkStart w:id="58" w:name="_Toc240747393"/>
      <w:r>
        <w:t>11.6  S. 23 — statements of claim and defence</w:t>
      </w:r>
      <w:bookmarkEnd w:id="58"/>
    </w:p>
    <w:p w14:paraId="088DF7E9" w14:textId="77777777" w:rsidR="00004105" w:rsidRDefault="00000000">
      <w:pPr>
        <w:spacing w:after="110"/>
        <w:jc w:val="both"/>
      </w:pPr>
      <w:r>
        <w:rPr>
          <w:b/>
          <w:bCs/>
        </w:rPr>
        <w:t>(1)</w:t>
      </w:r>
      <w:r>
        <w:t xml:space="preserve"> Within the time agreed or determined, the </w:t>
      </w:r>
      <w:r>
        <w:rPr>
          <w:b/>
          <w:bCs/>
        </w:rPr>
        <w:t>claimant</w:t>
      </w:r>
      <w:r>
        <w:t xml:space="preserve"> states (i) the facts supporting his claim, (ii) the points at issue and (iii) the relief or remedy sought; the </w:t>
      </w:r>
      <w:r>
        <w:rPr>
          <w:b/>
          <w:bCs/>
        </w:rPr>
        <w:t>respondent</w:t>
      </w:r>
      <w:r>
        <w:t xml:space="preserve"> states his defence in respect of these particulars, unless the parties have agreed otherwise on the required elements. These are the arbitral equivalents of plaint and written statement. </w:t>
      </w:r>
      <w:r>
        <w:rPr>
          <w:b/>
          <w:bCs/>
        </w:rPr>
        <w:t>(2)</w:t>
      </w:r>
      <w:r>
        <w:t xml:space="preserve"> The parties may submit all documents they consider relevant (the exhibits), or refer to documents and evidence they will submit.</w:t>
      </w:r>
    </w:p>
    <w:p w14:paraId="496C50F4" w14:textId="77777777" w:rsidR="00004105" w:rsidRDefault="00000000">
      <w:pPr>
        <w:spacing w:after="110"/>
        <w:jc w:val="both"/>
      </w:pPr>
      <w:r>
        <w:rPr>
          <w:b/>
          <w:bCs/>
        </w:rPr>
        <w:lastRenderedPageBreak/>
        <w:t>(2A) Counterclaim and set-off</w:t>
      </w:r>
      <w:r>
        <w:t xml:space="preserve"> (inserted 2015). The respondent may submit a counterclaim or plead a set-off, which the tribunal shall adjudicate </w:t>
      </w:r>
      <w:r>
        <w:rPr>
          <w:b/>
          <w:bCs/>
        </w:rPr>
        <w:t>if it falls within the scope of the arbitration agreement</w:t>
      </w:r>
      <w:r>
        <w:t xml:space="preserve"> — the qualification is essential, jurisdiction being consensual. The two differ: a </w:t>
      </w:r>
      <w:r>
        <w:rPr>
          <w:b/>
          <w:bCs/>
        </w:rPr>
        <w:t>counterclaim</w:t>
      </w:r>
      <w:r>
        <w:t xml:space="preserve"> is an independent claim on which the respondent may recover affirmatively; a </w:t>
      </w:r>
      <w:r>
        <w:rPr>
          <w:b/>
          <w:bCs/>
        </w:rPr>
        <w:t>set-off</w:t>
      </w:r>
      <w:r>
        <w:t xml:space="preserve"> is defensive, reducing or extinguishing the claim and yielding no independent recovery.</w:t>
      </w:r>
    </w:p>
    <w:p w14:paraId="5B6A7A07" w14:textId="77777777" w:rsidR="00004105" w:rsidRDefault="00000000">
      <w:pPr>
        <w:spacing w:after="110"/>
        <w:jc w:val="both"/>
      </w:pPr>
      <w:r>
        <w:rPr>
          <w:b/>
          <w:bCs/>
        </w:rPr>
        <w:t>(3) Amendment.</w:t>
      </w:r>
      <w:r>
        <w:t xml:space="preserve"> Unless otherwise agreed, either party may amend or supplement its claim or defence during the proceedings, </w:t>
      </w:r>
      <w:r>
        <w:rPr>
          <w:b/>
          <w:bCs/>
        </w:rPr>
        <w:t>unless the tribunal considers it inappropriate having regard to the delay</w:t>
      </w:r>
      <w:r>
        <w:t xml:space="preserve"> in making it. Permission is the rule and refusal the exception, and the ground of refusal named in the provision is delay — the class emphasis “no other ground” is a fair reading, though a tribunal will also refuse an amendment falling outside the arbitration agreement, for want of jurisdiction. The CPC comparison drawn in class is apt: amendments are generally allowed, the test being whether the amendment helps determine the </w:t>
      </w:r>
      <w:r>
        <w:rPr>
          <w:b/>
          <w:bCs/>
        </w:rPr>
        <w:t>real question in controversy</w:t>
      </w:r>
      <w:r>
        <w:t>.</w:t>
      </w:r>
    </w:p>
    <w:p w14:paraId="1ED85322" w14:textId="77777777" w:rsidR="00004105" w:rsidRDefault="00000000">
      <w:pPr>
        <w:spacing w:after="110"/>
        <w:jc w:val="both"/>
      </w:pPr>
      <w:r>
        <w:rPr>
          <w:b/>
          <w:bCs/>
        </w:rPr>
        <w:t>(4) Six-month timetable</w:t>
      </w:r>
      <w:r>
        <w:t xml:space="preserve"> (inserted 2019). Claim and defence must be completed within </w:t>
      </w:r>
      <w:r>
        <w:rPr>
          <w:b/>
          <w:bCs/>
        </w:rPr>
        <w:t>six months from the date the arbitrator, or all the arbitrators, received written notice of appointment</w:t>
      </w:r>
      <w:r>
        <w:t>.</w:t>
      </w:r>
    </w:p>
    <w:p w14:paraId="6BFA0B1A" w14:textId="77777777" w:rsidR="00004105" w:rsidRDefault="00000000">
      <w:pPr>
        <w:pBdr>
          <w:left w:val="single" w:sz="12" w:space="8" w:color="7A7A7A"/>
        </w:pBdr>
        <w:spacing w:before="110" w:after="140" w:line="252" w:lineRule="auto"/>
        <w:ind w:left="288"/>
        <w:jc w:val="both"/>
      </w:pPr>
      <w:r>
        <w:rPr>
          <w:b/>
          <w:bCs/>
          <w:sz w:val="20"/>
          <w:szCs w:val="20"/>
        </w:rPr>
        <w:t>Correction.</w:t>
      </w:r>
      <w:r>
        <w:rPr>
          <w:sz w:val="20"/>
          <w:szCs w:val="20"/>
        </w:rPr>
        <w:t xml:space="preserve"> The class notes cite this as “s. 23(9)”. </w:t>
      </w:r>
      <w:r>
        <w:rPr>
          <w:b/>
          <w:bCs/>
          <w:sz w:val="20"/>
          <w:szCs w:val="20"/>
        </w:rPr>
        <w:t>There is no s. 23(9)</w:t>
      </w:r>
      <w:r>
        <w:rPr>
          <w:sz w:val="20"/>
          <w:szCs w:val="20"/>
        </w:rPr>
        <w:t xml:space="preserve"> — the provision is </w:t>
      </w:r>
      <w:r>
        <w:rPr>
          <w:b/>
          <w:bCs/>
          <w:sz w:val="20"/>
          <w:szCs w:val="20"/>
        </w:rPr>
        <w:t>s. 23(4)</w:t>
      </w:r>
      <w:r>
        <w:rPr>
          <w:sz w:val="20"/>
          <w:szCs w:val="20"/>
        </w:rPr>
        <w:t xml:space="preserve">. The relationship intended is with </w:t>
      </w:r>
      <w:r>
        <w:rPr>
          <w:b/>
          <w:bCs/>
          <w:sz w:val="20"/>
          <w:szCs w:val="20"/>
        </w:rPr>
        <w:t>s. 29A</w:t>
      </w:r>
      <w:r>
        <w:rPr>
          <w:sz w:val="20"/>
          <w:szCs w:val="20"/>
        </w:rPr>
        <w:t>, not with a sub-section of s. 23: under s. 29A(1) as amended in 2019, the twelve months for making the award run from completion of pleadings under s. 23(4). The two periods are therefore consecutive, which is the point the notes record as “exclusive”.</w:t>
      </w:r>
    </w:p>
    <w:p w14:paraId="7288D6C8" w14:textId="77777777" w:rsidR="00004105" w:rsidRDefault="00000000">
      <w:pPr>
        <w:spacing w:after="110"/>
        <w:jc w:val="both"/>
      </w:pPr>
      <w:r>
        <w:t xml:space="preserve">For completeness on s. 29A (outside the prescribed topics, noted for the link): the award is due within twelve months of completion of pleadings; the parties may extend by consent by up to six months (s. 29A(3)); beyond that only a court may extend, for sufficient cause (s. 29A(4)–(5)). For </w:t>
      </w:r>
      <w:r>
        <w:rPr>
          <w:b/>
          <w:bCs/>
        </w:rPr>
        <w:t>ICA</w:t>
      </w:r>
      <w:r>
        <w:t xml:space="preserve"> the twelve months is </w:t>
      </w:r>
      <w:r>
        <w:rPr>
          <w:b/>
          <w:bCs/>
        </w:rPr>
        <w:t>directory, not mandatory</w:t>
      </w:r>
      <w:r>
        <w:t xml:space="preserve"> — the tribunal is expected to endeavour to finish within twelve months but is not bound by the domestic limit: </w:t>
      </w:r>
      <w:r>
        <w:rPr>
          <w:i/>
          <w:iCs/>
        </w:rPr>
        <w:t>Tata Sons Pvt. Ltd. v. Siva Industries and Holdings Ltd.</w:t>
      </w:r>
      <w:r>
        <w:t xml:space="preserve"> (SC, 5 January 2023). The report citation for that case was not confirmed.</w:t>
      </w:r>
    </w:p>
    <w:p w14:paraId="06A4BDE8" w14:textId="77777777" w:rsidR="00004105" w:rsidRDefault="00000000">
      <w:pPr>
        <w:pStyle w:val="Heading2"/>
        <w:keepNext/>
        <w:spacing w:before="240" w:after="110"/>
      </w:pPr>
      <w:bookmarkStart w:id="59" w:name="_Toc240747394"/>
      <w:r>
        <w:t>11.7  S. 24 — hearings and written proceedings</w:t>
      </w:r>
      <w:bookmarkEnd w:id="59"/>
    </w:p>
    <w:p w14:paraId="79161B82" w14:textId="77777777" w:rsidR="00004105" w:rsidRDefault="00000000">
      <w:pPr>
        <w:spacing w:after="110"/>
        <w:jc w:val="both"/>
      </w:pPr>
      <w:r>
        <w:rPr>
          <w:b/>
          <w:bCs/>
        </w:rPr>
        <w:t>(1)</w:t>
      </w:r>
      <w:r>
        <w:t xml:space="preserve"> Unless otherwise agreed, the tribunal decides whether to hold oral hearings for evidence or argument, or to proceed on documents and other materials — a </w:t>
      </w:r>
      <w:r>
        <w:rPr>
          <w:b/>
          <w:bCs/>
        </w:rPr>
        <w:t>documents-only arbitration</w:t>
      </w:r>
      <w:r>
        <w:t>. The discretion is heavily qualified:</w:t>
      </w:r>
    </w:p>
    <w:p w14:paraId="602A4D33" w14:textId="77777777" w:rsidR="00004105" w:rsidRDefault="00000000">
      <w:pPr>
        <w:pStyle w:val="ListParagraph"/>
        <w:numPr>
          <w:ilvl w:val="0"/>
          <w:numId w:val="19"/>
        </w:numPr>
        <w:spacing w:after="70"/>
        <w:jc w:val="both"/>
      </w:pPr>
      <w:r>
        <w:rPr>
          <w:b/>
          <w:bCs/>
        </w:rPr>
        <w:t>First proviso.</w:t>
      </w:r>
      <w:r>
        <w:t xml:space="preserve"> The tribunal </w:t>
      </w:r>
      <w:r>
        <w:rPr>
          <w:b/>
          <w:bCs/>
        </w:rPr>
        <w:t>shall</w:t>
      </w:r>
      <w:r>
        <w:t xml:space="preserve"> hold oral hearings, at an appropriate stage, </w:t>
      </w:r>
      <w:r>
        <w:rPr>
          <w:b/>
          <w:bCs/>
        </w:rPr>
        <w:t>on a party's request</w:t>
      </w:r>
      <w:r>
        <w:t xml:space="preserve">, unless the parties have agreed there shall be none. In effect a party is entitled to an oral hearing on asking. Dispensing with it is the </w:t>
      </w:r>
      <w:r>
        <w:rPr>
          <w:b/>
          <w:bCs/>
        </w:rPr>
        <w:t>exception</w:t>
      </w:r>
      <w:r>
        <w:t>, requiring either agreement or a case decidable on the papers — a dispute turning on complicated facts calls for oral hearing; one capable of decision on documents may not.</w:t>
      </w:r>
    </w:p>
    <w:p w14:paraId="51E08AD9" w14:textId="77777777" w:rsidR="00004105" w:rsidRDefault="00000000">
      <w:pPr>
        <w:pStyle w:val="ListParagraph"/>
        <w:numPr>
          <w:ilvl w:val="0"/>
          <w:numId w:val="19"/>
        </w:numPr>
        <w:spacing w:after="70"/>
        <w:jc w:val="both"/>
      </w:pPr>
      <w:r>
        <w:rPr>
          <w:b/>
          <w:bCs/>
        </w:rPr>
        <w:t>Second proviso.</w:t>
      </w:r>
      <w:r>
        <w:t xml:space="preserve"> The tribunal shall, so far as possible, hold oral hearings </w:t>
      </w:r>
      <w:r>
        <w:rPr>
          <w:b/>
          <w:bCs/>
        </w:rPr>
        <w:t>on a day-to-day basis</w:t>
      </w:r>
      <w:r>
        <w:t xml:space="preserve">, shall </w:t>
      </w:r>
      <w:r>
        <w:rPr>
          <w:b/>
          <w:bCs/>
        </w:rPr>
        <w:t>not grant any adjournment unless sufficient cause is made out</w:t>
      </w:r>
      <w:r>
        <w:t xml:space="preserve">, and </w:t>
      </w:r>
      <w:r>
        <w:rPr>
          <w:b/>
          <w:bCs/>
        </w:rPr>
        <w:t>may impose costs, including exemplary costs</w:t>
      </w:r>
      <w:r>
        <w:t>, on a party seeking an adjournment without sufficient cause. This is the Act's principal weapon against the tactical adjournment.</w:t>
      </w:r>
    </w:p>
    <w:p w14:paraId="2E3B8132" w14:textId="77777777" w:rsidR="00004105" w:rsidRDefault="00000000">
      <w:pPr>
        <w:spacing w:after="110"/>
        <w:jc w:val="both"/>
      </w:pPr>
      <w:r>
        <w:rPr>
          <w:b/>
          <w:bCs/>
        </w:rPr>
        <w:t>(2)</w:t>
      </w:r>
      <w:r>
        <w:t xml:space="preserve"> The parties must be given </w:t>
      </w:r>
      <w:r>
        <w:rPr>
          <w:b/>
          <w:bCs/>
        </w:rPr>
        <w:t>sufficient advance notice</w:t>
      </w:r>
      <w:r>
        <w:t xml:space="preserve"> of any hearing and of any meeting for inspection of documents, goods or property. </w:t>
      </w:r>
      <w:r>
        <w:rPr>
          <w:b/>
          <w:bCs/>
        </w:rPr>
        <w:t>(3)</w:t>
      </w:r>
      <w:r>
        <w:t xml:space="preserve"> All statements, documents, information and applications supplied to the tribunal by one party </w:t>
      </w:r>
      <w:r>
        <w:rPr>
          <w:b/>
          <w:bCs/>
        </w:rPr>
        <w:t>must be communicated to the other</w:t>
      </w:r>
      <w:r>
        <w:t>, and any expert report or evidentiary document on which the tribunal may rely must be communicated to the parties. These two are s. 18 in operation: a party cannot have a full opportunity if it does not know when the tribunal sits or what material it has. S. 24(3) also bars the tribunal from relying on material the parties have not seen — carried further by s. 26.</w:t>
      </w:r>
    </w:p>
    <w:p w14:paraId="3BD83740" w14:textId="77777777" w:rsidR="00004105" w:rsidRDefault="00000000">
      <w:pPr>
        <w:pStyle w:val="Heading2"/>
        <w:keepNext/>
        <w:spacing w:before="240" w:after="110"/>
      </w:pPr>
      <w:bookmarkStart w:id="60" w:name="_Toc240747395"/>
      <w:r>
        <w:lastRenderedPageBreak/>
        <w:t>11.8  S. 25 — default of a party</w:t>
      </w:r>
      <w:bookmarkEnd w:id="60"/>
    </w:p>
    <w:p w14:paraId="70CC7527" w14:textId="77777777" w:rsidR="00004105" w:rsidRDefault="00000000">
      <w:pPr>
        <w:spacing w:after="110"/>
        <w:jc w:val="both"/>
      </w:pPr>
      <w:r>
        <w:t xml:space="preserve">Unless otherwise agreed, where </w:t>
      </w:r>
      <w:r>
        <w:rPr>
          <w:b/>
          <w:bCs/>
        </w:rPr>
        <w:t>without showing sufficient cause</w:t>
      </w:r>
      <w:r>
        <w:t>—</w:t>
      </w:r>
    </w:p>
    <w:tbl>
      <w:tblPr>
        <w:tblW w:w="8850" w:type="dxa"/>
        <w:tblBorders>
          <w:top w:val="single" w:sz="3" w:space="0" w:color="8A8A8A"/>
          <w:left w:val="single" w:sz="3" w:space="0" w:color="8A8A8A"/>
          <w:bottom w:val="single" w:sz="3" w:space="0" w:color="8A8A8A"/>
          <w:right w:val="single" w:sz="3" w:space="0" w:color="8A8A8A"/>
          <w:insideH w:val="single" w:sz="2" w:space="0" w:color="C4C4C4"/>
          <w:insideV w:val="single" w:sz="2" w:space="0" w:color="C4C4C4"/>
        </w:tblBorders>
        <w:tblCellMar>
          <w:left w:w="10" w:type="dxa"/>
          <w:right w:w="10" w:type="dxa"/>
        </w:tblCellMar>
        <w:tblLook w:val="0000" w:firstRow="0" w:lastRow="0" w:firstColumn="0" w:lastColumn="0" w:noHBand="0" w:noVBand="0"/>
      </w:tblPr>
      <w:tblGrid>
        <w:gridCol w:w="3550"/>
        <w:gridCol w:w="5300"/>
      </w:tblGrid>
      <w:tr w:rsidR="00004105" w14:paraId="78A71887" w14:textId="77777777">
        <w:tblPrEx>
          <w:tblCellMar>
            <w:top w:w="0" w:type="dxa"/>
            <w:bottom w:w="0" w:type="dxa"/>
          </w:tblCellMar>
        </w:tblPrEx>
        <w:trPr>
          <w:tblHeader/>
        </w:trPr>
        <w:tc>
          <w:tcPr>
            <w:tcW w:w="3550" w:type="dxa"/>
            <w:shd w:val="clear" w:color="auto" w:fill="EDEDED"/>
            <w:tcMar>
              <w:top w:w="70" w:type="dxa"/>
              <w:left w:w="110" w:type="dxa"/>
              <w:bottom w:w="70" w:type="dxa"/>
              <w:right w:w="110" w:type="dxa"/>
            </w:tcMar>
          </w:tcPr>
          <w:p w14:paraId="6EB75060" w14:textId="77777777" w:rsidR="00004105" w:rsidRDefault="00000000">
            <w:pPr>
              <w:spacing w:line="244" w:lineRule="auto"/>
            </w:pPr>
            <w:r>
              <w:rPr>
                <w:b/>
                <w:bCs/>
                <w:sz w:val="19"/>
                <w:szCs w:val="19"/>
              </w:rPr>
              <w:t>Default</w:t>
            </w:r>
          </w:p>
        </w:tc>
        <w:tc>
          <w:tcPr>
            <w:tcW w:w="5300" w:type="dxa"/>
            <w:shd w:val="clear" w:color="auto" w:fill="EDEDED"/>
            <w:tcMar>
              <w:top w:w="70" w:type="dxa"/>
              <w:left w:w="110" w:type="dxa"/>
              <w:bottom w:w="70" w:type="dxa"/>
              <w:right w:w="110" w:type="dxa"/>
            </w:tcMar>
          </w:tcPr>
          <w:p w14:paraId="099372C8" w14:textId="77777777" w:rsidR="00004105" w:rsidRDefault="00000000">
            <w:pPr>
              <w:spacing w:line="244" w:lineRule="auto"/>
            </w:pPr>
            <w:r>
              <w:rPr>
                <w:b/>
                <w:bCs/>
                <w:sz w:val="19"/>
                <w:szCs w:val="19"/>
              </w:rPr>
              <w:t>Consequence</w:t>
            </w:r>
          </w:p>
        </w:tc>
      </w:tr>
      <w:tr w:rsidR="00004105" w14:paraId="7A4B40C0" w14:textId="77777777">
        <w:tblPrEx>
          <w:tblCellMar>
            <w:top w:w="0" w:type="dxa"/>
            <w:bottom w:w="0" w:type="dxa"/>
          </w:tblCellMar>
        </w:tblPrEx>
        <w:tc>
          <w:tcPr>
            <w:tcW w:w="3550" w:type="dxa"/>
            <w:tcMar>
              <w:top w:w="70" w:type="dxa"/>
              <w:left w:w="110" w:type="dxa"/>
              <w:bottom w:w="70" w:type="dxa"/>
              <w:right w:w="110" w:type="dxa"/>
            </w:tcMar>
          </w:tcPr>
          <w:p w14:paraId="3D64E3E3" w14:textId="77777777" w:rsidR="00004105" w:rsidRDefault="00000000">
            <w:pPr>
              <w:spacing w:line="244" w:lineRule="auto"/>
            </w:pPr>
            <w:r>
              <w:rPr>
                <w:sz w:val="19"/>
                <w:szCs w:val="19"/>
              </w:rPr>
              <w:t>(a) the claimant fails to communicate his statement of claim under s. 23(1)</w:t>
            </w:r>
          </w:p>
        </w:tc>
        <w:tc>
          <w:tcPr>
            <w:tcW w:w="5300" w:type="dxa"/>
            <w:tcMar>
              <w:top w:w="70" w:type="dxa"/>
              <w:left w:w="110" w:type="dxa"/>
              <w:bottom w:w="70" w:type="dxa"/>
              <w:right w:w="110" w:type="dxa"/>
            </w:tcMar>
          </w:tcPr>
          <w:p w14:paraId="62874412" w14:textId="77777777" w:rsidR="00004105" w:rsidRDefault="00000000">
            <w:pPr>
              <w:spacing w:line="244" w:lineRule="auto"/>
            </w:pPr>
            <w:r>
              <w:rPr>
                <w:sz w:val="19"/>
                <w:szCs w:val="19"/>
              </w:rPr>
              <w:t>The tribunal shall terminate the proceedings — there is no claim to try.</w:t>
            </w:r>
          </w:p>
        </w:tc>
      </w:tr>
      <w:tr w:rsidR="00004105" w14:paraId="3064B661" w14:textId="77777777">
        <w:tblPrEx>
          <w:tblCellMar>
            <w:top w:w="0" w:type="dxa"/>
            <w:bottom w:w="0" w:type="dxa"/>
          </w:tblCellMar>
        </w:tblPrEx>
        <w:tc>
          <w:tcPr>
            <w:tcW w:w="3550" w:type="dxa"/>
            <w:tcMar>
              <w:top w:w="70" w:type="dxa"/>
              <w:left w:w="110" w:type="dxa"/>
              <w:bottom w:w="70" w:type="dxa"/>
              <w:right w:w="110" w:type="dxa"/>
            </w:tcMar>
          </w:tcPr>
          <w:p w14:paraId="33FFFA44" w14:textId="77777777" w:rsidR="00004105" w:rsidRDefault="00000000">
            <w:pPr>
              <w:spacing w:line="244" w:lineRule="auto"/>
            </w:pPr>
            <w:r>
              <w:rPr>
                <w:sz w:val="19"/>
                <w:szCs w:val="19"/>
              </w:rPr>
              <w:t>(b) the respondent fails to communicate his statement of defence under s. 23(1)</w:t>
            </w:r>
          </w:p>
        </w:tc>
        <w:tc>
          <w:tcPr>
            <w:tcW w:w="5300" w:type="dxa"/>
            <w:tcMar>
              <w:top w:w="70" w:type="dxa"/>
              <w:left w:w="110" w:type="dxa"/>
              <w:bottom w:w="70" w:type="dxa"/>
              <w:right w:w="110" w:type="dxa"/>
            </w:tcMar>
          </w:tcPr>
          <w:p w14:paraId="7E30C78F" w14:textId="77777777" w:rsidR="00004105" w:rsidRDefault="00000000">
            <w:pPr>
              <w:spacing w:line="244" w:lineRule="auto"/>
            </w:pPr>
            <w:r>
              <w:rPr>
                <w:sz w:val="19"/>
                <w:szCs w:val="19"/>
              </w:rPr>
              <w:t>The tribunal shall continue, without treating that failure in itself as an admission of the claimant's allegations, and has discretion to treat the right to file the defence as forfeited.</w:t>
            </w:r>
          </w:p>
        </w:tc>
      </w:tr>
      <w:tr w:rsidR="00004105" w14:paraId="6DE8B9DB" w14:textId="77777777">
        <w:tblPrEx>
          <w:tblCellMar>
            <w:top w:w="0" w:type="dxa"/>
            <w:bottom w:w="0" w:type="dxa"/>
          </w:tblCellMar>
        </w:tblPrEx>
        <w:tc>
          <w:tcPr>
            <w:tcW w:w="3550" w:type="dxa"/>
            <w:tcMar>
              <w:top w:w="70" w:type="dxa"/>
              <w:left w:w="110" w:type="dxa"/>
              <w:bottom w:w="70" w:type="dxa"/>
              <w:right w:w="110" w:type="dxa"/>
            </w:tcMar>
          </w:tcPr>
          <w:p w14:paraId="22B583A1" w14:textId="77777777" w:rsidR="00004105" w:rsidRDefault="00000000">
            <w:pPr>
              <w:spacing w:line="244" w:lineRule="auto"/>
            </w:pPr>
            <w:r>
              <w:rPr>
                <w:sz w:val="19"/>
                <w:szCs w:val="19"/>
              </w:rPr>
              <w:t>(c) a party fails to appear at an oral hearing or to produce documentary evidence</w:t>
            </w:r>
          </w:p>
        </w:tc>
        <w:tc>
          <w:tcPr>
            <w:tcW w:w="5300" w:type="dxa"/>
            <w:tcMar>
              <w:top w:w="70" w:type="dxa"/>
              <w:left w:w="110" w:type="dxa"/>
              <w:bottom w:w="70" w:type="dxa"/>
              <w:right w:w="110" w:type="dxa"/>
            </w:tcMar>
          </w:tcPr>
          <w:p w14:paraId="2887698B" w14:textId="77777777" w:rsidR="00004105" w:rsidRDefault="00000000">
            <w:pPr>
              <w:spacing w:line="244" w:lineRule="auto"/>
            </w:pPr>
            <w:r>
              <w:rPr>
                <w:sz w:val="19"/>
                <w:szCs w:val="19"/>
              </w:rPr>
              <w:t>The tribunal may continue and make the award on the evidence before it.</w:t>
            </w:r>
          </w:p>
        </w:tc>
      </w:tr>
    </w:tbl>
    <w:p w14:paraId="142F07E3" w14:textId="77777777" w:rsidR="00004105" w:rsidRDefault="00004105">
      <w:pPr>
        <w:spacing w:after="110"/>
      </w:pPr>
    </w:p>
    <w:p w14:paraId="6B4E5692" w14:textId="77777777" w:rsidR="00004105" w:rsidRDefault="00000000">
      <w:pPr>
        <w:spacing w:after="110"/>
        <w:jc w:val="both"/>
      </w:pPr>
      <w:r>
        <w:t xml:space="preserve">Clause (b) repays attention: the words about not treating default as an admission were added in 2015, and they matter — a respondent's default is </w:t>
      </w:r>
      <w:r>
        <w:rPr>
          <w:b/>
          <w:bCs/>
        </w:rPr>
        <w:t>not</w:t>
      </w:r>
      <w:r>
        <w:t xml:space="preserve"> a concession. The claimant must still prove its case and the tribunal must still decide on the evidence, which distinguishes the arbitral position from the consequences of non-filing of a written statement in some civil proceedings. The consequences the class notes group as “civil penalties” — forfeiture of the right to file the defence, and with it the opportunity to examine witnesses, and imposition of costs — are procedural consequences designed to keep the arbitration moving, not punishments, and operate only where no sufficient cause is shown.</w:t>
      </w:r>
    </w:p>
    <w:p w14:paraId="375C0757" w14:textId="77777777" w:rsidR="00004105" w:rsidRDefault="00000000">
      <w:pPr>
        <w:pStyle w:val="Heading2"/>
        <w:keepNext/>
        <w:spacing w:before="240" w:after="110"/>
      </w:pPr>
      <w:bookmarkStart w:id="61" w:name="_Toc240747396"/>
      <w:r>
        <w:t>11.9  S. 26 — expert appointed by the tribunal</w:t>
      </w:r>
      <w:bookmarkEnd w:id="61"/>
    </w:p>
    <w:tbl>
      <w:tblPr>
        <w:tblW w:w="8850" w:type="dxa"/>
        <w:tblBorders>
          <w:top w:val="single" w:sz="3" w:space="0" w:color="8A8A8A"/>
          <w:left w:val="single" w:sz="3" w:space="0" w:color="8A8A8A"/>
          <w:bottom w:val="single" w:sz="3" w:space="0" w:color="8A8A8A"/>
          <w:right w:val="single" w:sz="3" w:space="0" w:color="8A8A8A"/>
          <w:insideH w:val="single" w:sz="2" w:space="0" w:color="C4C4C4"/>
          <w:insideV w:val="single" w:sz="2" w:space="0" w:color="C4C4C4"/>
        </w:tblBorders>
        <w:tblCellMar>
          <w:left w:w="10" w:type="dxa"/>
          <w:right w:w="10" w:type="dxa"/>
        </w:tblCellMar>
        <w:tblLook w:val="0000" w:firstRow="0" w:lastRow="0" w:firstColumn="0" w:lastColumn="0" w:noHBand="0" w:noVBand="0"/>
      </w:tblPr>
      <w:tblGrid>
        <w:gridCol w:w="2100"/>
        <w:gridCol w:w="6750"/>
      </w:tblGrid>
      <w:tr w:rsidR="00004105" w14:paraId="6F645720" w14:textId="77777777">
        <w:tblPrEx>
          <w:tblCellMar>
            <w:top w:w="0" w:type="dxa"/>
            <w:bottom w:w="0" w:type="dxa"/>
          </w:tblCellMar>
        </w:tblPrEx>
        <w:trPr>
          <w:tblHeader/>
        </w:trPr>
        <w:tc>
          <w:tcPr>
            <w:tcW w:w="2100" w:type="dxa"/>
            <w:shd w:val="clear" w:color="auto" w:fill="EDEDED"/>
            <w:tcMar>
              <w:top w:w="70" w:type="dxa"/>
              <w:left w:w="110" w:type="dxa"/>
              <w:bottom w:w="70" w:type="dxa"/>
              <w:right w:w="110" w:type="dxa"/>
            </w:tcMar>
          </w:tcPr>
          <w:p w14:paraId="60926873" w14:textId="77777777" w:rsidR="00004105" w:rsidRDefault="00000000">
            <w:pPr>
              <w:spacing w:line="244" w:lineRule="auto"/>
            </w:pPr>
            <w:r>
              <w:rPr>
                <w:b/>
                <w:bCs/>
                <w:sz w:val="19"/>
                <w:szCs w:val="19"/>
              </w:rPr>
              <w:t>Type of expert</w:t>
            </w:r>
          </w:p>
        </w:tc>
        <w:tc>
          <w:tcPr>
            <w:tcW w:w="6750" w:type="dxa"/>
            <w:shd w:val="clear" w:color="auto" w:fill="EDEDED"/>
            <w:tcMar>
              <w:top w:w="70" w:type="dxa"/>
              <w:left w:w="110" w:type="dxa"/>
              <w:bottom w:w="70" w:type="dxa"/>
              <w:right w:w="110" w:type="dxa"/>
            </w:tcMar>
          </w:tcPr>
          <w:p w14:paraId="6BBDE76E" w14:textId="77777777" w:rsidR="00004105" w:rsidRDefault="00000000">
            <w:pPr>
              <w:spacing w:line="244" w:lineRule="auto"/>
            </w:pPr>
            <w:r>
              <w:rPr>
                <w:b/>
                <w:bCs/>
                <w:sz w:val="19"/>
                <w:szCs w:val="19"/>
              </w:rPr>
              <w:t>Character</w:t>
            </w:r>
          </w:p>
        </w:tc>
      </w:tr>
      <w:tr w:rsidR="00004105" w14:paraId="1FD84DDE" w14:textId="77777777">
        <w:tblPrEx>
          <w:tblCellMar>
            <w:top w:w="0" w:type="dxa"/>
            <w:bottom w:w="0" w:type="dxa"/>
          </w:tblCellMar>
        </w:tblPrEx>
        <w:tc>
          <w:tcPr>
            <w:tcW w:w="2100" w:type="dxa"/>
            <w:tcMar>
              <w:top w:w="70" w:type="dxa"/>
              <w:left w:w="110" w:type="dxa"/>
              <w:bottom w:w="70" w:type="dxa"/>
              <w:right w:w="110" w:type="dxa"/>
            </w:tcMar>
          </w:tcPr>
          <w:p w14:paraId="776F63AD" w14:textId="77777777" w:rsidR="00004105" w:rsidRDefault="00000000">
            <w:pPr>
              <w:spacing w:line="244" w:lineRule="auto"/>
            </w:pPr>
            <w:r>
              <w:rPr>
                <w:sz w:val="19"/>
                <w:szCs w:val="19"/>
              </w:rPr>
              <w:t>Party-appointed</w:t>
            </w:r>
          </w:p>
        </w:tc>
        <w:tc>
          <w:tcPr>
            <w:tcW w:w="6750" w:type="dxa"/>
            <w:tcMar>
              <w:top w:w="70" w:type="dxa"/>
              <w:left w:w="110" w:type="dxa"/>
              <w:bottom w:w="70" w:type="dxa"/>
              <w:right w:w="110" w:type="dxa"/>
            </w:tcMar>
          </w:tcPr>
          <w:p w14:paraId="074FEA33" w14:textId="77777777" w:rsidR="00004105" w:rsidRDefault="00000000">
            <w:pPr>
              <w:spacing w:line="244" w:lineRule="auto"/>
            </w:pPr>
            <w:r>
              <w:rPr>
                <w:sz w:val="19"/>
                <w:szCs w:val="19"/>
              </w:rPr>
              <w:t>Retained and instructed by a party in support of its case — a witness, tested by cross-examination. S. 26(2) expressly preserves a party's right to present its own expert witnesses.</w:t>
            </w:r>
          </w:p>
        </w:tc>
      </w:tr>
      <w:tr w:rsidR="00004105" w14:paraId="204004C6" w14:textId="77777777">
        <w:tblPrEx>
          <w:tblCellMar>
            <w:top w:w="0" w:type="dxa"/>
            <w:bottom w:w="0" w:type="dxa"/>
          </w:tblCellMar>
        </w:tblPrEx>
        <w:tc>
          <w:tcPr>
            <w:tcW w:w="2100" w:type="dxa"/>
            <w:tcMar>
              <w:top w:w="70" w:type="dxa"/>
              <w:left w:w="110" w:type="dxa"/>
              <w:bottom w:w="70" w:type="dxa"/>
              <w:right w:w="110" w:type="dxa"/>
            </w:tcMar>
          </w:tcPr>
          <w:p w14:paraId="482FFEFC" w14:textId="77777777" w:rsidR="00004105" w:rsidRDefault="00000000">
            <w:pPr>
              <w:spacing w:line="244" w:lineRule="auto"/>
            </w:pPr>
            <w:r>
              <w:rPr>
                <w:sz w:val="19"/>
                <w:szCs w:val="19"/>
              </w:rPr>
              <w:t>Tribunal-appointed</w:t>
            </w:r>
          </w:p>
        </w:tc>
        <w:tc>
          <w:tcPr>
            <w:tcW w:w="6750" w:type="dxa"/>
            <w:tcMar>
              <w:top w:w="70" w:type="dxa"/>
              <w:left w:w="110" w:type="dxa"/>
              <w:bottom w:w="70" w:type="dxa"/>
              <w:right w:w="110" w:type="dxa"/>
            </w:tcMar>
          </w:tcPr>
          <w:p w14:paraId="7455F25E" w14:textId="77777777" w:rsidR="00004105" w:rsidRDefault="00000000">
            <w:pPr>
              <w:spacing w:line="244" w:lineRule="auto"/>
            </w:pPr>
            <w:r>
              <w:rPr>
                <w:sz w:val="19"/>
                <w:szCs w:val="19"/>
              </w:rPr>
              <w:t>Appointed under s. 26(1) to report to the tribunal on issues the tribunal identifies. Because the tribunal commissioned the report and may rely on it, s. 26 builds in safeguards.</w:t>
            </w:r>
          </w:p>
        </w:tc>
      </w:tr>
    </w:tbl>
    <w:p w14:paraId="5303E6BC" w14:textId="77777777" w:rsidR="00004105" w:rsidRDefault="00004105">
      <w:pPr>
        <w:spacing w:after="110"/>
      </w:pPr>
    </w:p>
    <w:p w14:paraId="57B7AD16" w14:textId="77777777" w:rsidR="00004105" w:rsidRDefault="00000000">
      <w:pPr>
        <w:spacing w:after="110"/>
        <w:jc w:val="both"/>
      </w:pPr>
      <w:r>
        <w:t xml:space="preserve">Unless otherwise agreed: </w:t>
      </w:r>
      <w:r>
        <w:rPr>
          <w:b/>
          <w:bCs/>
        </w:rPr>
        <w:t>(1)</w:t>
      </w:r>
      <w:r>
        <w:t xml:space="preserve"> the tribunal may (a) appoint one or more experts to report on </w:t>
      </w:r>
      <w:r>
        <w:rPr>
          <w:b/>
          <w:bCs/>
        </w:rPr>
        <w:t>specific issues to be determined by the tribunal</w:t>
      </w:r>
      <w:r>
        <w:t xml:space="preserve">, and (b) require a party to give the expert relevant information or to produce or provide access to relevant documents, goods or property; </w:t>
      </w:r>
      <w:r>
        <w:rPr>
          <w:b/>
          <w:bCs/>
        </w:rPr>
        <w:t>(2)</w:t>
      </w:r>
      <w:r>
        <w:t xml:space="preserve"> if a party requests or the tribunal considers it necessary, the expert shall, after delivering his report, </w:t>
      </w:r>
      <w:r>
        <w:rPr>
          <w:b/>
          <w:bCs/>
        </w:rPr>
        <w:t>participate in an oral hearing</w:t>
      </w:r>
      <w:r>
        <w:t xml:space="preserve"> where the parties may put questions to him and present their own expert witnesses; </w:t>
      </w:r>
      <w:r>
        <w:rPr>
          <w:b/>
          <w:bCs/>
        </w:rPr>
        <w:t>(3)</w:t>
      </w:r>
      <w:r>
        <w:t xml:space="preserve"> on a party's request the expert shall </w:t>
      </w:r>
      <w:r>
        <w:rPr>
          <w:b/>
          <w:bCs/>
        </w:rPr>
        <w:t>make available for examination</w:t>
      </w:r>
      <w:r>
        <w:t xml:space="preserve"> all documents, goods or property in his possession with which he was provided to prepare the report.</w:t>
      </w:r>
    </w:p>
    <w:p w14:paraId="3C780952" w14:textId="77777777" w:rsidR="00004105" w:rsidRDefault="00000000">
      <w:pPr>
        <w:spacing w:after="110"/>
        <w:jc w:val="both"/>
      </w:pPr>
      <w:r>
        <w:t>Sub-sections (2) and (3) are the due process safeguards — the expert can be questioned, a competing expert can be called, and the foundation of the report can be inspected. The same principle as s. 24(3). The mandate is confined to the specific issues identified: the expert does not decide the dispute, and the tribunal cannot delegate its adjudicative function to him.</w:t>
      </w:r>
    </w:p>
    <w:p w14:paraId="640A70F1" w14:textId="77777777" w:rsidR="00004105" w:rsidRDefault="00000000">
      <w:pPr>
        <w:pStyle w:val="Heading1"/>
        <w:keepNext/>
        <w:pBdr>
          <w:top w:val="single" w:sz="8" w:space="10" w:color="999999"/>
        </w:pBdr>
        <w:spacing w:before="460" w:after="170"/>
      </w:pPr>
      <w:bookmarkStart w:id="62" w:name="_Toc240747397"/>
      <w:r>
        <w:lastRenderedPageBreak/>
        <w:t>12  Corrections and Cautions</w:t>
      </w:r>
      <w:bookmarkEnd w:id="62"/>
    </w:p>
    <w:p w14:paraId="7F9BCBCD" w14:textId="77777777" w:rsidR="00004105" w:rsidRDefault="00000000">
      <w:pPr>
        <w:pStyle w:val="Heading2"/>
        <w:keepNext/>
        <w:spacing w:before="240" w:after="110"/>
      </w:pPr>
      <w:bookmarkStart w:id="63" w:name="_Toc240747398"/>
      <w:r>
        <w:t>12.1  Errors in the class notes, corrected</w:t>
      </w:r>
      <w:bookmarkEnd w:id="63"/>
    </w:p>
    <w:tbl>
      <w:tblPr>
        <w:tblW w:w="8850" w:type="dxa"/>
        <w:tblBorders>
          <w:top w:val="single" w:sz="3" w:space="0" w:color="8A8A8A"/>
          <w:left w:val="single" w:sz="3" w:space="0" w:color="8A8A8A"/>
          <w:bottom w:val="single" w:sz="3" w:space="0" w:color="8A8A8A"/>
          <w:right w:val="single" w:sz="3" w:space="0" w:color="8A8A8A"/>
          <w:insideH w:val="single" w:sz="2" w:space="0" w:color="C4C4C4"/>
          <w:insideV w:val="single" w:sz="2" w:space="0" w:color="C4C4C4"/>
        </w:tblBorders>
        <w:tblCellMar>
          <w:left w:w="10" w:type="dxa"/>
          <w:right w:w="10" w:type="dxa"/>
        </w:tblCellMar>
        <w:tblLook w:val="0000" w:firstRow="0" w:lastRow="0" w:firstColumn="0" w:lastColumn="0" w:noHBand="0" w:noVBand="0"/>
      </w:tblPr>
      <w:tblGrid>
        <w:gridCol w:w="3400"/>
        <w:gridCol w:w="5450"/>
      </w:tblGrid>
      <w:tr w:rsidR="00004105" w14:paraId="5949E319" w14:textId="77777777">
        <w:tblPrEx>
          <w:tblCellMar>
            <w:top w:w="0" w:type="dxa"/>
            <w:bottom w:w="0" w:type="dxa"/>
          </w:tblCellMar>
        </w:tblPrEx>
        <w:trPr>
          <w:tblHeader/>
        </w:trPr>
        <w:tc>
          <w:tcPr>
            <w:tcW w:w="3400" w:type="dxa"/>
            <w:shd w:val="clear" w:color="auto" w:fill="EDEDED"/>
            <w:tcMar>
              <w:top w:w="70" w:type="dxa"/>
              <w:left w:w="110" w:type="dxa"/>
              <w:bottom w:w="70" w:type="dxa"/>
              <w:right w:w="110" w:type="dxa"/>
            </w:tcMar>
          </w:tcPr>
          <w:p w14:paraId="16E67A27" w14:textId="77777777" w:rsidR="00004105" w:rsidRDefault="00000000">
            <w:pPr>
              <w:spacing w:line="244" w:lineRule="auto"/>
            </w:pPr>
            <w:r>
              <w:rPr>
                <w:b/>
                <w:bCs/>
                <w:sz w:val="19"/>
                <w:szCs w:val="19"/>
              </w:rPr>
              <w:t>In the notes</w:t>
            </w:r>
          </w:p>
        </w:tc>
        <w:tc>
          <w:tcPr>
            <w:tcW w:w="5450" w:type="dxa"/>
            <w:shd w:val="clear" w:color="auto" w:fill="EDEDED"/>
            <w:tcMar>
              <w:top w:w="70" w:type="dxa"/>
              <w:left w:w="110" w:type="dxa"/>
              <w:bottom w:w="70" w:type="dxa"/>
              <w:right w:w="110" w:type="dxa"/>
            </w:tcMar>
          </w:tcPr>
          <w:p w14:paraId="22E8D541" w14:textId="77777777" w:rsidR="00004105" w:rsidRDefault="00000000">
            <w:pPr>
              <w:spacing w:line="244" w:lineRule="auto"/>
            </w:pPr>
            <w:r>
              <w:rPr>
                <w:b/>
                <w:bCs/>
                <w:sz w:val="19"/>
                <w:szCs w:val="19"/>
              </w:rPr>
              <w:t>Correct position</w:t>
            </w:r>
          </w:p>
        </w:tc>
      </w:tr>
      <w:tr w:rsidR="00004105" w14:paraId="6A606C14" w14:textId="77777777">
        <w:tblPrEx>
          <w:tblCellMar>
            <w:top w:w="0" w:type="dxa"/>
            <w:bottom w:w="0" w:type="dxa"/>
          </w:tblCellMar>
        </w:tblPrEx>
        <w:tc>
          <w:tcPr>
            <w:tcW w:w="3400" w:type="dxa"/>
            <w:tcMar>
              <w:top w:w="70" w:type="dxa"/>
              <w:left w:w="110" w:type="dxa"/>
              <w:bottom w:w="70" w:type="dxa"/>
              <w:right w:w="110" w:type="dxa"/>
            </w:tcMar>
          </w:tcPr>
          <w:p w14:paraId="029A10AD" w14:textId="77777777" w:rsidR="00004105" w:rsidRDefault="00000000">
            <w:pPr>
              <w:spacing w:line="244" w:lineRule="auto"/>
            </w:pPr>
            <w:r>
              <w:rPr>
                <w:sz w:val="19"/>
                <w:szCs w:val="19"/>
              </w:rPr>
              <w:t>“S. 23(9)” for the six-month pleadings timetable</w:t>
            </w:r>
          </w:p>
        </w:tc>
        <w:tc>
          <w:tcPr>
            <w:tcW w:w="5450" w:type="dxa"/>
            <w:tcMar>
              <w:top w:w="70" w:type="dxa"/>
              <w:left w:w="110" w:type="dxa"/>
              <w:bottom w:w="70" w:type="dxa"/>
              <w:right w:w="110" w:type="dxa"/>
            </w:tcMar>
          </w:tcPr>
          <w:p w14:paraId="6B7E611C" w14:textId="77777777" w:rsidR="00004105" w:rsidRDefault="00000000">
            <w:pPr>
              <w:spacing w:line="244" w:lineRule="auto"/>
            </w:pPr>
            <w:r>
              <w:rPr>
                <w:sz w:val="19"/>
                <w:szCs w:val="19"/>
              </w:rPr>
              <w:t>S. 23(4); there is no s. 23(9). The link is with s. 29A. See 11.6.</w:t>
            </w:r>
          </w:p>
        </w:tc>
      </w:tr>
      <w:tr w:rsidR="00004105" w14:paraId="3A859BFD" w14:textId="77777777">
        <w:tblPrEx>
          <w:tblCellMar>
            <w:top w:w="0" w:type="dxa"/>
            <w:bottom w:w="0" w:type="dxa"/>
          </w:tblCellMar>
        </w:tblPrEx>
        <w:tc>
          <w:tcPr>
            <w:tcW w:w="3400" w:type="dxa"/>
            <w:tcMar>
              <w:top w:w="70" w:type="dxa"/>
              <w:left w:w="110" w:type="dxa"/>
              <w:bottom w:w="70" w:type="dxa"/>
              <w:right w:w="110" w:type="dxa"/>
            </w:tcMar>
          </w:tcPr>
          <w:p w14:paraId="101F243E" w14:textId="77777777" w:rsidR="00004105" w:rsidRDefault="00000000">
            <w:pPr>
              <w:spacing w:line="244" w:lineRule="auto"/>
            </w:pPr>
            <w:r>
              <w:rPr>
                <w:sz w:val="19"/>
                <w:szCs w:val="19"/>
              </w:rPr>
              <w:t>S. 11(6A) deleted by the 2019 Amendment</w:t>
            </w:r>
          </w:p>
        </w:tc>
        <w:tc>
          <w:tcPr>
            <w:tcW w:w="5450" w:type="dxa"/>
            <w:tcMar>
              <w:top w:w="70" w:type="dxa"/>
              <w:left w:w="110" w:type="dxa"/>
              <w:bottom w:w="70" w:type="dxa"/>
              <w:right w:w="110" w:type="dxa"/>
            </w:tcMar>
          </w:tcPr>
          <w:p w14:paraId="15BE245C" w14:textId="77777777" w:rsidR="00004105" w:rsidRDefault="00000000">
            <w:pPr>
              <w:spacing w:line="244" w:lineRule="auto"/>
            </w:pPr>
            <w:r>
              <w:rPr>
                <w:sz w:val="19"/>
                <w:szCs w:val="19"/>
              </w:rPr>
              <w:t>The omission was never notified; s. 11(6A) remains in force (</w:t>
            </w:r>
            <w:r>
              <w:rPr>
                <w:i/>
                <w:iCs/>
                <w:sz w:val="19"/>
                <w:szCs w:val="19"/>
              </w:rPr>
              <w:t>In Re: Interplay</w:t>
            </w:r>
            <w:r>
              <w:rPr>
                <w:sz w:val="19"/>
                <w:szCs w:val="19"/>
              </w:rPr>
              <w:t>). See 7.4.</w:t>
            </w:r>
          </w:p>
        </w:tc>
      </w:tr>
      <w:tr w:rsidR="00004105" w14:paraId="71AD1E19" w14:textId="77777777">
        <w:tblPrEx>
          <w:tblCellMar>
            <w:top w:w="0" w:type="dxa"/>
            <w:bottom w:w="0" w:type="dxa"/>
          </w:tblCellMar>
        </w:tblPrEx>
        <w:tc>
          <w:tcPr>
            <w:tcW w:w="3400" w:type="dxa"/>
            <w:tcMar>
              <w:top w:w="70" w:type="dxa"/>
              <w:left w:w="110" w:type="dxa"/>
              <w:bottom w:w="70" w:type="dxa"/>
              <w:right w:w="110" w:type="dxa"/>
            </w:tcMar>
          </w:tcPr>
          <w:p w14:paraId="32BE0616" w14:textId="77777777" w:rsidR="00004105" w:rsidRDefault="00000000">
            <w:pPr>
              <w:spacing w:line="244" w:lineRule="auto"/>
            </w:pPr>
            <w:r>
              <w:rPr>
                <w:sz w:val="19"/>
                <w:szCs w:val="19"/>
              </w:rPr>
              <w:t>“Jantia Constructions v. UoI”; “2011 (4) SCALE 745”</w:t>
            </w:r>
          </w:p>
        </w:tc>
        <w:tc>
          <w:tcPr>
            <w:tcW w:w="5450" w:type="dxa"/>
            <w:tcMar>
              <w:top w:w="70" w:type="dxa"/>
              <w:left w:w="110" w:type="dxa"/>
              <w:bottom w:w="70" w:type="dxa"/>
              <w:right w:w="110" w:type="dxa"/>
            </w:tcMar>
          </w:tcPr>
          <w:p w14:paraId="3EFC5747" w14:textId="77777777" w:rsidR="00004105" w:rsidRDefault="00000000">
            <w:pPr>
              <w:spacing w:line="244" w:lineRule="auto"/>
            </w:pPr>
            <w:r>
              <w:rPr>
                <w:i/>
                <w:iCs/>
                <w:sz w:val="19"/>
                <w:szCs w:val="19"/>
              </w:rPr>
              <w:t>Union of India v. Tantia Construction Pvt. Ltd.</w:t>
            </w:r>
            <w:r>
              <w:rPr>
                <w:sz w:val="19"/>
                <w:szCs w:val="19"/>
              </w:rPr>
              <w:t>, (2011) 5 SCC 697, distinguished from the separate 2021 matter. See 3.2.</w:t>
            </w:r>
          </w:p>
        </w:tc>
      </w:tr>
      <w:tr w:rsidR="00004105" w14:paraId="20190570" w14:textId="77777777">
        <w:tblPrEx>
          <w:tblCellMar>
            <w:top w:w="0" w:type="dxa"/>
            <w:bottom w:w="0" w:type="dxa"/>
          </w:tblCellMar>
        </w:tblPrEx>
        <w:tc>
          <w:tcPr>
            <w:tcW w:w="3400" w:type="dxa"/>
            <w:tcMar>
              <w:top w:w="70" w:type="dxa"/>
              <w:left w:w="110" w:type="dxa"/>
              <w:bottom w:w="70" w:type="dxa"/>
              <w:right w:w="110" w:type="dxa"/>
            </w:tcMar>
          </w:tcPr>
          <w:p w14:paraId="1968A716" w14:textId="77777777" w:rsidR="00004105" w:rsidRDefault="00000000">
            <w:pPr>
              <w:spacing w:line="244" w:lineRule="auto"/>
            </w:pPr>
            <w:r>
              <w:rPr>
                <w:sz w:val="19"/>
                <w:szCs w:val="19"/>
              </w:rPr>
              <w:t>“Court-annexed arbitration (s. 69 CPC)”</w:t>
            </w:r>
          </w:p>
        </w:tc>
        <w:tc>
          <w:tcPr>
            <w:tcW w:w="5450" w:type="dxa"/>
            <w:tcMar>
              <w:top w:w="70" w:type="dxa"/>
              <w:left w:w="110" w:type="dxa"/>
              <w:bottom w:w="70" w:type="dxa"/>
              <w:right w:w="110" w:type="dxa"/>
            </w:tcMar>
          </w:tcPr>
          <w:p w14:paraId="5EDEB029" w14:textId="77777777" w:rsidR="00004105" w:rsidRDefault="00000000">
            <w:pPr>
              <w:spacing w:line="244" w:lineRule="auto"/>
            </w:pPr>
            <w:r>
              <w:rPr>
                <w:sz w:val="19"/>
                <w:szCs w:val="19"/>
              </w:rPr>
              <w:t>S. 89 of the Code of Civil Procedure, 1908, as cited correctly elsewhere in the same materials.</w:t>
            </w:r>
          </w:p>
        </w:tc>
      </w:tr>
      <w:tr w:rsidR="00004105" w14:paraId="6D73B2B5" w14:textId="77777777">
        <w:tblPrEx>
          <w:tblCellMar>
            <w:top w:w="0" w:type="dxa"/>
            <w:bottom w:w="0" w:type="dxa"/>
          </w:tblCellMar>
        </w:tblPrEx>
        <w:tc>
          <w:tcPr>
            <w:tcW w:w="3400" w:type="dxa"/>
            <w:tcMar>
              <w:top w:w="70" w:type="dxa"/>
              <w:left w:w="110" w:type="dxa"/>
              <w:bottom w:w="70" w:type="dxa"/>
              <w:right w:w="110" w:type="dxa"/>
            </w:tcMar>
          </w:tcPr>
          <w:p w14:paraId="7AF26CC8" w14:textId="77777777" w:rsidR="00004105" w:rsidRDefault="00000000">
            <w:pPr>
              <w:spacing w:line="244" w:lineRule="auto"/>
            </w:pPr>
            <w:r>
              <w:rPr>
                <w:sz w:val="19"/>
                <w:szCs w:val="19"/>
              </w:rPr>
              <w:t>“S. 34 CPC sets aside the arbitral award”</w:t>
            </w:r>
          </w:p>
        </w:tc>
        <w:tc>
          <w:tcPr>
            <w:tcW w:w="5450" w:type="dxa"/>
            <w:tcMar>
              <w:top w:w="70" w:type="dxa"/>
              <w:left w:w="110" w:type="dxa"/>
              <w:bottom w:w="70" w:type="dxa"/>
              <w:right w:w="110" w:type="dxa"/>
            </w:tcMar>
          </w:tcPr>
          <w:p w14:paraId="41441F5B" w14:textId="77777777" w:rsidR="00004105" w:rsidRDefault="00000000">
            <w:pPr>
              <w:spacing w:line="244" w:lineRule="auto"/>
            </w:pPr>
            <w:r>
              <w:rPr>
                <w:sz w:val="19"/>
                <w:szCs w:val="19"/>
              </w:rPr>
              <w:t>S. 34 of the Arbitration and Conciliation Act, 1996, not of the CPC.</w:t>
            </w:r>
          </w:p>
        </w:tc>
      </w:tr>
      <w:tr w:rsidR="00004105" w14:paraId="15768769" w14:textId="77777777">
        <w:tblPrEx>
          <w:tblCellMar>
            <w:top w:w="0" w:type="dxa"/>
            <w:bottom w:w="0" w:type="dxa"/>
          </w:tblCellMar>
        </w:tblPrEx>
        <w:tc>
          <w:tcPr>
            <w:tcW w:w="3400" w:type="dxa"/>
            <w:tcMar>
              <w:top w:w="70" w:type="dxa"/>
              <w:left w:w="110" w:type="dxa"/>
              <w:bottom w:w="70" w:type="dxa"/>
              <w:right w:w="110" w:type="dxa"/>
            </w:tcMar>
          </w:tcPr>
          <w:p w14:paraId="0A9BC2FE" w14:textId="77777777" w:rsidR="00004105" w:rsidRDefault="00000000">
            <w:pPr>
              <w:spacing w:line="244" w:lineRule="auto"/>
            </w:pPr>
            <w:r>
              <w:rPr>
                <w:sz w:val="19"/>
                <w:szCs w:val="19"/>
              </w:rPr>
              <w:t>Natural justice for public bodies, due process for private parties</w:t>
            </w:r>
          </w:p>
        </w:tc>
        <w:tc>
          <w:tcPr>
            <w:tcW w:w="5450" w:type="dxa"/>
            <w:tcMar>
              <w:top w:w="70" w:type="dxa"/>
              <w:left w:w="110" w:type="dxa"/>
              <w:bottom w:w="70" w:type="dxa"/>
              <w:right w:w="110" w:type="dxa"/>
            </w:tcMar>
          </w:tcPr>
          <w:p w14:paraId="149439B5" w14:textId="77777777" w:rsidR="00004105" w:rsidRDefault="00000000">
            <w:pPr>
              <w:spacing w:line="244" w:lineRule="auto"/>
            </w:pPr>
            <w:r>
              <w:rPr>
                <w:sz w:val="19"/>
                <w:szCs w:val="19"/>
              </w:rPr>
              <w:t>Both apply to all arbitral tribunals alike. See 11.1.</w:t>
            </w:r>
          </w:p>
        </w:tc>
      </w:tr>
      <w:tr w:rsidR="00004105" w14:paraId="44458A86" w14:textId="77777777">
        <w:tblPrEx>
          <w:tblCellMar>
            <w:top w:w="0" w:type="dxa"/>
            <w:bottom w:w="0" w:type="dxa"/>
          </w:tblCellMar>
        </w:tblPrEx>
        <w:tc>
          <w:tcPr>
            <w:tcW w:w="3400" w:type="dxa"/>
            <w:tcMar>
              <w:top w:w="70" w:type="dxa"/>
              <w:left w:w="110" w:type="dxa"/>
              <w:bottom w:w="70" w:type="dxa"/>
              <w:right w:w="110" w:type="dxa"/>
            </w:tcMar>
          </w:tcPr>
          <w:p w14:paraId="7F357286" w14:textId="77777777" w:rsidR="00004105" w:rsidRDefault="00000000">
            <w:pPr>
              <w:spacing w:line="244" w:lineRule="auto"/>
            </w:pPr>
            <w:r>
              <w:rPr>
                <w:sz w:val="19"/>
                <w:szCs w:val="19"/>
              </w:rPr>
              <w:t>Seventh Schedule = IBA “red list”, split waivable / non-waivable</w:t>
            </w:r>
          </w:p>
        </w:tc>
        <w:tc>
          <w:tcPr>
            <w:tcW w:w="5450" w:type="dxa"/>
            <w:tcMar>
              <w:top w:w="70" w:type="dxa"/>
              <w:left w:w="110" w:type="dxa"/>
              <w:bottom w:w="70" w:type="dxa"/>
              <w:right w:w="110" w:type="dxa"/>
            </w:tcMar>
          </w:tcPr>
          <w:p w14:paraId="40778567" w14:textId="77777777" w:rsidR="00004105" w:rsidRDefault="00000000">
            <w:pPr>
              <w:spacing w:line="244" w:lineRule="auto"/>
            </w:pPr>
            <w:r>
              <w:rPr>
                <w:sz w:val="19"/>
                <w:szCs w:val="19"/>
              </w:rPr>
              <w:t>Analogy only. The Schedule is a single list; the sole waiver is the express written waiver under the proviso to s. 12(5). See 8.1.1.</w:t>
            </w:r>
          </w:p>
        </w:tc>
      </w:tr>
    </w:tbl>
    <w:p w14:paraId="3AE002CF" w14:textId="77777777" w:rsidR="00004105" w:rsidRDefault="00004105">
      <w:pPr>
        <w:spacing w:after="110"/>
      </w:pPr>
    </w:p>
    <w:p w14:paraId="3ED887A8" w14:textId="77777777" w:rsidR="00004105" w:rsidRDefault="00000000">
      <w:pPr>
        <w:pStyle w:val="Heading2"/>
        <w:keepNext/>
        <w:spacing w:before="240" w:after="110"/>
      </w:pPr>
      <w:bookmarkStart w:id="64" w:name="_Toc240747399"/>
      <w:r>
        <w:t>12.2  Points not verified — do not assert as settled law</w:t>
      </w:r>
      <w:bookmarkEnd w:id="64"/>
    </w:p>
    <w:p w14:paraId="13D90450" w14:textId="77777777" w:rsidR="00004105" w:rsidRDefault="00000000">
      <w:pPr>
        <w:pStyle w:val="ListParagraph"/>
        <w:numPr>
          <w:ilvl w:val="0"/>
          <w:numId w:val="20"/>
        </w:numPr>
        <w:spacing w:after="70"/>
        <w:jc w:val="both"/>
      </w:pPr>
      <w:r>
        <w:t xml:space="preserve">The Atomic Energy Act and an Institute of Technology Act as instances of </w:t>
      </w:r>
      <w:r>
        <w:rPr>
          <w:b/>
          <w:bCs/>
        </w:rPr>
        <w:t>compulsory arbitration</w:t>
      </w:r>
      <w:r>
        <w:t xml:space="preserve"> — the general proposition (that some statutes supply their own arbitral machinery, governed by that statute rather than the 1996 Act) is sound; the specific sections were not verified.</w:t>
      </w:r>
    </w:p>
    <w:p w14:paraId="07872118" w14:textId="77777777" w:rsidR="00004105" w:rsidRDefault="00000000">
      <w:pPr>
        <w:pStyle w:val="ListParagraph"/>
        <w:numPr>
          <w:ilvl w:val="0"/>
          <w:numId w:val="20"/>
        </w:numPr>
        <w:spacing w:after="70"/>
        <w:jc w:val="both"/>
      </w:pPr>
      <w:r>
        <w:t xml:space="preserve">Attribution to the </w:t>
      </w:r>
      <w:r>
        <w:rPr>
          <w:b/>
          <w:bCs/>
        </w:rPr>
        <w:t>2019 Amendment</w:t>
      </w:r>
      <w:r>
        <w:t xml:space="preserve"> of the narrowing of s. 17(1), and the class note about “revival” of a dissolved tribunal. See 5.2.</w:t>
      </w:r>
    </w:p>
    <w:p w14:paraId="660D59C0" w14:textId="77777777" w:rsidR="00004105" w:rsidRDefault="00000000">
      <w:pPr>
        <w:pStyle w:val="ListParagraph"/>
        <w:numPr>
          <w:ilvl w:val="0"/>
          <w:numId w:val="20"/>
        </w:numPr>
        <w:spacing w:after="70"/>
        <w:jc w:val="both"/>
      </w:pPr>
      <w:r>
        <w:t xml:space="preserve">Whether </w:t>
      </w:r>
      <w:r>
        <w:rPr>
          <w:b/>
          <w:bCs/>
        </w:rPr>
        <w:t>s. 19(1)</w:t>
      </w:r>
      <w:r>
        <w:t xml:space="preserve"> now refers to the Bharatiya Sakshya Adhiniyam, 2023 or is read as so referring. See 11.2.</w:t>
      </w:r>
    </w:p>
    <w:p w14:paraId="29391842" w14:textId="77777777" w:rsidR="00004105" w:rsidRDefault="00000000">
      <w:pPr>
        <w:pStyle w:val="ListParagraph"/>
        <w:numPr>
          <w:ilvl w:val="0"/>
          <w:numId w:val="20"/>
        </w:numPr>
        <w:spacing w:after="70"/>
        <w:jc w:val="both"/>
      </w:pPr>
      <w:r>
        <w:t>“</w:t>
      </w:r>
      <w:r>
        <w:rPr>
          <w:b/>
          <w:bCs/>
        </w:rPr>
        <w:t>In Re Cauvery</w:t>
      </w:r>
      <w:r>
        <w:t xml:space="preserve"> Irrigation Protection Ordinance”, cited for an interim remedy where the statute is silent — the name as recorded could not be matched to a verified citation, so it is used in substance only and not cited as authority (5.1).</w:t>
      </w:r>
    </w:p>
    <w:p w14:paraId="0E6458F9" w14:textId="77777777" w:rsidR="00004105" w:rsidRDefault="00000000">
      <w:pPr>
        <w:pStyle w:val="ListParagraph"/>
        <w:numPr>
          <w:ilvl w:val="0"/>
          <w:numId w:val="20"/>
        </w:numPr>
        <w:spacing w:after="70"/>
        <w:jc w:val="both"/>
      </w:pPr>
      <w:r>
        <w:t>The “</w:t>
      </w:r>
      <w:r>
        <w:rPr>
          <w:b/>
          <w:bCs/>
        </w:rPr>
        <w:t>Mauritius Convention</w:t>
      </w:r>
      <w:r>
        <w:t>” for publication of arbitration information, and the “2015 / 2018 Indian Model BIT” for multi-tier arbitration — the underlying propositions are retained, but the instrument names and years given in the sources conflict with each other and were not verified.</w:t>
      </w:r>
    </w:p>
    <w:p w14:paraId="3AB5F664" w14:textId="77777777" w:rsidR="00004105" w:rsidRDefault="00000000">
      <w:pPr>
        <w:pStyle w:val="ListParagraph"/>
        <w:numPr>
          <w:ilvl w:val="0"/>
          <w:numId w:val="20"/>
        </w:numPr>
        <w:spacing w:after="70"/>
        <w:jc w:val="both"/>
      </w:pPr>
      <w:r>
        <w:t xml:space="preserve">Bound-volume </w:t>
      </w:r>
      <w:r>
        <w:rPr>
          <w:b/>
          <w:bCs/>
        </w:rPr>
        <w:t>SCC citations</w:t>
      </w:r>
      <w:r>
        <w:t xml:space="preserve"> for </w:t>
      </w:r>
      <w:r>
        <w:rPr>
          <w:i/>
          <w:iCs/>
        </w:rPr>
        <w:t>In Re: Interplay</w:t>
      </w:r>
      <w:r>
        <w:t xml:space="preserve">, </w:t>
      </w:r>
      <w:r>
        <w:rPr>
          <w:i/>
          <w:iCs/>
        </w:rPr>
        <w:t>Cox and Kings</w:t>
      </w:r>
      <w:r>
        <w:t xml:space="preserve">, </w:t>
      </w:r>
      <w:r>
        <w:rPr>
          <w:i/>
          <w:iCs/>
        </w:rPr>
        <w:t>CORE-II</w:t>
      </w:r>
      <w:r>
        <w:t xml:space="preserve"> and </w:t>
      </w:r>
      <w:r>
        <w:rPr>
          <w:i/>
          <w:iCs/>
        </w:rPr>
        <w:t>Tata Sons v. Siva Industries</w:t>
      </w:r>
      <w:r>
        <w:t>; neutral or SCC OnLine citations are used instead.</w:t>
      </w:r>
    </w:p>
    <w:p w14:paraId="71BA1B10" w14:textId="77777777" w:rsidR="00004105" w:rsidRDefault="00000000">
      <w:pPr>
        <w:pStyle w:val="Heading2"/>
        <w:keepNext/>
        <w:spacing w:before="240" w:after="110"/>
      </w:pPr>
      <w:bookmarkStart w:id="65" w:name="_Toc240747400"/>
      <w:r>
        <w:t>12.3  Reform proposals — not law</w:t>
      </w:r>
      <w:bookmarkEnd w:id="65"/>
    </w:p>
    <w:p w14:paraId="0BAD329F" w14:textId="77777777" w:rsidR="00004105" w:rsidRDefault="00000000">
      <w:pPr>
        <w:spacing w:after="110"/>
        <w:jc w:val="both"/>
      </w:pPr>
      <w:r>
        <w:t xml:space="preserve">The </w:t>
      </w:r>
      <w:r>
        <w:rPr>
          <w:b/>
          <w:bCs/>
        </w:rPr>
        <w:t>Viswanathan Expert Committee Report</w:t>
      </w:r>
      <w:r>
        <w:t xml:space="preserve"> was submitted on </w:t>
      </w:r>
      <w:r>
        <w:rPr>
          <w:b/>
          <w:bCs/>
        </w:rPr>
        <w:t>7 February 2024</w:t>
      </w:r>
      <w:r>
        <w:t xml:space="preserve">, and the </w:t>
      </w:r>
      <w:r>
        <w:rPr>
          <w:b/>
          <w:bCs/>
        </w:rPr>
        <w:t>Draft Arbitration and Conciliation (Amendment) Bill, 2024</w:t>
      </w:r>
      <w:r>
        <w:t xml:space="preserve"> was released for consultation on </w:t>
      </w:r>
      <w:r>
        <w:rPr>
          <w:b/>
          <w:bCs/>
        </w:rPr>
        <w:t>18 October 2024</w:t>
      </w:r>
      <w:r>
        <w:t xml:space="preserve"> (proposing, among other things, to rename the Act, codify the seat, amend s. 18, and delete the Fourth Schedule). Neither is law; the Bill has not been introduced in Parliament or enacted. Earlier, </w:t>
      </w:r>
      <w:r>
        <w:rPr>
          <w:b/>
          <w:bCs/>
        </w:rPr>
        <w:t>Law Commission Report No. 246 (2014)</w:t>
      </w:r>
      <w:r>
        <w:t xml:space="preserve"> underpinned the 2015 Amendment and </w:t>
      </w:r>
      <w:r>
        <w:lastRenderedPageBreak/>
        <w:t xml:space="preserve">the </w:t>
      </w:r>
      <w:r>
        <w:rPr>
          <w:b/>
          <w:bCs/>
        </w:rPr>
        <w:t>Srikrishna Committee Report (2017)</w:t>
      </w:r>
      <w:r>
        <w:t xml:space="preserve"> the institutional provisions of the 2019 Amendment — both advisory.</w:t>
      </w:r>
    </w:p>
    <w:p w14:paraId="0E7BB057" w14:textId="77777777" w:rsidR="00004105" w:rsidRDefault="00000000">
      <w:pPr>
        <w:pStyle w:val="Heading2"/>
        <w:keepNext/>
        <w:spacing w:before="240" w:after="110"/>
      </w:pPr>
      <w:bookmarkStart w:id="66" w:name="_Toc240747401"/>
      <w:r>
        <w:t>12.4  One development beyond these topics, worth knowing</w:t>
      </w:r>
      <w:bookmarkEnd w:id="66"/>
    </w:p>
    <w:p w14:paraId="3A28C462" w14:textId="77777777" w:rsidR="00004105" w:rsidRDefault="00000000">
      <w:pPr>
        <w:spacing w:after="110"/>
        <w:jc w:val="both"/>
      </w:pPr>
      <w:r>
        <w:t xml:space="preserve">The proposition repeated throughout the course — no recourse on the merits, and even an erroneous award must be enforced — remains the rule, but there is now a narrow exception. </w:t>
      </w:r>
      <w:r>
        <w:rPr>
          <w:i/>
          <w:iCs/>
        </w:rPr>
        <w:t>Gayatri Balasamy v. ISG Novasoft Technologies Ltd.</w:t>
      </w:r>
      <w:r>
        <w:t xml:space="preserve">, 2025 INSC 605 (SC, Constitution Bench of 5, 30 April 2025, 4:1, Viswanathan J. dissenting), recognises a </w:t>
      </w:r>
      <w:r>
        <w:rPr>
          <w:b/>
          <w:bCs/>
        </w:rPr>
        <w:t>limited</w:t>
      </w:r>
      <w:r>
        <w:t xml:space="preserve"> power to modify an award under ss. 34 and 37: severing invalid from valid portions of a severable award; correcting clerical, computational, typographical and other manifest errors on the face of the record; modifying post-award interest; and, in the Supreme Court alone and sparingly, under Art. 142.</w:t>
      </w:r>
    </w:p>
    <w:p w14:paraId="4902C815" w14:textId="77777777" w:rsidR="00004105" w:rsidRDefault="00000000">
      <w:r>
        <w:br w:type="page"/>
      </w:r>
    </w:p>
    <w:p w14:paraId="0AC2975D" w14:textId="77777777" w:rsidR="00004105" w:rsidRDefault="00000000">
      <w:pPr>
        <w:pStyle w:val="Heading1"/>
        <w:keepNext/>
        <w:pBdr>
          <w:top w:val="single" w:sz="8" w:space="10" w:color="999999"/>
        </w:pBdr>
        <w:spacing w:before="460" w:after="170"/>
      </w:pPr>
      <w:bookmarkStart w:id="67" w:name="_Toc240747402"/>
      <w:r>
        <w:lastRenderedPageBreak/>
        <w:t>Table of Cases</w:t>
      </w:r>
      <w:bookmarkEnd w:id="67"/>
    </w:p>
    <w:tbl>
      <w:tblPr>
        <w:tblW w:w="8850" w:type="dxa"/>
        <w:tblBorders>
          <w:top w:val="single" w:sz="3" w:space="0" w:color="8A8A8A"/>
          <w:left w:val="single" w:sz="3" w:space="0" w:color="8A8A8A"/>
          <w:bottom w:val="single" w:sz="3" w:space="0" w:color="8A8A8A"/>
          <w:right w:val="single" w:sz="3" w:space="0" w:color="8A8A8A"/>
          <w:insideH w:val="single" w:sz="2" w:space="0" w:color="C4C4C4"/>
          <w:insideV w:val="single" w:sz="2" w:space="0" w:color="C4C4C4"/>
        </w:tblBorders>
        <w:tblCellMar>
          <w:left w:w="10" w:type="dxa"/>
          <w:right w:w="10" w:type="dxa"/>
        </w:tblCellMar>
        <w:tblLook w:val="0000" w:firstRow="0" w:lastRow="0" w:firstColumn="0" w:lastColumn="0" w:noHBand="0" w:noVBand="0"/>
      </w:tblPr>
      <w:tblGrid>
        <w:gridCol w:w="3350"/>
        <w:gridCol w:w="2800"/>
        <w:gridCol w:w="2700"/>
      </w:tblGrid>
      <w:tr w:rsidR="00004105" w14:paraId="148B6F56" w14:textId="77777777">
        <w:tblPrEx>
          <w:tblCellMar>
            <w:top w:w="0" w:type="dxa"/>
            <w:bottom w:w="0" w:type="dxa"/>
          </w:tblCellMar>
        </w:tblPrEx>
        <w:trPr>
          <w:tblHeader/>
        </w:trPr>
        <w:tc>
          <w:tcPr>
            <w:tcW w:w="3350" w:type="dxa"/>
            <w:shd w:val="clear" w:color="auto" w:fill="EDEDED"/>
            <w:tcMar>
              <w:top w:w="70" w:type="dxa"/>
              <w:left w:w="110" w:type="dxa"/>
              <w:bottom w:w="70" w:type="dxa"/>
              <w:right w:w="110" w:type="dxa"/>
            </w:tcMar>
          </w:tcPr>
          <w:p w14:paraId="66357412" w14:textId="77777777" w:rsidR="00004105" w:rsidRDefault="00000000">
            <w:pPr>
              <w:spacing w:line="244" w:lineRule="auto"/>
            </w:pPr>
            <w:r>
              <w:rPr>
                <w:b/>
                <w:bCs/>
                <w:sz w:val="19"/>
                <w:szCs w:val="19"/>
              </w:rPr>
              <w:t>Case</w:t>
            </w:r>
          </w:p>
        </w:tc>
        <w:tc>
          <w:tcPr>
            <w:tcW w:w="2800" w:type="dxa"/>
            <w:shd w:val="clear" w:color="auto" w:fill="EDEDED"/>
            <w:tcMar>
              <w:top w:w="70" w:type="dxa"/>
              <w:left w:w="110" w:type="dxa"/>
              <w:bottom w:w="70" w:type="dxa"/>
              <w:right w:w="110" w:type="dxa"/>
            </w:tcMar>
          </w:tcPr>
          <w:p w14:paraId="2BB2B39A" w14:textId="77777777" w:rsidR="00004105" w:rsidRDefault="00000000">
            <w:pPr>
              <w:spacing w:line="244" w:lineRule="auto"/>
            </w:pPr>
            <w:r>
              <w:rPr>
                <w:b/>
                <w:bCs/>
                <w:sz w:val="19"/>
                <w:szCs w:val="19"/>
              </w:rPr>
              <w:t>Citation</w:t>
            </w:r>
          </w:p>
        </w:tc>
        <w:tc>
          <w:tcPr>
            <w:tcW w:w="2700" w:type="dxa"/>
            <w:shd w:val="clear" w:color="auto" w:fill="EDEDED"/>
            <w:tcMar>
              <w:top w:w="70" w:type="dxa"/>
              <w:left w:w="110" w:type="dxa"/>
              <w:bottom w:w="70" w:type="dxa"/>
              <w:right w:w="110" w:type="dxa"/>
            </w:tcMar>
          </w:tcPr>
          <w:p w14:paraId="01A0E55A" w14:textId="77777777" w:rsidR="00004105" w:rsidRDefault="00000000">
            <w:pPr>
              <w:spacing w:line="244" w:lineRule="auto"/>
            </w:pPr>
            <w:r>
              <w:rPr>
                <w:b/>
                <w:bCs/>
                <w:sz w:val="19"/>
                <w:szCs w:val="19"/>
              </w:rPr>
              <w:t>Topic</w:t>
            </w:r>
          </w:p>
        </w:tc>
      </w:tr>
      <w:tr w:rsidR="00004105" w14:paraId="59B04683" w14:textId="77777777">
        <w:tblPrEx>
          <w:tblCellMar>
            <w:top w:w="0" w:type="dxa"/>
            <w:bottom w:w="0" w:type="dxa"/>
          </w:tblCellMar>
        </w:tblPrEx>
        <w:tc>
          <w:tcPr>
            <w:tcW w:w="3350" w:type="dxa"/>
            <w:tcMar>
              <w:top w:w="70" w:type="dxa"/>
              <w:left w:w="110" w:type="dxa"/>
              <w:bottom w:w="70" w:type="dxa"/>
              <w:right w:w="110" w:type="dxa"/>
            </w:tcMar>
          </w:tcPr>
          <w:p w14:paraId="443AEE37" w14:textId="77777777" w:rsidR="00004105" w:rsidRDefault="00000000">
            <w:pPr>
              <w:spacing w:line="244" w:lineRule="auto"/>
            </w:pPr>
            <w:r>
              <w:rPr>
                <w:sz w:val="19"/>
                <w:szCs w:val="19"/>
              </w:rPr>
              <w:t>BALCO (Bharat Aluminium Co. v. Kaiser Aluminium Technical Services Inc.)</w:t>
            </w:r>
          </w:p>
        </w:tc>
        <w:tc>
          <w:tcPr>
            <w:tcW w:w="2800" w:type="dxa"/>
            <w:tcMar>
              <w:top w:w="70" w:type="dxa"/>
              <w:left w:w="110" w:type="dxa"/>
              <w:bottom w:w="70" w:type="dxa"/>
              <w:right w:w="110" w:type="dxa"/>
            </w:tcMar>
          </w:tcPr>
          <w:p w14:paraId="23D18D42" w14:textId="77777777" w:rsidR="00004105" w:rsidRDefault="00000000">
            <w:pPr>
              <w:spacing w:line="244" w:lineRule="auto"/>
            </w:pPr>
            <w:r>
              <w:rPr>
                <w:sz w:val="19"/>
                <w:szCs w:val="19"/>
              </w:rPr>
              <w:t>(2012) 9 SCC 552 (CB of 5, 6 Sept 2012)</w:t>
            </w:r>
          </w:p>
        </w:tc>
        <w:tc>
          <w:tcPr>
            <w:tcW w:w="2700" w:type="dxa"/>
            <w:tcMar>
              <w:top w:w="70" w:type="dxa"/>
              <w:left w:w="110" w:type="dxa"/>
              <w:bottom w:w="70" w:type="dxa"/>
              <w:right w:w="110" w:type="dxa"/>
            </w:tcMar>
          </w:tcPr>
          <w:p w14:paraId="3924F3F8" w14:textId="77777777" w:rsidR="00004105" w:rsidRDefault="00000000">
            <w:pPr>
              <w:spacing w:line="244" w:lineRule="auto"/>
            </w:pPr>
            <w:r>
              <w:rPr>
                <w:sz w:val="19"/>
                <w:szCs w:val="19"/>
              </w:rPr>
              <w:t>1.6 — Part I; seat-centric</w:t>
            </w:r>
          </w:p>
        </w:tc>
      </w:tr>
      <w:tr w:rsidR="00004105" w14:paraId="7DB6020B" w14:textId="77777777">
        <w:tblPrEx>
          <w:tblCellMar>
            <w:top w:w="0" w:type="dxa"/>
            <w:bottom w:w="0" w:type="dxa"/>
          </w:tblCellMar>
        </w:tblPrEx>
        <w:tc>
          <w:tcPr>
            <w:tcW w:w="3350" w:type="dxa"/>
            <w:tcMar>
              <w:top w:w="70" w:type="dxa"/>
              <w:left w:w="110" w:type="dxa"/>
              <w:bottom w:w="70" w:type="dxa"/>
              <w:right w:w="110" w:type="dxa"/>
            </w:tcMar>
          </w:tcPr>
          <w:p w14:paraId="5A8DEC20" w14:textId="77777777" w:rsidR="00004105" w:rsidRDefault="00000000">
            <w:pPr>
              <w:spacing w:line="244" w:lineRule="auto"/>
            </w:pPr>
            <w:r>
              <w:rPr>
                <w:sz w:val="19"/>
                <w:szCs w:val="19"/>
              </w:rPr>
              <w:t>Bharat Broadband Network Ltd. v. United Telecoms Ltd.</w:t>
            </w:r>
          </w:p>
        </w:tc>
        <w:tc>
          <w:tcPr>
            <w:tcW w:w="2800" w:type="dxa"/>
            <w:tcMar>
              <w:top w:w="70" w:type="dxa"/>
              <w:left w:w="110" w:type="dxa"/>
              <w:bottom w:w="70" w:type="dxa"/>
              <w:right w:w="110" w:type="dxa"/>
            </w:tcMar>
          </w:tcPr>
          <w:p w14:paraId="11A86DFB" w14:textId="77777777" w:rsidR="00004105" w:rsidRDefault="00000000">
            <w:pPr>
              <w:spacing w:line="244" w:lineRule="auto"/>
            </w:pPr>
            <w:r>
              <w:rPr>
                <w:sz w:val="19"/>
                <w:szCs w:val="19"/>
              </w:rPr>
              <w:t>(2019) 5 SCC 755; 2019 INSC 537</w:t>
            </w:r>
          </w:p>
        </w:tc>
        <w:tc>
          <w:tcPr>
            <w:tcW w:w="2700" w:type="dxa"/>
            <w:tcMar>
              <w:top w:w="70" w:type="dxa"/>
              <w:left w:w="110" w:type="dxa"/>
              <w:bottom w:w="70" w:type="dxa"/>
              <w:right w:w="110" w:type="dxa"/>
            </w:tcMar>
          </w:tcPr>
          <w:p w14:paraId="058FEE4F" w14:textId="77777777" w:rsidR="00004105" w:rsidRDefault="00000000">
            <w:pPr>
              <w:spacing w:line="244" w:lineRule="auto"/>
            </w:pPr>
            <w:r>
              <w:rPr>
                <w:sz w:val="19"/>
                <w:szCs w:val="19"/>
              </w:rPr>
              <w:t>8.4 — s. 12(5); 9.1 — s. 14</w:t>
            </w:r>
          </w:p>
        </w:tc>
      </w:tr>
      <w:tr w:rsidR="00004105" w14:paraId="6418008D" w14:textId="77777777">
        <w:tblPrEx>
          <w:tblCellMar>
            <w:top w:w="0" w:type="dxa"/>
            <w:bottom w:w="0" w:type="dxa"/>
          </w:tblCellMar>
        </w:tblPrEx>
        <w:tc>
          <w:tcPr>
            <w:tcW w:w="3350" w:type="dxa"/>
            <w:tcMar>
              <w:top w:w="70" w:type="dxa"/>
              <w:left w:w="110" w:type="dxa"/>
              <w:bottom w:w="70" w:type="dxa"/>
              <w:right w:w="110" w:type="dxa"/>
            </w:tcMar>
          </w:tcPr>
          <w:p w14:paraId="4A796CC9" w14:textId="77777777" w:rsidR="00004105" w:rsidRDefault="00000000">
            <w:pPr>
              <w:spacing w:line="244" w:lineRule="auto"/>
            </w:pPr>
            <w:r>
              <w:rPr>
                <w:sz w:val="19"/>
                <w:szCs w:val="19"/>
              </w:rPr>
              <w:t>Bhatia International v. Bulk Trading S.A.</w:t>
            </w:r>
          </w:p>
        </w:tc>
        <w:tc>
          <w:tcPr>
            <w:tcW w:w="2800" w:type="dxa"/>
            <w:tcMar>
              <w:top w:w="70" w:type="dxa"/>
              <w:left w:w="110" w:type="dxa"/>
              <w:bottom w:w="70" w:type="dxa"/>
              <w:right w:w="110" w:type="dxa"/>
            </w:tcMar>
          </w:tcPr>
          <w:p w14:paraId="2F4F408C" w14:textId="77777777" w:rsidR="00004105" w:rsidRDefault="00000000">
            <w:pPr>
              <w:spacing w:line="244" w:lineRule="auto"/>
            </w:pPr>
            <w:r>
              <w:rPr>
                <w:sz w:val="19"/>
                <w:szCs w:val="19"/>
              </w:rPr>
              <w:t>(2002) 4 SCC 105 (3 Judges)</w:t>
            </w:r>
          </w:p>
        </w:tc>
        <w:tc>
          <w:tcPr>
            <w:tcW w:w="2700" w:type="dxa"/>
            <w:tcMar>
              <w:top w:w="70" w:type="dxa"/>
              <w:left w:w="110" w:type="dxa"/>
              <w:bottom w:w="70" w:type="dxa"/>
              <w:right w:w="110" w:type="dxa"/>
            </w:tcMar>
          </w:tcPr>
          <w:p w14:paraId="0E6C196C" w14:textId="77777777" w:rsidR="00004105" w:rsidRDefault="00000000">
            <w:pPr>
              <w:spacing w:line="244" w:lineRule="auto"/>
            </w:pPr>
            <w:r>
              <w:rPr>
                <w:sz w:val="19"/>
                <w:szCs w:val="19"/>
              </w:rPr>
              <w:t>1.6 — overruled</w:t>
            </w:r>
          </w:p>
        </w:tc>
      </w:tr>
      <w:tr w:rsidR="00004105" w14:paraId="6C7309D3" w14:textId="77777777">
        <w:tblPrEx>
          <w:tblCellMar>
            <w:top w:w="0" w:type="dxa"/>
            <w:bottom w:w="0" w:type="dxa"/>
          </w:tblCellMar>
        </w:tblPrEx>
        <w:tc>
          <w:tcPr>
            <w:tcW w:w="3350" w:type="dxa"/>
            <w:tcMar>
              <w:top w:w="70" w:type="dxa"/>
              <w:left w:w="110" w:type="dxa"/>
              <w:bottom w:w="70" w:type="dxa"/>
              <w:right w:w="110" w:type="dxa"/>
            </w:tcMar>
          </w:tcPr>
          <w:p w14:paraId="07DA0388" w14:textId="77777777" w:rsidR="00004105" w:rsidRDefault="00000000">
            <w:pPr>
              <w:spacing w:line="244" w:lineRule="auto"/>
            </w:pPr>
            <w:r>
              <w:rPr>
                <w:sz w:val="19"/>
                <w:szCs w:val="19"/>
              </w:rPr>
              <w:t>Booz Allen &amp; Hamilton Inc. v. SBI Home Finance Ltd.</w:t>
            </w:r>
          </w:p>
        </w:tc>
        <w:tc>
          <w:tcPr>
            <w:tcW w:w="2800" w:type="dxa"/>
            <w:tcMar>
              <w:top w:w="70" w:type="dxa"/>
              <w:left w:w="110" w:type="dxa"/>
              <w:bottom w:w="70" w:type="dxa"/>
              <w:right w:w="110" w:type="dxa"/>
            </w:tcMar>
          </w:tcPr>
          <w:p w14:paraId="51C637DF" w14:textId="77777777" w:rsidR="00004105" w:rsidRDefault="00000000">
            <w:pPr>
              <w:spacing w:line="244" w:lineRule="auto"/>
            </w:pPr>
            <w:r>
              <w:rPr>
                <w:sz w:val="19"/>
                <w:szCs w:val="19"/>
              </w:rPr>
              <w:t>(2011) 5 SCC 532</w:t>
            </w:r>
          </w:p>
        </w:tc>
        <w:tc>
          <w:tcPr>
            <w:tcW w:w="2700" w:type="dxa"/>
            <w:tcMar>
              <w:top w:w="70" w:type="dxa"/>
              <w:left w:w="110" w:type="dxa"/>
              <w:bottom w:w="70" w:type="dxa"/>
              <w:right w:w="110" w:type="dxa"/>
            </w:tcMar>
          </w:tcPr>
          <w:p w14:paraId="3C5A3A15" w14:textId="77777777" w:rsidR="00004105" w:rsidRDefault="00000000">
            <w:pPr>
              <w:spacing w:line="244" w:lineRule="auto"/>
            </w:pPr>
            <w:r>
              <w:rPr>
                <w:sz w:val="19"/>
                <w:szCs w:val="19"/>
              </w:rPr>
              <w:t>3.5 — non-arbitrability</w:t>
            </w:r>
          </w:p>
        </w:tc>
      </w:tr>
      <w:tr w:rsidR="00004105" w14:paraId="7D370A07" w14:textId="77777777">
        <w:tblPrEx>
          <w:tblCellMar>
            <w:top w:w="0" w:type="dxa"/>
            <w:bottom w:w="0" w:type="dxa"/>
          </w:tblCellMar>
        </w:tblPrEx>
        <w:tc>
          <w:tcPr>
            <w:tcW w:w="3350" w:type="dxa"/>
            <w:tcMar>
              <w:top w:w="70" w:type="dxa"/>
              <w:left w:w="110" w:type="dxa"/>
              <w:bottom w:w="70" w:type="dxa"/>
              <w:right w:w="110" w:type="dxa"/>
            </w:tcMar>
          </w:tcPr>
          <w:p w14:paraId="144CC776" w14:textId="77777777" w:rsidR="00004105" w:rsidRDefault="00000000">
            <w:pPr>
              <w:spacing w:line="244" w:lineRule="auto"/>
            </w:pPr>
            <w:r>
              <w:rPr>
                <w:sz w:val="19"/>
                <w:szCs w:val="19"/>
              </w:rPr>
              <w:t>CORE-I (Central Organisation for Rly Electrification v. ECI-SPIC-SMO-MCML)</w:t>
            </w:r>
          </w:p>
        </w:tc>
        <w:tc>
          <w:tcPr>
            <w:tcW w:w="2800" w:type="dxa"/>
            <w:tcMar>
              <w:top w:w="70" w:type="dxa"/>
              <w:left w:w="110" w:type="dxa"/>
              <w:bottom w:w="70" w:type="dxa"/>
              <w:right w:w="110" w:type="dxa"/>
            </w:tcMar>
          </w:tcPr>
          <w:p w14:paraId="608CAB3E" w14:textId="77777777" w:rsidR="00004105" w:rsidRDefault="00000000">
            <w:pPr>
              <w:spacing w:line="244" w:lineRule="auto"/>
            </w:pPr>
            <w:r>
              <w:rPr>
                <w:sz w:val="19"/>
                <w:szCs w:val="19"/>
              </w:rPr>
              <w:t>(2020) 14 SCC 712 (3 Judges)</w:t>
            </w:r>
          </w:p>
        </w:tc>
        <w:tc>
          <w:tcPr>
            <w:tcW w:w="2700" w:type="dxa"/>
            <w:tcMar>
              <w:top w:w="70" w:type="dxa"/>
              <w:left w:w="110" w:type="dxa"/>
              <w:bottom w:w="70" w:type="dxa"/>
              <w:right w:w="110" w:type="dxa"/>
            </w:tcMar>
          </w:tcPr>
          <w:p w14:paraId="0F925E44" w14:textId="77777777" w:rsidR="00004105" w:rsidRDefault="00000000">
            <w:pPr>
              <w:spacing w:line="244" w:lineRule="auto"/>
            </w:pPr>
            <w:r>
              <w:rPr>
                <w:sz w:val="19"/>
                <w:szCs w:val="19"/>
              </w:rPr>
              <w:t>8.5 — overruled</w:t>
            </w:r>
          </w:p>
        </w:tc>
      </w:tr>
      <w:tr w:rsidR="00004105" w14:paraId="1EDA7184" w14:textId="77777777">
        <w:tblPrEx>
          <w:tblCellMar>
            <w:top w:w="0" w:type="dxa"/>
            <w:bottom w:w="0" w:type="dxa"/>
          </w:tblCellMar>
        </w:tblPrEx>
        <w:tc>
          <w:tcPr>
            <w:tcW w:w="3350" w:type="dxa"/>
            <w:tcMar>
              <w:top w:w="70" w:type="dxa"/>
              <w:left w:w="110" w:type="dxa"/>
              <w:bottom w:w="70" w:type="dxa"/>
              <w:right w:w="110" w:type="dxa"/>
            </w:tcMar>
          </w:tcPr>
          <w:p w14:paraId="438898A4" w14:textId="77777777" w:rsidR="00004105" w:rsidRDefault="00000000">
            <w:pPr>
              <w:spacing w:line="244" w:lineRule="auto"/>
            </w:pPr>
            <w:r>
              <w:rPr>
                <w:sz w:val="19"/>
                <w:szCs w:val="19"/>
              </w:rPr>
              <w:t>CORE-II (Central Organisation for Rly Electrification v. ECI-SPIC-SMO-MCML)</w:t>
            </w:r>
          </w:p>
        </w:tc>
        <w:tc>
          <w:tcPr>
            <w:tcW w:w="2800" w:type="dxa"/>
            <w:tcMar>
              <w:top w:w="70" w:type="dxa"/>
              <w:left w:w="110" w:type="dxa"/>
              <w:bottom w:w="70" w:type="dxa"/>
              <w:right w:w="110" w:type="dxa"/>
            </w:tcMar>
          </w:tcPr>
          <w:p w14:paraId="6A54AD35" w14:textId="77777777" w:rsidR="00004105" w:rsidRDefault="00000000">
            <w:pPr>
              <w:spacing w:line="244" w:lineRule="auto"/>
            </w:pPr>
            <w:r>
              <w:rPr>
                <w:sz w:val="19"/>
                <w:szCs w:val="19"/>
              </w:rPr>
              <w:t>2024 INSC 857; 2024 SCC OnLine SC 3219 (CB of 5, 8 Nov 2024)</w:t>
            </w:r>
          </w:p>
        </w:tc>
        <w:tc>
          <w:tcPr>
            <w:tcW w:w="2700" w:type="dxa"/>
            <w:tcMar>
              <w:top w:w="70" w:type="dxa"/>
              <w:left w:w="110" w:type="dxa"/>
              <w:bottom w:w="70" w:type="dxa"/>
              <w:right w:w="110" w:type="dxa"/>
            </w:tcMar>
          </w:tcPr>
          <w:p w14:paraId="4D85BE18" w14:textId="77777777" w:rsidR="00004105" w:rsidRDefault="00000000">
            <w:pPr>
              <w:spacing w:line="244" w:lineRule="auto"/>
            </w:pPr>
            <w:r>
              <w:rPr>
                <w:sz w:val="19"/>
                <w:szCs w:val="19"/>
              </w:rPr>
              <w:t>8.5 — unilateral appointment; Art. 14</w:t>
            </w:r>
          </w:p>
        </w:tc>
      </w:tr>
      <w:tr w:rsidR="00004105" w14:paraId="09832FC3" w14:textId="77777777">
        <w:tblPrEx>
          <w:tblCellMar>
            <w:top w:w="0" w:type="dxa"/>
            <w:bottom w:w="0" w:type="dxa"/>
          </w:tblCellMar>
        </w:tblPrEx>
        <w:tc>
          <w:tcPr>
            <w:tcW w:w="3350" w:type="dxa"/>
            <w:tcMar>
              <w:top w:w="70" w:type="dxa"/>
              <w:left w:w="110" w:type="dxa"/>
              <w:bottom w:w="70" w:type="dxa"/>
              <w:right w:w="110" w:type="dxa"/>
            </w:tcMar>
          </w:tcPr>
          <w:p w14:paraId="3D41A3C7" w14:textId="77777777" w:rsidR="00004105" w:rsidRDefault="00000000">
            <w:pPr>
              <w:spacing w:line="244" w:lineRule="auto"/>
            </w:pPr>
            <w:r>
              <w:rPr>
                <w:sz w:val="19"/>
                <w:szCs w:val="19"/>
              </w:rPr>
              <w:t>Chagos MPA Arbitration (Mauritius v. UK) — Decision on Challenge</w:t>
            </w:r>
          </w:p>
        </w:tc>
        <w:tc>
          <w:tcPr>
            <w:tcW w:w="2800" w:type="dxa"/>
            <w:tcMar>
              <w:top w:w="70" w:type="dxa"/>
              <w:left w:w="110" w:type="dxa"/>
              <w:bottom w:w="70" w:type="dxa"/>
              <w:right w:w="110" w:type="dxa"/>
            </w:tcMar>
          </w:tcPr>
          <w:p w14:paraId="1A34E66E" w14:textId="77777777" w:rsidR="00004105" w:rsidRDefault="00000000">
            <w:pPr>
              <w:spacing w:line="244" w:lineRule="auto"/>
            </w:pPr>
            <w:r>
              <w:rPr>
                <w:sz w:val="19"/>
                <w:szCs w:val="19"/>
              </w:rPr>
              <w:t>PCA Case No. 2011-03, 30 Nov 2011</w:t>
            </w:r>
          </w:p>
        </w:tc>
        <w:tc>
          <w:tcPr>
            <w:tcW w:w="2700" w:type="dxa"/>
            <w:tcMar>
              <w:top w:w="70" w:type="dxa"/>
              <w:left w:w="110" w:type="dxa"/>
              <w:bottom w:w="70" w:type="dxa"/>
              <w:right w:w="110" w:type="dxa"/>
            </w:tcMar>
          </w:tcPr>
          <w:p w14:paraId="7A78DB54" w14:textId="77777777" w:rsidR="00004105" w:rsidRDefault="00000000">
            <w:pPr>
              <w:spacing w:line="244" w:lineRule="auto"/>
            </w:pPr>
            <w:r>
              <w:rPr>
                <w:sz w:val="19"/>
                <w:szCs w:val="19"/>
              </w:rPr>
              <w:t>8.3 — justifiable doubts</w:t>
            </w:r>
          </w:p>
        </w:tc>
      </w:tr>
      <w:tr w:rsidR="00004105" w14:paraId="77102D90" w14:textId="77777777">
        <w:tblPrEx>
          <w:tblCellMar>
            <w:top w:w="0" w:type="dxa"/>
            <w:bottom w:w="0" w:type="dxa"/>
          </w:tblCellMar>
        </w:tblPrEx>
        <w:tc>
          <w:tcPr>
            <w:tcW w:w="3350" w:type="dxa"/>
            <w:tcMar>
              <w:top w:w="70" w:type="dxa"/>
              <w:left w:w="110" w:type="dxa"/>
              <w:bottom w:w="70" w:type="dxa"/>
              <w:right w:w="110" w:type="dxa"/>
            </w:tcMar>
          </w:tcPr>
          <w:p w14:paraId="08CC0444" w14:textId="77777777" w:rsidR="00004105" w:rsidRDefault="00000000">
            <w:pPr>
              <w:spacing w:line="244" w:lineRule="auto"/>
            </w:pPr>
            <w:r>
              <w:rPr>
                <w:sz w:val="19"/>
                <w:szCs w:val="19"/>
              </w:rPr>
              <w:t>Cox and Kings Ltd. v. SAP India Pvt. Ltd.</w:t>
            </w:r>
          </w:p>
        </w:tc>
        <w:tc>
          <w:tcPr>
            <w:tcW w:w="2800" w:type="dxa"/>
            <w:tcMar>
              <w:top w:w="70" w:type="dxa"/>
              <w:left w:w="110" w:type="dxa"/>
              <w:bottom w:w="70" w:type="dxa"/>
              <w:right w:w="110" w:type="dxa"/>
            </w:tcMar>
          </w:tcPr>
          <w:p w14:paraId="15CC4F91" w14:textId="77777777" w:rsidR="00004105" w:rsidRDefault="00000000">
            <w:pPr>
              <w:spacing w:line="244" w:lineRule="auto"/>
            </w:pPr>
            <w:r>
              <w:rPr>
                <w:sz w:val="19"/>
                <w:szCs w:val="19"/>
              </w:rPr>
              <w:t>2023 INSC 1051 (CB of 5, 6 Dec 2023)</w:t>
            </w:r>
          </w:p>
        </w:tc>
        <w:tc>
          <w:tcPr>
            <w:tcW w:w="2700" w:type="dxa"/>
            <w:tcMar>
              <w:top w:w="70" w:type="dxa"/>
              <w:left w:w="110" w:type="dxa"/>
              <w:bottom w:w="70" w:type="dxa"/>
              <w:right w:w="110" w:type="dxa"/>
            </w:tcMar>
          </w:tcPr>
          <w:p w14:paraId="5A151D41" w14:textId="77777777" w:rsidR="00004105" w:rsidRDefault="00000000">
            <w:pPr>
              <w:spacing w:line="244" w:lineRule="auto"/>
            </w:pPr>
            <w:r>
              <w:rPr>
                <w:sz w:val="19"/>
                <w:szCs w:val="19"/>
              </w:rPr>
              <w:t>4.3 — non-signatories</w:t>
            </w:r>
          </w:p>
        </w:tc>
      </w:tr>
      <w:tr w:rsidR="00004105" w14:paraId="70471CDD" w14:textId="77777777">
        <w:tblPrEx>
          <w:tblCellMar>
            <w:top w:w="0" w:type="dxa"/>
            <w:bottom w:w="0" w:type="dxa"/>
          </w:tblCellMar>
        </w:tblPrEx>
        <w:tc>
          <w:tcPr>
            <w:tcW w:w="3350" w:type="dxa"/>
            <w:tcMar>
              <w:top w:w="70" w:type="dxa"/>
              <w:left w:w="110" w:type="dxa"/>
              <w:bottom w:w="70" w:type="dxa"/>
              <w:right w:w="110" w:type="dxa"/>
            </w:tcMar>
          </w:tcPr>
          <w:p w14:paraId="42B0DD2E" w14:textId="77777777" w:rsidR="00004105" w:rsidRDefault="00000000">
            <w:pPr>
              <w:spacing w:line="244" w:lineRule="auto"/>
            </w:pPr>
            <w:r>
              <w:rPr>
                <w:sz w:val="19"/>
                <w:szCs w:val="19"/>
              </w:rPr>
              <w:t>Duro Felguera S.A. v. Gangavaram Port Ltd.</w:t>
            </w:r>
          </w:p>
        </w:tc>
        <w:tc>
          <w:tcPr>
            <w:tcW w:w="2800" w:type="dxa"/>
            <w:tcMar>
              <w:top w:w="70" w:type="dxa"/>
              <w:left w:w="110" w:type="dxa"/>
              <w:bottom w:w="70" w:type="dxa"/>
              <w:right w:w="110" w:type="dxa"/>
            </w:tcMar>
          </w:tcPr>
          <w:p w14:paraId="16220EE5" w14:textId="77777777" w:rsidR="00004105" w:rsidRDefault="00000000">
            <w:pPr>
              <w:spacing w:line="244" w:lineRule="auto"/>
            </w:pPr>
            <w:r>
              <w:rPr>
                <w:sz w:val="19"/>
                <w:szCs w:val="19"/>
              </w:rPr>
              <w:t>(2017) 9 SCC 729</w:t>
            </w:r>
          </w:p>
        </w:tc>
        <w:tc>
          <w:tcPr>
            <w:tcW w:w="2700" w:type="dxa"/>
            <w:tcMar>
              <w:top w:w="70" w:type="dxa"/>
              <w:left w:w="110" w:type="dxa"/>
              <w:bottom w:w="70" w:type="dxa"/>
              <w:right w:w="110" w:type="dxa"/>
            </w:tcMar>
          </w:tcPr>
          <w:p w14:paraId="33A23139" w14:textId="77777777" w:rsidR="00004105" w:rsidRDefault="00000000">
            <w:pPr>
              <w:spacing w:line="244" w:lineRule="auto"/>
            </w:pPr>
            <w:r>
              <w:rPr>
                <w:sz w:val="19"/>
                <w:szCs w:val="19"/>
              </w:rPr>
              <w:t>7.4 — s. 11(6A)</w:t>
            </w:r>
          </w:p>
        </w:tc>
      </w:tr>
      <w:tr w:rsidR="00004105" w14:paraId="617DC405" w14:textId="77777777">
        <w:tblPrEx>
          <w:tblCellMar>
            <w:top w:w="0" w:type="dxa"/>
            <w:bottom w:w="0" w:type="dxa"/>
          </w:tblCellMar>
        </w:tblPrEx>
        <w:tc>
          <w:tcPr>
            <w:tcW w:w="3350" w:type="dxa"/>
            <w:tcMar>
              <w:top w:w="70" w:type="dxa"/>
              <w:left w:w="110" w:type="dxa"/>
              <w:bottom w:w="70" w:type="dxa"/>
              <w:right w:w="110" w:type="dxa"/>
            </w:tcMar>
          </w:tcPr>
          <w:p w14:paraId="732B3D39" w14:textId="77777777" w:rsidR="00004105" w:rsidRDefault="00000000">
            <w:pPr>
              <w:spacing w:line="244" w:lineRule="auto"/>
            </w:pPr>
            <w:r>
              <w:rPr>
                <w:sz w:val="19"/>
                <w:szCs w:val="19"/>
              </w:rPr>
              <w:t>Emaar MGF Land Ltd. v. Aftab Singh</w:t>
            </w:r>
          </w:p>
        </w:tc>
        <w:tc>
          <w:tcPr>
            <w:tcW w:w="2800" w:type="dxa"/>
            <w:tcMar>
              <w:top w:w="70" w:type="dxa"/>
              <w:left w:w="110" w:type="dxa"/>
              <w:bottom w:w="70" w:type="dxa"/>
              <w:right w:w="110" w:type="dxa"/>
            </w:tcMar>
          </w:tcPr>
          <w:p w14:paraId="5CD8A5F9" w14:textId="77777777" w:rsidR="00004105" w:rsidRDefault="00000000">
            <w:pPr>
              <w:spacing w:line="244" w:lineRule="auto"/>
            </w:pPr>
            <w:r>
              <w:rPr>
                <w:sz w:val="19"/>
                <w:szCs w:val="19"/>
              </w:rPr>
              <w:t>(2019) 12 SCC 751; 2018 SCC OnLine SC 2771</w:t>
            </w:r>
          </w:p>
        </w:tc>
        <w:tc>
          <w:tcPr>
            <w:tcW w:w="2700" w:type="dxa"/>
            <w:tcMar>
              <w:top w:w="70" w:type="dxa"/>
              <w:left w:w="110" w:type="dxa"/>
              <w:bottom w:w="70" w:type="dxa"/>
              <w:right w:w="110" w:type="dxa"/>
            </w:tcMar>
          </w:tcPr>
          <w:p w14:paraId="7E641B71" w14:textId="77777777" w:rsidR="00004105" w:rsidRDefault="00000000">
            <w:pPr>
              <w:spacing w:line="244" w:lineRule="auto"/>
            </w:pPr>
            <w:r>
              <w:rPr>
                <w:sz w:val="19"/>
                <w:szCs w:val="19"/>
              </w:rPr>
              <w:t>3.5 — s. 8; consumer disputes</w:t>
            </w:r>
          </w:p>
        </w:tc>
      </w:tr>
      <w:tr w:rsidR="00004105" w14:paraId="4E89902D" w14:textId="77777777">
        <w:tblPrEx>
          <w:tblCellMar>
            <w:top w:w="0" w:type="dxa"/>
            <w:bottom w:w="0" w:type="dxa"/>
          </w:tblCellMar>
        </w:tblPrEx>
        <w:tc>
          <w:tcPr>
            <w:tcW w:w="3350" w:type="dxa"/>
            <w:tcMar>
              <w:top w:w="70" w:type="dxa"/>
              <w:left w:w="110" w:type="dxa"/>
              <w:bottom w:w="70" w:type="dxa"/>
              <w:right w:w="110" w:type="dxa"/>
            </w:tcMar>
          </w:tcPr>
          <w:p w14:paraId="30D5EB54" w14:textId="77777777" w:rsidR="00004105" w:rsidRDefault="00000000">
            <w:pPr>
              <w:spacing w:line="244" w:lineRule="auto"/>
            </w:pPr>
            <w:r>
              <w:rPr>
                <w:sz w:val="19"/>
                <w:szCs w:val="19"/>
              </w:rPr>
              <w:t>Firm Ashok Traders v. Gurumukh Das Saluja</w:t>
            </w:r>
          </w:p>
        </w:tc>
        <w:tc>
          <w:tcPr>
            <w:tcW w:w="2800" w:type="dxa"/>
            <w:tcMar>
              <w:top w:w="70" w:type="dxa"/>
              <w:left w:w="110" w:type="dxa"/>
              <w:bottom w:w="70" w:type="dxa"/>
              <w:right w:w="110" w:type="dxa"/>
            </w:tcMar>
          </w:tcPr>
          <w:p w14:paraId="19B1C47E" w14:textId="77777777" w:rsidR="00004105" w:rsidRDefault="00000000">
            <w:pPr>
              <w:spacing w:line="244" w:lineRule="auto"/>
            </w:pPr>
            <w:r>
              <w:rPr>
                <w:sz w:val="19"/>
                <w:szCs w:val="19"/>
              </w:rPr>
              <w:t>(2004) 3 SCC 155</w:t>
            </w:r>
          </w:p>
        </w:tc>
        <w:tc>
          <w:tcPr>
            <w:tcW w:w="2700" w:type="dxa"/>
            <w:tcMar>
              <w:top w:w="70" w:type="dxa"/>
              <w:left w:w="110" w:type="dxa"/>
              <w:bottom w:w="70" w:type="dxa"/>
              <w:right w:w="110" w:type="dxa"/>
            </w:tcMar>
          </w:tcPr>
          <w:p w14:paraId="53CBDA7B" w14:textId="77777777" w:rsidR="00004105" w:rsidRDefault="00000000">
            <w:pPr>
              <w:spacing w:line="244" w:lineRule="auto"/>
            </w:pPr>
            <w:r>
              <w:rPr>
                <w:sz w:val="19"/>
                <w:szCs w:val="19"/>
              </w:rPr>
              <w:t>5.1 — s. 9 is statutory</w:t>
            </w:r>
          </w:p>
        </w:tc>
      </w:tr>
      <w:tr w:rsidR="00004105" w14:paraId="2E3061BD" w14:textId="77777777">
        <w:tblPrEx>
          <w:tblCellMar>
            <w:top w:w="0" w:type="dxa"/>
            <w:bottom w:w="0" w:type="dxa"/>
          </w:tblCellMar>
        </w:tblPrEx>
        <w:tc>
          <w:tcPr>
            <w:tcW w:w="3350" w:type="dxa"/>
            <w:tcMar>
              <w:top w:w="70" w:type="dxa"/>
              <w:left w:w="110" w:type="dxa"/>
              <w:bottom w:w="70" w:type="dxa"/>
              <w:right w:w="110" w:type="dxa"/>
            </w:tcMar>
          </w:tcPr>
          <w:p w14:paraId="0E6CF2FB" w14:textId="77777777" w:rsidR="00004105" w:rsidRDefault="00000000">
            <w:pPr>
              <w:spacing w:line="244" w:lineRule="auto"/>
            </w:pPr>
            <w:r>
              <w:rPr>
                <w:sz w:val="19"/>
                <w:szCs w:val="19"/>
              </w:rPr>
              <w:t>Garware Wall Ropes Ltd. v. Coastal Marine Constructions</w:t>
            </w:r>
          </w:p>
        </w:tc>
        <w:tc>
          <w:tcPr>
            <w:tcW w:w="2800" w:type="dxa"/>
            <w:tcMar>
              <w:top w:w="70" w:type="dxa"/>
              <w:left w:w="110" w:type="dxa"/>
              <w:bottom w:w="70" w:type="dxa"/>
              <w:right w:w="110" w:type="dxa"/>
            </w:tcMar>
          </w:tcPr>
          <w:p w14:paraId="04B2387E" w14:textId="77777777" w:rsidR="00004105" w:rsidRDefault="00000000">
            <w:pPr>
              <w:spacing w:line="244" w:lineRule="auto"/>
            </w:pPr>
            <w:r>
              <w:rPr>
                <w:sz w:val="19"/>
                <w:szCs w:val="19"/>
              </w:rPr>
              <w:t>(2019) 9 SCC 209</w:t>
            </w:r>
          </w:p>
        </w:tc>
        <w:tc>
          <w:tcPr>
            <w:tcW w:w="2700" w:type="dxa"/>
            <w:tcMar>
              <w:top w:w="70" w:type="dxa"/>
              <w:left w:w="110" w:type="dxa"/>
              <w:bottom w:w="70" w:type="dxa"/>
              <w:right w:w="110" w:type="dxa"/>
            </w:tcMar>
          </w:tcPr>
          <w:p w14:paraId="442DDAD1" w14:textId="77777777" w:rsidR="00004105" w:rsidRDefault="00000000">
            <w:pPr>
              <w:spacing w:line="244" w:lineRule="auto"/>
            </w:pPr>
            <w:r>
              <w:rPr>
                <w:sz w:val="19"/>
                <w:szCs w:val="19"/>
              </w:rPr>
              <w:t>4.3 — stamping (paras 22, 29 overruled)</w:t>
            </w:r>
          </w:p>
        </w:tc>
      </w:tr>
      <w:tr w:rsidR="00004105" w14:paraId="25574E59" w14:textId="77777777">
        <w:tblPrEx>
          <w:tblCellMar>
            <w:top w:w="0" w:type="dxa"/>
            <w:bottom w:w="0" w:type="dxa"/>
          </w:tblCellMar>
        </w:tblPrEx>
        <w:tc>
          <w:tcPr>
            <w:tcW w:w="3350" w:type="dxa"/>
            <w:tcMar>
              <w:top w:w="70" w:type="dxa"/>
              <w:left w:w="110" w:type="dxa"/>
              <w:bottom w:w="70" w:type="dxa"/>
              <w:right w:w="110" w:type="dxa"/>
            </w:tcMar>
          </w:tcPr>
          <w:p w14:paraId="11225306" w14:textId="77777777" w:rsidR="00004105" w:rsidRDefault="00000000">
            <w:pPr>
              <w:spacing w:line="244" w:lineRule="auto"/>
            </w:pPr>
            <w:r>
              <w:rPr>
                <w:sz w:val="19"/>
                <w:szCs w:val="19"/>
              </w:rPr>
              <w:t>Gayatri Balasamy v. ISG Novasoft Technologies Ltd.</w:t>
            </w:r>
          </w:p>
        </w:tc>
        <w:tc>
          <w:tcPr>
            <w:tcW w:w="2800" w:type="dxa"/>
            <w:tcMar>
              <w:top w:w="70" w:type="dxa"/>
              <w:left w:w="110" w:type="dxa"/>
              <w:bottom w:w="70" w:type="dxa"/>
              <w:right w:w="110" w:type="dxa"/>
            </w:tcMar>
          </w:tcPr>
          <w:p w14:paraId="6CD7CBF8" w14:textId="77777777" w:rsidR="00004105" w:rsidRDefault="00000000">
            <w:pPr>
              <w:spacing w:line="244" w:lineRule="auto"/>
            </w:pPr>
            <w:r>
              <w:rPr>
                <w:sz w:val="19"/>
                <w:szCs w:val="19"/>
              </w:rPr>
              <w:t>2025 INSC 605 (CB of 5, 30 Apr 2025, 4:1)</w:t>
            </w:r>
          </w:p>
        </w:tc>
        <w:tc>
          <w:tcPr>
            <w:tcW w:w="2700" w:type="dxa"/>
            <w:tcMar>
              <w:top w:w="70" w:type="dxa"/>
              <w:left w:w="110" w:type="dxa"/>
              <w:bottom w:w="70" w:type="dxa"/>
              <w:right w:w="110" w:type="dxa"/>
            </w:tcMar>
          </w:tcPr>
          <w:p w14:paraId="2DB8CB2D" w14:textId="77777777" w:rsidR="00004105" w:rsidRDefault="00000000">
            <w:pPr>
              <w:spacing w:line="244" w:lineRule="auto"/>
            </w:pPr>
            <w:r>
              <w:rPr>
                <w:sz w:val="19"/>
                <w:szCs w:val="19"/>
              </w:rPr>
              <w:t>12.4 — modification of award</w:t>
            </w:r>
          </w:p>
        </w:tc>
      </w:tr>
      <w:tr w:rsidR="00004105" w14:paraId="30938758" w14:textId="77777777">
        <w:tblPrEx>
          <w:tblCellMar>
            <w:top w:w="0" w:type="dxa"/>
            <w:bottom w:w="0" w:type="dxa"/>
          </w:tblCellMar>
        </w:tblPrEx>
        <w:tc>
          <w:tcPr>
            <w:tcW w:w="3350" w:type="dxa"/>
            <w:tcMar>
              <w:top w:w="70" w:type="dxa"/>
              <w:left w:w="110" w:type="dxa"/>
              <w:bottom w:w="70" w:type="dxa"/>
              <w:right w:w="110" w:type="dxa"/>
            </w:tcMar>
          </w:tcPr>
          <w:p w14:paraId="21656D5F" w14:textId="77777777" w:rsidR="00004105" w:rsidRDefault="00000000">
            <w:pPr>
              <w:spacing w:line="244" w:lineRule="auto"/>
            </w:pPr>
            <w:r>
              <w:rPr>
                <w:sz w:val="19"/>
                <w:szCs w:val="19"/>
              </w:rPr>
              <w:t>Gullapalli Nageswara Rao v. APSRTC (Gullapalli-I)</w:t>
            </w:r>
          </w:p>
        </w:tc>
        <w:tc>
          <w:tcPr>
            <w:tcW w:w="2800" w:type="dxa"/>
            <w:tcMar>
              <w:top w:w="70" w:type="dxa"/>
              <w:left w:w="110" w:type="dxa"/>
              <w:bottom w:w="70" w:type="dxa"/>
              <w:right w:w="110" w:type="dxa"/>
            </w:tcMar>
          </w:tcPr>
          <w:p w14:paraId="4B21A276" w14:textId="77777777" w:rsidR="00004105" w:rsidRDefault="00000000">
            <w:pPr>
              <w:spacing w:line="244" w:lineRule="auto"/>
            </w:pPr>
            <w:r>
              <w:rPr>
                <w:sz w:val="19"/>
                <w:szCs w:val="19"/>
              </w:rPr>
              <w:t>AIR 1959 SC 308 (CB of 5, 5 Nov 1958)</w:t>
            </w:r>
          </w:p>
        </w:tc>
        <w:tc>
          <w:tcPr>
            <w:tcW w:w="2700" w:type="dxa"/>
            <w:tcMar>
              <w:top w:w="70" w:type="dxa"/>
              <w:left w:w="110" w:type="dxa"/>
              <w:bottom w:w="70" w:type="dxa"/>
              <w:right w:w="110" w:type="dxa"/>
            </w:tcMar>
          </w:tcPr>
          <w:p w14:paraId="6462779C" w14:textId="77777777" w:rsidR="00004105" w:rsidRDefault="00000000">
            <w:pPr>
              <w:spacing w:line="244" w:lineRule="auto"/>
            </w:pPr>
            <w:r>
              <w:rPr>
                <w:sz w:val="19"/>
                <w:szCs w:val="19"/>
              </w:rPr>
              <w:t>7.2 — natural justice; 11.1</w:t>
            </w:r>
          </w:p>
        </w:tc>
      </w:tr>
      <w:tr w:rsidR="00004105" w14:paraId="00672D79" w14:textId="77777777">
        <w:tblPrEx>
          <w:tblCellMar>
            <w:top w:w="0" w:type="dxa"/>
            <w:bottom w:w="0" w:type="dxa"/>
          </w:tblCellMar>
        </w:tblPrEx>
        <w:tc>
          <w:tcPr>
            <w:tcW w:w="3350" w:type="dxa"/>
            <w:tcMar>
              <w:top w:w="70" w:type="dxa"/>
              <w:left w:w="110" w:type="dxa"/>
              <w:bottom w:w="70" w:type="dxa"/>
              <w:right w:w="110" w:type="dxa"/>
            </w:tcMar>
          </w:tcPr>
          <w:p w14:paraId="26BC157C" w14:textId="77777777" w:rsidR="00004105" w:rsidRDefault="00000000">
            <w:pPr>
              <w:spacing w:line="244" w:lineRule="auto"/>
            </w:pPr>
            <w:r>
              <w:rPr>
                <w:sz w:val="19"/>
                <w:szCs w:val="19"/>
              </w:rPr>
              <w:t>Gullapalli Nageswara Rao v. State of A.P. (Gullapalli-II)</w:t>
            </w:r>
          </w:p>
        </w:tc>
        <w:tc>
          <w:tcPr>
            <w:tcW w:w="2800" w:type="dxa"/>
            <w:tcMar>
              <w:top w:w="70" w:type="dxa"/>
              <w:left w:w="110" w:type="dxa"/>
              <w:bottom w:w="70" w:type="dxa"/>
              <w:right w:w="110" w:type="dxa"/>
            </w:tcMar>
          </w:tcPr>
          <w:p w14:paraId="1890F9B6" w14:textId="77777777" w:rsidR="00004105" w:rsidRDefault="00000000">
            <w:pPr>
              <w:spacing w:line="244" w:lineRule="auto"/>
            </w:pPr>
            <w:r>
              <w:rPr>
                <w:sz w:val="19"/>
                <w:szCs w:val="19"/>
              </w:rPr>
              <w:t>AIR 1959 SC 1376 (21 Aug 1959)</w:t>
            </w:r>
          </w:p>
        </w:tc>
        <w:tc>
          <w:tcPr>
            <w:tcW w:w="2700" w:type="dxa"/>
            <w:tcMar>
              <w:top w:w="70" w:type="dxa"/>
              <w:left w:w="110" w:type="dxa"/>
              <w:bottom w:w="70" w:type="dxa"/>
              <w:right w:w="110" w:type="dxa"/>
            </w:tcMar>
          </w:tcPr>
          <w:p w14:paraId="0CC86F6C" w14:textId="77777777" w:rsidR="00004105" w:rsidRDefault="00000000">
            <w:pPr>
              <w:spacing w:line="244" w:lineRule="auto"/>
            </w:pPr>
            <w:r>
              <w:rPr>
                <w:sz w:val="19"/>
                <w:szCs w:val="19"/>
              </w:rPr>
              <w:t>7.2 — distinguished</w:t>
            </w:r>
          </w:p>
        </w:tc>
      </w:tr>
      <w:tr w:rsidR="00004105" w14:paraId="45FE06E5" w14:textId="77777777">
        <w:tblPrEx>
          <w:tblCellMar>
            <w:top w:w="0" w:type="dxa"/>
            <w:bottom w:w="0" w:type="dxa"/>
          </w:tblCellMar>
        </w:tblPrEx>
        <w:tc>
          <w:tcPr>
            <w:tcW w:w="3350" w:type="dxa"/>
            <w:tcMar>
              <w:top w:w="70" w:type="dxa"/>
              <w:left w:w="110" w:type="dxa"/>
              <w:bottom w:w="70" w:type="dxa"/>
              <w:right w:w="110" w:type="dxa"/>
            </w:tcMar>
          </w:tcPr>
          <w:p w14:paraId="11482705" w14:textId="77777777" w:rsidR="00004105" w:rsidRDefault="00000000">
            <w:pPr>
              <w:spacing w:line="244" w:lineRule="auto"/>
            </w:pPr>
            <w:r>
              <w:rPr>
                <w:sz w:val="19"/>
                <w:szCs w:val="19"/>
              </w:rPr>
              <w:t>In Re: Interplay (Arbitration Agreements and the Indian Stamp Act)</w:t>
            </w:r>
          </w:p>
        </w:tc>
        <w:tc>
          <w:tcPr>
            <w:tcW w:w="2800" w:type="dxa"/>
            <w:tcMar>
              <w:top w:w="70" w:type="dxa"/>
              <w:left w:w="110" w:type="dxa"/>
              <w:bottom w:w="70" w:type="dxa"/>
              <w:right w:w="110" w:type="dxa"/>
            </w:tcMar>
          </w:tcPr>
          <w:p w14:paraId="180D96CE" w14:textId="77777777" w:rsidR="00004105" w:rsidRDefault="00000000">
            <w:pPr>
              <w:spacing w:line="244" w:lineRule="auto"/>
            </w:pPr>
            <w:r>
              <w:rPr>
                <w:sz w:val="19"/>
                <w:szCs w:val="19"/>
              </w:rPr>
              <w:t>2023 INSC 1066 (7 Judges, 13 Dec 2023)</w:t>
            </w:r>
          </w:p>
        </w:tc>
        <w:tc>
          <w:tcPr>
            <w:tcW w:w="2700" w:type="dxa"/>
            <w:tcMar>
              <w:top w:w="70" w:type="dxa"/>
              <w:left w:w="110" w:type="dxa"/>
              <w:bottom w:w="70" w:type="dxa"/>
              <w:right w:w="110" w:type="dxa"/>
            </w:tcMar>
          </w:tcPr>
          <w:p w14:paraId="5C5F1037" w14:textId="77777777" w:rsidR="00004105" w:rsidRDefault="00000000">
            <w:pPr>
              <w:spacing w:line="244" w:lineRule="auto"/>
            </w:pPr>
            <w:r>
              <w:rPr>
                <w:sz w:val="19"/>
                <w:szCs w:val="19"/>
              </w:rPr>
              <w:t>4.3, 7.4 — stamping; s. 11(6A)</w:t>
            </w:r>
          </w:p>
        </w:tc>
      </w:tr>
      <w:tr w:rsidR="00004105" w14:paraId="1E0C0F7D" w14:textId="77777777">
        <w:tblPrEx>
          <w:tblCellMar>
            <w:top w:w="0" w:type="dxa"/>
            <w:bottom w:w="0" w:type="dxa"/>
          </w:tblCellMar>
        </w:tblPrEx>
        <w:tc>
          <w:tcPr>
            <w:tcW w:w="3350" w:type="dxa"/>
            <w:tcMar>
              <w:top w:w="70" w:type="dxa"/>
              <w:left w:w="110" w:type="dxa"/>
              <w:bottom w:w="70" w:type="dxa"/>
              <w:right w:w="110" w:type="dxa"/>
            </w:tcMar>
          </w:tcPr>
          <w:p w14:paraId="3D5B6758" w14:textId="77777777" w:rsidR="00004105" w:rsidRDefault="00000000">
            <w:pPr>
              <w:spacing w:line="244" w:lineRule="auto"/>
            </w:pPr>
            <w:r>
              <w:rPr>
                <w:sz w:val="19"/>
                <w:szCs w:val="19"/>
              </w:rPr>
              <w:t>Indian Oil Corporation Ltd. v. Raja Transport Pvt. Ltd.</w:t>
            </w:r>
          </w:p>
        </w:tc>
        <w:tc>
          <w:tcPr>
            <w:tcW w:w="2800" w:type="dxa"/>
            <w:tcMar>
              <w:top w:w="70" w:type="dxa"/>
              <w:left w:w="110" w:type="dxa"/>
              <w:bottom w:w="70" w:type="dxa"/>
              <w:right w:w="110" w:type="dxa"/>
            </w:tcMar>
          </w:tcPr>
          <w:p w14:paraId="769860E0" w14:textId="77777777" w:rsidR="00004105" w:rsidRDefault="00000000">
            <w:pPr>
              <w:spacing w:line="244" w:lineRule="auto"/>
            </w:pPr>
            <w:r>
              <w:rPr>
                <w:sz w:val="19"/>
                <w:szCs w:val="19"/>
              </w:rPr>
              <w:t>(2009) 8 SCC 520 (24 Aug 2009)</w:t>
            </w:r>
          </w:p>
        </w:tc>
        <w:tc>
          <w:tcPr>
            <w:tcW w:w="2700" w:type="dxa"/>
            <w:tcMar>
              <w:top w:w="70" w:type="dxa"/>
              <w:left w:w="110" w:type="dxa"/>
              <w:bottom w:w="70" w:type="dxa"/>
              <w:right w:w="110" w:type="dxa"/>
            </w:tcMar>
          </w:tcPr>
          <w:p w14:paraId="4EC95D45" w14:textId="77777777" w:rsidR="00004105" w:rsidRDefault="00000000">
            <w:pPr>
              <w:spacing w:line="244" w:lineRule="auto"/>
            </w:pPr>
            <w:r>
              <w:rPr>
                <w:sz w:val="19"/>
                <w:szCs w:val="19"/>
              </w:rPr>
              <w:t>8.4 — employee arbitrator</w:t>
            </w:r>
          </w:p>
        </w:tc>
      </w:tr>
      <w:tr w:rsidR="00004105" w14:paraId="5F99F760" w14:textId="77777777">
        <w:tblPrEx>
          <w:tblCellMar>
            <w:top w:w="0" w:type="dxa"/>
            <w:bottom w:w="0" w:type="dxa"/>
          </w:tblCellMar>
        </w:tblPrEx>
        <w:tc>
          <w:tcPr>
            <w:tcW w:w="3350" w:type="dxa"/>
            <w:tcMar>
              <w:top w:w="70" w:type="dxa"/>
              <w:left w:w="110" w:type="dxa"/>
              <w:bottom w:w="70" w:type="dxa"/>
              <w:right w:w="110" w:type="dxa"/>
            </w:tcMar>
          </w:tcPr>
          <w:p w14:paraId="4FBAE5B5" w14:textId="77777777" w:rsidR="00004105" w:rsidRDefault="00000000">
            <w:pPr>
              <w:spacing w:line="244" w:lineRule="auto"/>
            </w:pPr>
            <w:r>
              <w:rPr>
                <w:sz w:val="19"/>
                <w:szCs w:val="19"/>
              </w:rPr>
              <w:t>Jagdish Chander v. Ramesh Chander</w:t>
            </w:r>
          </w:p>
        </w:tc>
        <w:tc>
          <w:tcPr>
            <w:tcW w:w="2800" w:type="dxa"/>
            <w:tcMar>
              <w:top w:w="70" w:type="dxa"/>
              <w:left w:w="110" w:type="dxa"/>
              <w:bottom w:w="70" w:type="dxa"/>
              <w:right w:w="110" w:type="dxa"/>
            </w:tcMar>
          </w:tcPr>
          <w:p w14:paraId="500B2C8A" w14:textId="77777777" w:rsidR="00004105" w:rsidRDefault="00000000">
            <w:pPr>
              <w:spacing w:line="244" w:lineRule="auto"/>
            </w:pPr>
            <w:r>
              <w:rPr>
                <w:sz w:val="19"/>
                <w:szCs w:val="19"/>
              </w:rPr>
              <w:t>(2007) 5 SCC 719</w:t>
            </w:r>
          </w:p>
        </w:tc>
        <w:tc>
          <w:tcPr>
            <w:tcW w:w="2700" w:type="dxa"/>
            <w:tcMar>
              <w:top w:w="70" w:type="dxa"/>
              <w:left w:w="110" w:type="dxa"/>
              <w:bottom w:w="70" w:type="dxa"/>
              <w:right w:w="110" w:type="dxa"/>
            </w:tcMar>
          </w:tcPr>
          <w:p w14:paraId="57B89787" w14:textId="77777777" w:rsidR="00004105" w:rsidRDefault="00000000">
            <w:pPr>
              <w:spacing w:line="244" w:lineRule="auto"/>
            </w:pPr>
            <w:r>
              <w:rPr>
                <w:sz w:val="19"/>
                <w:szCs w:val="19"/>
              </w:rPr>
              <w:t>4.2 — s. 7</w:t>
            </w:r>
          </w:p>
        </w:tc>
      </w:tr>
      <w:tr w:rsidR="00004105" w14:paraId="5099351B" w14:textId="77777777">
        <w:tblPrEx>
          <w:tblCellMar>
            <w:top w:w="0" w:type="dxa"/>
            <w:bottom w:w="0" w:type="dxa"/>
          </w:tblCellMar>
        </w:tblPrEx>
        <w:tc>
          <w:tcPr>
            <w:tcW w:w="3350" w:type="dxa"/>
            <w:tcMar>
              <w:top w:w="70" w:type="dxa"/>
              <w:left w:w="110" w:type="dxa"/>
              <w:bottom w:w="70" w:type="dxa"/>
              <w:right w:w="110" w:type="dxa"/>
            </w:tcMar>
          </w:tcPr>
          <w:p w14:paraId="30B3F5D8" w14:textId="77777777" w:rsidR="00004105" w:rsidRDefault="00000000">
            <w:pPr>
              <w:spacing w:line="244" w:lineRule="auto"/>
            </w:pPr>
            <w:r>
              <w:rPr>
                <w:sz w:val="19"/>
                <w:szCs w:val="19"/>
              </w:rPr>
              <w:t>Konkan Railway Corpn. v. Mehul Construction Co.</w:t>
            </w:r>
          </w:p>
        </w:tc>
        <w:tc>
          <w:tcPr>
            <w:tcW w:w="2800" w:type="dxa"/>
            <w:tcMar>
              <w:top w:w="70" w:type="dxa"/>
              <w:left w:w="110" w:type="dxa"/>
              <w:bottom w:w="70" w:type="dxa"/>
              <w:right w:w="110" w:type="dxa"/>
            </w:tcMar>
          </w:tcPr>
          <w:p w14:paraId="02EB1C64" w14:textId="77777777" w:rsidR="00004105" w:rsidRDefault="00000000">
            <w:pPr>
              <w:spacing w:line="244" w:lineRule="auto"/>
            </w:pPr>
            <w:r>
              <w:rPr>
                <w:sz w:val="19"/>
                <w:szCs w:val="19"/>
              </w:rPr>
              <w:t>(2000) 7 SCC 201 (3 Judges)</w:t>
            </w:r>
          </w:p>
        </w:tc>
        <w:tc>
          <w:tcPr>
            <w:tcW w:w="2700" w:type="dxa"/>
            <w:tcMar>
              <w:top w:w="70" w:type="dxa"/>
              <w:left w:w="110" w:type="dxa"/>
              <w:bottom w:w="70" w:type="dxa"/>
              <w:right w:w="110" w:type="dxa"/>
            </w:tcMar>
          </w:tcPr>
          <w:p w14:paraId="10ACCF4B" w14:textId="77777777" w:rsidR="00004105" w:rsidRDefault="00000000">
            <w:pPr>
              <w:spacing w:line="244" w:lineRule="auto"/>
            </w:pPr>
            <w:r>
              <w:rPr>
                <w:sz w:val="19"/>
                <w:szCs w:val="19"/>
              </w:rPr>
              <w:t>7.3 — s. 11 administrative</w:t>
            </w:r>
          </w:p>
        </w:tc>
      </w:tr>
      <w:tr w:rsidR="00004105" w14:paraId="2CA14397" w14:textId="77777777">
        <w:tblPrEx>
          <w:tblCellMar>
            <w:top w:w="0" w:type="dxa"/>
            <w:bottom w:w="0" w:type="dxa"/>
          </w:tblCellMar>
        </w:tblPrEx>
        <w:tc>
          <w:tcPr>
            <w:tcW w:w="3350" w:type="dxa"/>
            <w:tcMar>
              <w:top w:w="70" w:type="dxa"/>
              <w:left w:w="110" w:type="dxa"/>
              <w:bottom w:w="70" w:type="dxa"/>
              <w:right w:w="110" w:type="dxa"/>
            </w:tcMar>
          </w:tcPr>
          <w:p w14:paraId="20973AE1" w14:textId="77777777" w:rsidR="00004105" w:rsidRDefault="00000000">
            <w:pPr>
              <w:spacing w:line="244" w:lineRule="auto"/>
            </w:pPr>
            <w:r>
              <w:rPr>
                <w:sz w:val="19"/>
                <w:szCs w:val="19"/>
              </w:rPr>
              <w:t>Konkan Railway Corpn. v. Rani Construction Pvt. Ltd.</w:t>
            </w:r>
          </w:p>
        </w:tc>
        <w:tc>
          <w:tcPr>
            <w:tcW w:w="2800" w:type="dxa"/>
            <w:tcMar>
              <w:top w:w="70" w:type="dxa"/>
              <w:left w:w="110" w:type="dxa"/>
              <w:bottom w:w="70" w:type="dxa"/>
              <w:right w:w="110" w:type="dxa"/>
            </w:tcMar>
          </w:tcPr>
          <w:p w14:paraId="64BA9D0E" w14:textId="77777777" w:rsidR="00004105" w:rsidRDefault="00000000">
            <w:pPr>
              <w:spacing w:line="244" w:lineRule="auto"/>
            </w:pPr>
            <w:r>
              <w:rPr>
                <w:sz w:val="19"/>
                <w:szCs w:val="19"/>
              </w:rPr>
              <w:t>(2002) 2 SCC 388 (CB)</w:t>
            </w:r>
          </w:p>
        </w:tc>
        <w:tc>
          <w:tcPr>
            <w:tcW w:w="2700" w:type="dxa"/>
            <w:tcMar>
              <w:top w:w="70" w:type="dxa"/>
              <w:left w:w="110" w:type="dxa"/>
              <w:bottom w:w="70" w:type="dxa"/>
              <w:right w:w="110" w:type="dxa"/>
            </w:tcMar>
          </w:tcPr>
          <w:p w14:paraId="662821B0" w14:textId="77777777" w:rsidR="00004105" w:rsidRDefault="00000000">
            <w:pPr>
              <w:spacing w:line="244" w:lineRule="auto"/>
            </w:pPr>
            <w:r>
              <w:rPr>
                <w:sz w:val="19"/>
                <w:szCs w:val="19"/>
              </w:rPr>
              <w:t>7.3 — affirmed Mehul</w:t>
            </w:r>
          </w:p>
        </w:tc>
      </w:tr>
      <w:tr w:rsidR="00004105" w14:paraId="3ECBF443" w14:textId="77777777">
        <w:tblPrEx>
          <w:tblCellMar>
            <w:top w:w="0" w:type="dxa"/>
            <w:bottom w:w="0" w:type="dxa"/>
          </w:tblCellMar>
        </w:tblPrEx>
        <w:tc>
          <w:tcPr>
            <w:tcW w:w="3350" w:type="dxa"/>
            <w:tcMar>
              <w:top w:w="70" w:type="dxa"/>
              <w:left w:w="110" w:type="dxa"/>
              <w:bottom w:w="70" w:type="dxa"/>
              <w:right w:w="110" w:type="dxa"/>
            </w:tcMar>
          </w:tcPr>
          <w:p w14:paraId="41AACBDA" w14:textId="77777777" w:rsidR="00004105" w:rsidRDefault="00000000">
            <w:pPr>
              <w:spacing w:line="244" w:lineRule="auto"/>
            </w:pPr>
            <w:r>
              <w:rPr>
                <w:sz w:val="19"/>
                <w:szCs w:val="19"/>
              </w:rPr>
              <w:lastRenderedPageBreak/>
              <w:t>Mayavati Trading Pvt. Ltd. v. Pradyuat Deb Burman</w:t>
            </w:r>
          </w:p>
        </w:tc>
        <w:tc>
          <w:tcPr>
            <w:tcW w:w="2800" w:type="dxa"/>
            <w:tcMar>
              <w:top w:w="70" w:type="dxa"/>
              <w:left w:w="110" w:type="dxa"/>
              <w:bottom w:w="70" w:type="dxa"/>
              <w:right w:w="110" w:type="dxa"/>
            </w:tcMar>
          </w:tcPr>
          <w:p w14:paraId="505B356C" w14:textId="77777777" w:rsidR="00004105" w:rsidRDefault="00000000">
            <w:pPr>
              <w:spacing w:line="244" w:lineRule="auto"/>
            </w:pPr>
            <w:r>
              <w:rPr>
                <w:sz w:val="19"/>
                <w:szCs w:val="19"/>
              </w:rPr>
              <w:t>(2019) 8 SCC 714</w:t>
            </w:r>
          </w:p>
        </w:tc>
        <w:tc>
          <w:tcPr>
            <w:tcW w:w="2700" w:type="dxa"/>
            <w:tcMar>
              <w:top w:w="70" w:type="dxa"/>
              <w:left w:w="110" w:type="dxa"/>
              <w:bottom w:w="70" w:type="dxa"/>
              <w:right w:w="110" w:type="dxa"/>
            </w:tcMar>
          </w:tcPr>
          <w:p w14:paraId="561D5829" w14:textId="77777777" w:rsidR="00004105" w:rsidRDefault="00000000">
            <w:pPr>
              <w:spacing w:line="244" w:lineRule="auto"/>
            </w:pPr>
            <w:r>
              <w:rPr>
                <w:sz w:val="19"/>
                <w:szCs w:val="19"/>
              </w:rPr>
              <w:t>7.4 — Patel Engineering displaced</w:t>
            </w:r>
          </w:p>
        </w:tc>
      </w:tr>
      <w:tr w:rsidR="00004105" w14:paraId="6FE29F01" w14:textId="77777777">
        <w:tblPrEx>
          <w:tblCellMar>
            <w:top w:w="0" w:type="dxa"/>
            <w:bottom w:w="0" w:type="dxa"/>
          </w:tblCellMar>
        </w:tblPrEx>
        <w:tc>
          <w:tcPr>
            <w:tcW w:w="3350" w:type="dxa"/>
            <w:tcMar>
              <w:top w:w="70" w:type="dxa"/>
              <w:left w:w="110" w:type="dxa"/>
              <w:bottom w:w="70" w:type="dxa"/>
              <w:right w:w="110" w:type="dxa"/>
            </w:tcMar>
          </w:tcPr>
          <w:p w14:paraId="3166803D" w14:textId="77777777" w:rsidR="00004105" w:rsidRDefault="00000000">
            <w:pPr>
              <w:spacing w:line="244" w:lineRule="auto"/>
            </w:pPr>
            <w:r>
              <w:rPr>
                <w:sz w:val="19"/>
                <w:szCs w:val="19"/>
              </w:rPr>
              <w:t>N.N. Global Mercantile Pvt. Ltd. v. Indo Unique Flame Ltd.</w:t>
            </w:r>
          </w:p>
        </w:tc>
        <w:tc>
          <w:tcPr>
            <w:tcW w:w="2800" w:type="dxa"/>
            <w:tcMar>
              <w:top w:w="70" w:type="dxa"/>
              <w:left w:w="110" w:type="dxa"/>
              <w:bottom w:w="70" w:type="dxa"/>
              <w:right w:w="110" w:type="dxa"/>
            </w:tcMar>
          </w:tcPr>
          <w:p w14:paraId="44526C17" w14:textId="77777777" w:rsidR="00004105" w:rsidRDefault="00000000">
            <w:pPr>
              <w:spacing w:line="244" w:lineRule="auto"/>
            </w:pPr>
            <w:r>
              <w:rPr>
                <w:sz w:val="19"/>
                <w:szCs w:val="19"/>
              </w:rPr>
              <w:t>(2023) 7 SCC 1 (5 Judges)</w:t>
            </w:r>
          </w:p>
        </w:tc>
        <w:tc>
          <w:tcPr>
            <w:tcW w:w="2700" w:type="dxa"/>
            <w:tcMar>
              <w:top w:w="70" w:type="dxa"/>
              <w:left w:w="110" w:type="dxa"/>
              <w:bottom w:w="70" w:type="dxa"/>
              <w:right w:w="110" w:type="dxa"/>
            </w:tcMar>
          </w:tcPr>
          <w:p w14:paraId="29099695" w14:textId="77777777" w:rsidR="00004105" w:rsidRDefault="00000000">
            <w:pPr>
              <w:spacing w:line="244" w:lineRule="auto"/>
            </w:pPr>
            <w:r>
              <w:rPr>
                <w:sz w:val="19"/>
                <w:szCs w:val="19"/>
              </w:rPr>
              <w:t>4.3 — overruled</w:t>
            </w:r>
          </w:p>
        </w:tc>
      </w:tr>
      <w:tr w:rsidR="00004105" w14:paraId="5A285B38" w14:textId="77777777">
        <w:tblPrEx>
          <w:tblCellMar>
            <w:top w:w="0" w:type="dxa"/>
            <w:bottom w:w="0" w:type="dxa"/>
          </w:tblCellMar>
        </w:tblPrEx>
        <w:tc>
          <w:tcPr>
            <w:tcW w:w="3350" w:type="dxa"/>
            <w:tcMar>
              <w:top w:w="70" w:type="dxa"/>
              <w:left w:w="110" w:type="dxa"/>
              <w:bottom w:w="70" w:type="dxa"/>
              <w:right w:w="110" w:type="dxa"/>
            </w:tcMar>
          </w:tcPr>
          <w:p w14:paraId="63FAD123" w14:textId="77777777" w:rsidR="00004105" w:rsidRDefault="00000000">
            <w:pPr>
              <w:spacing w:line="244" w:lineRule="auto"/>
            </w:pPr>
            <w:r>
              <w:rPr>
                <w:sz w:val="19"/>
                <w:szCs w:val="19"/>
              </w:rPr>
              <w:t>Narayan Prasad Lohia v. Nikunj Kumar Lohia</w:t>
            </w:r>
          </w:p>
        </w:tc>
        <w:tc>
          <w:tcPr>
            <w:tcW w:w="2800" w:type="dxa"/>
            <w:tcMar>
              <w:top w:w="70" w:type="dxa"/>
              <w:left w:w="110" w:type="dxa"/>
              <w:bottom w:w="70" w:type="dxa"/>
              <w:right w:w="110" w:type="dxa"/>
            </w:tcMar>
          </w:tcPr>
          <w:p w14:paraId="28361B96" w14:textId="77777777" w:rsidR="00004105" w:rsidRDefault="00000000">
            <w:pPr>
              <w:spacing w:line="244" w:lineRule="auto"/>
            </w:pPr>
            <w:r>
              <w:rPr>
                <w:sz w:val="19"/>
                <w:szCs w:val="19"/>
              </w:rPr>
              <w:t>(2002) 3 SCC 572; AIR 2002 SC 1139 (3 Judges)</w:t>
            </w:r>
          </w:p>
        </w:tc>
        <w:tc>
          <w:tcPr>
            <w:tcW w:w="2700" w:type="dxa"/>
            <w:tcMar>
              <w:top w:w="70" w:type="dxa"/>
              <w:left w:w="110" w:type="dxa"/>
              <w:bottom w:w="70" w:type="dxa"/>
              <w:right w:w="110" w:type="dxa"/>
            </w:tcMar>
          </w:tcPr>
          <w:p w14:paraId="3ECD043D" w14:textId="77777777" w:rsidR="00004105" w:rsidRDefault="00000000">
            <w:pPr>
              <w:spacing w:line="244" w:lineRule="auto"/>
            </w:pPr>
            <w:r>
              <w:rPr>
                <w:sz w:val="19"/>
                <w:szCs w:val="19"/>
              </w:rPr>
              <w:t>6.1 — s. 10; 2.4 — s. 4</w:t>
            </w:r>
          </w:p>
        </w:tc>
      </w:tr>
      <w:tr w:rsidR="00004105" w14:paraId="6237A085" w14:textId="77777777">
        <w:tblPrEx>
          <w:tblCellMar>
            <w:top w:w="0" w:type="dxa"/>
            <w:bottom w:w="0" w:type="dxa"/>
          </w:tblCellMar>
        </w:tblPrEx>
        <w:tc>
          <w:tcPr>
            <w:tcW w:w="3350" w:type="dxa"/>
            <w:tcMar>
              <w:top w:w="70" w:type="dxa"/>
              <w:left w:w="110" w:type="dxa"/>
              <w:bottom w:w="70" w:type="dxa"/>
              <w:right w:w="110" w:type="dxa"/>
            </w:tcMar>
          </w:tcPr>
          <w:p w14:paraId="594062FC" w14:textId="77777777" w:rsidR="00004105" w:rsidRDefault="00000000">
            <w:pPr>
              <w:spacing w:line="244" w:lineRule="auto"/>
            </w:pPr>
            <w:r>
              <w:rPr>
                <w:sz w:val="19"/>
                <w:szCs w:val="19"/>
              </w:rPr>
              <w:t>National Insurance Co. v. Boghara Polyfab Pvt. Ltd.</w:t>
            </w:r>
          </w:p>
        </w:tc>
        <w:tc>
          <w:tcPr>
            <w:tcW w:w="2800" w:type="dxa"/>
            <w:tcMar>
              <w:top w:w="70" w:type="dxa"/>
              <w:left w:w="110" w:type="dxa"/>
              <w:bottom w:w="70" w:type="dxa"/>
              <w:right w:w="110" w:type="dxa"/>
            </w:tcMar>
          </w:tcPr>
          <w:p w14:paraId="1622501D" w14:textId="77777777" w:rsidR="00004105" w:rsidRDefault="00000000">
            <w:pPr>
              <w:spacing w:line="244" w:lineRule="auto"/>
            </w:pPr>
            <w:r>
              <w:rPr>
                <w:sz w:val="19"/>
                <w:szCs w:val="19"/>
              </w:rPr>
              <w:t>(2009) 1 SCC 267</w:t>
            </w:r>
          </w:p>
        </w:tc>
        <w:tc>
          <w:tcPr>
            <w:tcW w:w="2700" w:type="dxa"/>
            <w:tcMar>
              <w:top w:w="70" w:type="dxa"/>
              <w:left w:w="110" w:type="dxa"/>
              <w:bottom w:w="70" w:type="dxa"/>
              <w:right w:w="110" w:type="dxa"/>
            </w:tcMar>
          </w:tcPr>
          <w:p w14:paraId="3D6837F6" w14:textId="77777777" w:rsidR="00004105" w:rsidRDefault="00000000">
            <w:pPr>
              <w:spacing w:line="244" w:lineRule="auto"/>
            </w:pPr>
            <w:r>
              <w:rPr>
                <w:sz w:val="19"/>
                <w:szCs w:val="19"/>
              </w:rPr>
              <w:t>7.4 — appointment-stage issues</w:t>
            </w:r>
          </w:p>
        </w:tc>
      </w:tr>
      <w:tr w:rsidR="00004105" w14:paraId="755993E2" w14:textId="77777777">
        <w:tblPrEx>
          <w:tblCellMar>
            <w:top w:w="0" w:type="dxa"/>
            <w:bottom w:w="0" w:type="dxa"/>
          </w:tblCellMar>
        </w:tblPrEx>
        <w:tc>
          <w:tcPr>
            <w:tcW w:w="3350" w:type="dxa"/>
            <w:tcMar>
              <w:top w:w="70" w:type="dxa"/>
              <w:left w:w="110" w:type="dxa"/>
              <w:bottom w:w="70" w:type="dxa"/>
              <w:right w:w="110" w:type="dxa"/>
            </w:tcMar>
          </w:tcPr>
          <w:p w14:paraId="0B160B73" w14:textId="77777777" w:rsidR="00004105" w:rsidRDefault="00000000">
            <w:pPr>
              <w:spacing w:line="244" w:lineRule="auto"/>
            </w:pPr>
            <w:r>
              <w:rPr>
                <w:sz w:val="19"/>
                <w:szCs w:val="19"/>
              </w:rPr>
              <w:t>Perkins Eastman Architects DPC v. HSCC (India) Ltd.</w:t>
            </w:r>
          </w:p>
        </w:tc>
        <w:tc>
          <w:tcPr>
            <w:tcW w:w="2800" w:type="dxa"/>
            <w:tcMar>
              <w:top w:w="70" w:type="dxa"/>
              <w:left w:w="110" w:type="dxa"/>
              <w:bottom w:w="70" w:type="dxa"/>
              <w:right w:w="110" w:type="dxa"/>
            </w:tcMar>
          </w:tcPr>
          <w:p w14:paraId="67C1FB4A" w14:textId="77777777" w:rsidR="00004105" w:rsidRDefault="00000000">
            <w:pPr>
              <w:spacing w:line="244" w:lineRule="auto"/>
            </w:pPr>
            <w:r>
              <w:rPr>
                <w:sz w:val="19"/>
                <w:szCs w:val="19"/>
              </w:rPr>
              <w:t>2019 SCC OnLine SC 1517; (2020) 20 SCC 760</w:t>
            </w:r>
          </w:p>
        </w:tc>
        <w:tc>
          <w:tcPr>
            <w:tcW w:w="2700" w:type="dxa"/>
            <w:tcMar>
              <w:top w:w="70" w:type="dxa"/>
              <w:left w:w="110" w:type="dxa"/>
              <w:bottom w:w="70" w:type="dxa"/>
              <w:right w:w="110" w:type="dxa"/>
            </w:tcMar>
          </w:tcPr>
          <w:p w14:paraId="17D22EC9" w14:textId="77777777" w:rsidR="00004105" w:rsidRDefault="00000000">
            <w:pPr>
              <w:spacing w:line="244" w:lineRule="auto"/>
            </w:pPr>
            <w:r>
              <w:rPr>
                <w:sz w:val="19"/>
                <w:szCs w:val="19"/>
              </w:rPr>
              <w:t>8.5 — unilateral appointment</w:t>
            </w:r>
          </w:p>
        </w:tc>
      </w:tr>
      <w:tr w:rsidR="00004105" w14:paraId="1B37B779" w14:textId="77777777">
        <w:tblPrEx>
          <w:tblCellMar>
            <w:top w:w="0" w:type="dxa"/>
            <w:bottom w:w="0" w:type="dxa"/>
          </w:tblCellMar>
        </w:tblPrEx>
        <w:tc>
          <w:tcPr>
            <w:tcW w:w="3350" w:type="dxa"/>
            <w:tcMar>
              <w:top w:w="70" w:type="dxa"/>
              <w:left w:w="110" w:type="dxa"/>
              <w:bottom w:w="70" w:type="dxa"/>
              <w:right w:w="110" w:type="dxa"/>
            </w:tcMar>
          </w:tcPr>
          <w:p w14:paraId="088B2E28" w14:textId="77777777" w:rsidR="00004105" w:rsidRDefault="00000000">
            <w:pPr>
              <w:spacing w:line="244" w:lineRule="auto"/>
            </w:pPr>
            <w:r>
              <w:rPr>
                <w:sz w:val="19"/>
                <w:szCs w:val="19"/>
              </w:rPr>
              <w:t>R.M. Investments &amp; Trading Co. Pvt. Ltd. v. Boeing Co.</w:t>
            </w:r>
          </w:p>
        </w:tc>
        <w:tc>
          <w:tcPr>
            <w:tcW w:w="2800" w:type="dxa"/>
            <w:tcMar>
              <w:top w:w="70" w:type="dxa"/>
              <w:left w:w="110" w:type="dxa"/>
              <w:bottom w:w="70" w:type="dxa"/>
              <w:right w:w="110" w:type="dxa"/>
            </w:tcMar>
          </w:tcPr>
          <w:p w14:paraId="5E765AF8" w14:textId="77777777" w:rsidR="00004105" w:rsidRDefault="00000000">
            <w:pPr>
              <w:spacing w:line="244" w:lineRule="auto"/>
            </w:pPr>
            <w:r>
              <w:rPr>
                <w:sz w:val="19"/>
                <w:szCs w:val="19"/>
              </w:rPr>
              <w:t>(1994) 4 SCC 541; AIR 1994 SC 1136</w:t>
            </w:r>
          </w:p>
        </w:tc>
        <w:tc>
          <w:tcPr>
            <w:tcW w:w="2700" w:type="dxa"/>
            <w:tcMar>
              <w:top w:w="70" w:type="dxa"/>
              <w:left w:w="110" w:type="dxa"/>
              <w:bottom w:w="70" w:type="dxa"/>
              <w:right w:w="110" w:type="dxa"/>
            </w:tcMar>
          </w:tcPr>
          <w:p w14:paraId="7D8CBCE6" w14:textId="77777777" w:rsidR="00004105" w:rsidRDefault="00000000">
            <w:pPr>
              <w:spacing w:line="244" w:lineRule="auto"/>
            </w:pPr>
            <w:r>
              <w:rPr>
                <w:sz w:val="19"/>
                <w:szCs w:val="19"/>
              </w:rPr>
              <w:t>1.2 — “commercial”</w:t>
            </w:r>
          </w:p>
        </w:tc>
      </w:tr>
      <w:tr w:rsidR="00004105" w14:paraId="162085C5" w14:textId="77777777">
        <w:tblPrEx>
          <w:tblCellMar>
            <w:top w:w="0" w:type="dxa"/>
            <w:bottom w:w="0" w:type="dxa"/>
          </w:tblCellMar>
        </w:tblPrEx>
        <w:tc>
          <w:tcPr>
            <w:tcW w:w="3350" w:type="dxa"/>
            <w:tcMar>
              <w:top w:w="70" w:type="dxa"/>
              <w:left w:w="110" w:type="dxa"/>
              <w:bottom w:w="70" w:type="dxa"/>
              <w:right w:w="110" w:type="dxa"/>
            </w:tcMar>
          </w:tcPr>
          <w:p w14:paraId="4386506F" w14:textId="77777777" w:rsidR="00004105" w:rsidRDefault="00000000">
            <w:pPr>
              <w:spacing w:line="244" w:lineRule="auto"/>
            </w:pPr>
            <w:r>
              <w:rPr>
                <w:sz w:val="19"/>
                <w:szCs w:val="19"/>
              </w:rPr>
              <w:t>Saipem S.p.A. v. Bangladesh</w:t>
            </w:r>
          </w:p>
        </w:tc>
        <w:tc>
          <w:tcPr>
            <w:tcW w:w="2800" w:type="dxa"/>
            <w:tcMar>
              <w:top w:w="70" w:type="dxa"/>
              <w:left w:w="110" w:type="dxa"/>
              <w:bottom w:w="70" w:type="dxa"/>
              <w:right w:w="110" w:type="dxa"/>
            </w:tcMar>
          </w:tcPr>
          <w:p w14:paraId="12C88400" w14:textId="77777777" w:rsidR="00004105" w:rsidRDefault="00000000">
            <w:pPr>
              <w:spacing w:line="244" w:lineRule="auto"/>
            </w:pPr>
            <w:r>
              <w:rPr>
                <w:sz w:val="19"/>
                <w:szCs w:val="19"/>
              </w:rPr>
              <w:t>ICSID ARB/05/7; Award 30 June 2009</w:t>
            </w:r>
          </w:p>
        </w:tc>
        <w:tc>
          <w:tcPr>
            <w:tcW w:w="2700" w:type="dxa"/>
            <w:tcMar>
              <w:top w:w="70" w:type="dxa"/>
              <w:left w:w="110" w:type="dxa"/>
              <w:bottom w:w="70" w:type="dxa"/>
              <w:right w:w="110" w:type="dxa"/>
            </w:tcMar>
          </w:tcPr>
          <w:p w14:paraId="317CA707" w14:textId="77777777" w:rsidR="00004105" w:rsidRDefault="00000000">
            <w:pPr>
              <w:spacing w:line="244" w:lineRule="auto"/>
            </w:pPr>
            <w:r>
              <w:rPr>
                <w:sz w:val="19"/>
                <w:szCs w:val="19"/>
              </w:rPr>
              <w:t>1.8 — judicial interference</w:t>
            </w:r>
          </w:p>
        </w:tc>
      </w:tr>
      <w:tr w:rsidR="00004105" w14:paraId="55470783" w14:textId="77777777">
        <w:tblPrEx>
          <w:tblCellMar>
            <w:top w:w="0" w:type="dxa"/>
            <w:bottom w:w="0" w:type="dxa"/>
          </w:tblCellMar>
        </w:tblPrEx>
        <w:tc>
          <w:tcPr>
            <w:tcW w:w="3350" w:type="dxa"/>
            <w:tcMar>
              <w:top w:w="70" w:type="dxa"/>
              <w:left w:w="110" w:type="dxa"/>
              <w:bottom w:w="70" w:type="dxa"/>
              <w:right w:w="110" w:type="dxa"/>
            </w:tcMar>
          </w:tcPr>
          <w:p w14:paraId="78B8A251" w14:textId="77777777" w:rsidR="00004105" w:rsidRDefault="00000000">
            <w:pPr>
              <w:spacing w:line="244" w:lineRule="auto"/>
            </w:pPr>
            <w:r>
              <w:rPr>
                <w:sz w:val="19"/>
                <w:szCs w:val="19"/>
              </w:rPr>
              <w:t>SBP &amp; Co. v. Patel Engineering Ltd.</w:t>
            </w:r>
          </w:p>
        </w:tc>
        <w:tc>
          <w:tcPr>
            <w:tcW w:w="2800" w:type="dxa"/>
            <w:tcMar>
              <w:top w:w="70" w:type="dxa"/>
              <w:left w:w="110" w:type="dxa"/>
              <w:bottom w:w="70" w:type="dxa"/>
              <w:right w:w="110" w:type="dxa"/>
            </w:tcMar>
          </w:tcPr>
          <w:p w14:paraId="5E37EFC4" w14:textId="77777777" w:rsidR="00004105" w:rsidRDefault="00000000">
            <w:pPr>
              <w:spacing w:line="244" w:lineRule="auto"/>
            </w:pPr>
            <w:r>
              <w:rPr>
                <w:sz w:val="19"/>
                <w:szCs w:val="19"/>
              </w:rPr>
              <w:t>(2005) 8 SCC 618; AIR 2006 SC 450 (7 Judges)</w:t>
            </w:r>
          </w:p>
        </w:tc>
        <w:tc>
          <w:tcPr>
            <w:tcW w:w="2700" w:type="dxa"/>
            <w:tcMar>
              <w:top w:w="70" w:type="dxa"/>
              <w:left w:w="110" w:type="dxa"/>
              <w:bottom w:w="70" w:type="dxa"/>
              <w:right w:w="110" w:type="dxa"/>
            </w:tcMar>
          </w:tcPr>
          <w:p w14:paraId="22F61316" w14:textId="77777777" w:rsidR="00004105" w:rsidRDefault="00000000">
            <w:pPr>
              <w:spacing w:line="244" w:lineRule="auto"/>
            </w:pPr>
            <w:r>
              <w:rPr>
                <w:sz w:val="19"/>
                <w:szCs w:val="19"/>
              </w:rPr>
              <w:t>7.3 — s. 11 judicial</w:t>
            </w:r>
          </w:p>
        </w:tc>
      </w:tr>
      <w:tr w:rsidR="00004105" w14:paraId="7C03C064" w14:textId="77777777">
        <w:tblPrEx>
          <w:tblCellMar>
            <w:top w:w="0" w:type="dxa"/>
            <w:bottom w:w="0" w:type="dxa"/>
          </w:tblCellMar>
        </w:tblPrEx>
        <w:tc>
          <w:tcPr>
            <w:tcW w:w="3350" w:type="dxa"/>
            <w:tcMar>
              <w:top w:w="70" w:type="dxa"/>
              <w:left w:w="110" w:type="dxa"/>
              <w:bottom w:w="70" w:type="dxa"/>
              <w:right w:w="110" w:type="dxa"/>
            </w:tcMar>
          </w:tcPr>
          <w:p w14:paraId="20F8023C" w14:textId="77777777" w:rsidR="00004105" w:rsidRDefault="00000000">
            <w:pPr>
              <w:spacing w:line="244" w:lineRule="auto"/>
            </w:pPr>
            <w:r>
              <w:rPr>
                <w:sz w:val="19"/>
                <w:szCs w:val="19"/>
              </w:rPr>
              <w:t>Scott v. Avery</w:t>
            </w:r>
          </w:p>
        </w:tc>
        <w:tc>
          <w:tcPr>
            <w:tcW w:w="2800" w:type="dxa"/>
            <w:tcMar>
              <w:top w:w="70" w:type="dxa"/>
              <w:left w:w="110" w:type="dxa"/>
              <w:bottom w:w="70" w:type="dxa"/>
              <w:right w:w="110" w:type="dxa"/>
            </w:tcMar>
          </w:tcPr>
          <w:p w14:paraId="657A82E0" w14:textId="77777777" w:rsidR="00004105" w:rsidRDefault="00000000">
            <w:pPr>
              <w:spacing w:line="244" w:lineRule="auto"/>
            </w:pPr>
            <w:r>
              <w:rPr>
                <w:sz w:val="19"/>
                <w:szCs w:val="19"/>
              </w:rPr>
              <w:t>(1856) 5 HL Cas 811; 10 ER 1121 (HL)</w:t>
            </w:r>
          </w:p>
        </w:tc>
        <w:tc>
          <w:tcPr>
            <w:tcW w:w="2700" w:type="dxa"/>
            <w:tcMar>
              <w:top w:w="70" w:type="dxa"/>
              <w:left w:w="110" w:type="dxa"/>
              <w:bottom w:w="70" w:type="dxa"/>
              <w:right w:w="110" w:type="dxa"/>
            </w:tcMar>
          </w:tcPr>
          <w:p w14:paraId="27FBA55E" w14:textId="77777777" w:rsidR="00004105" w:rsidRDefault="00000000">
            <w:pPr>
              <w:spacing w:line="244" w:lineRule="auto"/>
            </w:pPr>
            <w:r>
              <w:rPr>
                <w:sz w:val="19"/>
                <w:szCs w:val="19"/>
              </w:rPr>
              <w:t>2.2 — condition precedent</w:t>
            </w:r>
          </w:p>
        </w:tc>
      </w:tr>
      <w:tr w:rsidR="00004105" w14:paraId="701D3CA0" w14:textId="77777777">
        <w:tblPrEx>
          <w:tblCellMar>
            <w:top w:w="0" w:type="dxa"/>
            <w:bottom w:w="0" w:type="dxa"/>
          </w:tblCellMar>
        </w:tblPrEx>
        <w:tc>
          <w:tcPr>
            <w:tcW w:w="3350" w:type="dxa"/>
            <w:tcMar>
              <w:top w:w="70" w:type="dxa"/>
              <w:left w:w="110" w:type="dxa"/>
              <w:bottom w:w="70" w:type="dxa"/>
              <w:right w:w="110" w:type="dxa"/>
            </w:tcMar>
          </w:tcPr>
          <w:p w14:paraId="36F8B3D7" w14:textId="77777777" w:rsidR="00004105" w:rsidRDefault="00000000">
            <w:pPr>
              <w:spacing w:line="244" w:lineRule="auto"/>
            </w:pPr>
            <w:r>
              <w:rPr>
                <w:sz w:val="19"/>
                <w:szCs w:val="19"/>
              </w:rPr>
              <w:t>SMS Tea Estates Pvt. Ltd. v. Chandmari Tea Co.</w:t>
            </w:r>
          </w:p>
        </w:tc>
        <w:tc>
          <w:tcPr>
            <w:tcW w:w="2800" w:type="dxa"/>
            <w:tcMar>
              <w:top w:w="70" w:type="dxa"/>
              <w:left w:w="110" w:type="dxa"/>
              <w:bottom w:w="70" w:type="dxa"/>
              <w:right w:w="110" w:type="dxa"/>
            </w:tcMar>
          </w:tcPr>
          <w:p w14:paraId="7E180E27" w14:textId="77777777" w:rsidR="00004105" w:rsidRDefault="00000000">
            <w:pPr>
              <w:spacing w:line="244" w:lineRule="auto"/>
            </w:pPr>
            <w:r>
              <w:rPr>
                <w:sz w:val="19"/>
                <w:szCs w:val="19"/>
              </w:rPr>
              <w:t>(2011) 14 SCC 66</w:t>
            </w:r>
          </w:p>
        </w:tc>
        <w:tc>
          <w:tcPr>
            <w:tcW w:w="2700" w:type="dxa"/>
            <w:tcMar>
              <w:top w:w="70" w:type="dxa"/>
              <w:left w:w="110" w:type="dxa"/>
              <w:bottom w:w="70" w:type="dxa"/>
              <w:right w:w="110" w:type="dxa"/>
            </w:tcMar>
          </w:tcPr>
          <w:p w14:paraId="7BE3E035" w14:textId="77777777" w:rsidR="00004105" w:rsidRDefault="00000000">
            <w:pPr>
              <w:spacing w:line="244" w:lineRule="auto"/>
            </w:pPr>
            <w:r>
              <w:rPr>
                <w:sz w:val="19"/>
                <w:szCs w:val="19"/>
              </w:rPr>
              <w:t>4.3 — overruled</w:t>
            </w:r>
          </w:p>
        </w:tc>
      </w:tr>
      <w:tr w:rsidR="00004105" w14:paraId="1412BBBC" w14:textId="77777777">
        <w:tblPrEx>
          <w:tblCellMar>
            <w:top w:w="0" w:type="dxa"/>
            <w:bottom w:w="0" w:type="dxa"/>
          </w:tblCellMar>
        </w:tblPrEx>
        <w:tc>
          <w:tcPr>
            <w:tcW w:w="3350" w:type="dxa"/>
            <w:tcMar>
              <w:top w:w="70" w:type="dxa"/>
              <w:left w:w="110" w:type="dxa"/>
              <w:bottom w:w="70" w:type="dxa"/>
              <w:right w:w="110" w:type="dxa"/>
            </w:tcMar>
          </w:tcPr>
          <w:p w14:paraId="2CABAB34" w14:textId="77777777" w:rsidR="00004105" w:rsidRDefault="00000000">
            <w:pPr>
              <w:spacing w:line="244" w:lineRule="auto"/>
            </w:pPr>
            <w:r>
              <w:rPr>
                <w:sz w:val="19"/>
                <w:szCs w:val="19"/>
              </w:rPr>
              <w:t>Sundaram Finance Ltd. v. NEPC India Ltd.</w:t>
            </w:r>
          </w:p>
        </w:tc>
        <w:tc>
          <w:tcPr>
            <w:tcW w:w="2800" w:type="dxa"/>
            <w:tcMar>
              <w:top w:w="70" w:type="dxa"/>
              <w:left w:w="110" w:type="dxa"/>
              <w:bottom w:w="70" w:type="dxa"/>
              <w:right w:w="110" w:type="dxa"/>
            </w:tcMar>
          </w:tcPr>
          <w:p w14:paraId="50D3C514" w14:textId="77777777" w:rsidR="00004105" w:rsidRDefault="00000000">
            <w:pPr>
              <w:spacing w:line="244" w:lineRule="auto"/>
            </w:pPr>
            <w:r>
              <w:rPr>
                <w:sz w:val="19"/>
                <w:szCs w:val="19"/>
              </w:rPr>
              <w:t>(1999) 2 SCC 479; AIR 1999 SC 565</w:t>
            </w:r>
          </w:p>
        </w:tc>
        <w:tc>
          <w:tcPr>
            <w:tcW w:w="2700" w:type="dxa"/>
            <w:tcMar>
              <w:top w:w="70" w:type="dxa"/>
              <w:left w:w="110" w:type="dxa"/>
              <w:bottom w:w="70" w:type="dxa"/>
              <w:right w:w="110" w:type="dxa"/>
            </w:tcMar>
          </w:tcPr>
          <w:p w14:paraId="673C6C47" w14:textId="77777777" w:rsidR="00004105" w:rsidRDefault="00000000">
            <w:pPr>
              <w:spacing w:line="244" w:lineRule="auto"/>
            </w:pPr>
            <w:r>
              <w:rPr>
                <w:sz w:val="19"/>
                <w:szCs w:val="19"/>
              </w:rPr>
              <w:t>5.1 — s. 9 pre-commencement</w:t>
            </w:r>
          </w:p>
        </w:tc>
      </w:tr>
      <w:tr w:rsidR="00004105" w14:paraId="7B259849" w14:textId="77777777">
        <w:tblPrEx>
          <w:tblCellMar>
            <w:top w:w="0" w:type="dxa"/>
            <w:bottom w:w="0" w:type="dxa"/>
          </w:tblCellMar>
        </w:tblPrEx>
        <w:tc>
          <w:tcPr>
            <w:tcW w:w="3350" w:type="dxa"/>
            <w:tcMar>
              <w:top w:w="70" w:type="dxa"/>
              <w:left w:w="110" w:type="dxa"/>
              <w:bottom w:w="70" w:type="dxa"/>
              <w:right w:w="110" w:type="dxa"/>
            </w:tcMar>
          </w:tcPr>
          <w:p w14:paraId="2DB8C9E7" w14:textId="77777777" w:rsidR="00004105" w:rsidRDefault="00000000">
            <w:pPr>
              <w:spacing w:line="244" w:lineRule="auto"/>
            </w:pPr>
            <w:r>
              <w:rPr>
                <w:sz w:val="19"/>
                <w:szCs w:val="19"/>
              </w:rPr>
              <w:t>Tata Sons Pvt. Ltd. v. Siva Industries and Holdings Ltd.</w:t>
            </w:r>
          </w:p>
        </w:tc>
        <w:tc>
          <w:tcPr>
            <w:tcW w:w="2800" w:type="dxa"/>
            <w:tcMar>
              <w:top w:w="70" w:type="dxa"/>
              <w:left w:w="110" w:type="dxa"/>
              <w:bottom w:w="70" w:type="dxa"/>
              <w:right w:w="110" w:type="dxa"/>
            </w:tcMar>
          </w:tcPr>
          <w:p w14:paraId="25267C02" w14:textId="77777777" w:rsidR="00004105" w:rsidRDefault="00000000">
            <w:pPr>
              <w:spacing w:line="244" w:lineRule="auto"/>
            </w:pPr>
            <w:r>
              <w:rPr>
                <w:sz w:val="19"/>
                <w:szCs w:val="19"/>
              </w:rPr>
              <w:t>SC, 5 Jan 2023 (citation to be verified)</w:t>
            </w:r>
          </w:p>
        </w:tc>
        <w:tc>
          <w:tcPr>
            <w:tcW w:w="2700" w:type="dxa"/>
            <w:tcMar>
              <w:top w:w="70" w:type="dxa"/>
              <w:left w:w="110" w:type="dxa"/>
              <w:bottom w:w="70" w:type="dxa"/>
              <w:right w:w="110" w:type="dxa"/>
            </w:tcMar>
          </w:tcPr>
          <w:p w14:paraId="50703171" w14:textId="77777777" w:rsidR="00004105" w:rsidRDefault="00000000">
            <w:pPr>
              <w:spacing w:line="244" w:lineRule="auto"/>
            </w:pPr>
            <w:r>
              <w:rPr>
                <w:sz w:val="19"/>
                <w:szCs w:val="19"/>
              </w:rPr>
              <w:t>11.6 — s. 29A and ICA</w:t>
            </w:r>
          </w:p>
        </w:tc>
      </w:tr>
      <w:tr w:rsidR="00004105" w14:paraId="2BF03585" w14:textId="77777777">
        <w:tblPrEx>
          <w:tblCellMar>
            <w:top w:w="0" w:type="dxa"/>
            <w:bottom w:w="0" w:type="dxa"/>
          </w:tblCellMar>
        </w:tblPrEx>
        <w:tc>
          <w:tcPr>
            <w:tcW w:w="3350" w:type="dxa"/>
            <w:tcMar>
              <w:top w:w="70" w:type="dxa"/>
              <w:left w:w="110" w:type="dxa"/>
              <w:bottom w:w="70" w:type="dxa"/>
              <w:right w:w="110" w:type="dxa"/>
            </w:tcMar>
          </w:tcPr>
          <w:p w14:paraId="6C50195C" w14:textId="77777777" w:rsidR="00004105" w:rsidRDefault="00000000">
            <w:pPr>
              <w:spacing w:line="244" w:lineRule="auto"/>
            </w:pPr>
            <w:r>
              <w:rPr>
                <w:sz w:val="19"/>
                <w:szCs w:val="19"/>
              </w:rPr>
              <w:t>TDM Infrastructure P. Ltd. v. UE Development India P. Ltd.</w:t>
            </w:r>
          </w:p>
        </w:tc>
        <w:tc>
          <w:tcPr>
            <w:tcW w:w="2800" w:type="dxa"/>
            <w:tcMar>
              <w:top w:w="70" w:type="dxa"/>
              <w:left w:w="110" w:type="dxa"/>
              <w:bottom w:w="70" w:type="dxa"/>
              <w:right w:w="110" w:type="dxa"/>
            </w:tcMar>
          </w:tcPr>
          <w:p w14:paraId="57E9CD64" w14:textId="77777777" w:rsidR="00004105" w:rsidRDefault="00000000">
            <w:pPr>
              <w:spacing w:line="244" w:lineRule="auto"/>
            </w:pPr>
            <w:r>
              <w:rPr>
                <w:sz w:val="19"/>
                <w:szCs w:val="19"/>
              </w:rPr>
              <w:t>(2008) 14 SCC 271</w:t>
            </w:r>
          </w:p>
        </w:tc>
        <w:tc>
          <w:tcPr>
            <w:tcW w:w="2700" w:type="dxa"/>
            <w:tcMar>
              <w:top w:w="70" w:type="dxa"/>
              <w:left w:w="110" w:type="dxa"/>
              <w:bottom w:w="70" w:type="dxa"/>
              <w:right w:w="110" w:type="dxa"/>
            </w:tcMar>
          </w:tcPr>
          <w:p w14:paraId="3F794F9E" w14:textId="77777777" w:rsidR="00004105" w:rsidRDefault="00000000">
            <w:pPr>
              <w:spacing w:line="244" w:lineRule="auto"/>
            </w:pPr>
            <w:r>
              <w:rPr>
                <w:sz w:val="19"/>
                <w:szCs w:val="19"/>
              </w:rPr>
              <w:t>1.3 — nationality</w:t>
            </w:r>
          </w:p>
        </w:tc>
      </w:tr>
      <w:tr w:rsidR="00004105" w14:paraId="236D6541" w14:textId="77777777">
        <w:tblPrEx>
          <w:tblCellMar>
            <w:top w:w="0" w:type="dxa"/>
            <w:bottom w:w="0" w:type="dxa"/>
          </w:tblCellMar>
        </w:tblPrEx>
        <w:tc>
          <w:tcPr>
            <w:tcW w:w="3350" w:type="dxa"/>
            <w:tcMar>
              <w:top w:w="70" w:type="dxa"/>
              <w:left w:w="110" w:type="dxa"/>
              <w:bottom w:w="70" w:type="dxa"/>
              <w:right w:w="110" w:type="dxa"/>
            </w:tcMar>
          </w:tcPr>
          <w:p w14:paraId="3941EFFB" w14:textId="77777777" w:rsidR="00004105" w:rsidRDefault="00000000">
            <w:pPr>
              <w:spacing w:line="244" w:lineRule="auto"/>
            </w:pPr>
            <w:r>
              <w:rPr>
                <w:sz w:val="19"/>
                <w:szCs w:val="19"/>
              </w:rPr>
              <w:t>TRF Ltd. v. Energo Engineering Projects Ltd.</w:t>
            </w:r>
          </w:p>
        </w:tc>
        <w:tc>
          <w:tcPr>
            <w:tcW w:w="2800" w:type="dxa"/>
            <w:tcMar>
              <w:top w:w="70" w:type="dxa"/>
              <w:left w:w="110" w:type="dxa"/>
              <w:bottom w:w="70" w:type="dxa"/>
              <w:right w:w="110" w:type="dxa"/>
            </w:tcMar>
          </w:tcPr>
          <w:p w14:paraId="31A040A8" w14:textId="77777777" w:rsidR="00004105" w:rsidRDefault="00000000">
            <w:pPr>
              <w:spacing w:line="244" w:lineRule="auto"/>
            </w:pPr>
            <w:r>
              <w:rPr>
                <w:sz w:val="19"/>
                <w:szCs w:val="19"/>
              </w:rPr>
              <w:t>(2017) 8 SCC 377 (3 Judges)</w:t>
            </w:r>
          </w:p>
        </w:tc>
        <w:tc>
          <w:tcPr>
            <w:tcW w:w="2700" w:type="dxa"/>
            <w:tcMar>
              <w:top w:w="70" w:type="dxa"/>
              <w:left w:w="110" w:type="dxa"/>
              <w:bottom w:w="70" w:type="dxa"/>
              <w:right w:w="110" w:type="dxa"/>
            </w:tcMar>
          </w:tcPr>
          <w:p w14:paraId="6BDD4A04" w14:textId="77777777" w:rsidR="00004105" w:rsidRDefault="00000000">
            <w:pPr>
              <w:spacing w:line="244" w:lineRule="auto"/>
            </w:pPr>
            <w:r>
              <w:rPr>
                <w:sz w:val="19"/>
                <w:szCs w:val="19"/>
              </w:rPr>
              <w:t>8.5 — ineligible person cannot nominate</w:t>
            </w:r>
          </w:p>
        </w:tc>
      </w:tr>
      <w:tr w:rsidR="00004105" w14:paraId="649B4F86" w14:textId="77777777">
        <w:tblPrEx>
          <w:tblCellMar>
            <w:top w:w="0" w:type="dxa"/>
            <w:bottom w:w="0" w:type="dxa"/>
          </w:tblCellMar>
        </w:tblPrEx>
        <w:tc>
          <w:tcPr>
            <w:tcW w:w="3350" w:type="dxa"/>
            <w:tcMar>
              <w:top w:w="70" w:type="dxa"/>
              <w:left w:w="110" w:type="dxa"/>
              <w:bottom w:w="70" w:type="dxa"/>
              <w:right w:w="110" w:type="dxa"/>
            </w:tcMar>
          </w:tcPr>
          <w:p w14:paraId="36D2345F" w14:textId="77777777" w:rsidR="00004105" w:rsidRDefault="00000000">
            <w:pPr>
              <w:spacing w:line="244" w:lineRule="auto"/>
            </w:pPr>
            <w:r>
              <w:rPr>
                <w:sz w:val="19"/>
                <w:szCs w:val="19"/>
              </w:rPr>
              <w:t>Union of India v. Tantia Construction Pvt. Ltd.</w:t>
            </w:r>
          </w:p>
        </w:tc>
        <w:tc>
          <w:tcPr>
            <w:tcW w:w="2800" w:type="dxa"/>
            <w:tcMar>
              <w:top w:w="70" w:type="dxa"/>
              <w:left w:w="110" w:type="dxa"/>
              <w:bottom w:w="70" w:type="dxa"/>
              <w:right w:w="110" w:type="dxa"/>
            </w:tcMar>
          </w:tcPr>
          <w:p w14:paraId="392FFE79" w14:textId="77777777" w:rsidR="00004105" w:rsidRDefault="00000000">
            <w:pPr>
              <w:spacing w:line="244" w:lineRule="auto"/>
            </w:pPr>
            <w:r>
              <w:rPr>
                <w:sz w:val="19"/>
                <w:szCs w:val="19"/>
              </w:rPr>
              <w:t>(2011) 5 SCC 697</w:t>
            </w:r>
          </w:p>
        </w:tc>
        <w:tc>
          <w:tcPr>
            <w:tcW w:w="2700" w:type="dxa"/>
            <w:tcMar>
              <w:top w:w="70" w:type="dxa"/>
              <w:left w:w="110" w:type="dxa"/>
              <w:bottom w:w="70" w:type="dxa"/>
              <w:right w:w="110" w:type="dxa"/>
            </w:tcMar>
          </w:tcPr>
          <w:p w14:paraId="01423942" w14:textId="77777777" w:rsidR="00004105" w:rsidRDefault="00000000">
            <w:pPr>
              <w:spacing w:line="244" w:lineRule="auto"/>
            </w:pPr>
            <w:r>
              <w:rPr>
                <w:sz w:val="19"/>
                <w:szCs w:val="19"/>
              </w:rPr>
              <w:t>3.2 — s. 5 and writ jurisdiction</w:t>
            </w:r>
          </w:p>
        </w:tc>
      </w:tr>
      <w:tr w:rsidR="00004105" w14:paraId="5F382CCD" w14:textId="77777777">
        <w:tblPrEx>
          <w:tblCellMar>
            <w:top w:w="0" w:type="dxa"/>
            <w:bottom w:w="0" w:type="dxa"/>
          </w:tblCellMar>
        </w:tblPrEx>
        <w:tc>
          <w:tcPr>
            <w:tcW w:w="3350" w:type="dxa"/>
            <w:tcMar>
              <w:top w:w="70" w:type="dxa"/>
              <w:left w:w="110" w:type="dxa"/>
              <w:bottom w:w="70" w:type="dxa"/>
              <w:right w:w="110" w:type="dxa"/>
            </w:tcMar>
          </w:tcPr>
          <w:p w14:paraId="3546AA83" w14:textId="77777777" w:rsidR="00004105" w:rsidRDefault="00000000">
            <w:pPr>
              <w:spacing w:line="244" w:lineRule="auto"/>
            </w:pPr>
            <w:r>
              <w:rPr>
                <w:sz w:val="19"/>
                <w:szCs w:val="19"/>
              </w:rPr>
              <w:t>Union of India v. Tantia Constructions Ltd.</w:t>
            </w:r>
          </w:p>
        </w:tc>
        <w:tc>
          <w:tcPr>
            <w:tcW w:w="2800" w:type="dxa"/>
            <w:tcMar>
              <w:top w:w="70" w:type="dxa"/>
              <w:left w:w="110" w:type="dxa"/>
              <w:bottom w:w="70" w:type="dxa"/>
              <w:right w:w="110" w:type="dxa"/>
            </w:tcMar>
          </w:tcPr>
          <w:p w14:paraId="730838EE" w14:textId="77777777" w:rsidR="00004105" w:rsidRDefault="00000000">
            <w:pPr>
              <w:spacing w:line="244" w:lineRule="auto"/>
            </w:pPr>
            <w:r>
              <w:rPr>
                <w:sz w:val="19"/>
                <w:szCs w:val="19"/>
              </w:rPr>
              <w:t>2021 SCC OnLine SC 271 (3 Judges)</w:t>
            </w:r>
          </w:p>
        </w:tc>
        <w:tc>
          <w:tcPr>
            <w:tcW w:w="2700" w:type="dxa"/>
            <w:tcMar>
              <w:top w:w="70" w:type="dxa"/>
              <w:left w:w="110" w:type="dxa"/>
              <w:bottom w:w="70" w:type="dxa"/>
              <w:right w:w="110" w:type="dxa"/>
            </w:tcMar>
          </w:tcPr>
          <w:p w14:paraId="1D7CFE65" w14:textId="77777777" w:rsidR="00004105" w:rsidRDefault="00000000">
            <w:pPr>
              <w:spacing w:line="244" w:lineRule="auto"/>
            </w:pPr>
            <w:r>
              <w:rPr>
                <w:sz w:val="19"/>
                <w:szCs w:val="19"/>
              </w:rPr>
              <w:t>3.2, 8.5 — reference to larger Bench</w:t>
            </w:r>
          </w:p>
        </w:tc>
      </w:tr>
      <w:tr w:rsidR="00004105" w14:paraId="52D35EB9" w14:textId="77777777">
        <w:tblPrEx>
          <w:tblCellMar>
            <w:top w:w="0" w:type="dxa"/>
            <w:bottom w:w="0" w:type="dxa"/>
          </w:tblCellMar>
        </w:tblPrEx>
        <w:tc>
          <w:tcPr>
            <w:tcW w:w="3350" w:type="dxa"/>
            <w:tcMar>
              <w:top w:w="70" w:type="dxa"/>
              <w:left w:w="110" w:type="dxa"/>
              <w:bottom w:w="70" w:type="dxa"/>
              <w:right w:w="110" w:type="dxa"/>
            </w:tcMar>
          </w:tcPr>
          <w:p w14:paraId="091B9296" w14:textId="77777777" w:rsidR="00004105" w:rsidRDefault="00000000">
            <w:pPr>
              <w:spacing w:line="244" w:lineRule="auto"/>
            </w:pPr>
            <w:r>
              <w:rPr>
                <w:sz w:val="19"/>
                <w:szCs w:val="19"/>
              </w:rPr>
              <w:t>Venture Global Engineering v. Satyam Computer Services Ltd.</w:t>
            </w:r>
          </w:p>
        </w:tc>
        <w:tc>
          <w:tcPr>
            <w:tcW w:w="2800" w:type="dxa"/>
            <w:tcMar>
              <w:top w:w="70" w:type="dxa"/>
              <w:left w:w="110" w:type="dxa"/>
              <w:bottom w:w="70" w:type="dxa"/>
              <w:right w:w="110" w:type="dxa"/>
            </w:tcMar>
          </w:tcPr>
          <w:p w14:paraId="01D33D5E" w14:textId="77777777" w:rsidR="00004105" w:rsidRDefault="00000000">
            <w:pPr>
              <w:spacing w:line="244" w:lineRule="auto"/>
            </w:pPr>
            <w:r>
              <w:rPr>
                <w:sz w:val="19"/>
                <w:szCs w:val="19"/>
              </w:rPr>
              <w:t>(2008) 4 SCC 190</w:t>
            </w:r>
          </w:p>
        </w:tc>
        <w:tc>
          <w:tcPr>
            <w:tcW w:w="2700" w:type="dxa"/>
            <w:tcMar>
              <w:top w:w="70" w:type="dxa"/>
              <w:left w:w="110" w:type="dxa"/>
              <w:bottom w:w="70" w:type="dxa"/>
              <w:right w:w="110" w:type="dxa"/>
            </w:tcMar>
          </w:tcPr>
          <w:p w14:paraId="1FE5ED75" w14:textId="77777777" w:rsidR="00004105" w:rsidRDefault="00000000">
            <w:pPr>
              <w:spacing w:line="244" w:lineRule="auto"/>
            </w:pPr>
            <w:r>
              <w:rPr>
                <w:sz w:val="19"/>
                <w:szCs w:val="19"/>
              </w:rPr>
              <w:t>1.6 — overruled</w:t>
            </w:r>
          </w:p>
        </w:tc>
      </w:tr>
      <w:tr w:rsidR="00004105" w14:paraId="3D1F38D6" w14:textId="77777777">
        <w:tblPrEx>
          <w:tblCellMar>
            <w:top w:w="0" w:type="dxa"/>
            <w:bottom w:w="0" w:type="dxa"/>
          </w:tblCellMar>
        </w:tblPrEx>
        <w:tc>
          <w:tcPr>
            <w:tcW w:w="3350" w:type="dxa"/>
            <w:tcMar>
              <w:top w:w="70" w:type="dxa"/>
              <w:left w:w="110" w:type="dxa"/>
              <w:bottom w:w="70" w:type="dxa"/>
              <w:right w:w="110" w:type="dxa"/>
            </w:tcMar>
          </w:tcPr>
          <w:p w14:paraId="11E5B90D" w14:textId="77777777" w:rsidR="00004105" w:rsidRDefault="00000000">
            <w:pPr>
              <w:spacing w:line="244" w:lineRule="auto"/>
            </w:pPr>
            <w:r>
              <w:rPr>
                <w:sz w:val="19"/>
                <w:szCs w:val="19"/>
              </w:rPr>
              <w:t>Vidya Drolia v. Durga Trading Corporation</w:t>
            </w:r>
          </w:p>
        </w:tc>
        <w:tc>
          <w:tcPr>
            <w:tcW w:w="2800" w:type="dxa"/>
            <w:tcMar>
              <w:top w:w="70" w:type="dxa"/>
              <w:left w:w="110" w:type="dxa"/>
              <w:bottom w:w="70" w:type="dxa"/>
              <w:right w:w="110" w:type="dxa"/>
            </w:tcMar>
          </w:tcPr>
          <w:p w14:paraId="34F8D308" w14:textId="77777777" w:rsidR="00004105" w:rsidRDefault="00000000">
            <w:pPr>
              <w:spacing w:line="244" w:lineRule="auto"/>
            </w:pPr>
            <w:r>
              <w:rPr>
                <w:sz w:val="19"/>
                <w:szCs w:val="19"/>
              </w:rPr>
              <w:t>(2021) 2 SCC 1 (3 Judges)</w:t>
            </w:r>
          </w:p>
        </w:tc>
        <w:tc>
          <w:tcPr>
            <w:tcW w:w="2700" w:type="dxa"/>
            <w:tcMar>
              <w:top w:w="70" w:type="dxa"/>
              <w:left w:w="110" w:type="dxa"/>
              <w:bottom w:w="70" w:type="dxa"/>
              <w:right w:w="110" w:type="dxa"/>
            </w:tcMar>
          </w:tcPr>
          <w:p w14:paraId="48C4B34C" w14:textId="77777777" w:rsidR="00004105" w:rsidRDefault="00000000">
            <w:pPr>
              <w:spacing w:line="244" w:lineRule="auto"/>
            </w:pPr>
            <w:r>
              <w:rPr>
                <w:sz w:val="19"/>
                <w:szCs w:val="19"/>
              </w:rPr>
              <w:t>3.5 — fourfold test</w:t>
            </w:r>
          </w:p>
        </w:tc>
      </w:tr>
      <w:tr w:rsidR="00004105" w14:paraId="27E30F78" w14:textId="77777777">
        <w:tblPrEx>
          <w:tblCellMar>
            <w:top w:w="0" w:type="dxa"/>
            <w:bottom w:w="0" w:type="dxa"/>
          </w:tblCellMar>
        </w:tblPrEx>
        <w:tc>
          <w:tcPr>
            <w:tcW w:w="3350" w:type="dxa"/>
            <w:tcMar>
              <w:top w:w="70" w:type="dxa"/>
              <w:left w:w="110" w:type="dxa"/>
              <w:bottom w:w="70" w:type="dxa"/>
              <w:right w:w="110" w:type="dxa"/>
            </w:tcMar>
          </w:tcPr>
          <w:p w14:paraId="71D4357E" w14:textId="77777777" w:rsidR="00004105" w:rsidRDefault="00000000">
            <w:pPr>
              <w:spacing w:line="244" w:lineRule="auto"/>
            </w:pPr>
            <w:r>
              <w:rPr>
                <w:sz w:val="19"/>
                <w:szCs w:val="19"/>
              </w:rPr>
              <w:t>Wellington Associates Ltd. v. Kirit Mehta</w:t>
            </w:r>
          </w:p>
        </w:tc>
        <w:tc>
          <w:tcPr>
            <w:tcW w:w="2800" w:type="dxa"/>
            <w:tcMar>
              <w:top w:w="70" w:type="dxa"/>
              <w:left w:w="110" w:type="dxa"/>
              <w:bottom w:w="70" w:type="dxa"/>
              <w:right w:w="110" w:type="dxa"/>
            </w:tcMar>
          </w:tcPr>
          <w:p w14:paraId="7515151C" w14:textId="77777777" w:rsidR="00004105" w:rsidRDefault="00000000">
            <w:pPr>
              <w:spacing w:line="244" w:lineRule="auto"/>
            </w:pPr>
            <w:r>
              <w:rPr>
                <w:sz w:val="19"/>
                <w:szCs w:val="19"/>
              </w:rPr>
              <w:t>(2000) 4 SCC 272</w:t>
            </w:r>
          </w:p>
        </w:tc>
        <w:tc>
          <w:tcPr>
            <w:tcW w:w="2700" w:type="dxa"/>
            <w:tcMar>
              <w:top w:w="70" w:type="dxa"/>
              <w:left w:w="110" w:type="dxa"/>
              <w:bottom w:w="70" w:type="dxa"/>
              <w:right w:w="110" w:type="dxa"/>
            </w:tcMar>
          </w:tcPr>
          <w:p w14:paraId="44D7DA6B" w14:textId="77777777" w:rsidR="00004105" w:rsidRDefault="00000000">
            <w:pPr>
              <w:spacing w:line="244" w:lineRule="auto"/>
            </w:pPr>
            <w:r>
              <w:rPr>
                <w:sz w:val="19"/>
                <w:szCs w:val="19"/>
              </w:rPr>
              <w:t>4.2 — “may be referred”</w:t>
            </w:r>
          </w:p>
        </w:tc>
      </w:tr>
      <w:tr w:rsidR="00004105" w14:paraId="3FD28D74" w14:textId="77777777">
        <w:tblPrEx>
          <w:tblCellMar>
            <w:top w:w="0" w:type="dxa"/>
            <w:bottom w:w="0" w:type="dxa"/>
          </w:tblCellMar>
        </w:tblPrEx>
        <w:tc>
          <w:tcPr>
            <w:tcW w:w="3350" w:type="dxa"/>
            <w:tcMar>
              <w:top w:w="70" w:type="dxa"/>
              <w:left w:w="110" w:type="dxa"/>
              <w:bottom w:w="70" w:type="dxa"/>
              <w:right w:w="110" w:type="dxa"/>
            </w:tcMar>
          </w:tcPr>
          <w:p w14:paraId="4CD524D7" w14:textId="77777777" w:rsidR="00004105" w:rsidRDefault="00000000">
            <w:pPr>
              <w:spacing w:line="244" w:lineRule="auto"/>
            </w:pPr>
            <w:r>
              <w:rPr>
                <w:sz w:val="19"/>
                <w:szCs w:val="19"/>
              </w:rPr>
              <w:t>White Industries Australia Ltd. v. Republic of India</w:t>
            </w:r>
          </w:p>
        </w:tc>
        <w:tc>
          <w:tcPr>
            <w:tcW w:w="2800" w:type="dxa"/>
            <w:tcMar>
              <w:top w:w="70" w:type="dxa"/>
              <w:left w:w="110" w:type="dxa"/>
              <w:bottom w:w="70" w:type="dxa"/>
              <w:right w:w="110" w:type="dxa"/>
            </w:tcMar>
          </w:tcPr>
          <w:p w14:paraId="27F3396D" w14:textId="77777777" w:rsidR="00004105" w:rsidRDefault="00000000">
            <w:pPr>
              <w:spacing w:line="244" w:lineRule="auto"/>
            </w:pPr>
            <w:r>
              <w:rPr>
                <w:sz w:val="19"/>
                <w:szCs w:val="19"/>
              </w:rPr>
              <w:t>UNCITRAL; Final Award 30 Nov 2011</w:t>
            </w:r>
          </w:p>
        </w:tc>
        <w:tc>
          <w:tcPr>
            <w:tcW w:w="2700" w:type="dxa"/>
            <w:tcMar>
              <w:top w:w="70" w:type="dxa"/>
              <w:left w:w="110" w:type="dxa"/>
              <w:bottom w:w="70" w:type="dxa"/>
              <w:right w:w="110" w:type="dxa"/>
            </w:tcMar>
          </w:tcPr>
          <w:p w14:paraId="38EEE4F6" w14:textId="77777777" w:rsidR="00004105" w:rsidRDefault="00000000">
            <w:pPr>
              <w:spacing w:line="244" w:lineRule="auto"/>
            </w:pPr>
            <w:r>
              <w:rPr>
                <w:sz w:val="19"/>
                <w:szCs w:val="19"/>
              </w:rPr>
              <w:t>1.8 — effective means</w:t>
            </w:r>
          </w:p>
        </w:tc>
      </w:tr>
    </w:tbl>
    <w:p w14:paraId="0B897E0D" w14:textId="77777777" w:rsidR="00004105" w:rsidRDefault="00004105">
      <w:pPr>
        <w:spacing w:after="110"/>
      </w:pPr>
    </w:p>
    <w:p w14:paraId="34B56335" w14:textId="77777777" w:rsidR="00004105" w:rsidRDefault="00000000">
      <w:pPr>
        <w:pStyle w:val="Heading1"/>
        <w:keepNext/>
        <w:pBdr>
          <w:top w:val="single" w:sz="8" w:space="10" w:color="999999"/>
        </w:pBdr>
        <w:spacing w:before="460" w:after="170"/>
      </w:pPr>
      <w:bookmarkStart w:id="68" w:name="_Toc240747403"/>
      <w:r>
        <w:lastRenderedPageBreak/>
        <w:t>Statutes, Instruments and Sources</w:t>
      </w:r>
      <w:bookmarkEnd w:id="68"/>
    </w:p>
    <w:p w14:paraId="2DABC1B8" w14:textId="77777777" w:rsidR="00004105" w:rsidRDefault="00000000">
      <w:pPr>
        <w:pStyle w:val="Heading2"/>
        <w:keepNext/>
        <w:spacing w:before="240" w:after="110"/>
      </w:pPr>
      <w:bookmarkStart w:id="69" w:name="_Toc240747404"/>
      <w:r>
        <w:t>Arbitration and Conciliation Act, 1996</w:t>
      </w:r>
      <w:bookmarkEnd w:id="69"/>
    </w:p>
    <w:p w14:paraId="3133850A" w14:textId="77777777" w:rsidR="00004105" w:rsidRDefault="00000000">
      <w:pPr>
        <w:spacing w:after="110"/>
        <w:jc w:val="both"/>
      </w:pPr>
      <w:r>
        <w:rPr>
          <w:b/>
          <w:bCs/>
        </w:rPr>
        <w:t>Definitions and scope:</w:t>
      </w:r>
      <w:r>
        <w:t xml:space="preserve"> s. 2(1)(e) (Court), 2(1)(f) (ICA), 2(1)(h) (party), 2(2) and proviso, 2(7). </w:t>
      </w:r>
      <w:r>
        <w:rPr>
          <w:b/>
          <w:bCs/>
        </w:rPr>
        <w:t>Part I:</w:t>
      </w:r>
      <w:r>
        <w:t xml:space="preserve"> ss. 4, 5, 7, 8, 9, 10, 11 (incl. (3A), (6A), (6B), (14)), 12, 13, 14, 15, 16, 17, 18, 19, 20, 21, 22, 23 (incl. (2A), (4)), 24, 25, 26, 27, 29A, 34 (incl. (2)(a)(iii)–(v)), 36, 37 (incl. (1)(b), (2)(a), (2)(b)). </w:t>
      </w:r>
      <w:r>
        <w:rPr>
          <w:b/>
          <w:bCs/>
        </w:rPr>
        <w:t>Part II:</w:t>
      </w:r>
      <w:r>
        <w:t xml:space="preserve"> s. 48. </w:t>
      </w:r>
      <w:r>
        <w:rPr>
          <w:b/>
          <w:bCs/>
        </w:rPr>
        <w:t>Part IA:</w:t>
      </w:r>
      <w:r>
        <w:t xml:space="preserve"> Arbitration Council of India (not operational). </w:t>
      </w:r>
      <w:r>
        <w:rPr>
          <w:b/>
          <w:bCs/>
        </w:rPr>
        <w:t>Schedules:</w:t>
      </w:r>
      <w:r>
        <w:t xml:space="preserve"> Fourth (fees), Fifth (justifiable doubts), Sixth (disclosure form), Seventh (ineligibility).</w:t>
      </w:r>
    </w:p>
    <w:p w14:paraId="20839844" w14:textId="77777777" w:rsidR="00004105" w:rsidRDefault="00000000">
      <w:pPr>
        <w:pStyle w:val="Heading2"/>
        <w:keepNext/>
        <w:spacing w:before="240" w:after="110"/>
      </w:pPr>
      <w:bookmarkStart w:id="70" w:name="_Toc240747405"/>
      <w:r>
        <w:t>Amending Acts</w:t>
      </w:r>
      <w:bookmarkEnd w:id="70"/>
    </w:p>
    <w:p w14:paraId="7375350D" w14:textId="77777777" w:rsidR="00004105" w:rsidRDefault="00000000">
      <w:pPr>
        <w:pStyle w:val="ListParagraph"/>
        <w:numPr>
          <w:ilvl w:val="0"/>
          <w:numId w:val="21"/>
        </w:numPr>
        <w:spacing w:after="70"/>
        <w:jc w:val="both"/>
      </w:pPr>
      <w:r>
        <w:rPr>
          <w:b/>
          <w:bCs/>
        </w:rPr>
        <w:t>Act 3 of 2016</w:t>
      </w:r>
      <w:r>
        <w:t xml:space="preserve"> (the 2015 Amendment), in force 23 October 2015 — amended ss. 2(1)(f), 2(2) proviso, 8, 9, 11, 12, 14, 17, 23(2A), 24, 25 and 34, and inserted the Fourth to Seventh Schedules.</w:t>
      </w:r>
    </w:p>
    <w:p w14:paraId="72813772" w14:textId="77777777" w:rsidR="00004105" w:rsidRDefault="00000000">
      <w:pPr>
        <w:pStyle w:val="ListParagraph"/>
        <w:numPr>
          <w:ilvl w:val="0"/>
          <w:numId w:val="21"/>
        </w:numPr>
        <w:spacing w:after="70"/>
        <w:jc w:val="both"/>
      </w:pPr>
      <w:r>
        <w:rPr>
          <w:b/>
          <w:bCs/>
        </w:rPr>
        <w:t>Act 33 of 2019</w:t>
      </w:r>
      <w:r>
        <w:t xml:space="preserve"> — inserted ss. 11(3A) and 23(4), amended s. 29A and s. 34(2)(a), created Part IA. Its omission of s. 11(6A) has </w:t>
      </w:r>
      <w:r>
        <w:rPr>
          <w:b/>
          <w:bCs/>
        </w:rPr>
        <w:t>not</w:t>
      </w:r>
      <w:r>
        <w:t xml:space="preserve"> been brought into force.</w:t>
      </w:r>
    </w:p>
    <w:p w14:paraId="6238F6B0" w14:textId="77777777" w:rsidR="00004105" w:rsidRDefault="00000000">
      <w:pPr>
        <w:pStyle w:val="ListParagraph"/>
        <w:numPr>
          <w:ilvl w:val="0"/>
          <w:numId w:val="21"/>
        </w:numPr>
        <w:spacing w:after="70"/>
        <w:jc w:val="both"/>
      </w:pPr>
      <w:r>
        <w:rPr>
          <w:b/>
          <w:bCs/>
        </w:rPr>
        <w:t>Act 3 of 2021</w:t>
      </w:r>
      <w:r>
        <w:t>.</w:t>
      </w:r>
    </w:p>
    <w:p w14:paraId="3E5CBBE4" w14:textId="77777777" w:rsidR="00004105" w:rsidRDefault="00000000">
      <w:pPr>
        <w:pStyle w:val="Heading2"/>
        <w:keepNext/>
        <w:spacing w:before="240" w:after="110"/>
      </w:pPr>
      <w:bookmarkStart w:id="71" w:name="_Toc240747406"/>
      <w:r>
        <w:t>Other Indian legislation</w:t>
      </w:r>
      <w:bookmarkEnd w:id="71"/>
    </w:p>
    <w:p w14:paraId="06A100A2" w14:textId="77777777" w:rsidR="00004105" w:rsidRDefault="00000000">
      <w:pPr>
        <w:spacing w:after="110"/>
        <w:jc w:val="both"/>
      </w:pPr>
      <w:r>
        <w:t>Constitution of India, Arts. 14, 19(1)(g), 32, 136, 142, 226, 227, 301. Code of Civil Procedure, 1908, s. 89 and the execution provisions. Consumer Protection Act, 1986, s. 3. Indian Evidence Act, 1872, replaced by the Bharatiya Sakshya Adhiniyam, 2023. Indian Stamp Act, 1899. Mediation Act, 2023. Repealed and consolidated: Arbitration Act, 1940; Arbitration (Protocol and Convention) Act, 1937; Foreign Awards (Recognition and Enforcement) Act, 1961.</w:t>
      </w:r>
    </w:p>
    <w:p w14:paraId="69A2026B" w14:textId="77777777" w:rsidR="00004105" w:rsidRDefault="00000000">
      <w:pPr>
        <w:pStyle w:val="Heading2"/>
        <w:keepNext/>
        <w:spacing w:before="240" w:after="110"/>
      </w:pPr>
      <w:bookmarkStart w:id="72" w:name="_Toc240747407"/>
      <w:r>
        <w:t>International instruments and soft law</w:t>
      </w:r>
      <w:bookmarkEnd w:id="72"/>
    </w:p>
    <w:p w14:paraId="0743AC39" w14:textId="77777777" w:rsidR="00004105" w:rsidRDefault="00000000">
      <w:pPr>
        <w:spacing w:after="110"/>
        <w:jc w:val="both"/>
      </w:pPr>
      <w:r>
        <w:t xml:space="preserve">UNCITRAL Model Law on International Commercial Arbitration 1985, as revised 2006 (esp. Art. 5), and the Model Law on Electronic Commerce. New York Convention 1958. Geneva Protocol 1923 and Geneva Convention 1927 — under the Geneva regime a rule of </w:t>
      </w:r>
      <w:r>
        <w:rPr>
          <w:b/>
          <w:bCs/>
        </w:rPr>
        <w:t>double exequatur</w:t>
      </w:r>
      <w:r>
        <w:t xml:space="preserve"> applied, the award requiring confirmation by the courts of the seat before enforcement elsewhere; the New York Convention dispensed with that, making the award enforceable directly subject to limited grounds of refusal. UNCLOS, Annex VII. PCA Optional Rules for Arbitrating Disputes between Two States, Art. 10. IBA Guidelines on Conflicts of Interest in International Arbitration (updated 2024). Singapore International Arbitration Act 1994 (cited by way of comparison, dealing exclusively with international arbitration).</w:t>
      </w:r>
    </w:p>
    <w:p w14:paraId="4A32C905" w14:textId="77777777" w:rsidR="00004105" w:rsidRDefault="00000000">
      <w:pPr>
        <w:pStyle w:val="Heading2"/>
        <w:keepNext/>
        <w:spacing w:before="240" w:after="110"/>
      </w:pPr>
      <w:bookmarkStart w:id="73" w:name="_Toc240747408"/>
      <w:r>
        <w:t>Sources used</w:t>
      </w:r>
      <w:bookmarkEnd w:id="73"/>
    </w:p>
    <w:p w14:paraId="19569524" w14:textId="77777777" w:rsidR="00004105" w:rsidRDefault="00000000">
      <w:pPr>
        <w:spacing w:after="110"/>
        <w:jc w:val="both"/>
      </w:pPr>
      <w:r>
        <w:rPr>
          <w:b/>
          <w:bCs/>
        </w:rPr>
        <w:t>Uploaded materials, all reviewed in full:</w:t>
      </w:r>
      <w:r>
        <w:t xml:space="preserve"> the course syllabus; handwritten class notes ADR-1 to ADR-4 (20 July – 17 August 2026, with a closing note of 7 September 2026); the 54-page transcription of the principal notebook, including embedded lecture slides and reproduced bare text of ss. 4, 5, 12, 13 and 34; and transcripts of eight recorded lectures (23 and 27 July, 30 July, 3, 6, 10, 13 and 17 August 2026).</w:t>
      </w:r>
    </w:p>
    <w:p w14:paraId="29A45521" w14:textId="77777777" w:rsidR="00004105" w:rsidRDefault="00000000">
      <w:pPr>
        <w:spacing w:after="110"/>
        <w:jc w:val="both"/>
      </w:pPr>
      <w:r>
        <w:rPr>
          <w:b/>
          <w:bCs/>
        </w:rPr>
        <w:t>Verification:</w:t>
      </w:r>
      <w:r>
        <w:t xml:space="preserve"> statutory text, section numbering, marginal titles and amendment history against India Code (indiacode.nic.in) and Gazette notifications; judgments against the judgment texts and the SCC and neutral “INSC” citations; </w:t>
      </w:r>
      <w:r>
        <w:rPr>
          <w:i/>
          <w:iCs/>
        </w:rPr>
        <w:t>Saipem</w:t>
      </w:r>
      <w:r>
        <w:t xml:space="preserve"> against ICSID case records; the Chagos challenge against Permanent Court of Arbitration records; </w:t>
      </w:r>
      <w:r>
        <w:rPr>
          <w:i/>
          <w:iCs/>
        </w:rPr>
        <w:t>White Industries</w:t>
      </w:r>
      <w:r>
        <w:t xml:space="preserve"> against investment-treaty award records (the award itself is unpublished).</w:t>
      </w:r>
    </w:p>
    <w:p w14:paraId="20629EAB" w14:textId="77777777" w:rsidR="00004105" w:rsidRDefault="00000000">
      <w:pPr>
        <w:spacing w:after="110"/>
        <w:jc w:val="both"/>
      </w:pPr>
      <w:r>
        <w:rPr>
          <w:b/>
          <w:bCs/>
        </w:rPr>
        <w:lastRenderedPageBreak/>
        <w:t>Committee reports:</w:t>
      </w:r>
      <w:r>
        <w:t xml:space="preserve"> Law Commission of India Report No. 246 (August 2014) and its Supplementary Report; Srikrishna Committee Report (2017); Viswanathan Expert Committee Report (7 February 2024); Draft Amendment Bill 2024.</w:t>
      </w:r>
    </w:p>
    <w:p w14:paraId="026DCB22" w14:textId="77777777" w:rsidR="00004105" w:rsidRDefault="00000000">
      <w:pPr>
        <w:spacing w:after="110"/>
        <w:jc w:val="both"/>
      </w:pPr>
      <w:r>
        <w:rPr>
          <w:b/>
          <w:bCs/>
        </w:rPr>
        <w:t>Prescribed further reading (syllabus):</w:t>
      </w:r>
      <w:r>
        <w:t xml:space="preserve"> Markanda and Markanda, </w:t>
      </w:r>
      <w:r>
        <w:rPr>
          <w:i/>
          <w:iCs/>
        </w:rPr>
        <w:t>Law Relating to Arbitration and Conciliation</w:t>
      </w:r>
      <w:r>
        <w:t xml:space="preserve">; Gary Born, </w:t>
      </w:r>
      <w:r>
        <w:rPr>
          <w:i/>
          <w:iCs/>
        </w:rPr>
        <w:t>International Arbitration: Law and Practice</w:t>
      </w:r>
      <w:r>
        <w:t xml:space="preserve"> (2012); Blackaby and others, </w:t>
      </w:r>
      <w:r>
        <w:rPr>
          <w:i/>
          <w:iCs/>
        </w:rPr>
        <w:t>Redfern and Hunter on International Arbitration</w:t>
      </w:r>
      <w:r>
        <w:t xml:space="preserve"> (2009); Bachawat, </w:t>
      </w:r>
      <w:r>
        <w:rPr>
          <w:i/>
          <w:iCs/>
        </w:rPr>
        <w:t>Law of Arbitration and Conciliation</w:t>
      </w:r>
      <w:r>
        <w:t xml:space="preserve"> (5th edn, 2010); Weintraub, </w:t>
      </w:r>
      <w:r>
        <w:rPr>
          <w:i/>
          <w:iCs/>
        </w:rPr>
        <w:t>International Litigation and Arbitration</w:t>
      </w:r>
      <w:r>
        <w:t xml:space="preserve"> (6th edn, 2011); P. Chandrasekhara Rao, </w:t>
      </w:r>
      <w:r>
        <w:rPr>
          <w:i/>
          <w:iCs/>
        </w:rPr>
        <w:t>The Arbitration and Conciliation Act, 1996: A Commentary</w:t>
      </w:r>
      <w:r>
        <w:t xml:space="preserve">; Sriram Panchu, </w:t>
      </w:r>
      <w:r>
        <w:rPr>
          <w:i/>
          <w:iCs/>
        </w:rPr>
        <w:t>Mediation Practice and Law</w:t>
      </w:r>
      <w:r>
        <w:t>. No legal proposition in these notes rests on a secondary source alone.</w:t>
      </w:r>
    </w:p>
    <w:sectPr w:rsidR="00004105">
      <w:headerReference w:type="default" r:id="rId7"/>
      <w:footerReference w:type="default" r:id="rId8"/>
      <w:headerReference w:type="first" r:id="rId9"/>
      <w:footerReference w:type="first" r:id="rId10"/>
      <w:pgSz w:w="11906" w:h="16838"/>
      <w:pgMar w:top="1300" w:right="1340" w:bottom="1300" w:left="13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F0C0FB" w14:textId="77777777" w:rsidR="009758D1" w:rsidRDefault="009758D1">
      <w:pPr>
        <w:spacing w:line="240" w:lineRule="auto"/>
      </w:pPr>
      <w:r>
        <w:separator/>
      </w:r>
    </w:p>
  </w:endnote>
  <w:endnote w:type="continuationSeparator" w:id="0">
    <w:p w14:paraId="15AB74AA" w14:textId="77777777" w:rsidR="009758D1" w:rsidRDefault="009758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D899B" w14:textId="77777777" w:rsidR="00004105" w:rsidRDefault="00000000">
    <w:pPr>
      <w:jc w:val="center"/>
    </w:pPr>
    <w:r>
      <w:rPr>
        <w:rFonts w:ascii="Calibri" w:eastAsia="Calibri" w:hAnsi="Calibri" w:cs="Calibri"/>
        <w:color w:val="6A6A6A"/>
        <w:sz w:val="16"/>
        <w:szCs w:val="16"/>
      </w:rPr>
      <w:fldChar w:fldCharType="begin"/>
    </w:r>
    <w:r>
      <w:rPr>
        <w:rFonts w:ascii="Calibri" w:eastAsia="Calibri" w:hAnsi="Calibri" w:cs="Calibri"/>
        <w:color w:val="6A6A6A"/>
        <w:sz w:val="16"/>
        <w:szCs w:val="16"/>
      </w:rPr>
      <w:instrText>PAGE</w:instrText>
    </w:r>
    <w:r>
      <w:rPr>
        <w:rFonts w:ascii="Calibri" w:eastAsia="Calibri" w:hAnsi="Calibri" w:cs="Calibri"/>
        <w:color w:val="6A6A6A"/>
        <w:sz w:val="16"/>
        <w:szCs w:val="16"/>
      </w:rPr>
      <w:fldChar w:fldCharType="separate"/>
    </w:r>
    <w:r w:rsidR="00A9557E">
      <w:rPr>
        <w:rFonts w:ascii="Calibri" w:eastAsia="Calibri" w:hAnsi="Calibri" w:cs="Calibri"/>
        <w:noProof/>
        <w:color w:val="6A6A6A"/>
        <w:sz w:val="16"/>
        <w:szCs w:val="16"/>
      </w:rPr>
      <w:t>2</w:t>
    </w:r>
    <w:r>
      <w:rPr>
        <w:rFonts w:ascii="Calibri" w:eastAsia="Calibri" w:hAnsi="Calibri" w:cs="Calibri"/>
        <w:color w:val="6A6A6A"/>
        <w:sz w:val="16"/>
        <w:szCs w:val="16"/>
      </w:rPr>
      <w:fldChar w:fldCharType="end"/>
    </w:r>
    <w:r>
      <w:rPr>
        <w:rFonts w:ascii="Calibri" w:eastAsia="Calibri" w:hAnsi="Calibri" w:cs="Calibri"/>
        <w:color w:val="6A6A6A"/>
        <w:sz w:val="16"/>
        <w:szCs w:val="16"/>
      </w:rPr>
      <w:t xml:space="preserve"> / </w:t>
    </w:r>
    <w:r>
      <w:rPr>
        <w:rFonts w:ascii="Calibri" w:eastAsia="Calibri" w:hAnsi="Calibri" w:cs="Calibri"/>
        <w:color w:val="6A6A6A"/>
        <w:sz w:val="16"/>
        <w:szCs w:val="16"/>
      </w:rPr>
      <w:fldChar w:fldCharType="begin"/>
    </w:r>
    <w:r>
      <w:rPr>
        <w:rFonts w:ascii="Calibri" w:eastAsia="Calibri" w:hAnsi="Calibri" w:cs="Calibri"/>
        <w:color w:val="6A6A6A"/>
        <w:sz w:val="16"/>
        <w:szCs w:val="16"/>
      </w:rPr>
      <w:instrText>NUMPAGES</w:instrText>
    </w:r>
    <w:r>
      <w:rPr>
        <w:rFonts w:ascii="Calibri" w:eastAsia="Calibri" w:hAnsi="Calibri" w:cs="Calibri"/>
        <w:color w:val="6A6A6A"/>
        <w:sz w:val="16"/>
        <w:szCs w:val="16"/>
      </w:rPr>
      <w:fldChar w:fldCharType="separate"/>
    </w:r>
    <w:r w:rsidR="00A9557E">
      <w:rPr>
        <w:rFonts w:ascii="Calibri" w:eastAsia="Calibri" w:hAnsi="Calibri" w:cs="Calibri"/>
        <w:noProof/>
        <w:color w:val="6A6A6A"/>
        <w:sz w:val="16"/>
        <w:szCs w:val="16"/>
      </w:rPr>
      <w:t>3</w:t>
    </w:r>
    <w:r>
      <w:rPr>
        <w:rFonts w:ascii="Calibri" w:eastAsia="Calibri" w:hAnsi="Calibri" w:cs="Calibri"/>
        <w:color w:val="6A6A6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A1D46" w14:textId="77777777" w:rsidR="00004105" w:rsidRDefault="0000410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C94366" w14:textId="77777777" w:rsidR="009758D1" w:rsidRDefault="009758D1">
      <w:pPr>
        <w:spacing w:line="240" w:lineRule="auto"/>
      </w:pPr>
      <w:r>
        <w:separator/>
      </w:r>
    </w:p>
  </w:footnote>
  <w:footnote w:type="continuationSeparator" w:id="0">
    <w:p w14:paraId="27F06EE3" w14:textId="77777777" w:rsidR="009758D1" w:rsidRDefault="009758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069CB3" w14:textId="77777777" w:rsidR="00004105" w:rsidRDefault="00000000">
    <w:pPr>
      <w:pBdr>
        <w:bottom w:val="single" w:sz="3" w:space="3" w:color="CCCCCC"/>
      </w:pBdr>
      <w:spacing w:after="50"/>
      <w:jc w:val="right"/>
    </w:pPr>
    <w:r>
      <w:rPr>
        <w:rFonts w:ascii="Calibri" w:eastAsia="Calibri" w:hAnsi="Calibri" w:cs="Calibri"/>
        <w:color w:val="6A6A6A"/>
        <w:sz w:val="16"/>
        <w:szCs w:val="16"/>
      </w:rPr>
      <w:t>ADR — Consolidated Legal Notes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3E4D26" w14:textId="77777777" w:rsidR="00004105" w:rsidRDefault="0000410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6D23503"/>
    <w:multiLevelType w:val="hybridMultilevel"/>
    <w:tmpl w:val="ECDA1A4A"/>
    <w:lvl w:ilvl="0" w:tplc="D92648F2">
      <w:start w:val="1"/>
      <w:numFmt w:val="decimal"/>
      <w:lvlText w:val="%1."/>
      <w:lvlJc w:val="left"/>
      <w:pPr>
        <w:ind w:left="489" w:hanging="302"/>
      </w:pPr>
    </w:lvl>
    <w:lvl w:ilvl="1" w:tplc="D05E3A8A">
      <w:numFmt w:val="decimal"/>
      <w:lvlText w:val=""/>
      <w:lvlJc w:val="left"/>
    </w:lvl>
    <w:lvl w:ilvl="2" w:tplc="15CEEEB6">
      <w:numFmt w:val="decimal"/>
      <w:lvlText w:val=""/>
      <w:lvlJc w:val="left"/>
    </w:lvl>
    <w:lvl w:ilvl="3" w:tplc="6C16F2E6">
      <w:numFmt w:val="decimal"/>
      <w:lvlText w:val=""/>
      <w:lvlJc w:val="left"/>
    </w:lvl>
    <w:lvl w:ilvl="4" w:tplc="01160498">
      <w:numFmt w:val="decimal"/>
      <w:lvlText w:val=""/>
      <w:lvlJc w:val="left"/>
    </w:lvl>
    <w:lvl w:ilvl="5" w:tplc="8B34E01E">
      <w:numFmt w:val="decimal"/>
      <w:lvlText w:val=""/>
      <w:lvlJc w:val="left"/>
    </w:lvl>
    <w:lvl w:ilvl="6" w:tplc="59E28718">
      <w:numFmt w:val="decimal"/>
      <w:lvlText w:val=""/>
      <w:lvlJc w:val="left"/>
    </w:lvl>
    <w:lvl w:ilvl="7" w:tplc="2D7096FA">
      <w:numFmt w:val="decimal"/>
      <w:lvlText w:val=""/>
      <w:lvlJc w:val="left"/>
    </w:lvl>
    <w:lvl w:ilvl="8" w:tplc="89EEFBE4">
      <w:numFmt w:val="decimal"/>
      <w:lvlText w:val=""/>
      <w:lvlJc w:val="left"/>
    </w:lvl>
  </w:abstractNum>
  <w:abstractNum w:abstractNumId="1" w15:restartNumberingAfterBreak="0">
    <w:nsid w:val="506449FD"/>
    <w:multiLevelType w:val="hybridMultilevel"/>
    <w:tmpl w:val="8312A95E"/>
    <w:lvl w:ilvl="0" w:tplc="160ACB18">
      <w:start w:val="1"/>
      <w:numFmt w:val="lowerLetter"/>
      <w:lvlText w:val="(%1)"/>
      <w:lvlJc w:val="left"/>
      <w:pPr>
        <w:ind w:left="576" w:hanging="388"/>
      </w:pPr>
    </w:lvl>
    <w:lvl w:ilvl="1" w:tplc="E5CA0550">
      <w:numFmt w:val="decimal"/>
      <w:lvlText w:val=""/>
      <w:lvlJc w:val="left"/>
    </w:lvl>
    <w:lvl w:ilvl="2" w:tplc="402E903A">
      <w:numFmt w:val="decimal"/>
      <w:lvlText w:val=""/>
      <w:lvlJc w:val="left"/>
    </w:lvl>
    <w:lvl w:ilvl="3" w:tplc="75B639E4">
      <w:numFmt w:val="decimal"/>
      <w:lvlText w:val=""/>
      <w:lvlJc w:val="left"/>
    </w:lvl>
    <w:lvl w:ilvl="4" w:tplc="3EA0E59C">
      <w:numFmt w:val="decimal"/>
      <w:lvlText w:val=""/>
      <w:lvlJc w:val="left"/>
    </w:lvl>
    <w:lvl w:ilvl="5" w:tplc="37F4F5BA">
      <w:numFmt w:val="decimal"/>
      <w:lvlText w:val=""/>
      <w:lvlJc w:val="left"/>
    </w:lvl>
    <w:lvl w:ilvl="6" w:tplc="76B0CE90">
      <w:numFmt w:val="decimal"/>
      <w:lvlText w:val=""/>
      <w:lvlJc w:val="left"/>
    </w:lvl>
    <w:lvl w:ilvl="7" w:tplc="FDECFB88">
      <w:numFmt w:val="decimal"/>
      <w:lvlText w:val=""/>
      <w:lvlJc w:val="left"/>
    </w:lvl>
    <w:lvl w:ilvl="8" w:tplc="228CDD8C">
      <w:numFmt w:val="decimal"/>
      <w:lvlText w:val=""/>
      <w:lvlJc w:val="left"/>
    </w:lvl>
  </w:abstractNum>
  <w:abstractNum w:abstractNumId="2" w15:restartNumberingAfterBreak="0">
    <w:nsid w:val="57C74751"/>
    <w:multiLevelType w:val="hybridMultilevel"/>
    <w:tmpl w:val="53684A86"/>
    <w:lvl w:ilvl="0" w:tplc="575A95E2">
      <w:start w:val="1"/>
      <w:numFmt w:val="bullet"/>
      <w:lvlText w:val="●"/>
      <w:lvlJc w:val="left"/>
      <w:pPr>
        <w:ind w:left="720" w:hanging="360"/>
      </w:pPr>
    </w:lvl>
    <w:lvl w:ilvl="1" w:tplc="8EC8184C">
      <w:start w:val="1"/>
      <w:numFmt w:val="bullet"/>
      <w:lvlText w:val="○"/>
      <w:lvlJc w:val="left"/>
      <w:pPr>
        <w:ind w:left="1440" w:hanging="360"/>
      </w:pPr>
    </w:lvl>
    <w:lvl w:ilvl="2" w:tplc="6C463834">
      <w:start w:val="1"/>
      <w:numFmt w:val="bullet"/>
      <w:lvlText w:val="■"/>
      <w:lvlJc w:val="left"/>
      <w:pPr>
        <w:ind w:left="2160" w:hanging="360"/>
      </w:pPr>
    </w:lvl>
    <w:lvl w:ilvl="3" w:tplc="B680D336">
      <w:start w:val="1"/>
      <w:numFmt w:val="bullet"/>
      <w:lvlText w:val="●"/>
      <w:lvlJc w:val="left"/>
      <w:pPr>
        <w:ind w:left="2880" w:hanging="360"/>
      </w:pPr>
    </w:lvl>
    <w:lvl w:ilvl="4" w:tplc="79EE3906">
      <w:start w:val="1"/>
      <w:numFmt w:val="bullet"/>
      <w:lvlText w:val="○"/>
      <w:lvlJc w:val="left"/>
      <w:pPr>
        <w:ind w:left="3600" w:hanging="360"/>
      </w:pPr>
    </w:lvl>
    <w:lvl w:ilvl="5" w:tplc="FBCC57E0">
      <w:start w:val="1"/>
      <w:numFmt w:val="bullet"/>
      <w:lvlText w:val="■"/>
      <w:lvlJc w:val="left"/>
      <w:pPr>
        <w:ind w:left="4320" w:hanging="360"/>
      </w:pPr>
    </w:lvl>
    <w:lvl w:ilvl="6" w:tplc="84C04466">
      <w:start w:val="1"/>
      <w:numFmt w:val="bullet"/>
      <w:lvlText w:val="●"/>
      <w:lvlJc w:val="left"/>
      <w:pPr>
        <w:ind w:left="5040" w:hanging="360"/>
      </w:pPr>
    </w:lvl>
    <w:lvl w:ilvl="7" w:tplc="47D4F06A">
      <w:start w:val="1"/>
      <w:numFmt w:val="bullet"/>
      <w:lvlText w:val="●"/>
      <w:lvlJc w:val="left"/>
      <w:pPr>
        <w:ind w:left="5760" w:hanging="360"/>
      </w:pPr>
    </w:lvl>
    <w:lvl w:ilvl="8" w:tplc="DC7C33A0">
      <w:start w:val="1"/>
      <w:numFmt w:val="bullet"/>
      <w:lvlText w:val="●"/>
      <w:lvlJc w:val="left"/>
      <w:pPr>
        <w:ind w:left="6480" w:hanging="360"/>
      </w:pPr>
    </w:lvl>
  </w:abstractNum>
  <w:abstractNum w:abstractNumId="3" w15:restartNumberingAfterBreak="0">
    <w:nsid w:val="58852C90"/>
    <w:multiLevelType w:val="hybridMultilevel"/>
    <w:tmpl w:val="8432EDFA"/>
    <w:lvl w:ilvl="0" w:tplc="25F6AC72">
      <w:start w:val="1"/>
      <w:numFmt w:val="bullet"/>
      <w:lvlText w:val="•"/>
      <w:lvlJc w:val="left"/>
      <w:pPr>
        <w:ind w:left="431" w:hanging="259"/>
      </w:pPr>
    </w:lvl>
    <w:lvl w:ilvl="1" w:tplc="2B825F52">
      <w:numFmt w:val="decimal"/>
      <w:lvlText w:val=""/>
      <w:lvlJc w:val="left"/>
    </w:lvl>
    <w:lvl w:ilvl="2" w:tplc="33B88F92">
      <w:numFmt w:val="decimal"/>
      <w:lvlText w:val=""/>
      <w:lvlJc w:val="left"/>
    </w:lvl>
    <w:lvl w:ilvl="3" w:tplc="4A42423E">
      <w:numFmt w:val="decimal"/>
      <w:lvlText w:val=""/>
      <w:lvlJc w:val="left"/>
    </w:lvl>
    <w:lvl w:ilvl="4" w:tplc="ADB46C36">
      <w:numFmt w:val="decimal"/>
      <w:lvlText w:val=""/>
      <w:lvlJc w:val="left"/>
    </w:lvl>
    <w:lvl w:ilvl="5" w:tplc="AB42861C">
      <w:numFmt w:val="decimal"/>
      <w:lvlText w:val=""/>
      <w:lvlJc w:val="left"/>
    </w:lvl>
    <w:lvl w:ilvl="6" w:tplc="41026016">
      <w:numFmt w:val="decimal"/>
      <w:lvlText w:val=""/>
      <w:lvlJc w:val="left"/>
    </w:lvl>
    <w:lvl w:ilvl="7" w:tplc="B650D042">
      <w:numFmt w:val="decimal"/>
      <w:lvlText w:val=""/>
      <w:lvlJc w:val="left"/>
    </w:lvl>
    <w:lvl w:ilvl="8" w:tplc="156C3C84">
      <w:numFmt w:val="decimal"/>
      <w:lvlText w:val=""/>
      <w:lvlJc w:val="left"/>
    </w:lvl>
  </w:abstractNum>
  <w:num w:numId="1" w16cid:durableId="996684494">
    <w:abstractNumId w:val="2"/>
    <w:lvlOverride w:ilvl="0">
      <w:startOverride w:val="1"/>
    </w:lvlOverride>
  </w:num>
  <w:num w:numId="2" w16cid:durableId="1894121816">
    <w:abstractNumId w:val="0"/>
    <w:lvlOverride w:ilvl="0">
      <w:startOverride w:val="1"/>
    </w:lvlOverride>
  </w:num>
  <w:num w:numId="3" w16cid:durableId="101993663">
    <w:abstractNumId w:val="0"/>
    <w:lvlOverride w:ilvl="0">
      <w:startOverride w:val="1"/>
    </w:lvlOverride>
  </w:num>
  <w:num w:numId="4" w16cid:durableId="126121843">
    <w:abstractNumId w:val="0"/>
    <w:lvlOverride w:ilvl="0">
      <w:startOverride w:val="1"/>
    </w:lvlOverride>
  </w:num>
  <w:num w:numId="5" w16cid:durableId="1835993848">
    <w:abstractNumId w:val="0"/>
    <w:lvlOverride w:ilvl="0">
      <w:startOverride w:val="1"/>
    </w:lvlOverride>
  </w:num>
  <w:num w:numId="6" w16cid:durableId="1262952740">
    <w:abstractNumId w:val="0"/>
    <w:lvlOverride w:ilvl="0">
      <w:startOverride w:val="1"/>
    </w:lvlOverride>
  </w:num>
  <w:num w:numId="7" w16cid:durableId="305398603">
    <w:abstractNumId w:val="1"/>
    <w:lvlOverride w:ilvl="0">
      <w:startOverride w:val="1"/>
    </w:lvlOverride>
  </w:num>
  <w:num w:numId="8" w16cid:durableId="313604788">
    <w:abstractNumId w:val="0"/>
    <w:lvlOverride w:ilvl="0">
      <w:startOverride w:val="1"/>
    </w:lvlOverride>
  </w:num>
  <w:num w:numId="9" w16cid:durableId="1715155134">
    <w:abstractNumId w:val="0"/>
    <w:lvlOverride w:ilvl="0">
      <w:startOverride w:val="1"/>
    </w:lvlOverride>
  </w:num>
  <w:num w:numId="10" w16cid:durableId="2101178557">
    <w:abstractNumId w:val="3"/>
    <w:lvlOverride w:ilvl="0">
      <w:startOverride w:val="1"/>
    </w:lvlOverride>
  </w:num>
  <w:num w:numId="11" w16cid:durableId="717172464">
    <w:abstractNumId w:val="0"/>
    <w:lvlOverride w:ilvl="0">
      <w:startOverride w:val="1"/>
    </w:lvlOverride>
  </w:num>
  <w:num w:numId="12" w16cid:durableId="270666149">
    <w:abstractNumId w:val="0"/>
    <w:lvlOverride w:ilvl="0">
      <w:startOverride w:val="1"/>
    </w:lvlOverride>
  </w:num>
  <w:num w:numId="13" w16cid:durableId="1917739569">
    <w:abstractNumId w:val="1"/>
    <w:lvlOverride w:ilvl="0">
      <w:startOverride w:val="1"/>
    </w:lvlOverride>
  </w:num>
  <w:num w:numId="14" w16cid:durableId="1042290000">
    <w:abstractNumId w:val="0"/>
    <w:lvlOverride w:ilvl="0">
      <w:startOverride w:val="1"/>
    </w:lvlOverride>
  </w:num>
  <w:num w:numId="15" w16cid:durableId="413667417">
    <w:abstractNumId w:val="1"/>
    <w:lvlOverride w:ilvl="0">
      <w:startOverride w:val="1"/>
    </w:lvlOverride>
  </w:num>
  <w:num w:numId="16" w16cid:durableId="1363704683">
    <w:abstractNumId w:val="0"/>
    <w:lvlOverride w:ilvl="0">
      <w:startOverride w:val="1"/>
    </w:lvlOverride>
  </w:num>
  <w:num w:numId="17" w16cid:durableId="1439763225">
    <w:abstractNumId w:val="0"/>
    <w:lvlOverride w:ilvl="0">
      <w:startOverride w:val="1"/>
    </w:lvlOverride>
  </w:num>
  <w:num w:numId="18" w16cid:durableId="1945265971">
    <w:abstractNumId w:val="0"/>
    <w:lvlOverride w:ilvl="0">
      <w:startOverride w:val="1"/>
    </w:lvlOverride>
  </w:num>
  <w:num w:numId="19" w16cid:durableId="961377817">
    <w:abstractNumId w:val="0"/>
    <w:lvlOverride w:ilvl="0">
      <w:startOverride w:val="1"/>
    </w:lvlOverride>
  </w:num>
  <w:num w:numId="20" w16cid:durableId="134958619">
    <w:abstractNumId w:val="3"/>
    <w:lvlOverride w:ilvl="0">
      <w:startOverride w:val="1"/>
    </w:lvlOverride>
  </w:num>
  <w:num w:numId="21" w16cid:durableId="1957061911">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105"/>
    <w:rsid w:val="00004105"/>
    <w:rsid w:val="008D7C5D"/>
    <w:rsid w:val="009758D1"/>
    <w:rsid w:val="00A955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0DE8467"/>
  <w15:docId w15:val="{04FAF491-0BB5-B04E-BC0A-547B840C8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IN" w:eastAsia="en-GB" w:bidi="ar-SA"/>
      </w:rPr>
    </w:rPrDefault>
    <w:pPrDefault>
      <w:pPr>
        <w:spacing w:line="26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libri" w:eastAsia="Calibri" w:hAnsi="Calibri" w:cs="Calibri"/>
      <w:b/>
      <w:bCs/>
      <w:color w:val="1A1A1A"/>
      <w:sz w:val="27"/>
      <w:szCs w:val="27"/>
    </w:rPr>
  </w:style>
  <w:style w:type="paragraph" w:styleId="Heading2">
    <w:name w:val="heading 2"/>
    <w:uiPriority w:val="9"/>
    <w:unhideWhenUsed/>
    <w:qFormat/>
    <w:pPr>
      <w:outlineLvl w:val="1"/>
    </w:pPr>
    <w:rPr>
      <w:rFonts w:ascii="Calibri" w:eastAsia="Calibri" w:hAnsi="Calibri" w:cs="Calibri"/>
      <w:b/>
      <w:bCs/>
      <w:color w:val="222222"/>
      <w:sz w:val="23"/>
      <w:szCs w:val="23"/>
    </w:rPr>
  </w:style>
  <w:style w:type="paragraph" w:styleId="Heading3">
    <w:name w:val="heading 3"/>
    <w:uiPriority w:val="9"/>
    <w:unhideWhenUsed/>
    <w:qFormat/>
    <w:pPr>
      <w:outlineLvl w:val="2"/>
    </w:pPr>
    <w:rPr>
      <w:rFonts w:ascii="Calibri" w:eastAsia="Calibri" w:hAnsi="Calibri" w:cs="Calibri"/>
      <w:b/>
      <w:bCs/>
      <w:color w:val="333333"/>
      <w:sz w:val="21"/>
      <w:szCs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557E"/>
    <w:pPr>
      <w:spacing w:after="100"/>
    </w:pPr>
  </w:style>
  <w:style w:type="paragraph" w:styleId="TOC2">
    <w:name w:val="toc 2"/>
    <w:basedOn w:val="Normal"/>
    <w:next w:val="Normal"/>
    <w:autoRedefine/>
    <w:uiPriority w:val="39"/>
    <w:unhideWhenUsed/>
    <w:rsid w:val="00A9557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15439</Words>
  <Characters>79360</Characters>
  <Application>Microsoft Office Word</Application>
  <DocSecurity>0</DocSecurity>
  <Lines>1469</Lines>
  <Paragraphs>783</Paragraphs>
  <ScaleCrop>false</ScaleCrop>
  <Company/>
  <LinksUpToDate>false</LinksUpToDate>
  <CharactersWithSpaces>94016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Alternative Dispute Resolution — Consolidated Legal Notes</dc:title>
  <dc:creator>Consolidated Legal Notes</dc:creator>
  <cp:lastModifiedBy>Surendra Mundvadiya</cp:lastModifiedBy>
  <cp:revision>3</cp:revision>
  <cp:lastPrinted>2026-09-19T16:25:00Z</cp:lastPrinted>
  <dcterms:created xsi:type="dcterms:W3CDTF">2026-09-19T16:25:00Z</dcterms:created>
  <dcterms:modified xsi:type="dcterms:W3CDTF">2026-09-19T16:25:00Z</dcterms:modified>
</cp:coreProperties>
</file>