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8A5A10"/>
          <w:sz w:val="24"/>
          <w:szCs w:val="24"/>
        </w:rPr>
        <w:t xml:space="preserve">IP MANAGEMENT  ·  IP61019</w:t>
      </w:r>
    </w:p>
    <w:p>
      <w:pPr>
        <w:spacing w:after="0" w:before="250"/>
        <w:jc w:val="center"/>
      </w:pPr>
      <w:r>
        <w:rPr>
          <w:rFonts w:ascii="Calibri" w:cs="Calibri" w:eastAsia="Calibri" w:hAnsi="Calibri"/>
          <w:b/>
          <w:bCs/>
          <w:color w:val="1F3864"/>
          <w:sz w:val="64"/>
          <w:szCs w:val="64"/>
        </w:rPr>
        <w:t xml:space="preserve">Practice Papers</w:t>
      </w:r>
    </w:p>
    <w:p>
      <w:pPr>
        <w:spacing w:after="0" w:before="120"/>
        <w:jc w:val="center"/>
      </w:pPr>
      <w:r>
        <w:rPr>
          <w:i/>
          <w:iCs/>
          <w:color w:val="5A6270"/>
          <w:sz w:val="22"/>
          <w:szCs w:val="22"/>
        </w:rPr>
        <w:t xml:space="preserve">Six papers in the 2025 pattern, with answers written out to be copied directly</w:t>
      </w:r>
    </w:p>
    <w:p>
      <w:pPr>
        <w:pBdr>
          <w:top w:val="single" w:color="1F3864" w:sz="8" w:space="14"/>
        </w:pBdr>
        <w:spacing w:after="0" w:before="420"/>
        <w:jc w:val="center"/>
      </w:pPr>
      <w:r>
        <w:rPr>
          <w:sz w:val="2"/>
          <w:szCs w:val="2"/>
        </w:rPr>
        <w:t xml:space="preserve"/>
      </w:r>
    </w:p>
    <w:p>
      <w:r>
        <w:br w:type="page"/>
      </w:r>
    </w:p>
    <w:p>
      <w:pPr>
        <w:spacing w:after="200"/>
      </w:pPr>
      <w:r>
        <w:rPr>
          <w:rFonts w:ascii="Calibri" w:cs="Calibri" w:eastAsia="Calibri" w:hAnsi="Calibri"/>
          <w:b/>
          <w:bCs/>
          <w:color w:val="1F3864"/>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260"/>
      </w:pPr>
      <w:r>
        <w:rPr>
          <w:i/>
          <w:iCs/>
          <w:color w:val="5A6270"/>
          <w:sz w:val="16"/>
          <w:szCs w:val="16"/>
        </w:rPr>
        <w:t xml:space="preserve">If this list is blank, click on it and press F9.</w:t>
      </w:r>
    </w:p>
    <w:p>
      <w:r>
        <w:br w:type="page"/>
      </w:r>
    </w:p>
    <w:p>
      <w:pPr>
        <w:pStyle w:val="Heading1"/>
        <w:pageBreakBefore/>
        <w:pBdr>
          <w:bottom w:val="single" w:color="1F3864" w:sz="10" w:space="6"/>
        </w:pBdr>
        <w:spacing w:after="200" w:before="0"/>
      </w:pPr>
      <w:r>
        <w:t xml:space="preserve">The Pattern</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000"/>
        <w:gridCol w:w="3400"/>
        <w:gridCol w:w="1200"/>
        <w:gridCol w:w="4480"/>
      </w:tblGrid>
      <w:tr>
        <w:trPr>
          <w:cantSplit/>
          <w:tblHeader/>
        </w:trPr>
        <w:tc>
          <w:tcPr>
            <w:tcW w:type="dxa" w:w="10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Q</w:t>
            </w:r>
          </w:p>
        </w:tc>
        <w:tc>
          <w:tcPr>
            <w:tcW w:type="dxa" w:w="3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Type</w:t>
            </w:r>
          </w:p>
        </w:tc>
        <w:tc>
          <w:tcPr>
            <w:tcW w:type="dxa" w:w="12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Marks</w:t>
            </w:r>
          </w:p>
        </w:tc>
        <w:tc>
          <w:tcPr>
            <w:tcW w:type="dxa" w:w="44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How to answer</w:t>
            </w:r>
          </w:p>
        </w:tc>
      </w:tr>
      <w:tr>
        <w:trPr>
          <w:cantSplit/>
        </w:trPr>
        <w:tc>
          <w:tcPr>
            <w:tcW w:type="dxa" w:w="1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1</w:t>
            </w:r>
          </w:p>
        </w:tc>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Case study with four sub-questions</w:t>
            </w:r>
          </w:p>
        </w:tc>
        <w:tc>
          <w:tcPr>
            <w:tcW w:type="dxa" w:w="12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4 × 5 = 20</w:t>
            </w:r>
          </w:p>
        </w:tc>
        <w:tc>
          <w:tcPr>
            <w:tcW w:type="dxa" w:w="4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Sub-questions follow four verbs: Map, Evaluate, Propose, Critically assess. Each verb needs a different shape — a table, two sides, a numbered list of reforms, and a judgment</w:t>
            </w:r>
          </w:p>
        </w:tc>
      </w:tr>
      <w:tr>
        <w:trPr>
          <w:cantSplit/>
        </w:trPr>
        <w:tc>
          <w:tcPr>
            <w:tcW w:type="dxa" w:w="1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2</w:t>
            </w:r>
          </w:p>
        </w:tc>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“Five differentiating points between X and Y”</w:t>
            </w:r>
          </w:p>
        </w:tc>
        <w:tc>
          <w:tcPr>
            <w:tcW w:type="dxa" w:w="12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5</w:t>
            </w:r>
          </w:p>
        </w:tc>
        <w:tc>
          <w:tcPr>
            <w:tcW w:type="dxa" w:w="44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A table with five or six bases. Never write it as prose</w:t>
            </w:r>
          </w:p>
        </w:tc>
      </w:tr>
      <w:tr>
        <w:trPr>
          <w:cantSplit/>
        </w:trPr>
        <w:tc>
          <w:tcPr>
            <w:tcW w:type="dxa" w:w="1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3</w:t>
            </w:r>
          </w:p>
        </w:tc>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“Explain with example … limit your answer to 10 very relevant points along with example”</w:t>
            </w:r>
          </w:p>
        </w:tc>
        <w:tc>
          <w:tcPr>
            <w:tcW w:type="dxa" w:w="12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5</w:t>
            </w:r>
          </w:p>
        </w:tc>
        <w:tc>
          <w:tcPr>
            <w:tcW w:type="dxa" w:w="44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6"/>
                <w:szCs w:val="16"/>
              </w:rPr>
              <w:t xml:space="preserve">Exactly ten numbered points, one or two sentences each, then a named example at the end</w:t>
            </w:r>
          </w:p>
        </w:tc>
      </w:tr>
    </w:tbl>
    <w:p>
      <w:pPr>
        <w:keepNext w:val="false"/>
        <w:spacing w:after="140" w:line="280" w:lineRule="auto"/>
        <w:jc w:val="both"/>
      </w:pPr>
      <w:r>
        <w:t xml:space="preserve">Thirty marks in two hours is four minutes a mark. Allow about fifteen minutes of writing for each of the six answers and keep thirty minutes for reading, planning and checking.</w:t>
      </w:r>
    </w:p>
    <w:p>
      <w:pPr>
        <w:pStyle w:val="Heading1"/>
        <w:pageBreakBefore/>
        <w:pBdr>
          <w:bottom w:val="single" w:color="1F3864" w:sz="10" w:space="6"/>
        </w:pBdr>
        <w:spacing w:after="200" w:before="0"/>
      </w:pPr>
      <w:r>
        <w:t xml:space="preserve">Paper 1  —  Previous Year (2025-26), Solved</w:t>
      </w:r>
    </w:p>
    <w:p>
      <w:pPr>
        <w:spacing w:after="100"/>
        <w:jc w:val="center"/>
      </w:pPr>
      <w:r>
        <w:rPr>
          <w:rFonts w:ascii="Calibri" w:cs="Calibri" w:eastAsia="Calibri" w:hAnsi="Calibri"/>
          <w:b/>
          <w:bCs/>
          <w:color w:val="1F3864"/>
          <w:sz w:val="26"/>
          <w:szCs w:val="26"/>
        </w:rPr>
        <w:t xml:space="preserve">Mid-Autumn Semester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520"/>
        <w:gridCol w:w="2520"/>
        <w:gridCol w:w="2520"/>
        <w:gridCol w:w="2520"/>
      </w:tblGrid>
      <w:tr>
        <w:trPr>
          <w:cantSplit/>
        </w:trPr>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Date of Examination: 22 / 09 / 2025</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Session: FN</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Duration: 2 hrs</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Full Marks: 30</w:t>
            </w:r>
          </w:p>
        </w:tc>
      </w:tr>
      <w:tr>
        <w:trPr>
          <w:cantSplit/>
        </w:trPr>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Subject No.: IP61019</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Subject: IPR Management</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Dept.: Rajiv Gandhi School of Intellectual Property Law</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Charts / tables: Not Applicable</w:t>
            </w:r>
          </w:p>
        </w:tc>
      </w:tr>
    </w:tbl>
    <w:p>
      <w:pPr>
        <w:spacing w:after="180" w:before="100"/>
      </w:pPr>
      <w:r>
        <w:rPr>
          <w:i/>
          <w:iCs/>
          <w:color w:val="5A6270"/>
          <w:sz w:val="16"/>
          <w:szCs w:val="16"/>
        </w:rPr>
        <w:t xml:space="preserve">Special Instructions:  1. All questions are compulsory.   2. Numbers on the right side in bracket indicate 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 — Case Study: University IP and the Knowledge Economy</w:t>
            </w:r>
          </w:p>
          <w:p>
            <w:pPr>
              <w:spacing w:after="70" w:line="265"/>
              <w:jc w:val="both"/>
            </w:pPr>
            <w:r>
              <w:rPr>
                <w:sz w:val="18"/>
                <w:szCs w:val="18"/>
              </w:rPr>
              <w:t xml:space="preserve">A consortium of leading Indian universities establishes a Technology Transfer Hub to commercialise their research outputs in biotechnology, clean energy and AI. The initiative is supported by the government, which views it as central to India's shift toward a knowledge economy.</w:t>
            </w:r>
          </w:p>
          <w:p>
            <w:pPr>
              <w:spacing w:after="70" w:line="265"/>
              <w:jc w:val="both"/>
            </w:pPr>
            <w:r>
              <w:rPr>
                <w:sz w:val="18"/>
                <w:szCs w:val="18"/>
              </w:rPr>
              <w:t xml:space="preserve">An IP audit highlights the following: (1) most universities lack a uniform IP policy, leading to inconsistent ownership of patents and copyrights; (2) faculty members resist commercialisation, prioritising academic freedom and publications over patents; (3) start-ups spun out of these universities struggle to attract investors due to unclear IP ownership and weak enforcement; (4) the government pressures the Hub to increase patent filings as part of India's global innovation rankings, but critics argue that patent counts alone do not reflect knowledge economy growth.</w:t>
            </w:r>
          </w:p>
        </w:tc>
      </w:tr>
    </w:tbl>
    <w:p>
      <w:pPr>
        <w:spacing w:after="160"/>
      </w:pPr>
    </w:p>
    <w:p>
      <w:pPr>
        <w:pStyle w:val="Heading2"/>
        <w:keepNext/>
        <w:spacing w:after="120" w:before="300"/>
      </w:pPr>
      <w:r>
        <w:t xml:space="preserve">1.1  Map the IP issues facing the universities (patents, trademarks, copyrights, industrial designs, trade secrets) and explain their relevance to building a knowledge economy.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t xml:space="preserve">Each right protects a different output of the consortium, and each is damaged by a different audit finding.</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700"/>
        <w:gridCol w:w="2800"/>
        <w:gridCol w:w="2700"/>
        <w:gridCol w:w="2880"/>
      </w:tblGrid>
      <w:tr>
        <w:trPr>
          <w:cantSplit/>
          <w:tblHeader/>
        </w:trPr>
        <w:tc>
          <w:tcPr>
            <w:tcW w:type="dxa" w:w="17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Right</w:t>
            </w:r>
          </w:p>
        </w:tc>
        <w:tc>
          <w:tcPr>
            <w:tcW w:type="dxa" w:w="28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covers here</w:t>
            </w:r>
          </w:p>
        </w:tc>
        <w:tc>
          <w:tcPr>
            <w:tcW w:type="dxa" w:w="27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Problem in the facts</w:t>
            </w:r>
          </w:p>
        </w:tc>
        <w:tc>
          <w:tcPr>
            <w:tcW w:type="dxa" w:w="28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Why it matters</w:t>
            </w:r>
          </w:p>
        </w:tc>
      </w:tr>
      <w:tr>
        <w:trPr>
          <w:cantSplit/>
        </w:trPr>
        <w:tc>
          <w:tcPr>
            <w:tcW w:type="dxa" w:w="1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Patent</w:t>
            </w:r>
          </w:p>
        </w:tc>
        <w:tc>
          <w:tcPr>
            <w:tcW w:type="dxa" w:w="28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Biotech processes, clean-energy devices, AI-based inventions</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Audit 1: unclear ownership means a broken chain of title. Audit 2: publishing before filing destroys novelty under s.2(1)(l)</w:t>
            </w:r>
          </w:p>
        </w:tc>
        <w:tc>
          <w:tcPr>
            <w:tcW w:type="dxa" w:w="2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Patents give the excludability that makes private investment in ideas worthwhile. Without clear title there is nothing to licence</w:t>
            </w:r>
          </w:p>
        </w:tc>
      </w:tr>
      <w:tr>
        <w:trPr>
          <w:cantSplit/>
        </w:trPr>
        <w:tc>
          <w:tcPr>
            <w:tcW w:type="dxa" w:w="17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Copyright</w:t>
            </w:r>
          </w:p>
        </w:tc>
        <w:tc>
          <w:tcPr>
            <w:tcW w:type="dxa" w:w="28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Research papers, theses, software code, datasets, course material</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Audit 1 mentions inconsistent copyright ownership. Most AI output in India is protected by copyright, not patent</w:t>
            </w:r>
          </w:p>
        </w:tc>
        <w:tc>
          <w:tcPr>
            <w:tcW w:type="dxa" w:w="2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Arises automatically, so the only question is who owns it — which is a policy question</w:t>
            </w:r>
          </w:p>
        </w:tc>
      </w:tr>
      <w:tr>
        <w:trPr>
          <w:cantSplit/>
        </w:trPr>
        <w:tc>
          <w:tcPr>
            <w:tcW w:type="dxa" w:w="1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Trademark</w:t>
            </w:r>
          </w:p>
        </w:tc>
        <w:tc>
          <w:tcPr>
            <w:tcW w:type="dxa" w:w="28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Hub's name and logo, university brands, spin-out brands</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Not flagged, but the spin-outs in audit 3 need brand assets and matching domain names to raise money</w:t>
            </w:r>
          </w:p>
        </w:tc>
        <w:tc>
          <w:tcPr>
            <w:tcW w:type="dxa" w:w="2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Brand value survives patent expiry and carries the institution's reputation</w:t>
            </w:r>
          </w:p>
        </w:tc>
      </w:tr>
      <w:tr>
        <w:trPr>
          <w:cantSplit/>
        </w:trPr>
        <w:tc>
          <w:tcPr>
            <w:tcW w:type="dxa" w:w="17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Industrial design</w:t>
            </w:r>
          </w:p>
        </w:tc>
        <w:tc>
          <w:tcPr>
            <w:tcW w:type="dxa" w:w="28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Appearance of clean-energy hardware — housings, mounts, connectors</w:t>
            </w:r>
          </w:p>
        </w:tc>
        <w:tc>
          <w:tcPr>
            <w:tcW w:type="dxa" w:w="27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Same defect as patents: registration must come before publication, and audit 2 shows a publishing culture</w:t>
            </w:r>
          </w:p>
        </w:tc>
        <w:tc>
          <w:tcPr>
            <w:tcW w:type="dxa" w:w="28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Protects the product's appearance where the function cannot be patented</w:t>
            </w:r>
          </w:p>
        </w:tc>
      </w:tr>
      <w:tr>
        <w:trPr>
          <w:cantSplit/>
        </w:trPr>
        <w:tc>
          <w:tcPr>
            <w:tcW w:type="dxa" w:w="17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Trade secret</w:t>
            </w:r>
          </w:p>
        </w:tc>
        <w:tc>
          <w:tcPr>
            <w:tcW w:type="dxa" w:w="28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Biotech know-how, AI training data and model weights, scale-up data</w:t>
            </w:r>
          </w:p>
        </w:tc>
        <w:tc>
          <w:tcPr>
            <w:tcW w:type="dxa" w:w="27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Audit 1: no policy means no confidentiality system; staff and student mobility leaks know-how</w:t>
            </w:r>
          </w:p>
        </w:tc>
        <w:tc>
          <w:tcPr>
            <w:tcW w:type="dxa" w:w="28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India has no trade-secret statute. Protection exists only through contract and policy, so no policy means no right</w:t>
            </w:r>
          </w:p>
        </w:tc>
      </w:tr>
    </w:tbl>
    <w:p>
      <w:pPr>
        <w:keepNext w:val="false"/>
        <w:spacing w:after="140" w:line="280" w:lineRule="auto"/>
        <w:jc w:val="both"/>
      </w:pPr>
      <w:r>
        <w:t xml:space="preserve">Relevance to a knowledge economy. A knowledge economy creates wealth from knowledge rather than land, labour or machines, and the World Bank measures it on four pillars: an economic incentive and institutional regime, education and skills, an innovation system, and ICT infrastructure. This consortium is strong on education and infrastructure but weak on the incentive and institutional pillar, and IP law is exactly that pillar. Until ownership is certain, the knowledge stays as human capital inside individual researchers and never becomes structural or relational capital that the economy can trade.</w:t>
      </w:r>
    </w:p>
    <w:p>
      <w:pPr>
        <w:pStyle w:val="Heading2"/>
        <w:keepNext/>
        <w:spacing w:after="120" w:before="300"/>
      </w:pPr>
      <w:r>
        <w:t xml:space="preserve">1.2  Evaluate the role of a clear institutional IP policy in fostering innovation, tech transfer and entrepreneurship.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t xml:space="preserve">A policy is a set of guiding principles that decide recurring questions in advance. It is administrative intent, not a statute: it works through the agreements made under it, and an agreement enforceable by law becomes a contract under s.2(h) of the Indian Contract Act 1872.</w:t>
      </w:r>
    </w:p>
    <w:p>
      <w:pPr>
        <w:keepNext w:val="false"/>
        <w:spacing w:after="140" w:line="280" w:lineRule="auto"/>
        <w:jc w:val="both"/>
      </w:pPr>
      <w:r>
        <w:rPr>
          <w:b/>
          <w:bCs/>
        </w:rPr>
        <w:t xml:space="preserve">What a clear policy contributes:</w:t>
      </w:r>
    </w:p>
    <w:p>
      <w:pPr>
        <w:pStyle w:val="ListParagraph"/>
        <w:numPr>
          <w:ilvl w:val="0"/>
          <w:numId w:val="2"/>
        </w:numPr>
        <w:spacing w:after="70" w:line="272" w:lineRule="auto"/>
        <w:jc w:val="left"/>
      </w:pPr>
      <w:r>
        <w:rPr>
          <w:b/>
          <w:bCs/>
        </w:rPr>
        <w:t xml:space="preserve">Innovation. </w:t>
      </w:r>
      <w:r>
        <w:t xml:space="preserve">A disclosure duty means the institution knows what has been created. A confidentiality rule stops publication before filing, which is the commonest cause of lost rights in a university. A fixed revenue share gives the researcher a reason to report. A reassignment clause — if the institute does not file, the rights return to the inventor — removes the fear behind audit point 2.</w:t>
      </w:r>
    </w:p>
    <w:p>
      <w:pPr>
        <w:pStyle w:val="ListParagraph"/>
        <w:numPr>
          <w:ilvl w:val="0"/>
          <w:numId w:val="2"/>
        </w:numPr>
        <w:spacing w:after="70" w:line="272" w:lineRule="auto"/>
        <w:jc w:val="left"/>
      </w:pPr>
      <w:r>
        <w:rPr>
          <w:b/>
          <w:bCs/>
        </w:rPr>
        <w:t xml:space="preserve">Technology transfer. </w:t>
      </w:r>
      <w:r>
        <w:t xml:space="preserve">A licensee needs one identifiable owner to deal with. This is exactly what Bayh–Dole 1980 achieved: it created no money, it created an assignable exclusive right and therefore a counterparty. Annexed templates cut transaction time, and field-of-use and territory clauses let one technology be licensed to many users.</w:t>
      </w:r>
    </w:p>
    <w:p>
      <w:pPr>
        <w:pStyle w:val="ListParagraph"/>
        <w:numPr>
          <w:ilvl w:val="0"/>
          <w:numId w:val="2"/>
        </w:numPr>
        <w:spacing w:after="70" w:line="272" w:lineRule="auto"/>
        <w:jc w:val="left"/>
      </w:pPr>
      <w:r>
        <w:rPr>
          <w:b/>
          <w:bCs/>
        </w:rPr>
        <w:t xml:space="preserve">Entrepreneurship. </w:t>
      </w:r>
      <w:r>
        <w:t xml:space="preserve">The NOC route, the choice between equity (1–3%) and royalty, continuation of the inventor's share after departure, and the rule that all rights vest in the start-up as a legal person — these are the points an investor checks. Audit point 3 is a title problem before it is an enforcement problem.</w:t>
      </w:r>
    </w:p>
    <w:p>
      <w:pPr>
        <w:keepNext w:val="false"/>
        <w:spacing w:after="140" w:line="280" w:lineRule="auto"/>
        <w:jc w:val="both"/>
      </w:pPr>
      <w:r>
        <w:rPr>
          <w:b/>
          <w:bCs/>
        </w:rPr>
        <w:t xml:space="preserve">Where a policy falls short:</w:t>
      </w:r>
    </w:p>
    <w:p>
      <w:pPr>
        <w:pStyle w:val="ListParagraph"/>
        <w:numPr>
          <w:ilvl w:val="0"/>
          <w:numId w:val="3"/>
        </w:numPr>
        <w:spacing w:after="70" w:line="272" w:lineRule="auto"/>
        <w:jc w:val="left"/>
      </w:pPr>
      <w:r>
        <w:t xml:space="preserve">It binds nobody by itself. It is enforced only through the contracts drafted beneath it, which is why templates should be annexed.</w:t>
      </w:r>
    </w:p>
    <w:p>
      <w:pPr>
        <w:pStyle w:val="ListParagraph"/>
        <w:numPr>
          <w:ilvl w:val="0"/>
          <w:numId w:val="3"/>
        </w:numPr>
        <w:spacing w:after="70" w:line="272" w:lineRule="auto"/>
        <w:jc w:val="left"/>
      </w:pPr>
      <w:r>
        <w:t xml:space="preserve">It can backfire if it over-claims. A policy that takes everything produces exactly the faculty resistance in audit point 2. Ownership and revenue clauses should be settled by consultation even where compliance rules are imposed.</w:t>
      </w:r>
    </w:p>
    <w:p>
      <w:pPr>
        <w:pStyle w:val="ListParagraph"/>
        <w:numPr>
          <w:ilvl w:val="0"/>
          <w:numId w:val="3"/>
        </w:numPr>
        <w:spacing w:after="70" w:line="272" w:lineRule="auto"/>
        <w:jc w:val="left"/>
      </w:pPr>
      <w:r>
        <w:t xml:space="preserve">It decays if not versioned. A policy written years ago and never revised is itself a finding about the institution's IP culture.</w:t>
      </w:r>
    </w:p>
    <w:p>
      <w:pPr>
        <w:keepNext w:val="false"/>
        <w:spacing w:after="140" w:line="280" w:lineRule="auto"/>
        <w:jc w:val="both"/>
      </w:pPr>
      <w:r>
        <w:rPr>
          <w:b/>
          <w:bCs/>
        </w:rPr>
        <w:t xml:space="preserve">Conclusion. </w:t>
      </w:r>
      <w:r>
        <w:t xml:space="preserve">A clear policy is a necessary condition for technology transfer and entrepreneurship, and a supporting but not sufficient condition for innovation, which also needs infrastructure, incentives and tolerance of failure.</w:t>
      </w:r>
    </w:p>
    <w:p>
      <w:pPr>
        <w:pStyle w:val="Heading2"/>
        <w:keepNext/>
        <w:spacing w:after="120" w:before="300"/>
      </w:pPr>
      <w:r>
        <w:t xml:space="preserve">1.3  Propose reforms for university IP governance that align with national IP policy objectives and strengthen India's position in the knowledge economy.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t xml:space="preserve">India's National IPR Policy 2016 has seven objectives: awareness and outreach; generation of IPRs; legal and legislative framework; administration and management; commercialisation; enforcement and adjudication; and human capital development. Each reform below answers an audit point and serves an objective.</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600"/>
        <w:gridCol w:w="5200"/>
        <w:gridCol w:w="2000"/>
        <w:gridCol w:w="2280"/>
      </w:tblGrid>
      <w:tr>
        <w:trPr>
          <w:cantSplit/>
          <w:tblHeader/>
        </w:trPr>
        <w:tc>
          <w:tcPr>
            <w:tcW w:type="dxa" w:w="6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t>
            </w:r>
          </w:p>
        </w:tc>
        <w:tc>
          <w:tcPr>
            <w:tcW w:type="dxa" w:w="52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Reform</w:t>
            </w:r>
          </w:p>
        </w:tc>
        <w:tc>
          <w:tcPr>
            <w:tcW w:type="dxa" w:w="20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Answers audit</w:t>
            </w:r>
          </w:p>
        </w:tc>
        <w:tc>
          <w:tcPr>
            <w:tcW w:type="dxa" w:w="22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Serves objective</w:t>
            </w:r>
          </w:p>
        </w:tc>
      </w:tr>
      <w:tr>
        <w:trPr>
          <w:cantSplit/>
        </w:trPr>
        <w:tc>
          <w:tcPr>
            <w:tcW w:type="dxa" w:w="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1</w:t>
            </w:r>
          </w:p>
        </w:tc>
        <w:tc>
          <w:tcPr>
            <w:tcW w:type="dxa" w:w="5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Adopt one model IP policy across the consortium, using the WIPO model for universities, with a single ownership test based on significant use of institutional resources</w:t>
            </w:r>
          </w:p>
        </w:tc>
        <w:tc>
          <w:tcPr>
            <w:tcW w:type="dxa" w:w="20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1</w:t>
            </w:r>
          </w:p>
        </w:tc>
        <w:tc>
          <w:tcPr>
            <w:tcW w:type="dxa" w:w="22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3, 4</w:t>
            </w:r>
          </w:p>
        </w:tc>
      </w:tr>
      <w:tr>
        <w:trPr>
          <w:cantSplit/>
        </w:trPr>
        <w:tc>
          <w:tcPr>
            <w:tcW w:type="dxa" w:w="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2</w:t>
            </w:r>
          </w:p>
        </w:tc>
        <w:tc>
          <w:tcPr>
            <w:tcW w:type="dxa" w:w="5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Make invention disclosure compulsory before publication, with a 30-day review and a short publication hold — protecting novelty without attacking academic freedom</w:t>
            </w:r>
          </w:p>
        </w:tc>
        <w:tc>
          <w:tcPr>
            <w:tcW w:type="dxa" w:w="20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2</w:t>
            </w:r>
          </w:p>
        </w:tc>
        <w:tc>
          <w:tcPr>
            <w:tcW w:type="dxa" w:w="22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2</w:t>
            </w:r>
          </w:p>
        </w:tc>
      </w:tr>
      <w:tr>
        <w:trPr>
          <w:cantSplit/>
        </w:trPr>
        <w:tc>
          <w:tcPr>
            <w:tcW w:type="dxa" w:w="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3</w:t>
            </w:r>
          </w:p>
        </w:tc>
        <w:tc>
          <w:tcPr>
            <w:tcW w:type="dxa" w:w="5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Add a reassignment clause: if the institute does not file within the review period, rights return to the creator</w:t>
            </w:r>
          </w:p>
        </w:tc>
        <w:tc>
          <w:tcPr>
            <w:tcW w:type="dxa" w:w="20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2</w:t>
            </w:r>
          </w:p>
        </w:tc>
        <w:tc>
          <w:tcPr>
            <w:tcW w:type="dxa" w:w="22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2, 5</w:t>
            </w:r>
          </w:p>
        </w:tc>
      </w:tr>
      <w:tr>
        <w:trPr>
          <w:cantSplit/>
        </w:trPr>
        <w:tc>
          <w:tcPr>
            <w:tcW w:type="dxa" w:w="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4</w:t>
            </w:r>
          </w:p>
        </w:tc>
        <w:tc>
          <w:tcPr>
            <w:tcW w:type="dxa" w:w="5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Fix one revenue-sharing model, for example 70:30 of net income to the inventor as at IIT Bombay and IIT Delhi, continuing after the inventor leaves and passing to legal heirs</w:t>
            </w:r>
          </w:p>
        </w:tc>
        <w:tc>
          <w:tcPr>
            <w:tcW w:type="dxa" w:w="20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2</w:t>
            </w:r>
          </w:p>
        </w:tc>
        <w:tc>
          <w:tcPr>
            <w:tcW w:type="dxa" w:w="22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2, 7</w:t>
            </w:r>
          </w:p>
        </w:tc>
      </w:tr>
      <w:tr>
        <w:trPr>
          <w:cantSplit/>
        </w:trPr>
        <w:tc>
          <w:tcPr>
            <w:tcW w:type="dxa" w:w="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5</w:t>
            </w:r>
          </w:p>
        </w:tc>
        <w:tc>
          <w:tcPr>
            <w:tcW w:type="dxa" w:w="5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Standardise the start-up route: one NOC template, a choice between 1–3% equity and a royalty, and a rule that all rights are filed in the name of the start-up as a legal person, never in individual names</w:t>
            </w:r>
          </w:p>
        </w:tc>
        <w:tc>
          <w:tcPr>
            <w:tcW w:type="dxa" w:w="20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3</w:t>
            </w:r>
          </w:p>
        </w:tc>
        <w:tc>
          <w:tcPr>
            <w:tcW w:type="dxa" w:w="22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5</w:t>
            </w:r>
          </w:p>
        </w:tc>
      </w:tr>
      <w:tr>
        <w:trPr>
          <w:cantSplit/>
        </w:trPr>
        <w:tc>
          <w:tcPr>
            <w:tcW w:type="dxa" w:w="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6</w:t>
            </w:r>
          </w:p>
        </w:tc>
        <w:tc>
          <w:tcPr>
            <w:tcW w:type="dxa" w:w="5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Set up a professional central IP cell with docketing, annuity management, landscaping and freedom-to-operate capability</w:t>
            </w:r>
          </w:p>
        </w:tc>
        <w:tc>
          <w:tcPr>
            <w:tcW w:type="dxa" w:w="20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1, 3</w:t>
            </w:r>
          </w:p>
        </w:tc>
        <w:tc>
          <w:tcPr>
            <w:tcW w:type="dxa" w:w="22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4, 7</w:t>
            </w:r>
          </w:p>
        </w:tc>
      </w:tr>
      <w:tr>
        <w:trPr>
          <w:cantSplit/>
        </w:trPr>
        <w:tc>
          <w:tcPr>
            <w:tcW w:type="dxa" w:w="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7</w:t>
            </w:r>
          </w:p>
        </w:tc>
        <w:tc>
          <w:tcPr>
            <w:tcW w:type="dxa" w:w="5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Create an enforcement fund and a protocol allowing the inventor to sue with the institute's consent where the institute declines, with costs and recovery settled in advance</w:t>
            </w:r>
          </w:p>
        </w:tc>
        <w:tc>
          <w:tcPr>
            <w:tcW w:type="dxa" w:w="20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3</w:t>
            </w:r>
          </w:p>
        </w:tc>
        <w:tc>
          <w:tcPr>
            <w:tcW w:type="dxa" w:w="22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6</w:t>
            </w:r>
          </w:p>
        </w:tc>
      </w:tr>
      <w:tr>
        <w:trPr>
          <w:cantSplit/>
        </w:trPr>
        <w:tc>
          <w:tcPr>
            <w:tcW w:type="dxa" w:w="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8</w:t>
            </w:r>
          </w:p>
        </w:tc>
        <w:tc>
          <w:tcPr>
            <w:tcW w:type="dxa" w:w="5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Change the Hub's targets from filings to conversion: licences executed, products launched, start-ups surviving three years, income per crore of research spend</w:t>
            </w:r>
          </w:p>
        </w:tc>
        <w:tc>
          <w:tcPr>
            <w:tcW w:type="dxa" w:w="20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4</w:t>
            </w:r>
          </w:p>
        </w:tc>
        <w:tc>
          <w:tcPr>
            <w:tcW w:type="dxa" w:w="22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5</w:t>
            </w:r>
          </w:p>
        </w:tc>
      </w:tr>
      <w:tr>
        <w:trPr>
          <w:cantSplit/>
        </w:trPr>
        <w:tc>
          <w:tcPr>
            <w:tcW w:type="dxa" w:w="6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9</w:t>
            </w:r>
          </w:p>
        </w:tc>
        <w:tc>
          <w:tcPr>
            <w:tcW w:type="dxa" w:w="5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Annex all templates — sponsored research, consultancy, joint ownership, material transfer, confidentiality — so only signature and stamping remain</w:t>
            </w:r>
          </w:p>
        </w:tc>
        <w:tc>
          <w:tcPr>
            <w:tcW w:type="dxa" w:w="200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1, 3</w:t>
            </w:r>
          </w:p>
        </w:tc>
        <w:tc>
          <w:tcPr>
            <w:tcW w:type="dxa" w:w="2280"/>
            <w:shd w:fill="F3F4F6"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3, 4</w:t>
            </w:r>
          </w:p>
        </w:tc>
      </w:tr>
      <w:tr>
        <w:trPr>
          <w:cantSplit/>
        </w:trPr>
        <w:tc>
          <w:tcPr>
            <w:tcW w:type="dxa" w:w="6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10</w:t>
            </w:r>
          </w:p>
        </w:tc>
        <w:tc>
          <w:tcPr>
            <w:tcW w:type="dxa" w:w="5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Publish the policy in plain language, run IP awareness training for faculty and scholars, and revise it every year</w:t>
            </w:r>
          </w:p>
        </w:tc>
        <w:tc>
          <w:tcPr>
            <w:tcW w:type="dxa" w:w="200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2</w:t>
            </w:r>
          </w:p>
        </w:tc>
        <w:tc>
          <w:tcPr>
            <w:tcW w:type="dxa" w:w="2280"/>
            <w:shd w:fill="FFFFFF" w:color="auto" w:val="clear"/>
            <w:tcMar>
              <w:top w:type="dxa" w:w="70"/>
              <w:left w:type="dxa" w:w="110"/>
              <w:bottom w:type="dxa" w:w="70"/>
              <w:right w:type="dxa" w:w="110"/>
            </w:tcMar>
            <w:vAlign w:val="center"/>
          </w:tcPr>
          <w:p>
            <w:pPr>
              <w:spacing w:after="40" w:before="40" w:line="250" w:lineRule="auto"/>
              <w:jc w:val="center"/>
            </w:pPr>
            <w:r>
              <w:rPr>
                <w:b w:val="false"/>
                <w:bCs w:val="false"/>
                <w:color w:val="1A1A1A"/>
                <w:sz w:val="15"/>
                <w:szCs w:val="15"/>
              </w:rPr>
              <w:t xml:space="preserve">1, 7</w:t>
            </w:r>
          </w:p>
        </w:tc>
      </w:tr>
    </w:tbl>
    <w:p>
      <w:pPr>
        <w:pStyle w:val="Heading2"/>
        <w:keepNext/>
        <w:spacing w:after="120" w:before="300"/>
      </w:pPr>
      <w:r>
        <w:t xml:space="preserve">1.4  Critically assess whether focusing on patent quantity, or patent quality and commercialisation, is more important for sustainable knowledge economy development.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The case for quantity.</w:t>
      </w:r>
    </w:p>
    <w:p>
      <w:pPr>
        <w:pStyle w:val="ListParagraph"/>
        <w:numPr>
          <w:ilvl w:val="0"/>
          <w:numId w:val="3"/>
        </w:numPr>
        <w:spacing w:after="70" w:line="272" w:lineRule="auto"/>
        <w:jc w:val="left"/>
      </w:pPr>
      <w:r>
        <w:t xml:space="preserve">Filings are easy to observe, compare across countries and collect quickly, so they feed the Global Innovation Index and similar rankings.</w:t>
      </w:r>
    </w:p>
    <w:p>
      <w:pPr>
        <w:pStyle w:val="ListParagraph"/>
        <w:numPr>
          <w:ilvl w:val="0"/>
          <w:numId w:val="3"/>
        </w:numPr>
        <w:spacing w:after="70" w:line="272" w:lineRule="auto"/>
        <w:jc w:val="left"/>
      </w:pPr>
      <w:r>
        <w:t xml:space="preserve">Volume has real strategic use: a large portfolio is the currency of cross-licensing, and scale lets a firm answer an assertion with a counter-assertion.</w:t>
      </w:r>
    </w:p>
    <w:p>
      <w:pPr>
        <w:pStyle w:val="ListParagraph"/>
        <w:numPr>
          <w:ilvl w:val="0"/>
          <w:numId w:val="3"/>
        </w:numPr>
        <w:spacing w:after="70" w:line="272" w:lineRule="auto"/>
        <w:jc w:val="left"/>
      </w:pPr>
      <w:r>
        <w:t xml:space="preserve">For a country moving from imitation to invention, rising resident filings are a genuine signal, and India's historically high non-resident share is a legitimate worry.</w:t>
      </w:r>
    </w:p>
    <w:p>
      <w:pPr>
        <w:keepNext w:val="false"/>
        <w:spacing w:after="140" w:line="280" w:lineRule="auto"/>
        <w:jc w:val="both"/>
      </w:pPr>
      <w:r>
        <w:rPr>
          <w:b/>
          <w:bCs/>
        </w:rPr>
        <w:t xml:space="preserve">The case against quantity as the target.</w:t>
      </w:r>
    </w:p>
    <w:p>
      <w:pPr>
        <w:pStyle w:val="ListParagraph"/>
        <w:numPr>
          <w:ilvl w:val="0"/>
          <w:numId w:val="3"/>
        </w:numPr>
        <w:spacing w:after="70" w:line="272" w:lineRule="auto"/>
        <w:jc w:val="left"/>
      </w:pPr>
      <w:r>
        <w:t xml:space="preserve">Patent value is extremely skewed. The top 10% of a portfolio holds roughly 80–85% of its value (Scherer &amp; Harhoff, 2000), and the PatVal-EU study of 2005 found only about 7% of patents worth more than €10 million.</w:t>
      </w:r>
    </w:p>
    <w:p>
      <w:pPr>
        <w:pStyle w:val="ListParagraph"/>
        <w:numPr>
          <w:ilvl w:val="0"/>
          <w:numId w:val="3"/>
        </w:numPr>
        <w:spacing w:after="70" w:line="272" w:lineRule="auto"/>
        <w:jc w:val="left"/>
      </w:pPr>
      <w:r>
        <w:t xml:space="preserve">The market itself prices quality, not count. Hall, Jaffe and Trajtenberg found an extra citation per patent adds about 3% to market value, and firms averaging 20 or more citations command about a 54% premium.</w:t>
      </w:r>
    </w:p>
    <w:p>
      <w:pPr>
        <w:pStyle w:val="ListParagraph"/>
        <w:numPr>
          <w:ilvl w:val="0"/>
          <w:numId w:val="3"/>
        </w:numPr>
        <w:spacing w:after="70" w:line="272" w:lineRule="auto"/>
        <w:jc w:val="left"/>
      </w:pPr>
      <w:r>
        <w:t xml:space="preserve">Every unused patent is a liability. Annuities are payable every year in every country for up to 20 years, so a portfolio built for a ranking eats the research budget it was meant to showcase.</w:t>
      </w:r>
    </w:p>
    <w:p>
      <w:pPr>
        <w:pStyle w:val="ListParagraph"/>
        <w:numPr>
          <w:ilvl w:val="0"/>
          <w:numId w:val="3"/>
        </w:numPr>
        <w:spacing w:after="70" w:line="272" w:lineRule="auto"/>
        <w:jc w:val="left"/>
      </w:pPr>
      <w:r>
        <w:t xml:space="preserve">The funnel data show the real loss. AUTM's FY2024 United States figures record about 26,196 disclosures against 9,507 licences and 775 products. IIT Kharagpur's cumulative figures of about 450 filed, 120 granted and 7 licensed show the same narrow neck. The constraint is conversion, not filing.</w:t>
      </w:r>
    </w:p>
    <w:p>
      <w:pPr>
        <w:pStyle w:val="ListParagraph"/>
        <w:numPr>
          <w:ilvl w:val="0"/>
          <w:numId w:val="3"/>
        </w:numPr>
        <w:spacing w:after="70" w:line="272" w:lineRule="auto"/>
        <w:jc w:val="left"/>
      </w:pPr>
      <w:r>
        <w:t xml:space="preserve">Goodhart's law applies: when a measure becomes a target it stops being a good measure, and a Hub rewarded for filings will file weak applications.</w:t>
      </w:r>
    </w:p>
    <w:p>
      <w:pPr>
        <w:keepNext w:val="false"/>
        <w:spacing w:after="140" w:line="280" w:lineRule="auto"/>
        <w:jc w:val="both"/>
      </w:pPr>
      <w:r>
        <w:rPr>
          <w:b/>
          <w:bCs/>
        </w:rPr>
        <w:t xml:space="preserve">Conclusion. </w:t>
      </w:r>
      <w:r>
        <w:t xml:space="preserve">Quantity is a necessary input measure but an insufficient outcome measure. Sustainable growth comes from conversion, because it is commercialisation and not registration that produces products, jobs and tax revenue. That is why the real measure of MIT's culture is not its filings but that about 53% of its portfolio is licensed or optioned. The correct answer is a composite scorecard: filings per crore of research spend, licences per grant, products launched, licence income and three-year start-up survival. Report quantity; reward quality and commercialisation.</w:t>
      </w:r>
    </w:p>
    <w:p>
      <w:pPr>
        <w:pStyle w:val="Heading2"/>
        <w:keepNext/>
        <w:spacing w:after="120" w:before="300"/>
      </w:pPr>
      <w:r>
        <w:t xml:space="preserve">2.  Kindly provide five differentiating points between “Patent Pool” and “Patent Portfolio”.  [5]</w:t>
      </w:r>
    </w:p>
    <w:p>
      <w:pPr>
        <w:keepNext/>
        <w:spacing w:after="100" w:before="18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Patent Pool</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Patent Portfolio</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Meaning</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An arrangement where two or more patent owners put their patents together and licence them as one package, usually through a common administrator</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whole set of patents and pending applications owned by one entity</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Ownership</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Many owners. Each keeps its own patents; only the licensing is pooled</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single owner throughout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Purpose</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To clear blocking positions, cut transaction costs, avoid royalty stacking and let a standard be implemented by anyone</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To protect the owner's products, earn royalties, provide cross-licensing currency and signal capability to investors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Access by outsiders</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Open to any licensee on standard terms, usually FRAND where a standard is involved. One licence covers many patents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 automatic access. Every licence is negotiated separately and the owner may refuse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Competition law</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High exposure. It is an agreement between competitors, so it is lawful only if the pooled patents are essential or complementary; pooling substitute patents is price-fixing</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None in itself. Simply owning assets raises no competition issue</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Examples</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MPEG LA for MPEG-2 and AVC; DVD pools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Huawei's 165,000+ active patents; IBM's portfolio</w:t>
            </w:r>
          </w:p>
        </w:tc>
      </w:tr>
    </w:tbl>
    <w:p>
      <w:pPr>
        <w:keepNext w:val="false"/>
        <w:spacing w:after="140" w:line="280" w:lineRule="auto"/>
        <w:jc w:val="both"/>
      </w:pPr>
      <w:r>
        <w:rPr>
          <w:i/>
          <w:iCs/>
        </w:rPr>
        <w:t xml:space="preserve">One line to close: </w:t>
      </w:r>
      <w:r>
        <w:rPr>
          <w:i/>
          <w:iCs/>
        </w:rPr>
        <w:t xml:space="preserve">a portfolio is an ownership fact about one firm; a pool is a licensing arrangement between several firms.</w:t>
      </w:r>
    </w:p>
    <w:p>
      <w:pPr>
        <w:pStyle w:val="Heading2"/>
        <w:keepNext/>
        <w:spacing w:after="120" w:before="300"/>
      </w:pPr>
      <w:r>
        <w:t xml:space="preserve">3.  Explain with example — Transforming “Intellectual Property” into “Intellectual Capital” in a competing economy. Limit your answer to 10 points with example.  [5]</w:t>
      </w:r>
    </w:p>
    <w:p>
      <w:pPr>
        <w:keepNext/>
        <w:spacing w:after="100" w:before="180"/>
      </w:pPr>
      <w:r>
        <w:rPr>
          <w:rFonts w:ascii="Calibri" w:cs="Calibri" w:eastAsia="Calibri" w:hAnsi="Calibri"/>
          <w:b/>
          <w:bCs/>
          <w:color w:val="8A5A10"/>
          <w:sz w:val="21"/>
          <w:szCs w:val="21"/>
        </w:rPr>
        <w:t xml:space="preserve">Answer</w:t>
      </w:r>
    </w:p>
    <w:p>
      <w:pPr>
        <w:pStyle w:val="ListParagraph"/>
        <w:numPr>
          <w:ilvl w:val="0"/>
          <w:numId w:val="4"/>
        </w:numPr>
        <w:spacing w:after="70" w:line="272" w:lineRule="auto"/>
        <w:jc w:val="left"/>
      </w:pPr>
      <w:r>
        <w:rPr>
          <w:b/>
          <w:bCs/>
        </w:rPr>
        <w:t xml:space="preserve">The two words are not the same. </w:t>
      </w:r>
      <w:r>
        <w:t xml:space="preserve">IP is a legal right. Intellectual capital is an economic resource that generates value. Transformation means turning a right that merely exists into a resource that earns.</w:t>
      </w:r>
    </w:p>
    <w:p>
      <w:pPr>
        <w:pStyle w:val="ListParagraph"/>
        <w:numPr>
          <w:ilvl w:val="0"/>
          <w:numId w:val="4"/>
        </w:numPr>
        <w:spacing w:after="70" w:line="272" w:lineRule="auto"/>
        <w:jc w:val="left"/>
      </w:pPr>
      <w:r>
        <w:rPr>
          <w:b/>
          <w:bCs/>
        </w:rPr>
        <w:t xml:space="preserve">The pipeline has three stages: </w:t>
      </w:r>
      <w:r>
        <w:t xml:space="preserve">pre-IP (ideation, incubation, invention disclosure), IP (the protected asset), and post-IP (portfolio, commercialisation, financial gain).</w:t>
      </w:r>
    </w:p>
    <w:p>
      <w:pPr>
        <w:pStyle w:val="ListParagraph"/>
        <w:numPr>
          <w:ilvl w:val="0"/>
          <w:numId w:val="4"/>
        </w:numPr>
        <w:spacing w:after="70" w:line="272" w:lineRule="auto"/>
        <w:jc w:val="left"/>
      </w:pPr>
      <w:r>
        <w:rPr>
          <w:b/>
          <w:bCs/>
        </w:rPr>
        <w:t xml:space="preserve">In the pre-IP stage money only flows out. </w:t>
      </w:r>
      <w:r>
        <w:t xml:space="preserve">Nothing is protected and nothing earns. The disclosure system decides how much reaches the next stage.</w:t>
      </w:r>
    </w:p>
    <w:p>
      <w:pPr>
        <w:pStyle w:val="ListParagraph"/>
        <w:numPr>
          <w:ilvl w:val="0"/>
          <w:numId w:val="4"/>
        </w:numPr>
        <w:spacing w:after="70" w:line="272" w:lineRule="auto"/>
        <w:jc w:val="left"/>
      </w:pPr>
      <w:r>
        <w:rPr>
          <w:b/>
          <w:bCs/>
        </w:rPr>
        <w:t xml:space="preserve">At the IP stage every asset is in one of three conditions </w:t>
      </w:r>
      <w:r>
        <w:t xml:space="preserve">— potential IP, idle IP, or commercialised IP.</w:t>
      </w:r>
    </w:p>
    <w:p>
      <w:pPr>
        <w:pStyle w:val="ListParagraph"/>
        <w:numPr>
          <w:ilvl w:val="0"/>
          <w:numId w:val="4"/>
        </w:numPr>
        <w:spacing w:after="70" w:line="272" w:lineRule="auto"/>
        <w:jc w:val="left"/>
      </w:pPr>
      <w:r>
        <w:rPr>
          <w:b/>
          <w:bCs/>
        </w:rPr>
        <w:t xml:space="preserve">Idle IP is where the conversion stops. </w:t>
      </w:r>
      <w:r>
        <w:t xml:space="preserve">A protected but unused right pays an annuity every year in every country and returns nothing.</w:t>
      </w:r>
    </w:p>
    <w:p>
      <w:pPr>
        <w:pStyle w:val="ListParagraph"/>
        <w:numPr>
          <w:ilvl w:val="0"/>
          <w:numId w:val="4"/>
        </w:numPr>
        <w:spacing w:after="70" w:line="272" w:lineRule="auto"/>
        <w:jc w:val="left"/>
      </w:pPr>
      <w:r>
        <w:rPr>
          <w:b/>
          <w:bCs/>
        </w:rPr>
        <w:t xml:space="preserve">Leakage is the second loss. </w:t>
      </w:r>
      <w:r>
        <w:t xml:space="preserve">Technology escapes through weak confidentiality, leaky suppliers and departing staff. Firms lose roughly as much technology as they deliberately sell.</w:t>
      </w:r>
    </w:p>
    <w:p>
      <w:pPr>
        <w:pStyle w:val="ListParagraph"/>
        <w:numPr>
          <w:ilvl w:val="0"/>
          <w:numId w:val="4"/>
        </w:numPr>
        <w:spacing w:after="70" w:line="272" w:lineRule="auto"/>
        <w:jc w:val="left"/>
      </w:pPr>
      <w:r>
        <w:rPr>
          <w:b/>
          <w:bCs/>
        </w:rPr>
        <w:t xml:space="preserve">Conversion needs a route: </w:t>
      </w:r>
      <w:r>
        <w:t xml:space="preserve">internal exploitation, licensing out, cross-licensing, joint venture, a spin-out, or sale. The route depends on who holds the complementary assets, not on the strength of the patent.</w:t>
      </w:r>
    </w:p>
    <w:p>
      <w:pPr>
        <w:pStyle w:val="ListParagraph"/>
        <w:numPr>
          <w:ilvl w:val="0"/>
          <w:numId w:val="4"/>
        </w:numPr>
        <w:spacing w:after="70" w:line="272" w:lineRule="auto"/>
        <w:jc w:val="left"/>
      </w:pPr>
      <w:r>
        <w:rPr>
          <w:b/>
          <w:bCs/>
        </w:rPr>
        <w:t xml:space="preserve">Not all conversion is cash. </w:t>
      </w:r>
      <w:r>
        <w:t xml:space="preserve">Freedom to operate, bargaining power and netting royalties against a competitor are conversions of IP into capital even with no invoice.</w:t>
      </w:r>
    </w:p>
    <w:p>
      <w:pPr>
        <w:pStyle w:val="ListParagraph"/>
        <w:numPr>
          <w:ilvl w:val="0"/>
          <w:numId w:val="4"/>
        </w:numPr>
        <w:spacing w:after="70" w:line="272" w:lineRule="auto"/>
        <w:jc w:val="left"/>
      </w:pPr>
      <w:r>
        <w:rPr>
          <w:b/>
          <w:bCs/>
        </w:rPr>
        <w:t xml:space="preserve">The portfolio, not the patent, is the asset. </w:t>
      </w:r>
      <w:r>
        <w:t xml:space="preserve">Value is concentrated — the top 10% holds 80–85% — so pruning the tail releases fees without losing value.</w:t>
      </w:r>
    </w:p>
    <w:p>
      <w:pPr>
        <w:pStyle w:val="ListParagraph"/>
        <w:numPr>
          <w:ilvl w:val="0"/>
          <w:numId w:val="4"/>
        </w:numPr>
        <w:spacing w:after="70" w:line="272" w:lineRule="auto"/>
        <w:jc w:val="left"/>
      </w:pPr>
      <w:r>
        <w:rPr>
          <w:b/>
          <w:bCs/>
        </w:rPr>
        <w:t xml:space="preserve">In a competing economy speed decides who captures it. </w:t>
      </w:r>
      <w:r>
        <w:t xml:space="preserve">The same right in two firms earns differently depending on speed to market and on whether the holder owns the manufacturing and distribution the customer also needs.</w:t>
      </w:r>
    </w:p>
    <w:p>
      <w:pPr>
        <w:keepNext w:val="false"/>
        <w:spacing w:after="140" w:line="280" w:lineRule="auto"/>
        <w:jc w:val="both"/>
      </w:pPr>
      <w:r>
        <w:rPr>
          <w:b/>
          <w:bCs/>
        </w:rPr>
        <w:t xml:space="preserve">Example. </w:t>
      </w:r>
      <w:r>
        <w:t xml:space="preserve">Stanford held the PageRank patent, invented by Larry Page as a student. As a patent alone it earned nothing. Stanford converted it by licensing it exclusively to Google for 1.8 million shares, sold in 2005 for about USD 336 million. The conversion worked because Stanford chose the right route — equity in a firm that held the complementary assets, instead of a running royalty — and because the title was clear enough to licence.</w:t>
      </w:r>
    </w:p>
    <w:p>
      <w:pPr>
        <w:pStyle w:val="Heading1"/>
        <w:pageBreakBefore/>
        <w:pBdr>
          <w:bottom w:val="single" w:color="1F3864" w:sz="10" w:space="6"/>
        </w:pBdr>
        <w:spacing w:after="200" w:before="0"/>
      </w:pPr>
      <w:r>
        <w:t xml:space="preserve">Paper 2  —  The Corporate IP Audit</w:t>
      </w:r>
    </w:p>
    <w:p>
      <w:pPr>
        <w:spacing w:after="100"/>
        <w:jc w:val="center"/>
      </w:pPr>
      <w:r>
        <w:rPr>
          <w:rFonts w:ascii="Calibri" w:cs="Calibri" w:eastAsia="Calibri" w:hAnsi="Calibri"/>
          <w:b/>
          <w:bCs/>
          <w:color w:val="1F3864"/>
          <w:sz w:val="26"/>
          <w:szCs w:val="26"/>
        </w:rPr>
        <w:t xml:space="preserve">Mid-Autumn Semester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520"/>
        <w:gridCol w:w="2520"/>
        <w:gridCol w:w="2520"/>
        <w:gridCol w:w="2520"/>
      </w:tblGrid>
      <w:tr>
        <w:trPr>
          <w:cantSplit/>
        </w:trPr>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Date of Examination: ____ / ____ / 20____</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Session: FN</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Duration: 2 hrs</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Full Marks: 30</w:t>
            </w:r>
          </w:p>
        </w:tc>
      </w:tr>
      <w:tr>
        <w:trPr>
          <w:cantSplit/>
        </w:trPr>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Subject No.: IP61019</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Subject: IPR Management</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Dept.: Rajiv Gandhi School of Intellectual Property Law</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Charts / tables: Not Applicable</w:t>
            </w:r>
          </w:p>
        </w:tc>
      </w:tr>
    </w:tbl>
    <w:p>
      <w:pPr>
        <w:spacing w:after="180" w:before="100"/>
      </w:pPr>
      <w:r>
        <w:rPr>
          <w:i/>
          <w:iCs/>
          <w:color w:val="5A6270"/>
          <w:sz w:val="16"/>
          <w:szCs w:val="16"/>
        </w:rPr>
        <w:t xml:space="preserve">Special Instructions:  1. All questions are compulsory.   2. Numbers on the right side in bracket indicate 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 — Case Study: Bharat Instruments Ltd.</w:t>
            </w:r>
          </w:p>
          <w:p>
            <w:pPr>
              <w:spacing w:after="70" w:line="265"/>
              <w:jc w:val="both"/>
            </w:pPr>
            <w:r>
              <w:rPr>
                <w:sz w:val="18"/>
                <w:szCs w:val="18"/>
              </w:rPr>
              <w:t xml:space="preserve">Bharat Instruments Ltd. manufactures industrial sensors and has been in business for thirty years. A new Chief Executive orders an internal IP audit, which reports the following.</w:t>
            </w:r>
          </w:p>
          <w:p>
            <w:pPr>
              <w:spacing w:after="70" w:line="265"/>
              <w:jc w:val="both"/>
            </w:pPr>
            <w:r>
              <w:rPr>
                <w:sz w:val="18"/>
                <w:szCs w:val="18"/>
              </w:rPr>
              <w:t xml:space="preserve">(1) The R&amp;D head and the legal department meet once a year, and legal is consulted only after a product is launched. (2) The company holds 320 patents: 40 cover current products, 30 are licensed to others, and 250 are unused but maintained. (3) Engineers receive nothing for their inventions and there is no invention disclosure form. (4) The company lost two infringement cases because it could not prove who owned the patents. (5) The Board wants to cut the IP budget by half, saying the patents “do not earn anything”.</w:t>
            </w:r>
          </w:p>
        </w:tc>
      </w:tr>
    </w:tbl>
    <w:p>
      <w:pPr>
        <w:spacing w:after="160"/>
      </w:pPr>
    </w:p>
    <w:p>
      <w:pPr>
        <w:pStyle w:val="Heading2"/>
        <w:keepNext/>
        <w:spacing w:after="120" w:before="300"/>
      </w:pPr>
      <w:r>
        <w:t xml:space="preserve">1.1  Map the failures shown by the audit against the requirements for sound IP management.  [5]</w:t>
      </w:r>
    </w:p>
    <w:p>
      <w:pPr>
        <w:keepNext/>
        <w:spacing w:after="100" w:before="18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200"/>
        <w:gridCol w:w="3600"/>
        <w:gridCol w:w="5280"/>
      </w:tblGrid>
      <w:tr>
        <w:trPr>
          <w:cantSplit/>
          <w:tblHeader/>
        </w:trPr>
        <w:tc>
          <w:tcPr>
            <w:tcW w:type="dxa" w:w="12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Audit point</w:t>
            </w:r>
          </w:p>
        </w:tc>
        <w:tc>
          <w:tcPr>
            <w:tcW w:type="dxa" w:w="36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Requirement that has failed</w:t>
            </w:r>
          </w:p>
        </w:tc>
        <w:tc>
          <w:tcPr>
            <w:tcW w:type="dxa" w:w="52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Explanation</w:t>
            </w:r>
          </w:p>
        </w:tc>
      </w:tr>
      <w:tr>
        <w:trPr>
          <w:cantSplit/>
        </w:trPr>
        <w:tc>
          <w:tcPr>
            <w:tcW w:type="dxa" w:w="1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(1) Legal and R&amp;D meet once a year</w:t>
            </w:r>
          </w:p>
        </w:tc>
        <w:tc>
          <w:tcPr>
            <w:tcW w:type="dxa" w:w="3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Symbiotic and synergistic relationship between IP legal and R&amp;D</w:t>
            </w:r>
          </w:p>
        </w:tc>
        <w:tc>
          <w:tcPr>
            <w:tcW w:type="dxa" w:w="52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Engineers cannot create a defensible asset without claim strategy, and lawyers cannot draft a valuable claim without knowing the technology and the product roadmap. Consulting legal after launch means the invention may already have lost novelty</w:t>
            </w:r>
          </w:p>
        </w:tc>
      </w:tr>
      <w:tr>
        <w:trPr>
          <w:cantSplit/>
        </w:trPr>
        <w:tc>
          <w:tcPr>
            <w:tcW w:type="dxa" w:w="12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(2) 250 unused but maintained patents</w:t>
            </w:r>
          </w:p>
        </w:tc>
        <w:tc>
          <w:tcPr>
            <w:tcW w:type="dxa" w:w="36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right opportunity, at the right time, for the right reason</w:t>
            </w:r>
          </w:p>
        </w:tc>
        <w:tc>
          <w:tcPr>
            <w:tcW w:type="dxa" w:w="52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Nobody can say what these patents are for. Each one pays an annuity every year in every country for up to 20 years, so the portfolio is a standing liability</w:t>
            </w:r>
          </w:p>
        </w:tc>
      </w:tr>
      <w:tr>
        <w:trPr>
          <w:cantSplit/>
        </w:trPr>
        <w:tc>
          <w:tcPr>
            <w:tcW w:type="dxa" w:w="1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(3) No reward and no disclosure form</w:t>
            </w:r>
          </w:p>
        </w:tc>
        <w:tc>
          <w:tcPr>
            <w:tcW w:type="dxa" w:w="3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Talented and motivated resources</w:t>
            </w:r>
          </w:p>
        </w:tc>
        <w:tc>
          <w:tcPr>
            <w:tcW w:type="dxa" w:w="52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company cannot manage what it does not know about. Without a disclosure form inventions are never reported; without reward there is no reason to report them</w:t>
            </w:r>
          </w:p>
        </w:tc>
      </w:tr>
      <w:tr>
        <w:trPr>
          <w:cantSplit/>
        </w:trPr>
        <w:tc>
          <w:tcPr>
            <w:tcW w:type="dxa" w:w="12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(4) Cannot prove ownership</w:t>
            </w:r>
          </w:p>
        </w:tc>
        <w:tc>
          <w:tcPr>
            <w:tcW w:type="dxa" w:w="36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legal gates in the innovation ecosystem</w:t>
            </w:r>
          </w:p>
        </w:tc>
        <w:tc>
          <w:tcPr>
            <w:tcW w:type="dxa" w:w="52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Every transfer of value must pass a legal gate — assignment clauses in service contracts, and recordal with the Patent Office. A defect here makes the right unenforceable however good the invention</w:t>
            </w:r>
          </w:p>
        </w:tc>
      </w:tr>
      <w:tr>
        <w:trPr>
          <w:cantSplit/>
        </w:trPr>
        <w:tc>
          <w:tcPr>
            <w:tcW w:type="dxa" w:w="12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(5) Board wants to halve the budget</w:t>
            </w:r>
          </w:p>
        </w:tc>
        <w:tc>
          <w:tcPr>
            <w:tcW w:type="dxa" w:w="3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Management commitment to innovation and IP creation</w:t>
            </w:r>
          </w:p>
        </w:tc>
        <w:tc>
          <w:tcPr>
            <w:tcW w:type="dxa" w:w="52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IP spend is discretionary and long-dated. Cutting it is painless today and shows up years later when there is nothing to licence and nothing to trade</w:t>
            </w:r>
          </w:p>
        </w:tc>
      </w:tr>
    </w:tbl>
    <w:p>
      <w:pPr>
        <w:keepNext w:val="false"/>
        <w:spacing w:after="140" w:line="280" w:lineRule="auto"/>
        <w:jc w:val="both"/>
      </w:pPr>
      <w:r>
        <w:t xml:space="preserve">The company's underlying problem is that IP is being administered but not managed. Filing and renewal happen; no one decides what the portfolio is for.</w:t>
      </w:r>
    </w:p>
    <w:p>
      <w:pPr>
        <w:pStyle w:val="Heading2"/>
        <w:keepNext/>
        <w:spacing w:after="120" w:before="300"/>
      </w:pPr>
      <w:r>
        <w:t xml:space="preserve">1.2  Evaluate the Board's proposal to cut the IP budget by half.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The Board is right about the facts.</w:t>
      </w:r>
      <w:r>
        <w:t xml:space="preserve"> 250 unused patents out of 320 is a real waste. Annuities are payable every year in every jurisdiction for up to twenty years, so an unused patent is a liability that is recorded as an asset. The Board is correct that the portfolio is not earning.</w:t>
      </w:r>
    </w:p>
    <w:p>
      <w:pPr>
        <w:keepNext w:val="false"/>
        <w:spacing w:after="140" w:line="280" w:lineRule="auto"/>
        <w:jc w:val="both"/>
      </w:pPr>
      <w:r>
        <w:rPr>
          <w:b/>
          <w:bCs/>
        </w:rPr>
        <w:t xml:space="preserve">The Board is wrong about the remedy.</w:t>
      </w:r>
    </w:p>
    <w:p>
      <w:pPr>
        <w:pStyle w:val="ListParagraph"/>
        <w:numPr>
          <w:ilvl w:val="0"/>
          <w:numId w:val="5"/>
        </w:numPr>
        <w:spacing w:after="70" w:line="272" w:lineRule="auto"/>
        <w:jc w:val="left"/>
      </w:pPr>
      <w:r>
        <w:t xml:space="preserve">Patent value is extremely skewed, approximately lognormal. The top 10% of a portfolio typically holds 80–85% of its value (Scherer &amp; Harhoff, 2000). A flat 50% cut removes the valuable head along with the worthless tail.</w:t>
      </w:r>
    </w:p>
    <w:p>
      <w:pPr>
        <w:pStyle w:val="ListParagraph"/>
        <w:numPr>
          <w:ilvl w:val="0"/>
          <w:numId w:val="5"/>
        </w:numPr>
        <w:spacing w:after="70" w:line="272" w:lineRule="auto"/>
        <w:jc w:val="left"/>
      </w:pPr>
      <w:r>
        <w:t xml:space="preserve">The correct action is pruning, not cutting. Pruning is a value-creating act, not a cost-saving one, because it releases annuities without losing worth.</w:t>
      </w:r>
    </w:p>
    <w:p>
      <w:pPr>
        <w:pStyle w:val="ListParagraph"/>
        <w:numPr>
          <w:ilvl w:val="0"/>
          <w:numId w:val="5"/>
        </w:numPr>
        <w:spacing w:after="70" w:line="272" w:lineRule="auto"/>
        <w:jc w:val="left"/>
      </w:pPr>
      <w:r>
        <w:t xml:space="preserve">Some unused patents have a real function even though they earn nothing: freedom to operate, cross-licensing currency, blocking a competitor's route, and signalling capability to investors. The test is not “has it earned?” but “can we name what it is for?”</w:t>
      </w:r>
    </w:p>
    <w:p>
      <w:pPr>
        <w:pStyle w:val="ListParagraph"/>
        <w:numPr>
          <w:ilvl w:val="0"/>
          <w:numId w:val="5"/>
        </w:numPr>
        <w:spacing w:after="70" w:line="272" w:lineRule="auto"/>
        <w:jc w:val="left"/>
      </w:pPr>
      <w:r>
        <w:t xml:space="preserve">The 40 patents covering current products are the company's actual protection. Cutting their foreign filings to save money would expose the products the company sells today.</w:t>
      </w:r>
    </w:p>
    <w:p>
      <w:pPr>
        <w:keepNext w:val="false"/>
        <w:spacing w:after="140" w:line="280" w:lineRule="auto"/>
        <w:jc w:val="both"/>
      </w:pPr>
      <w:r>
        <w:rPr>
          <w:b/>
          <w:bCs/>
        </w:rPr>
        <w:t xml:space="preserve">Recommendation. </w:t>
      </w:r>
      <w:r>
        <w:t xml:space="preserve">Conduct a portfolio review against three tests — does it cover a current product, is it licensed, does it block a competitor? Prune everything that fails all three, and reinvest the released annuities in foreign filing for the 40 that matter. The likely result is a smaller budget and a stronger portfolio, which is what the Board actually wants.</w:t>
      </w:r>
    </w:p>
    <w:p>
      <w:pPr>
        <w:pStyle w:val="Heading2"/>
        <w:keepNext/>
        <w:spacing w:after="120" w:before="300"/>
      </w:pPr>
      <w:r>
        <w:t xml:space="preserve">1.3  Propose a reform package for IP governance at Bharat Instruments.  [5]</w:t>
      </w:r>
    </w:p>
    <w:p>
      <w:pPr>
        <w:keepNext/>
        <w:spacing w:after="100" w:before="180"/>
      </w:pPr>
      <w:r>
        <w:rPr>
          <w:rFonts w:ascii="Calibri" w:cs="Calibri" w:eastAsia="Calibri" w:hAnsi="Calibri"/>
          <w:b/>
          <w:bCs/>
          <w:color w:val="8A5A10"/>
          <w:sz w:val="21"/>
          <w:szCs w:val="21"/>
        </w:rPr>
        <w:t xml:space="preserve">Answer</w:t>
      </w:r>
    </w:p>
    <w:p>
      <w:pPr>
        <w:pStyle w:val="ListParagraph"/>
        <w:numPr>
          <w:ilvl w:val="0"/>
          <w:numId w:val="6"/>
        </w:numPr>
        <w:spacing w:after="70" w:line="272" w:lineRule="auto"/>
        <w:jc w:val="left"/>
      </w:pPr>
      <w:r>
        <w:rPr>
          <w:b/>
          <w:bCs/>
        </w:rPr>
        <w:t xml:space="preserve">Quarterly invention review board </w:t>
      </w:r>
      <w:r>
        <w:t xml:space="preserve">with R&amp;D, product management, business development and IP legal sitting together. Answers audit point 1.</w:t>
      </w:r>
    </w:p>
    <w:p>
      <w:pPr>
        <w:pStyle w:val="ListParagraph"/>
        <w:numPr>
          <w:ilvl w:val="0"/>
          <w:numId w:val="6"/>
        </w:numPr>
        <w:spacing w:after="70" w:line="272" w:lineRule="auto"/>
        <w:jc w:val="left"/>
      </w:pPr>
      <w:r>
        <w:rPr>
          <w:b/>
          <w:bCs/>
        </w:rPr>
        <w:t xml:space="preserve">A written invention disclosure form, </w:t>
      </w:r>
      <w:r>
        <w:t xml:space="preserve">compulsory before any publication, conference paper or customer demonstration, with a fixed review period.</w:t>
      </w:r>
    </w:p>
    <w:p>
      <w:pPr>
        <w:pStyle w:val="ListParagraph"/>
        <w:numPr>
          <w:ilvl w:val="0"/>
          <w:numId w:val="6"/>
        </w:numPr>
        <w:spacing w:after="70" w:line="272" w:lineRule="auto"/>
        <w:jc w:val="left"/>
      </w:pPr>
      <w:r>
        <w:rPr>
          <w:b/>
          <w:bCs/>
        </w:rPr>
        <w:t xml:space="preserve">Assignment and confidentiality clauses in every service contract, </w:t>
      </w:r>
      <w:r>
        <w:t xml:space="preserve">and recordal of assignments with the Patent Office so that title can always be proved. Answers audit point 4.</w:t>
      </w:r>
    </w:p>
    <w:p>
      <w:pPr>
        <w:pStyle w:val="ListParagraph"/>
        <w:numPr>
          <w:ilvl w:val="0"/>
          <w:numId w:val="6"/>
        </w:numPr>
        <w:spacing w:after="70" w:line="272" w:lineRule="auto"/>
        <w:jc w:val="left"/>
      </w:pPr>
      <w:r>
        <w:rPr>
          <w:b/>
          <w:bCs/>
        </w:rPr>
        <w:t xml:space="preserve">Inventor reward scheme: </w:t>
      </w:r>
      <w:r>
        <w:t xml:space="preserve">a small honorarium on filing and another on grant, inventor-of-the-year recognition, and conference sponsorship. A company cannot give a revenue share across thousands of patents, so recognition is the right instrument. Answers audit point 3.</w:t>
      </w:r>
    </w:p>
    <w:p>
      <w:pPr>
        <w:pStyle w:val="ListParagraph"/>
        <w:numPr>
          <w:ilvl w:val="0"/>
          <w:numId w:val="6"/>
        </w:numPr>
        <w:spacing w:after="70" w:line="272" w:lineRule="auto"/>
        <w:jc w:val="left"/>
      </w:pPr>
      <w:r>
        <w:rPr>
          <w:b/>
          <w:bCs/>
        </w:rPr>
        <w:t xml:space="preserve">Embed an IP attorney in each product team </w:t>
      </w:r>
      <w:r>
        <w:t xml:space="preserve">instead of summoning legal at the end.</w:t>
      </w:r>
    </w:p>
    <w:p>
      <w:pPr>
        <w:pStyle w:val="ListParagraph"/>
        <w:numPr>
          <w:ilvl w:val="0"/>
          <w:numId w:val="6"/>
        </w:numPr>
        <w:spacing w:after="70" w:line="272" w:lineRule="auto"/>
        <w:jc w:val="left"/>
      </w:pPr>
      <w:r>
        <w:rPr>
          <w:b/>
          <w:bCs/>
        </w:rPr>
        <w:t xml:space="preserve">Patent landscape briefings into R&amp;D planning </w:t>
      </w:r>
      <w:r>
        <w:t xml:space="preserve">twice a year, showing white space and competitor positions.</w:t>
      </w:r>
    </w:p>
    <w:p>
      <w:pPr>
        <w:pStyle w:val="ListParagraph"/>
        <w:numPr>
          <w:ilvl w:val="0"/>
          <w:numId w:val="6"/>
        </w:numPr>
        <w:spacing w:after="70" w:line="272" w:lineRule="auto"/>
        <w:jc w:val="left"/>
      </w:pPr>
      <w:r>
        <w:rPr>
          <w:b/>
          <w:bCs/>
        </w:rPr>
        <w:t xml:space="preserve">An annual portfolio prune </w:t>
      </w:r>
      <w:r>
        <w:t xml:space="preserve">against a stated retention test, with the released annuities reinvested.</w:t>
      </w:r>
    </w:p>
    <w:p>
      <w:pPr>
        <w:pStyle w:val="ListParagraph"/>
        <w:numPr>
          <w:ilvl w:val="0"/>
          <w:numId w:val="6"/>
        </w:numPr>
        <w:spacing w:after="70" w:line="272" w:lineRule="auto"/>
        <w:jc w:val="left"/>
      </w:pPr>
      <w:r>
        <w:rPr>
          <w:b/>
          <w:bCs/>
        </w:rPr>
        <w:t xml:space="preserve">State the purpose of every family in the docket </w:t>
      </w:r>
      <w:r>
        <w:t xml:space="preserve">— exclusion, revenue, freedom to operate, blocking or signalling. A right with no stated purpose is a candidate for pruning.</w:t>
      </w:r>
    </w:p>
    <w:p>
      <w:pPr>
        <w:pStyle w:val="ListParagraph"/>
        <w:numPr>
          <w:ilvl w:val="0"/>
          <w:numId w:val="6"/>
        </w:numPr>
        <w:spacing w:after="70" w:line="272" w:lineRule="auto"/>
        <w:jc w:val="left"/>
      </w:pPr>
      <w:r>
        <w:rPr>
          <w:b/>
          <w:bCs/>
        </w:rPr>
        <w:t xml:space="preserve">IP awareness training for engineers, </w:t>
      </w:r>
      <w:r>
        <w:t xml:space="preserve">focused on one rule: do not publish before filing.</w:t>
      </w:r>
    </w:p>
    <w:p>
      <w:pPr>
        <w:pStyle w:val="ListParagraph"/>
        <w:numPr>
          <w:ilvl w:val="0"/>
          <w:numId w:val="6"/>
        </w:numPr>
        <w:spacing w:after="70" w:line="272" w:lineRule="auto"/>
        <w:jc w:val="left"/>
      </w:pPr>
      <w:r>
        <w:rPr>
          <w:b/>
          <w:bCs/>
        </w:rPr>
        <w:t xml:space="preserve">Report to the Board on conversion, not on filings </w:t>
      </w:r>
      <w:r>
        <w:t xml:space="preserve">— licences signed, royalties earned, infringements detected, families pruned.</w:t>
      </w:r>
    </w:p>
    <w:p>
      <w:pPr>
        <w:pStyle w:val="Heading2"/>
        <w:keepNext/>
        <w:spacing w:after="120" w:before="300"/>
      </w:pPr>
      <w:r>
        <w:t xml:space="preserve">1.4  Critically assess the statement that “a patent which is never asserted is worthless”.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Arguments that it is worthless.</w:t>
      </w:r>
    </w:p>
    <w:p>
      <w:pPr>
        <w:pStyle w:val="ListParagraph"/>
        <w:numPr>
          <w:ilvl w:val="0"/>
          <w:numId w:val="3"/>
        </w:numPr>
        <w:spacing w:after="70" w:line="272" w:lineRule="auto"/>
        <w:jc w:val="left"/>
      </w:pPr>
      <w:r>
        <w:t xml:space="preserve">It produces no revenue while consuming annuities every year in every country.</w:t>
      </w:r>
    </w:p>
    <w:p>
      <w:pPr>
        <w:pStyle w:val="ListParagraph"/>
        <w:numPr>
          <w:ilvl w:val="0"/>
          <w:numId w:val="3"/>
        </w:numPr>
        <w:spacing w:after="70" w:line="272" w:lineRule="auto"/>
        <w:jc w:val="left"/>
      </w:pPr>
      <w:r>
        <w:t xml:space="preserve">It teaches competitors how to work the invention, because the specification was published, while giving nothing back.</w:t>
      </w:r>
    </w:p>
    <w:p>
      <w:pPr>
        <w:pStyle w:val="ListParagraph"/>
        <w:numPr>
          <w:ilvl w:val="0"/>
          <w:numId w:val="3"/>
        </w:numPr>
        <w:spacing w:after="70" w:line="272" w:lineRule="auto"/>
        <w:jc w:val="left"/>
      </w:pPr>
      <w:r>
        <w:t xml:space="preserve">Value is concentrated: most patents in any portfolio genuinely are worth very little, and holding them is a habit rather than a strategy.</w:t>
      </w:r>
    </w:p>
    <w:p>
      <w:pPr>
        <w:keepNext w:val="false"/>
        <w:spacing w:after="140" w:line="280" w:lineRule="auto"/>
        <w:jc w:val="both"/>
      </w:pPr>
      <w:r>
        <w:rPr>
          <w:b/>
          <w:bCs/>
        </w:rPr>
        <w:t xml:space="preserve">Arguments that it is not worthless.</w:t>
      </w:r>
    </w:p>
    <w:p>
      <w:pPr>
        <w:pStyle w:val="ListParagraph"/>
        <w:numPr>
          <w:ilvl w:val="0"/>
          <w:numId w:val="3"/>
        </w:numPr>
        <w:spacing w:after="70" w:line="272" w:lineRule="auto"/>
        <w:jc w:val="left"/>
      </w:pPr>
      <w:r>
        <w:t xml:space="preserve">Freedom to operate. A patent that is never asserted may still prevent someone else from asserting against you.</w:t>
      </w:r>
    </w:p>
    <w:p>
      <w:pPr>
        <w:pStyle w:val="ListParagraph"/>
        <w:numPr>
          <w:ilvl w:val="0"/>
          <w:numId w:val="3"/>
        </w:numPr>
        <w:spacing w:after="70" w:line="272" w:lineRule="auto"/>
        <w:jc w:val="left"/>
      </w:pPr>
      <w:r>
        <w:t xml:space="preserve">Cross-licensing currency. Bharat Instruments cannot answer an assertion with a counter-assertion unless it holds something to trade, and royalties then net off so only the imbalance is paid.</w:t>
      </w:r>
    </w:p>
    <w:p>
      <w:pPr>
        <w:pStyle w:val="ListParagraph"/>
        <w:numPr>
          <w:ilvl w:val="0"/>
          <w:numId w:val="3"/>
        </w:numPr>
        <w:spacing w:after="70" w:line="272" w:lineRule="auto"/>
        <w:jc w:val="left"/>
      </w:pPr>
      <w:r>
        <w:t xml:space="preserve">Blocking. A patent may deliberately deny a competitor a route the holder does not intend to use.</w:t>
      </w:r>
    </w:p>
    <w:p>
      <w:pPr>
        <w:pStyle w:val="ListParagraph"/>
        <w:numPr>
          <w:ilvl w:val="0"/>
          <w:numId w:val="3"/>
        </w:numPr>
        <w:spacing w:after="70" w:line="272" w:lineRule="auto"/>
        <w:jc w:val="left"/>
      </w:pPr>
      <w:r>
        <w:t xml:space="preserve">Signalling. Investors, partners and customers read a portfolio as evidence of technical capability.</w:t>
      </w:r>
    </w:p>
    <w:p>
      <w:pPr>
        <w:keepNext w:val="false"/>
        <w:spacing w:after="140" w:line="280" w:lineRule="auto"/>
        <w:jc w:val="both"/>
      </w:pPr>
      <w:r>
        <w:rPr>
          <w:b/>
          <w:bCs/>
        </w:rPr>
        <w:t xml:space="preserve">Conclusion. </w:t>
      </w:r>
      <w:r>
        <w:t xml:space="preserve">The statement is too wide. The correct test is not whether a patent has been asserted but whether the holder can name a function it performs — exclusion, revenue, freedom to operate, blocking or signalling. If a function can be named, the patent is doing work even in silence. If no function can be named, it should be pruned. On the audit facts, most of Bharat's 250 unused patents will fail that test, but not all of them, and a flat cut would remove the ones that pass.</w:t>
      </w:r>
    </w:p>
    <w:p>
      <w:pPr>
        <w:pStyle w:val="Heading2"/>
        <w:keepNext/>
        <w:spacing w:after="120" w:before="300"/>
      </w:pPr>
      <w:r>
        <w:t xml:space="preserve">2.  Kindly provide five differentiating points between “IP Strategy” and “IP Management”.  [5]</w:t>
      </w:r>
    </w:p>
    <w:p>
      <w:pPr>
        <w:keepNext/>
        <w:spacing w:after="100" w:before="18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IP Strategy</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IP Management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Level</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Administration — board, chief executive, director or dean</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Execution — the IP manager, IP cell or technology transfer office</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Nature of decision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Governance and policy: which rights should exist at all, and why</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Implementation: how the rights we already hold are used, priced, renewed and defended</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Time horizon</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Long. Anticipates the market ten to twenty years ahead</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Short and medium. Delivers objectives and milestones within the present plan</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Relation to risk</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Decides where risk will be taken and how much capital is committed</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Assesses risk step by step and optimises resources within a fixed budget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Output</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Sector choices, capital allocation, decisions to enter or leave a technology field</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Filing decisions, claim structure, territory, licences, renewals, audits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Direction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Flows down from business strategy and constrains IP management</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Flows down from IP strategy. It never leads — a portfolio that is excellent in law but wrong for the business is a managed failure</w:t>
            </w:r>
          </w:p>
        </w:tc>
      </w:tr>
    </w:tbl>
    <w:p>
      <w:pPr>
        <w:pStyle w:val="Heading2"/>
        <w:keepNext/>
        <w:spacing w:after="120" w:before="300"/>
      </w:pPr>
      <w:r>
        <w:t xml:space="preserve">3.  Explain with example — Introduction to Intellectual Property Management. Limit your answer to 10 points with example.  [5]</w:t>
      </w:r>
    </w:p>
    <w:p>
      <w:pPr>
        <w:keepNext/>
        <w:spacing w:after="100" w:before="180"/>
      </w:pPr>
      <w:r>
        <w:rPr>
          <w:rFonts w:ascii="Calibri" w:cs="Calibri" w:eastAsia="Calibri" w:hAnsi="Calibri"/>
          <w:b/>
          <w:bCs/>
          <w:color w:val="8A5A10"/>
          <w:sz w:val="21"/>
          <w:szCs w:val="21"/>
        </w:rPr>
        <w:t xml:space="preserve">Answer</w:t>
      </w:r>
    </w:p>
    <w:p>
      <w:pPr>
        <w:pStyle w:val="ListParagraph"/>
        <w:numPr>
          <w:ilvl w:val="0"/>
          <w:numId w:val="7"/>
        </w:numPr>
        <w:spacing w:after="70" w:line="272" w:lineRule="auto"/>
        <w:jc w:val="left"/>
      </w:pPr>
      <w:r>
        <w:rPr>
          <w:b/>
          <w:bCs/>
        </w:rPr>
        <w:t xml:space="preserve">Definition. </w:t>
      </w:r>
      <w:r>
        <w:t xml:space="preserve">IP management is the planned use of an organisation's intellectual property to create value. It combines technology, law and business.</w:t>
      </w:r>
    </w:p>
    <w:p>
      <w:pPr>
        <w:pStyle w:val="ListParagraph"/>
        <w:numPr>
          <w:ilvl w:val="0"/>
          <w:numId w:val="7"/>
        </w:numPr>
        <w:spacing w:after="70" w:line="272" w:lineRule="auto"/>
        <w:jc w:val="left"/>
      </w:pPr>
      <w:r>
        <w:rPr>
          <w:b/>
          <w:bCs/>
        </w:rPr>
        <w:t xml:space="preserve">It differs from IP law practice. </w:t>
      </w:r>
      <w:r>
        <w:t xml:space="preserve">A lawyer asks whether a claim is valid; a manager asks whether the claim is worth the annuity that will be paid on it for nineteen more years.</w:t>
      </w:r>
    </w:p>
    <w:p>
      <w:pPr>
        <w:pStyle w:val="ListParagraph"/>
        <w:numPr>
          <w:ilvl w:val="0"/>
          <w:numId w:val="7"/>
        </w:numPr>
        <w:spacing w:after="70" w:line="272" w:lineRule="auto"/>
        <w:jc w:val="left"/>
      </w:pPr>
      <w:r>
        <w:rPr>
          <w:b/>
          <w:bCs/>
        </w:rPr>
        <w:t xml:space="preserve">It differs from IP administration. </w:t>
      </w:r>
      <w:r>
        <w:t xml:space="preserve">Administration is docketing, renewals and records. Management is deciding what the portfolio is for.</w:t>
      </w:r>
    </w:p>
    <w:p>
      <w:pPr>
        <w:pStyle w:val="ListParagraph"/>
        <w:numPr>
          <w:ilvl w:val="0"/>
          <w:numId w:val="7"/>
        </w:numPr>
        <w:spacing w:after="70" w:line="272" w:lineRule="auto"/>
        <w:jc w:val="left"/>
      </w:pPr>
      <w:r>
        <w:rPr>
          <w:b/>
          <w:bCs/>
        </w:rPr>
        <w:t xml:space="preserve">Management versus administration. </w:t>
      </w:r>
      <w:r>
        <w:t xml:space="preserve">Administration governs, sets policy and looks ten to twenty years ahead. Management implements, meets milestones and optimises resources.</w:t>
      </w:r>
    </w:p>
    <w:p>
      <w:pPr>
        <w:pStyle w:val="ListParagraph"/>
        <w:numPr>
          <w:ilvl w:val="0"/>
          <w:numId w:val="7"/>
        </w:numPr>
        <w:spacing w:after="70" w:line="272" w:lineRule="auto"/>
        <w:jc w:val="left"/>
      </w:pPr>
      <w:r>
        <w:rPr>
          <w:b/>
          <w:bCs/>
        </w:rPr>
        <w:t xml:space="preserve">In IP these become IP strategy and IP management. </w:t>
      </w:r>
      <w:r>
        <w:t xml:space="preserve">The board deciding to enter a new sector is strategy; the department deciding what to file is management.</w:t>
      </w:r>
    </w:p>
    <w:p>
      <w:pPr>
        <w:pStyle w:val="ListParagraph"/>
        <w:numPr>
          <w:ilvl w:val="0"/>
          <w:numId w:val="7"/>
        </w:numPr>
        <w:spacing w:after="70" w:line="272" w:lineRule="auto"/>
        <w:jc w:val="left"/>
      </w:pPr>
      <w:r>
        <w:rPr>
          <w:b/>
          <w:bCs/>
        </w:rPr>
        <w:t xml:space="preserve">The hierarchy runs one way: </w:t>
      </w:r>
      <w:r>
        <w:t xml:space="preserve">business strategy → IP strategy → IP management. IP management never leads.</w:t>
      </w:r>
    </w:p>
    <w:p>
      <w:pPr>
        <w:pStyle w:val="ListParagraph"/>
        <w:numPr>
          <w:ilvl w:val="0"/>
          <w:numId w:val="7"/>
        </w:numPr>
        <w:spacing w:after="70" w:line="272" w:lineRule="auto"/>
        <w:jc w:val="left"/>
      </w:pPr>
      <w:r>
        <w:rPr>
          <w:b/>
          <w:bCs/>
        </w:rPr>
        <w:t xml:space="preserve">Sullivan's responsibilities (1998): </w:t>
      </w:r>
      <w:r>
        <w:t xml:space="preserve">generating IP, portfolio management, valuation, converting intellectual assets into competitive assets, and strategic decision-making.</w:t>
      </w:r>
    </w:p>
    <w:p>
      <w:pPr>
        <w:pStyle w:val="ListParagraph"/>
        <w:numPr>
          <w:ilvl w:val="0"/>
          <w:numId w:val="7"/>
        </w:numPr>
        <w:spacing w:after="70" w:line="272" w:lineRule="auto"/>
        <w:jc w:val="left"/>
      </w:pPr>
      <w:r>
        <w:rPr>
          <w:b/>
          <w:bCs/>
        </w:rPr>
        <w:t xml:space="preserve">The four-stage cycle: </w:t>
      </w:r>
      <w:r>
        <w:t xml:space="preserve">recognise and categorise the IP, brand it, grow and defend it, and value it.</w:t>
      </w:r>
    </w:p>
    <w:p>
      <w:pPr>
        <w:pStyle w:val="ListParagraph"/>
        <w:numPr>
          <w:ilvl w:val="0"/>
          <w:numId w:val="7"/>
        </w:numPr>
        <w:spacing w:after="70" w:line="272" w:lineRule="auto"/>
        <w:jc w:val="left"/>
      </w:pPr>
      <w:r>
        <w:rPr>
          <w:b/>
          <w:bCs/>
        </w:rPr>
        <w:t xml:space="preserve">Why it appeared in the 1980s and 1990s: </w:t>
      </w:r>
      <w:r>
        <w:t xml:space="preserve">the pro-patent era — Bayh–Dole and Diamond v. Chakrabarty in 1980, the CAFC in 1982, TRIPS in 1994 — made patents strong, valuable and global, so portfolios became too large to leave to a filing clerk.</w:t>
      </w:r>
    </w:p>
    <w:p>
      <w:pPr>
        <w:pStyle w:val="ListParagraph"/>
        <w:numPr>
          <w:ilvl w:val="0"/>
          <w:numId w:val="7"/>
        </w:numPr>
        <w:spacing w:after="70" w:line="272" w:lineRule="auto"/>
        <w:jc w:val="left"/>
      </w:pPr>
      <w:r>
        <w:rPr>
          <w:b/>
          <w:bCs/>
        </w:rPr>
        <w:t xml:space="preserve">It fails when any one element is missing: </w:t>
      </w:r>
      <w:r>
        <w:t xml:space="preserve">a good invention with no market, a market position with no protectable right, or a perfect patent with no business plan.</w:t>
      </w:r>
    </w:p>
    <w:p>
      <w:pPr>
        <w:keepNext w:val="false"/>
        <w:spacing w:after="140" w:line="280" w:lineRule="auto"/>
        <w:jc w:val="both"/>
      </w:pPr>
      <w:r>
        <w:rPr>
          <w:b/>
          <w:bCs/>
        </w:rPr>
        <w:t xml:space="preserve">Example. </w:t>
      </w:r>
      <w:r>
        <w:t xml:space="preserve">A board decides to move from electrical engineering into automotive sensing because that sector is growing faster — this is administration exercising IP strategy. The IP department then decides which disclosures to file, in which countries and with what claim structure — this is IP management. The same invention would have been rejected by the filter a year earlier; what changed was the business strategy above it.</w:t>
      </w:r>
    </w:p>
    <w:p>
      <w:pPr>
        <w:pStyle w:val="Heading1"/>
        <w:pageBreakBefore/>
        <w:pBdr>
          <w:bottom w:val="single" w:color="1F3864" w:sz="10" w:space="6"/>
        </w:pBdr>
        <w:spacing w:after="200" w:before="0"/>
      </w:pPr>
      <w:r>
        <w:t xml:space="preserve">Paper 3  —  The State Knowledge-Economy Mission</w:t>
      </w:r>
    </w:p>
    <w:p>
      <w:pPr>
        <w:spacing w:after="100"/>
        <w:jc w:val="center"/>
      </w:pPr>
      <w:r>
        <w:rPr>
          <w:rFonts w:ascii="Calibri" w:cs="Calibri" w:eastAsia="Calibri" w:hAnsi="Calibri"/>
          <w:b/>
          <w:bCs/>
          <w:color w:val="1F3864"/>
          <w:sz w:val="26"/>
          <w:szCs w:val="26"/>
        </w:rPr>
        <w:t xml:space="preserve">Mid-Autumn Semester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520"/>
        <w:gridCol w:w="2520"/>
        <w:gridCol w:w="2520"/>
        <w:gridCol w:w="2520"/>
      </w:tblGrid>
      <w:tr>
        <w:trPr>
          <w:cantSplit/>
        </w:trPr>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Date of Examination: ____ / ____ / 20____</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Session: FN</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Duration: 2 hrs</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Full Marks: 30</w:t>
            </w:r>
          </w:p>
        </w:tc>
      </w:tr>
      <w:tr>
        <w:trPr>
          <w:cantSplit/>
        </w:trPr>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Subject No.: IP61019</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Subject: IPR Management</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Dept.: Rajiv Gandhi School of Intellectual Property Law</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Charts / tables: Not Applicable</w:t>
            </w:r>
          </w:p>
        </w:tc>
      </w:tr>
    </w:tbl>
    <w:p>
      <w:pPr>
        <w:spacing w:after="180" w:before="100"/>
      </w:pPr>
      <w:r>
        <w:rPr>
          <w:i/>
          <w:iCs/>
          <w:color w:val="5A6270"/>
          <w:sz w:val="16"/>
          <w:szCs w:val="16"/>
        </w:rPr>
        <w:t xml:space="preserve">Special Instructions:  1. All questions are compulsory.   2. Numbers on the right side in bracket indicate 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 — Case Study: Pragati State Knowledge Mission</w:t>
            </w:r>
          </w:p>
          <w:p>
            <w:pPr>
              <w:spacing w:after="70" w:line="265"/>
              <w:jc w:val="both"/>
            </w:pPr>
            <w:r>
              <w:rPr>
                <w:sz w:val="18"/>
                <w:szCs w:val="18"/>
              </w:rPr>
              <w:t xml:space="preserve">A State government launches a Knowledge Mission to move its economy away from low-value manufacturing. It funds five research institutes, a skills programme and a broadband expansion. After three years a review committee reports the following.</w:t>
            </w:r>
          </w:p>
          <w:p>
            <w:pPr>
              <w:spacing w:after="70" w:line="265"/>
              <w:jc w:val="both"/>
            </w:pPr>
            <w:r>
              <w:rPr>
                <w:sz w:val="18"/>
                <w:szCs w:val="18"/>
              </w:rPr>
              <w:t xml:space="preserve">(1) The State has excellent engineering graduates, but most of them take jobs with companies headquartered outside India. (2) The institutes have modern laboratories but very few licences and only two spin-out companies. (3) Almost all patents filed in the State are filed by foreign companies protecting their own markets. (4) Industry says university research is unusable because ownership is unclear and enforcement is slow. (5) The Mission has proposed that each institute must file a fixed number of patents every year, and that its funding should depend on meeting that target.</w:t>
            </w:r>
          </w:p>
        </w:tc>
      </w:tr>
    </w:tbl>
    <w:p>
      <w:pPr>
        <w:spacing w:after="160"/>
      </w:pPr>
    </w:p>
    <w:p>
      <w:pPr>
        <w:pStyle w:val="Heading2"/>
        <w:keepNext/>
        <w:spacing w:after="120" w:before="300"/>
      </w:pPr>
      <w:r>
        <w:t xml:space="preserve">1.1  Map the State's intellectual capital and identify where the weakness lies.  [5]</w:t>
      </w:r>
    </w:p>
    <w:p>
      <w:pPr>
        <w:keepNext/>
        <w:spacing w:after="100" w:before="18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300"/>
        <w:gridCol w:w="3400"/>
        <w:gridCol w:w="4380"/>
      </w:tblGrid>
      <w:tr>
        <w:trPr>
          <w:cantSplit/>
          <w:tblHeader/>
        </w:trPr>
        <w:tc>
          <w:tcPr>
            <w:tcW w:type="dxa" w:w="2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Component</w:t>
            </w:r>
          </w:p>
        </w:tc>
        <w:tc>
          <w:tcPr>
            <w:tcW w:type="dxa" w:w="3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Position in the State</w:t>
            </w:r>
          </w:p>
        </w:tc>
        <w:tc>
          <w:tcPr>
            <w:tcW w:type="dxa" w:w="43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Reading</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Human capital</w:t>
            </w:r>
          </w:p>
        </w:tc>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Excellent graduates and researchers (fact 1)</w:t>
            </w:r>
          </w:p>
        </w:tc>
        <w:tc>
          <w:tcPr>
            <w:tcW w:type="dxa" w:w="4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Strong. This is the component India is generally strongest in</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Structural / infrastructure capital</w:t>
            </w:r>
          </w:p>
        </w:tc>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Modern laboratories and broadband (facts 2 and the Mission's own spending)</w:t>
            </w:r>
          </w:p>
        </w:tc>
        <w:tc>
          <w:tcPr>
            <w:tcW w:type="dxa" w:w="4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Strong. The State has bought the infrastructure</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Relational capital</w:t>
            </w:r>
          </w:p>
        </w:tc>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Industry says the research is unusable (fact 4); only two spin-outs (fact 2)</w:t>
            </w:r>
          </w:p>
        </w:tc>
        <w:tc>
          <w:tcPr>
            <w:tcW w:type="dxa" w:w="4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Weak. The networks between institutes and industry are not working</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Innovation capital / potential</w:t>
            </w:r>
          </w:p>
        </w:tc>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Very few licences and spin-outs</w:t>
            </w:r>
          </w:p>
        </w:tc>
        <w:tc>
          <w:tcPr>
            <w:tcW w:type="dxa" w:w="4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Weak, because it is the product of the others acting together</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Cognitive, conative and affective capital</w:t>
            </w:r>
          </w:p>
        </w:tc>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Not measured, but the absence of spin-outs suggests low drive to commercialise</w:t>
            </w:r>
          </w:p>
        </w:tc>
        <w:tc>
          <w:tcPr>
            <w:tcW w:type="dxa" w:w="4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differentiating layer. Everybody has the first three; these three decide whether they convert</w:t>
            </w:r>
          </w:p>
        </w:tc>
      </w:tr>
    </w:tbl>
    <w:p>
      <w:pPr>
        <w:keepNext w:val="false"/>
        <w:spacing w:after="140" w:line="280" w:lineRule="auto"/>
        <w:jc w:val="both"/>
      </w:pPr>
      <w:r>
        <w:rPr>
          <w:b/>
          <w:bCs/>
        </w:rPr>
        <w:t xml:space="preserve">Where the weakness lies.</w:t>
      </w:r>
      <w:r>
        <w:t xml:space="preserve"> Not in creating knowledge but in converting it. Applying the World Bank's four pillars: education and skills are strong, ICT infrastructure is strong, the innovation system is weak at the conversion stage, and the economic incentive and institutional regime is weak because ownership is unclear and enforcement is slow. IP law is exactly that fourth pillar.</w:t>
      </w:r>
    </w:p>
    <w:p>
      <w:pPr>
        <w:keepNext w:val="false"/>
        <w:spacing w:after="140" w:line="280" w:lineRule="auto"/>
        <w:jc w:val="both"/>
      </w:pPr>
      <w:r>
        <w:rPr>
          <w:b/>
          <w:bCs/>
        </w:rPr>
        <w:t xml:space="preserve">Fact 1 and fact 3 are the same fact seen twice.</w:t>
      </w:r>
      <w:r>
        <w:t xml:space="preserve"> Wealth is created where the commercialising business is located. If the graduates work for firms headquartered elsewhere, and if the patents in the State are filed by foreign companies protecting their markets, then the State is supplying human capital to somebody else's balance sheet.</w:t>
      </w:r>
    </w:p>
    <w:p>
      <w:pPr>
        <w:pStyle w:val="Heading2"/>
        <w:keepNext/>
        <w:spacing w:after="120" w:before="300"/>
      </w:pPr>
      <w:r>
        <w:t xml:space="preserve">1.2  Evaluate whether stronger IP rights will by themselves produce faster economic growth in the State.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The case that they will.</w:t>
      </w:r>
    </w:p>
    <w:p>
      <w:pPr>
        <w:pStyle w:val="ListParagraph"/>
        <w:numPr>
          <w:ilvl w:val="0"/>
          <w:numId w:val="3"/>
        </w:numPr>
        <w:spacing w:after="70" w:line="272" w:lineRule="auto"/>
        <w:jc w:val="left"/>
      </w:pPr>
      <w:r>
        <w:t xml:space="preserve">Romer (1990) supplies the mechanism. Ideas are non-rival — one person's use does not consume another's — and only partially excludable, and IP is what supplies the excludability.</w:t>
      </w:r>
    </w:p>
    <w:p>
      <w:pPr>
        <w:pStyle w:val="ListParagraph"/>
        <w:numPr>
          <w:ilvl w:val="0"/>
          <w:numId w:val="3"/>
        </w:numPr>
        <w:spacing w:after="70" w:line="272" w:lineRule="auto"/>
        <w:jc w:val="left"/>
      </w:pPr>
      <w:r>
        <w:t xml:space="preserve">Because a non-rival input can be used at almost no extra cost, perfect competition cannot hold and the market becomes monopolistic competition. Partial excludability then creates the profit that makes private research worthwhile, so growth becomes endogenous instead of an unexplained residual in Solow's accounting.</w:t>
      </w:r>
    </w:p>
    <w:p>
      <w:pPr>
        <w:pStyle w:val="ListParagraph"/>
        <w:numPr>
          <w:ilvl w:val="0"/>
          <w:numId w:val="3"/>
        </w:numPr>
        <w:spacing w:after="70" w:line="272" w:lineRule="auto"/>
        <w:jc w:val="left"/>
      </w:pPr>
      <w:r>
        <w:t xml:space="preserve">Arrow's information paradox (1962) adds a second reason: a buyer cannot value information without seeing it and need not pay once he has, so without a right there is no market for the research at all.</w:t>
      </w:r>
    </w:p>
    <w:p>
      <w:pPr>
        <w:pStyle w:val="ListParagraph"/>
        <w:numPr>
          <w:ilvl w:val="0"/>
          <w:numId w:val="3"/>
        </w:numPr>
        <w:spacing w:after="70" w:line="272" w:lineRule="auto"/>
        <w:jc w:val="left"/>
      </w:pPr>
      <w:r>
        <w:t xml:space="preserve">The empirical support is strong. In the United States, 127 IP-intensive industries accounted for 41% of GDP and 44% of employment on 2019 data.</w:t>
      </w:r>
    </w:p>
    <w:p>
      <w:pPr>
        <w:keepNext w:val="false"/>
        <w:spacing w:after="140" w:line="280" w:lineRule="auto"/>
        <w:jc w:val="both"/>
      </w:pPr>
      <w:r>
        <w:rPr>
          <w:b/>
          <w:bCs/>
        </w:rPr>
        <w:t xml:space="preserve">The case that they will not, by themselves.</w:t>
      </w:r>
    </w:p>
    <w:p>
      <w:pPr>
        <w:pStyle w:val="ListParagraph"/>
        <w:numPr>
          <w:ilvl w:val="0"/>
          <w:numId w:val="3"/>
        </w:numPr>
        <w:spacing w:after="70" w:line="272" w:lineRule="auto"/>
        <w:jc w:val="left"/>
      </w:pPr>
      <w:r>
        <w:t xml:space="preserve">Heller and Eisenberg (1998) show the opposite failure — the anticommons. Too many fragmented overlapping rights mean everyone can block and the resource is underused.</w:t>
      </w:r>
    </w:p>
    <w:p>
      <w:pPr>
        <w:pStyle w:val="ListParagraph"/>
        <w:numPr>
          <w:ilvl w:val="0"/>
          <w:numId w:val="3"/>
        </w:numPr>
        <w:spacing w:after="70" w:line="272" w:lineRule="auto"/>
        <w:jc w:val="left"/>
      </w:pPr>
      <w:r>
        <w:t xml:space="preserve">Boldrin and Levine, Moser and Lerner argue the historical evidence for patents driving innovation is much weaker than the theory assumes.</w:t>
      </w:r>
    </w:p>
    <w:p>
      <w:pPr>
        <w:pStyle w:val="ListParagraph"/>
        <w:numPr>
          <w:ilvl w:val="0"/>
          <w:numId w:val="3"/>
        </w:numPr>
        <w:spacing w:after="70" w:line="272" w:lineRule="auto"/>
        <w:jc w:val="left"/>
      </w:pPr>
      <w:r>
        <w:t xml:space="preserve">Rights address only one of the State's weaknesses. Fact 4 is about clarity of title and speed of enforcement, not about the strength of the right on paper.</w:t>
      </w:r>
    </w:p>
    <w:p>
      <w:pPr>
        <w:pStyle w:val="ListParagraph"/>
        <w:numPr>
          <w:ilvl w:val="0"/>
          <w:numId w:val="3"/>
        </w:numPr>
        <w:spacing w:after="70" w:line="272" w:lineRule="auto"/>
        <w:jc w:val="left"/>
      </w:pPr>
      <w:r>
        <w:t xml:space="preserve">Growth needs diffusion as well as invention. Adoption follows an S-curve, and a technically excellent product can still fail in the market.</w:t>
      </w:r>
    </w:p>
    <w:p>
      <w:pPr>
        <w:pStyle w:val="ListParagraph"/>
        <w:numPr>
          <w:ilvl w:val="0"/>
          <w:numId w:val="3"/>
        </w:numPr>
        <w:spacing w:after="70" w:line="272" w:lineRule="auto"/>
        <w:jc w:val="left"/>
      </w:pPr>
      <w:r>
        <w:t xml:space="preserve">Facts 1 and 3 show the real leak: the value follows the business, not the right. Strengthening rights in the State does not move the business into the State.</w:t>
      </w:r>
    </w:p>
    <w:p>
      <w:pPr>
        <w:keepNext w:val="false"/>
        <w:spacing w:after="140" w:line="280" w:lineRule="auto"/>
        <w:jc w:val="both"/>
      </w:pPr>
      <w:r>
        <w:rPr>
          <w:b/>
          <w:bCs/>
        </w:rPr>
        <w:t xml:space="preserve">Conclusion. </w:t>
      </w:r>
      <w:r>
        <w:t xml:space="preserve">Stronger IP rights are necessary but not sufficient. They raise the incentive to invent; growth requires invention plus diffusion plus a domestic business able to commercialise. The defensible formulation is that IPR determines growth through appropriability, and appropriability must be calibrated rather than simply maximised.</w:t>
      </w:r>
    </w:p>
    <w:p>
      <w:pPr>
        <w:pStyle w:val="Heading2"/>
        <w:keepNext/>
        <w:spacing w:after="120" w:before="300"/>
      </w:pPr>
      <w:r>
        <w:t xml:space="preserve">1.3  Propose measures that would improve both the State's innovation ranking and its real growth.  [5]</w:t>
      </w:r>
    </w:p>
    <w:p>
      <w:pPr>
        <w:keepNext/>
        <w:spacing w:after="100" w:before="180"/>
      </w:pPr>
      <w:r>
        <w:rPr>
          <w:rFonts w:ascii="Calibri" w:cs="Calibri" w:eastAsia="Calibri" w:hAnsi="Calibri"/>
          <w:b/>
          <w:bCs/>
          <w:color w:val="8A5A10"/>
          <w:sz w:val="21"/>
          <w:szCs w:val="21"/>
        </w:rPr>
        <w:t xml:space="preserve">Answer</w:t>
      </w:r>
    </w:p>
    <w:p>
      <w:pPr>
        <w:pStyle w:val="ListParagraph"/>
        <w:numPr>
          <w:ilvl w:val="0"/>
          <w:numId w:val="8"/>
        </w:numPr>
        <w:spacing w:after="70" w:line="272" w:lineRule="auto"/>
        <w:jc w:val="left"/>
      </w:pPr>
      <w:r>
        <w:rPr>
          <w:b/>
          <w:bCs/>
        </w:rPr>
        <w:t xml:space="preserve">One model IP policy for all five institutes, </w:t>
      </w:r>
      <w:r>
        <w:t xml:space="preserve">with a single ownership test based on significant use of institutional resources, and a reassignment clause if the institute declines to file. Answers fact 4.</w:t>
      </w:r>
    </w:p>
    <w:p>
      <w:pPr>
        <w:pStyle w:val="ListParagraph"/>
        <w:numPr>
          <w:ilvl w:val="0"/>
          <w:numId w:val="8"/>
        </w:numPr>
        <w:spacing w:after="70" w:line="272" w:lineRule="auto"/>
        <w:jc w:val="left"/>
      </w:pPr>
      <w:r>
        <w:rPr>
          <w:b/>
          <w:bCs/>
        </w:rPr>
        <w:t xml:space="preserve">Professional technology transfer offices, </w:t>
      </w:r>
      <w:r>
        <w:t xml:space="preserve">staffed by trained officers with docketing, landscaping and freedom-to-operate capability, not by a part-time faculty member.</w:t>
      </w:r>
    </w:p>
    <w:p>
      <w:pPr>
        <w:pStyle w:val="ListParagraph"/>
        <w:numPr>
          <w:ilvl w:val="0"/>
          <w:numId w:val="8"/>
        </w:numPr>
        <w:spacing w:after="70" w:line="272" w:lineRule="auto"/>
        <w:jc w:val="left"/>
      </w:pPr>
      <w:r>
        <w:rPr>
          <w:b/>
          <w:bCs/>
        </w:rPr>
        <w:t xml:space="preserve">A fixed revenue-sharing model </w:t>
      </w:r>
      <w:r>
        <w:t xml:space="preserve">— for example 70:30 of net income to the inventor — continuing after the inventor leaves, so that reporting an invention is worth doing.</w:t>
      </w:r>
    </w:p>
    <w:p>
      <w:pPr>
        <w:pStyle w:val="ListParagraph"/>
        <w:numPr>
          <w:ilvl w:val="0"/>
          <w:numId w:val="8"/>
        </w:numPr>
        <w:spacing w:after="70" w:line="272" w:lineRule="auto"/>
        <w:jc w:val="left"/>
      </w:pPr>
      <w:r>
        <w:rPr>
          <w:b/>
          <w:bCs/>
        </w:rPr>
        <w:t xml:space="preserve">A standard start-up route: </w:t>
      </w:r>
      <w:r>
        <w:t xml:space="preserve">one NOC template, a choice between 1–3% equity and a royalty, and all rights filed in the name of the start-up as a legal person. Answers fact 2.</w:t>
      </w:r>
    </w:p>
    <w:p>
      <w:pPr>
        <w:pStyle w:val="ListParagraph"/>
        <w:numPr>
          <w:ilvl w:val="0"/>
          <w:numId w:val="8"/>
        </w:numPr>
        <w:spacing w:after="70" w:line="272" w:lineRule="auto"/>
        <w:jc w:val="left"/>
      </w:pPr>
      <w:r>
        <w:rPr>
          <w:b/>
          <w:bCs/>
        </w:rPr>
        <w:t xml:space="preserve">Support national-phase costs where a licensee already exists, </w:t>
      </w:r>
      <w:r>
        <w:t xml:space="preserve">since the national phase is where money becomes irreversible and a licensee's market is the only sensible guide to territory.</w:t>
      </w:r>
    </w:p>
    <w:p>
      <w:pPr>
        <w:pStyle w:val="ListParagraph"/>
        <w:numPr>
          <w:ilvl w:val="0"/>
          <w:numId w:val="8"/>
        </w:numPr>
        <w:spacing w:after="70" w:line="272" w:lineRule="auto"/>
        <w:jc w:val="left"/>
      </w:pPr>
      <w:r>
        <w:rPr>
          <w:b/>
          <w:bCs/>
        </w:rPr>
        <w:t xml:space="preserve">Faster enforcement </w:t>
      </w:r>
      <w:r>
        <w:t xml:space="preserve">through specialised benches and time-bound hearings. Slow enforcement makes a right worth less than the paper it is on.</w:t>
      </w:r>
    </w:p>
    <w:p>
      <w:pPr>
        <w:pStyle w:val="ListParagraph"/>
        <w:numPr>
          <w:ilvl w:val="0"/>
          <w:numId w:val="8"/>
        </w:numPr>
        <w:spacing w:after="70" w:line="272" w:lineRule="auto"/>
        <w:jc w:val="left"/>
      </w:pPr>
      <w:r>
        <w:rPr>
          <w:b/>
          <w:bCs/>
        </w:rPr>
        <w:t xml:space="preserve">Public procurement from local spin-outs, </w:t>
      </w:r>
      <w:r>
        <w:t xml:space="preserve">which creates the demand side that no ranking measures.</w:t>
      </w:r>
    </w:p>
    <w:p>
      <w:pPr>
        <w:pStyle w:val="ListParagraph"/>
        <w:numPr>
          <w:ilvl w:val="0"/>
          <w:numId w:val="8"/>
        </w:numPr>
        <w:spacing w:after="70" w:line="272" w:lineRule="auto"/>
        <w:jc w:val="left"/>
      </w:pPr>
      <w:r>
        <w:rPr>
          <w:b/>
          <w:bCs/>
        </w:rPr>
        <w:t xml:space="preserve">Measure conversion, not filings: </w:t>
      </w:r>
      <w:r>
        <w:t xml:space="preserve">licences per grant, products launched, start-ups surviving three years, and licence income per crore of research spend.</w:t>
      </w:r>
    </w:p>
    <w:p>
      <w:pPr>
        <w:pStyle w:val="ListParagraph"/>
        <w:numPr>
          <w:ilvl w:val="0"/>
          <w:numId w:val="8"/>
        </w:numPr>
        <w:spacing w:after="70" w:line="272" w:lineRule="auto"/>
        <w:jc w:val="left"/>
      </w:pPr>
      <w:r>
        <w:rPr>
          <w:b/>
          <w:bCs/>
        </w:rPr>
        <w:t xml:space="preserve">Industry-linked doctoral programmes and sabbaticals, </w:t>
      </w:r>
      <w:r>
        <w:t xml:space="preserve">to build the relational capital that facts 2 and 4 show is missing.</w:t>
      </w:r>
    </w:p>
    <w:p>
      <w:pPr>
        <w:pStyle w:val="ListParagraph"/>
        <w:numPr>
          <w:ilvl w:val="0"/>
          <w:numId w:val="8"/>
        </w:numPr>
        <w:spacing w:after="70" w:line="272" w:lineRule="auto"/>
        <w:jc w:val="left"/>
      </w:pPr>
      <w:r>
        <w:rPr>
          <w:b/>
          <w:bCs/>
        </w:rPr>
        <w:t xml:space="preserve">Retention measures for graduates </w:t>
      </w:r>
      <w:r>
        <w:t xml:space="preserve">— research funding, equity in spin-outs, and career paths — so that human capital converts inside the State rather than outside it.</w:t>
      </w:r>
    </w:p>
    <w:p>
      <w:pPr>
        <w:pStyle w:val="Heading2"/>
        <w:keepNext/>
        <w:spacing w:after="120" w:before="300"/>
      </w:pPr>
      <w:r>
        <w:t xml:space="preserve">1.4  Critically assess the Mission's proposal to fix annual patent-filing targets for each institute (fact 5).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Arguments for the proposal.</w:t>
      </w:r>
    </w:p>
    <w:p>
      <w:pPr>
        <w:pStyle w:val="ListParagraph"/>
        <w:numPr>
          <w:ilvl w:val="0"/>
          <w:numId w:val="3"/>
        </w:numPr>
        <w:spacing w:after="70" w:line="272" w:lineRule="auto"/>
        <w:jc w:val="left"/>
      </w:pPr>
      <w:r>
        <w:t xml:space="preserve">It creates urgency in institutions that currently file very little.</w:t>
      </w:r>
    </w:p>
    <w:p>
      <w:pPr>
        <w:pStyle w:val="ListParagraph"/>
        <w:numPr>
          <w:ilvl w:val="0"/>
          <w:numId w:val="3"/>
        </w:numPr>
        <w:spacing w:after="70" w:line="272" w:lineRule="auto"/>
        <w:jc w:val="left"/>
      </w:pPr>
      <w:r>
        <w:t xml:space="preserve">It builds capability: drafting, prosecution and disclosure systems only develop with volume.</w:t>
      </w:r>
    </w:p>
    <w:p>
      <w:pPr>
        <w:pStyle w:val="ListParagraph"/>
        <w:numPr>
          <w:ilvl w:val="0"/>
          <w:numId w:val="3"/>
        </w:numPr>
        <w:spacing w:after="70" w:line="272" w:lineRule="auto"/>
        <w:jc w:val="left"/>
      </w:pPr>
      <w:r>
        <w:t xml:space="preserve">It shifts a publish-only culture towards protecting results before publishing them.</w:t>
      </w:r>
    </w:p>
    <w:p>
      <w:pPr>
        <w:pStyle w:val="ListParagraph"/>
        <w:numPr>
          <w:ilvl w:val="0"/>
          <w:numId w:val="3"/>
        </w:numPr>
        <w:spacing w:after="70" w:line="272" w:lineRule="auto"/>
        <w:jc w:val="left"/>
      </w:pPr>
      <w:r>
        <w:t xml:space="preserve">Filings are easy to count and to compare, which makes the Mission accountable to the legislature.</w:t>
      </w:r>
    </w:p>
    <w:p>
      <w:pPr>
        <w:keepNext w:val="false"/>
        <w:spacing w:after="140" w:line="280" w:lineRule="auto"/>
        <w:jc w:val="both"/>
      </w:pPr>
      <w:r>
        <w:rPr>
          <w:b/>
          <w:bCs/>
        </w:rPr>
        <w:t xml:space="preserve">Arguments against.</w:t>
      </w:r>
    </w:p>
    <w:p>
      <w:pPr>
        <w:pStyle w:val="ListParagraph"/>
        <w:numPr>
          <w:ilvl w:val="0"/>
          <w:numId w:val="3"/>
        </w:numPr>
        <w:spacing w:after="70" w:line="272" w:lineRule="auto"/>
        <w:jc w:val="left"/>
      </w:pPr>
      <w:r>
        <w:t xml:space="preserve">Goodhart's law: when a measure becomes a target it stops being a good measure. An institute rewarded for filings will file weak applications.</w:t>
      </w:r>
    </w:p>
    <w:p>
      <w:pPr>
        <w:pStyle w:val="ListParagraph"/>
        <w:numPr>
          <w:ilvl w:val="0"/>
          <w:numId w:val="3"/>
        </w:numPr>
        <w:spacing w:after="70" w:line="272" w:lineRule="auto"/>
        <w:jc w:val="left"/>
      </w:pPr>
      <w:r>
        <w:t xml:space="preserve">Value is lognormal — the top 10% of a portfolio holds 80–85% of its value — so counts do not track worth.</w:t>
      </w:r>
    </w:p>
    <w:p>
      <w:pPr>
        <w:pStyle w:val="ListParagraph"/>
        <w:numPr>
          <w:ilvl w:val="0"/>
          <w:numId w:val="3"/>
        </w:numPr>
        <w:spacing w:after="70" w:line="272" w:lineRule="auto"/>
        <w:jc w:val="left"/>
      </w:pPr>
      <w:r>
        <w:t xml:space="preserve">Every filing creates a liability. Annuities are payable every year in every country for up to 20 years out of the same research budget.</w:t>
      </w:r>
    </w:p>
    <w:p>
      <w:pPr>
        <w:pStyle w:val="ListParagraph"/>
        <w:numPr>
          <w:ilvl w:val="0"/>
          <w:numId w:val="3"/>
        </w:numPr>
        <w:spacing w:after="70" w:line="272" w:lineRule="auto"/>
        <w:jc w:val="left"/>
      </w:pPr>
      <w:r>
        <w:t xml:space="preserve">The market prices quality, not quantity. Hall, Jaffe and Trajtenberg found an extra citation per patent adds about 3% to market value.</w:t>
      </w:r>
    </w:p>
    <w:p>
      <w:pPr>
        <w:pStyle w:val="ListParagraph"/>
        <w:numPr>
          <w:ilvl w:val="0"/>
          <w:numId w:val="3"/>
        </w:numPr>
        <w:spacing w:after="70" w:line="272" w:lineRule="auto"/>
        <w:jc w:val="left"/>
      </w:pPr>
      <w:r>
        <w:t xml:space="preserve">It attacks the wrong constraint. The review shows the problem is conversion (facts 2 and 4), not a shortage of filings.</w:t>
      </w:r>
    </w:p>
    <w:p>
      <w:pPr>
        <w:keepNext w:val="false"/>
        <w:spacing w:after="140" w:line="280" w:lineRule="auto"/>
        <w:jc w:val="both"/>
      </w:pPr>
      <w:r>
        <w:rPr>
          <w:b/>
          <w:bCs/>
        </w:rPr>
        <w:t xml:space="preserve">Conclusion. </w:t>
      </w:r>
      <w:r>
        <w:t xml:space="preserve">The proposal should be modified rather than rejected. Set targets for invention disclosures, which measures whether researchers are reporting what they create, and for conversion — licences, products and surviving start-ups. Report filings as information, but do not fund against them. A target on filings buys a better ranking and a worse portfolio.</w:t>
      </w:r>
    </w:p>
    <w:p>
      <w:pPr>
        <w:pStyle w:val="Heading2"/>
        <w:keepNext/>
        <w:spacing w:after="120" w:before="300"/>
      </w:pPr>
      <w:r>
        <w:t xml:space="preserve">2.  Kindly provide five differentiating points between “Intangible Assets” and “Intellectual Capital”.  [5]</w:t>
      </w:r>
    </w:p>
    <w:p>
      <w:pPr>
        <w:keepNext/>
        <w:spacing w:after="100" w:before="18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Intangible Assets</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Intellectual Capital</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Scope</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widest category — everything of value without physical form, including goodwill, reputation and customer relationships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knowledge-based part of that category only</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Relationship</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parent set. Every item of intellectual capital is an intangible asset</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 subset. Not every intangible asset is intellectual capital — goodwill on an acquisition is not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Composition</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May include purchased items such as an acquired brand or acquired goodwill</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Human capital, structural capital, relational capital, innovation potential, and the cognitive, conative and affective dimensions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Accounting treatment</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Partly recognisable under IAS 38 where acquired and identifiable</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Largely unrecognisable when internally generated, which is why it hides in the gap between market value and book value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Measurement</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Measured at cost or fair value where recognised</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Measured by proxy frameworks — Skandia Navigator, Tobin's q, Intangible Assets Monitor, VAIC</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Management concern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Asset accounting and disclosure</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Creating the conditions in which knowledge converts into output</w:t>
            </w:r>
          </w:p>
        </w:tc>
      </w:tr>
    </w:tbl>
    <w:p>
      <w:pPr>
        <w:pStyle w:val="Heading2"/>
        <w:keepNext/>
        <w:spacing w:after="120" w:before="300"/>
      </w:pPr>
      <w:r>
        <w:t xml:space="preserve">3.  Explain with example — Ideas and IPR in the determination of economic growth. Limit your answer to 10 points with example.  [5]</w:t>
      </w:r>
    </w:p>
    <w:p>
      <w:pPr>
        <w:keepNext/>
        <w:spacing w:after="100" w:before="180"/>
      </w:pPr>
      <w:r>
        <w:rPr>
          <w:rFonts w:ascii="Calibri" w:cs="Calibri" w:eastAsia="Calibri" w:hAnsi="Calibri"/>
          <w:b/>
          <w:bCs/>
          <w:color w:val="8A5A10"/>
          <w:sz w:val="21"/>
          <w:szCs w:val="21"/>
        </w:rPr>
        <w:t xml:space="preserve">Answer</w:t>
      </w:r>
    </w:p>
    <w:p>
      <w:pPr>
        <w:pStyle w:val="ListParagraph"/>
        <w:numPr>
          <w:ilvl w:val="0"/>
          <w:numId w:val="9"/>
        </w:numPr>
        <w:spacing w:after="70" w:line="272" w:lineRule="auto"/>
        <w:jc w:val="left"/>
      </w:pPr>
      <w:r>
        <w:rPr>
          <w:b/>
          <w:bCs/>
        </w:rPr>
        <w:t xml:space="preserve">Ideas are the starting point of the innovation system. </w:t>
      </w:r>
      <w:r>
        <w:t xml:space="preserve">The chain runs data → information → knowledge → idea → intellectual product.</w:t>
      </w:r>
    </w:p>
    <w:p>
      <w:pPr>
        <w:pStyle w:val="ListParagraph"/>
        <w:numPr>
          <w:ilvl w:val="0"/>
          <w:numId w:val="9"/>
        </w:numPr>
        <w:spacing w:after="70" w:line="272" w:lineRule="auto"/>
        <w:jc w:val="left"/>
      </w:pPr>
      <w:r>
        <w:rPr>
          <w:b/>
          <w:bCs/>
        </w:rPr>
        <w:t xml:space="preserve">The canonical source is Paul Romer, </w:t>
      </w:r>
      <w:r>
        <w:t xml:space="preserve">“Endogenous Technological Change”, Journal of Political Economy, 1990.</w:t>
      </w:r>
    </w:p>
    <w:p>
      <w:pPr>
        <w:pStyle w:val="ListParagraph"/>
        <w:numPr>
          <w:ilvl w:val="0"/>
          <w:numId w:val="9"/>
        </w:numPr>
        <w:spacing w:after="70" w:line="272" w:lineRule="auto"/>
        <w:jc w:val="left"/>
      </w:pPr>
      <w:r>
        <w:rPr>
          <w:b/>
          <w:bCs/>
        </w:rPr>
        <w:t xml:space="preserve">Ideas are non-rival. </w:t>
      </w:r>
      <w:r>
        <w:t xml:space="preserve">My use of a design does not consume your use. Any number of people can use the same idea at once at almost no extra cost.</w:t>
      </w:r>
    </w:p>
    <w:p>
      <w:pPr>
        <w:pStyle w:val="ListParagraph"/>
        <w:numPr>
          <w:ilvl w:val="0"/>
          <w:numId w:val="9"/>
        </w:numPr>
        <w:spacing w:after="70" w:line="272" w:lineRule="auto"/>
        <w:jc w:val="left"/>
      </w:pPr>
      <w:r>
        <w:rPr>
          <w:b/>
          <w:bCs/>
        </w:rPr>
        <w:t xml:space="preserve">Ideas are only partially excludable. </w:t>
      </w:r>
      <w:r>
        <w:t xml:space="preserve">Others can be kept out, but imperfectly — and intellectual property is what supplies the excludability.</w:t>
      </w:r>
    </w:p>
    <w:p>
      <w:pPr>
        <w:pStyle w:val="ListParagraph"/>
        <w:numPr>
          <w:ilvl w:val="0"/>
          <w:numId w:val="9"/>
        </w:numPr>
        <w:spacing w:after="70" w:line="272" w:lineRule="auto"/>
        <w:jc w:val="left"/>
      </w:pPr>
      <w:r>
        <w:rPr>
          <w:b/>
          <w:bCs/>
        </w:rPr>
        <w:t xml:space="preserve">A non-rival input makes the economy non-convex, </w:t>
      </w:r>
      <w:r>
        <w:t xml:space="preserve">so price-taking perfect competition cannot hold. The equilibrium is monopolistic competition.</w:t>
      </w:r>
    </w:p>
    <w:p>
      <w:pPr>
        <w:pStyle w:val="ListParagraph"/>
        <w:numPr>
          <w:ilvl w:val="0"/>
          <w:numId w:val="9"/>
        </w:numPr>
        <w:spacing w:after="70" w:line="272" w:lineRule="auto"/>
        <w:jc w:val="left"/>
      </w:pPr>
      <w:r>
        <w:rPr>
          <w:b/>
          <w:bCs/>
        </w:rPr>
        <w:t xml:space="preserve">Partial excludability creates the profit </w:t>
      </w:r>
      <w:r>
        <w:t xml:space="preserve">that makes private, profit-maximising research worth doing.</w:t>
      </w:r>
    </w:p>
    <w:p>
      <w:pPr>
        <w:pStyle w:val="ListParagraph"/>
        <w:numPr>
          <w:ilvl w:val="0"/>
          <w:numId w:val="9"/>
        </w:numPr>
        <w:spacing w:after="70" w:line="272" w:lineRule="auto"/>
        <w:jc w:val="left"/>
      </w:pPr>
      <w:r>
        <w:rPr>
          <w:b/>
          <w:bCs/>
        </w:rPr>
        <w:t xml:space="preserve">Growth therefore becomes endogenous </w:t>
      </w:r>
      <w:r>
        <w:t xml:space="preserve">— generated inside the model by deliberate investment in R&amp;D — instead of appearing as the unexplained residual in Solow's growth accounting.</w:t>
      </w:r>
    </w:p>
    <w:p>
      <w:pPr>
        <w:pStyle w:val="ListParagraph"/>
        <w:numPr>
          <w:ilvl w:val="0"/>
          <w:numId w:val="9"/>
        </w:numPr>
        <w:spacing w:after="70" w:line="272" w:lineRule="auto"/>
        <w:jc w:val="left"/>
      </w:pPr>
      <w:r>
        <w:rPr>
          <w:b/>
          <w:bCs/>
        </w:rPr>
        <w:t xml:space="preserve">Arrow's information paradox (1962) </w:t>
      </w:r>
      <w:r>
        <w:t xml:space="preserve">explains why a market in ideas needs an institution at all: a buyer cannot value information without seeing it, and once he has seen it he need not pay.</w:t>
      </w:r>
    </w:p>
    <w:p>
      <w:pPr>
        <w:pStyle w:val="ListParagraph"/>
        <w:numPr>
          <w:ilvl w:val="0"/>
          <w:numId w:val="9"/>
        </w:numPr>
        <w:spacing w:after="70" w:line="272" w:lineRule="auto"/>
        <w:jc w:val="left"/>
      </w:pPr>
      <w:r>
        <w:rPr>
          <w:b/>
          <w:bCs/>
        </w:rPr>
        <w:t xml:space="preserve">The patent bargain answers this </w:t>
      </w:r>
      <w:r>
        <w:t xml:space="preserve">by giving full disclosure in exchange for a time-limited right to exclude, serving two incentives — the incentive to invent and the incentive to disclose.</w:t>
      </w:r>
    </w:p>
    <w:p>
      <w:pPr>
        <w:pStyle w:val="ListParagraph"/>
        <w:numPr>
          <w:ilvl w:val="0"/>
          <w:numId w:val="9"/>
        </w:numPr>
        <w:spacing w:after="70" w:line="272" w:lineRule="auto"/>
        <w:jc w:val="left"/>
      </w:pPr>
      <w:r>
        <w:rPr>
          <w:b/>
          <w:bCs/>
        </w:rPr>
        <w:t xml:space="preserve">The relationship is contested, not automatic. </w:t>
      </w:r>
      <w:r>
        <w:t xml:space="preserve">Kitch's prospect theory (1977) supports strong early rights; Heller and Eisenberg's anticommons (1998) shows that too many fragmented rights cause underuse; and growth also needs diffusion along the S-curve, not only invention.</w:t>
      </w:r>
    </w:p>
    <w:p>
      <w:pPr>
        <w:keepNext w:val="false"/>
        <w:spacing w:after="140" w:line="280" w:lineRule="auto"/>
        <w:jc w:val="both"/>
      </w:pPr>
      <w:r>
        <w:rPr>
          <w:b/>
          <w:bCs/>
        </w:rPr>
        <w:t xml:space="preserve">Example. </w:t>
      </w:r>
      <w:r>
        <w:t xml:space="preserve">In the United States, 127 IP-intensive industries accounted for USD 7.8 trillion, or 41% of GDP, and 44% of employment on 2019 data (USPTO, 2022). The earlier study using 2010 data had put employment at 27.7%, so the contribution has grown as the economy became more knowledge-based. The contrast is a State like the one in this case study, where the graduates and the laboratories exist but the patents are filed by foreign firms — showing that it is the appropriation of ideas by a domestic business, not the production of ideas alone, that converts into growth.</w:t>
      </w:r>
    </w:p>
    <w:p>
      <w:pPr>
        <w:pStyle w:val="Heading1"/>
        <w:pageBreakBefore/>
        <w:pBdr>
          <w:bottom w:val="single" w:color="1F3864" w:sz="10" w:space="6"/>
        </w:pBdr>
        <w:spacing w:after="200" w:before="0"/>
      </w:pPr>
      <w:r>
        <w:t xml:space="preserve">Paper 4  —  Brand, Domain Names and Digital Assets</w:t>
      </w:r>
    </w:p>
    <w:p>
      <w:pPr>
        <w:spacing w:after="100"/>
        <w:jc w:val="center"/>
      </w:pPr>
      <w:r>
        <w:rPr>
          <w:rFonts w:ascii="Calibri" w:cs="Calibri" w:eastAsia="Calibri" w:hAnsi="Calibri"/>
          <w:b/>
          <w:bCs/>
          <w:color w:val="1F3864"/>
          <w:sz w:val="26"/>
          <w:szCs w:val="26"/>
        </w:rPr>
        <w:t xml:space="preserve">Mid-Autumn Semester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520"/>
        <w:gridCol w:w="2520"/>
        <w:gridCol w:w="2520"/>
        <w:gridCol w:w="2520"/>
      </w:tblGrid>
      <w:tr>
        <w:trPr>
          <w:cantSplit/>
        </w:trPr>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Date of Examination: ____ / ____ / 20____</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Session: FN</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Duration: 2 hrs</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Full Marks: 30</w:t>
            </w:r>
          </w:p>
        </w:tc>
      </w:tr>
      <w:tr>
        <w:trPr>
          <w:cantSplit/>
        </w:trPr>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Subject No.: IP61019</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Subject: IPR Management</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Dept.: Rajiv Gandhi School of Intellectual Property Law</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Charts / tables: Not Applicable</w:t>
            </w:r>
          </w:p>
        </w:tc>
      </w:tr>
    </w:tbl>
    <w:p>
      <w:pPr>
        <w:spacing w:after="180" w:before="100"/>
      </w:pPr>
      <w:r>
        <w:rPr>
          <w:i/>
          <w:iCs/>
          <w:color w:val="5A6270"/>
          <w:sz w:val="16"/>
          <w:szCs w:val="16"/>
        </w:rPr>
        <w:t xml:space="preserve">Special Instructions:  1. All questions are compulsory.   2. Numbers on the right side in bracket indicate 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 — Case Study: Anaaj Foods Pvt. Ltd.</w:t>
            </w:r>
          </w:p>
          <w:p>
            <w:pPr>
              <w:spacing w:after="70" w:line="265"/>
              <w:jc w:val="both"/>
            </w:pPr>
            <w:r>
              <w:rPr>
                <w:sz w:val="18"/>
                <w:szCs w:val="18"/>
              </w:rPr>
              <w:t xml:space="preserve">Anaaj Foods is an Indian packaged-foods company. It registered the trademark ANAAJ in classes 29 and 30 in 2021 and has built substantial goodwill. In 2024 it decided to sell directly online and discovered the following.</w:t>
            </w:r>
          </w:p>
          <w:p>
            <w:pPr>
              <w:spacing w:after="70" w:line="265"/>
              <w:jc w:val="both"/>
            </w:pPr>
            <w:r>
              <w:rPr>
                <w:sz w:val="18"/>
                <w:szCs w:val="18"/>
              </w:rPr>
              <w:t xml:space="preserve">(1) The domain anaaj.com was registered in 2017 by a person in Canada who runs a small food blog on it, and who has now started selling recipe e-books through the site. (2) The domain anaaj.in was registered in 2023 by a former distributor, who has offered to sell it to the company for a large sum and who has also registered anaajfoods.in and anajj.in, both showing only advertisements. (3) A company in Singapore lawfully uses ANAAJ for agricultural machinery. (4) The marketing team used photographs found online under a CC BY-NC-SA licence in a paid advertising campaign. (5) The Board believes that owning the trademark means it automatically owns every use of the word ANAAJ anywhere in the world.</w:t>
            </w:r>
          </w:p>
        </w:tc>
      </w:tr>
    </w:tbl>
    <w:p>
      <w:pPr>
        <w:spacing w:after="160"/>
      </w:pPr>
    </w:p>
    <w:p>
      <w:pPr>
        <w:pStyle w:val="Heading2"/>
        <w:keepNext/>
        <w:spacing w:after="120" w:before="300"/>
      </w:pPr>
      <w:r>
        <w:t xml:space="preserve">1.1  Map the conflicts in the facts and explain why the collision between trademark rights and domain names is structural, not accidental.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Why the collision is structural.</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Trademark</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Domain name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Function</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Identifies the source of goods or services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Identifies an address on the internet</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Geography</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Territorial — rights stop at the border</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Global — reachable from anywhere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Exclusivity</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Class-based; the same mark can coexist for different goods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Absolute — one string, one registrant, worldwide</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Acquisition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Registration plus use, after examination and publication for opposition</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Availability alone; first come, first served, no examination</w:t>
            </w:r>
          </w:p>
        </w:tc>
      </w:tr>
    </w:tbl>
    <w:p>
      <w:pPr>
        <w:keepNext w:val="false"/>
        <w:spacing w:after="140" w:line="280" w:lineRule="auto"/>
        <w:jc w:val="both"/>
      </w:pPr>
      <w:r>
        <w:t xml:space="preserve">A territorial, class-based legal concept has been forced onto a global, first-come-first-served technical system. Three parties then point at the same word and each is telling the truth: the trademark owner has legal rights in the name, the registrant registered the address first, and the internet user associates the domain with the brand.</w:t>
      </w:r>
    </w:p>
    <w:p>
      <w:pPr>
        <w:keepNext w:val="false"/>
        <w:spacing w:after="140" w:line="280" w:lineRule="auto"/>
        <w:jc w:val="both"/>
      </w:pPr>
      <w:r>
        <w:rPr>
          <w:b/>
          <w:bCs/>
        </w:rPr>
        <w:t xml:space="preserve">The conflicts in these facts.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500"/>
        <w:gridCol w:w="4200"/>
        <w:gridCol w:w="4380"/>
      </w:tblGrid>
      <w:tr>
        <w:trPr>
          <w:cantSplit/>
          <w:tblHeader/>
        </w:trPr>
        <w:tc>
          <w:tcPr>
            <w:tcW w:type="dxa" w:w="15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Fact</w:t>
            </w:r>
          </w:p>
        </w:tc>
        <w:tc>
          <w:tcPr>
            <w:tcW w:type="dxa" w:w="42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The issue</w:t>
            </w:r>
          </w:p>
        </w:tc>
        <w:tc>
          <w:tcPr>
            <w:tcW w:type="dxa" w:w="43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Category</w:t>
            </w:r>
          </w:p>
        </w:tc>
      </w:tr>
      <w:tr>
        <w:trPr>
          <w:cantSplit/>
        </w:trPr>
        <w:tc>
          <w:tcPr>
            <w:tcW w:type="dxa" w:w="15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(1) anaaj.com, 2017</w:t>
            </w:r>
          </w:p>
        </w:tc>
        <w:tc>
          <w:tcPr>
            <w:tcW w:type="dxa" w:w="4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Registered three years before the trademark existed, in good faith, for an unrelated blog, and commercialised only later</w:t>
            </w:r>
          </w:p>
        </w:tc>
        <w:tc>
          <w:tcPr>
            <w:tcW w:type="dxa" w:w="4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Priority in time against priority in right. This is not cybersquatting</w:t>
            </w:r>
          </w:p>
        </w:tc>
      </w:tr>
      <w:tr>
        <w:trPr>
          <w:cantSplit/>
        </w:trPr>
        <w:tc>
          <w:tcPr>
            <w:tcW w:type="dxa" w:w="15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(2) anaaj.in</w:t>
            </w:r>
          </w:p>
        </w:tc>
        <w:tc>
          <w:tcPr>
            <w:tcW w:type="dxa" w:w="4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Registered by a former distributor after the mark was well known and offered back for a large sum</w:t>
            </w:r>
          </w:p>
        </w:tc>
        <w:tc>
          <w:tcPr>
            <w:tcW w:type="dxa" w:w="4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Cybersquatting — UDRP paragraph 4(b)(i)</w:t>
            </w:r>
          </w:p>
        </w:tc>
      </w:tr>
      <w:tr>
        <w:trPr>
          <w:cantSplit/>
        </w:trPr>
        <w:tc>
          <w:tcPr>
            <w:tcW w:type="dxa" w:w="15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(2) anajj.in</w:t>
            </w:r>
          </w:p>
        </w:tc>
        <w:tc>
          <w:tcPr>
            <w:tcW w:type="dxa" w:w="4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 deliberate misspelling catching mistyped traffic</w:t>
            </w:r>
          </w:p>
        </w:tc>
        <w:tc>
          <w:tcPr>
            <w:tcW w:type="dxa" w:w="4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Typosquatting</w:t>
            </w:r>
          </w:p>
        </w:tc>
      </w:tr>
      <w:tr>
        <w:trPr>
          <w:cantSplit/>
        </w:trPr>
        <w:tc>
          <w:tcPr>
            <w:tcW w:type="dxa" w:w="15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(2) anaajfoods.in</w:t>
            </w:r>
          </w:p>
        </w:tc>
        <w:tc>
          <w:tcPr>
            <w:tcW w:type="dxa" w:w="4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Advertisements only, no genuine offering</w:t>
            </w:r>
          </w:p>
        </w:tc>
        <w:tc>
          <w:tcPr>
            <w:tcW w:type="dxa" w:w="4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Domain parking; evidence of no legitimate interest under 4(c)</w:t>
            </w:r>
          </w:p>
        </w:tc>
      </w:tr>
      <w:tr>
        <w:trPr>
          <w:cantSplit/>
        </w:trPr>
        <w:tc>
          <w:tcPr>
            <w:tcW w:type="dxa" w:w="15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(3) ANAAJ in Singapore</w:t>
            </w:r>
          </w:p>
        </w:tc>
        <w:tc>
          <w:tcPr>
            <w:tcW w:type="dxa" w:w="4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Different country, different class, no likelihood of confusion</w:t>
            </w:r>
          </w:p>
        </w:tc>
        <w:tc>
          <w:tcPr>
            <w:tcW w:type="dxa" w:w="4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Lawful coexistence — not a conflict at all</w:t>
            </w:r>
          </w:p>
        </w:tc>
      </w:tr>
      <w:tr>
        <w:trPr>
          <w:cantSplit/>
        </w:trPr>
        <w:tc>
          <w:tcPr>
            <w:tcW w:type="dxa" w:w="15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(4) CC BY-NC-SA photographs</w:t>
            </w:r>
          </w:p>
        </w:tc>
        <w:tc>
          <w:tcPr>
            <w:tcW w:type="dxa" w:w="42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NC prohibits commercial use; SA requires the same licence on derivatives; BY requires attribution</w:t>
            </w:r>
          </w:p>
        </w:tc>
        <w:tc>
          <w:tcPr>
            <w:tcW w:type="dxa" w:w="43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Open-content licence breach, which is infringement</w:t>
            </w:r>
          </w:p>
        </w:tc>
      </w:tr>
      <w:tr>
        <w:trPr>
          <w:cantSplit/>
        </w:trPr>
        <w:tc>
          <w:tcPr>
            <w:tcW w:type="dxa" w:w="15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(5) Board's belief</w:t>
            </w:r>
          </w:p>
        </w:tc>
        <w:tc>
          <w:tcPr>
            <w:tcW w:type="dxa" w:w="42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Wrong in law. Protection = distinctiveness + specific goods or services + likelihood of confusion</w:t>
            </w:r>
          </w:p>
        </w:tc>
        <w:tc>
          <w:tcPr>
            <w:tcW w:type="dxa" w:w="43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Trademark rights are not absolute</w:t>
            </w:r>
          </w:p>
        </w:tc>
      </w:tr>
    </w:tbl>
    <w:p>
      <w:pPr>
        <w:pStyle w:val="Heading2"/>
        <w:keepNext/>
        <w:spacing w:after="120" w:before="300"/>
      </w:pPr>
      <w:r>
        <w:t xml:space="preserve">1.2  Apply the UDRP and the INDRP to facts (1) and (2) and state the likely outcome of each.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t xml:space="preserve">Under paragraph 4(a) of the UDRP the complainant must prove all three elements: (i) the domain is identical or confusingly similar to a mark in which it has rights; (ii) the registrant has no rights or legitimate interests; and (iii) the domain was registered AND is being used in bad faith. The third element is conjunctive. Remedies are transfer or cancellation only — there are no damages. India's INDRP, run by NIXI for .IN domains, is disjunctive: registered OR used in bad faith, so the complainant's burden is lighter.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800"/>
        <w:gridCol w:w="4100"/>
        <w:gridCol w:w="4180"/>
      </w:tblGrid>
      <w:tr>
        <w:trPr>
          <w:cantSplit/>
          <w:tblHeader/>
        </w:trPr>
        <w:tc>
          <w:tcPr>
            <w:tcW w:type="dxa" w:w="18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Element</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anaaj.com — the 2017 blogger</w:t>
            </w:r>
          </w:p>
        </w:tc>
        <w:tc>
          <w:tcPr>
            <w:tcW w:type="dxa" w:w="41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anaaj.in and anajj.in — the former distributor</w:t>
            </w:r>
          </w:p>
        </w:tc>
      </w:tr>
      <w:tr>
        <w:trPr>
          <w:cantSplit/>
        </w:trPr>
        <w:tc>
          <w:tcPr>
            <w:tcW w:type="dxa" w:w="18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Identical or confusingly similar</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Satisfied. The string is identical to the mark</w:t>
            </w:r>
          </w:p>
        </w:tc>
        <w:tc>
          <w:tcPr>
            <w:tcW w:type="dxa" w:w="41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Satisfied. anaaj.in is identical; anajj.in is confusingly similar as a deliberate misspelling</w:t>
            </w:r>
          </w:p>
        </w:tc>
      </w:tr>
      <w:tr>
        <w:trPr>
          <w:cantSplit/>
        </w:trPr>
        <w:tc>
          <w:tcPr>
            <w:tcW w:type="dxa" w:w="18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No rights or legitimate interests</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NOT satisfied. He has run a genuine food blog since 2017 — a bona fide offering long before any notice of the dispute, which is a paragraph 4(c) defence</w:t>
            </w:r>
          </w:p>
        </w:tc>
        <w:tc>
          <w:tcPr>
            <w:tcW w:type="dxa" w:w="41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Satisfied. No bona fide offering, only advertisements, and he is not commonly known by the name</w:t>
            </w:r>
          </w:p>
        </w:tc>
      </w:tr>
      <w:tr>
        <w:trPr>
          <w:cantSplit/>
        </w:trPr>
        <w:tc>
          <w:tcPr>
            <w:tcW w:type="dxa" w:w="18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Bad faith</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FAILS. Bad faith must exist at the time of registration. In 2017 he could not have known of a mark that did not exist until 2021, and later commercial use does not cure the absence of bad-faith registration (WIPO Jurisprudential Overview 3.0)</w:t>
            </w:r>
          </w:p>
        </w:tc>
        <w:tc>
          <w:tcPr>
            <w:tcW w:type="dxa" w:w="41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Satisfied. Registration primarily to sell to the mark owner above out-of-pocket cost is paragraph 4(b)(i), and a pattern of registrations is 4(b)(ii)</w:t>
            </w:r>
          </w:p>
        </w:tc>
      </w:tr>
      <w:tr>
        <w:trPr>
          <w:cantSplit/>
        </w:trPr>
        <w:tc>
          <w:tcPr>
            <w:tcW w:type="dxa" w:w="18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Likely outcome</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complaint fails. Filing it also risks a finding of reverse domain name hijacking</w:t>
            </w:r>
          </w:p>
        </w:tc>
        <w:tc>
          <w:tcPr>
            <w:tcW w:type="dxa" w:w="41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Transfer ordered. Under the INDRP the disjunctive test makes this easier still</w:t>
            </w:r>
          </w:p>
        </w:tc>
      </w:tr>
    </w:tbl>
    <w:p>
      <w:pPr>
        <w:keepNext w:val="false"/>
        <w:spacing w:after="140" w:line="280" w:lineRule="auto"/>
        <w:jc w:val="both"/>
      </w:pPr>
      <w:r>
        <w:rPr>
          <w:b/>
          <w:bCs/>
        </w:rPr>
        <w:t xml:space="preserve">Advice on fact (1). </w:t>
      </w:r>
      <w:r>
        <w:t xml:space="preserve">The UDRP is the wrong forum. The company should either negotiate a purchase, or sue for passing off if the e-book sales actually cause confusion with its food business, because a court can weigh reputation and confusion and can award damages. Note also that the company was careless: when its mark was published for opposition in 2021 the conflict could have been dealt with, and a trademark search never reveals a domain registration, so the register cannot resolve this clash.</w:t>
      </w:r>
    </w:p>
    <w:p>
      <w:pPr>
        <w:keepNext w:val="false"/>
        <w:spacing w:after="140" w:line="280" w:lineRule="auto"/>
        <w:jc w:val="both"/>
      </w:pPr>
      <w:r>
        <w:rPr>
          <w:b/>
          <w:bCs/>
        </w:rPr>
        <w:t xml:space="preserve">Indian authority. </w:t>
      </w:r>
      <w:r>
        <w:t xml:space="preserve">Yahoo! Inc. v. Akash Arora, 1999 PTC (19) 201 (Del) — India's first cybersquatting case; yahooindia.com restrained as passing off, because a domain name is a business identifier entitled to the same protection as a trademark. Satyam Infoway v. Sifynet Solutions, (2004) 6 SCC 145 — the Supreme Court held that although no Indian statute governs domain names, a domain name has the characteristics of a trademark and is protected by passing off, and that the global reach of domain names heightens the likelihood of confusion.</w:t>
      </w:r>
    </w:p>
    <w:p>
      <w:pPr>
        <w:pStyle w:val="Heading2"/>
        <w:keepNext/>
        <w:spacing w:after="120" w:before="300"/>
      </w:pPr>
      <w:r>
        <w:t xml:space="preserve">1.3  Propose an integrated brand, domain and licence-compliance strategy for the company.  [5]</w:t>
      </w:r>
    </w:p>
    <w:p>
      <w:pPr>
        <w:keepNext/>
        <w:spacing w:after="100" w:before="180"/>
      </w:pPr>
      <w:r>
        <w:rPr>
          <w:rFonts w:ascii="Calibri" w:cs="Calibri" w:eastAsia="Calibri" w:hAnsi="Calibri"/>
          <w:b/>
          <w:bCs/>
          <w:color w:val="8A5A10"/>
          <w:sz w:val="21"/>
          <w:szCs w:val="21"/>
        </w:rPr>
        <w:t xml:space="preserve">Answer</w:t>
      </w:r>
    </w:p>
    <w:p>
      <w:pPr>
        <w:pStyle w:val="ListParagraph"/>
        <w:numPr>
          <w:ilvl w:val="0"/>
          <w:numId w:val="10"/>
        </w:numPr>
        <w:spacing w:after="70" w:line="272" w:lineRule="auto"/>
        <w:jc w:val="left"/>
      </w:pPr>
      <w:r>
        <w:rPr>
          <w:b/>
          <w:bCs/>
        </w:rPr>
        <w:t xml:space="preserve">Register the mark and the matching domains together at launch, </w:t>
      </w:r>
      <w:r>
        <w:t xml:space="preserve">never afterwards. Buying a domain later is a purchase from whoever arrived first.</w:t>
      </w:r>
    </w:p>
    <w:p>
      <w:pPr>
        <w:pStyle w:val="ListParagraph"/>
        <w:numPr>
          <w:ilvl w:val="0"/>
          <w:numId w:val="10"/>
        </w:numPr>
        <w:spacing w:after="70" w:line="272" w:lineRule="auto"/>
        <w:jc w:val="left"/>
      </w:pPr>
      <w:r>
        <w:rPr>
          <w:b/>
          <w:bCs/>
        </w:rPr>
        <w:t xml:space="preserve">Register defensively </w:t>
      </w:r>
      <w:r>
        <w:t xml:space="preserve">across .com, .in and .co.in and the obvious misspellings, in every market the company plans to enter.</w:t>
      </w:r>
    </w:p>
    <w:p>
      <w:pPr>
        <w:pStyle w:val="ListParagraph"/>
        <w:numPr>
          <w:ilvl w:val="0"/>
          <w:numId w:val="10"/>
        </w:numPr>
        <w:spacing w:after="70" w:line="272" w:lineRule="auto"/>
        <w:jc w:val="left"/>
      </w:pPr>
      <w:r>
        <w:rPr>
          <w:b/>
          <w:bCs/>
        </w:rPr>
        <w:t xml:space="preserve">Extend the trademark registration to class 35 </w:t>
      </w:r>
      <w:r>
        <w:t xml:space="preserve">for online retail services, because the company is now selling directly.</w:t>
      </w:r>
    </w:p>
    <w:p>
      <w:pPr>
        <w:pStyle w:val="ListParagraph"/>
        <w:numPr>
          <w:ilvl w:val="0"/>
          <w:numId w:val="10"/>
        </w:numPr>
        <w:spacing w:after="70" w:line="272" w:lineRule="auto"/>
        <w:jc w:val="left"/>
      </w:pPr>
      <w:r>
        <w:rPr>
          <w:b/>
          <w:bCs/>
        </w:rPr>
        <w:t xml:space="preserve">Put watch services in place </w:t>
      </w:r>
      <w:r>
        <w:t xml:space="preserve">— a trademark watch for conflicting applications and a domain watch for new registrations containing the mark — so that conflicts are opposed at publication rather than litigated later.</w:t>
      </w:r>
    </w:p>
    <w:p>
      <w:pPr>
        <w:pStyle w:val="ListParagraph"/>
        <w:numPr>
          <w:ilvl w:val="0"/>
          <w:numId w:val="10"/>
        </w:numPr>
        <w:spacing w:after="70" w:line="272" w:lineRule="auto"/>
        <w:jc w:val="left"/>
      </w:pPr>
      <w:r>
        <w:rPr>
          <w:b/>
          <w:bCs/>
        </w:rPr>
        <w:t xml:space="preserve">Hold all domains in the company's name </w:t>
      </w:r>
      <w:r>
        <w:t xml:space="preserve">with registrar lock and centralised renewal. Domains held in an employee's personal account are how companies lose them.</w:t>
      </w:r>
    </w:p>
    <w:p>
      <w:pPr>
        <w:pStyle w:val="ListParagraph"/>
        <w:numPr>
          <w:ilvl w:val="0"/>
          <w:numId w:val="10"/>
        </w:numPr>
        <w:spacing w:after="70" w:line="272" w:lineRule="auto"/>
        <w:jc w:val="left"/>
      </w:pPr>
      <w:r>
        <w:rPr>
          <w:b/>
          <w:bCs/>
        </w:rPr>
        <w:t xml:space="preserve">Use an escalation ladder: </w:t>
      </w:r>
      <w:r>
        <w:t xml:space="preserve">negotiate first; then INDRP or UDRP where transfer is enough; then a civil suit where damages or an injunction is needed.</w:t>
      </w:r>
    </w:p>
    <w:p>
      <w:pPr>
        <w:pStyle w:val="ListParagraph"/>
        <w:numPr>
          <w:ilvl w:val="0"/>
          <w:numId w:val="10"/>
        </w:numPr>
        <w:spacing w:after="70" w:line="272" w:lineRule="auto"/>
        <w:jc w:val="left"/>
      </w:pPr>
      <w:r>
        <w:rPr>
          <w:b/>
          <w:bCs/>
        </w:rPr>
        <w:t xml:space="preserve">Remove the CC BY-NC-SA photographs from the paid campaign at once. </w:t>
      </w:r>
      <w:r>
        <w:t xml:space="preserve">NC forbids commercial use and SA requires the same licence on derivatives. Breaching an open licence is infringement, not a technicality.</w:t>
      </w:r>
    </w:p>
    <w:p>
      <w:pPr>
        <w:pStyle w:val="ListParagraph"/>
        <w:numPr>
          <w:ilvl w:val="0"/>
          <w:numId w:val="10"/>
        </w:numPr>
        <w:spacing w:after="70" w:line="272" w:lineRule="auto"/>
        <w:jc w:val="left"/>
      </w:pPr>
      <w:r>
        <w:rPr>
          <w:b/>
          <w:bCs/>
        </w:rPr>
        <w:t xml:space="preserve">Audit every open licence the company relies on </w:t>
      </w:r>
      <w:r>
        <w:t xml:space="preserve">and adopt a short written policy listing approved licences and requiring legal review before a new one is used.</w:t>
      </w:r>
    </w:p>
    <w:p>
      <w:pPr>
        <w:pStyle w:val="ListParagraph"/>
        <w:numPr>
          <w:ilvl w:val="0"/>
          <w:numId w:val="10"/>
        </w:numPr>
        <w:spacing w:after="70" w:line="272" w:lineRule="auto"/>
        <w:jc w:val="left"/>
      </w:pPr>
      <w:r>
        <w:rPr>
          <w:b/>
          <w:bCs/>
        </w:rPr>
        <w:t xml:space="preserve">Correct the Board's belief in writing: </w:t>
      </w:r>
      <w:r>
        <w:t xml:space="preserve">a registration gives protection only where there is distinctiveness, the same or similar goods or services, and a likelihood of confusion. The Singapore machinery company is lawful and must be left alone.</w:t>
      </w:r>
    </w:p>
    <w:p>
      <w:pPr>
        <w:pStyle w:val="ListParagraph"/>
        <w:numPr>
          <w:ilvl w:val="0"/>
          <w:numId w:val="10"/>
        </w:numPr>
        <w:spacing w:after="70" w:line="272" w:lineRule="auto"/>
        <w:jc w:val="left"/>
      </w:pPr>
      <w:r>
        <w:rPr>
          <w:b/>
          <w:bCs/>
        </w:rPr>
        <w:t xml:space="preserve">Treat domains, data, software, social media handles and digital identities as core IP assets </w:t>
      </w:r>
      <w:r>
        <w:t xml:space="preserve">in the company's IP register, not as IT administration.</w:t>
      </w:r>
    </w:p>
    <w:p>
      <w:pPr>
        <w:pStyle w:val="Heading2"/>
        <w:keepNext/>
        <w:spacing w:after="120" w:before="300"/>
      </w:pPr>
      <w:r>
        <w:t xml:space="preserve">1.4  Critically assess the Board's belief that owning the trademark means owning every use of the word.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Why the Board thinks so.</w:t>
      </w:r>
      <w:r>
        <w:t xml:space="preserve"> A registration is described as an exclusive right, the mark is distinctive, and the company has spent money building goodwill. On the internet the mark does appear to be visible everywhere, which makes territorial limits feel unreal.</w:t>
      </w:r>
    </w:p>
    <w:p>
      <w:pPr>
        <w:keepNext w:val="false"/>
        <w:spacing w:after="140" w:line="280" w:lineRule="auto"/>
        <w:jc w:val="both"/>
      </w:pPr>
      <w:r>
        <w:rPr>
          <w:b/>
          <w:bCs/>
        </w:rPr>
        <w:t xml:space="preserve">Why it is wrong.</w:t>
      </w:r>
    </w:p>
    <w:p>
      <w:pPr>
        <w:pStyle w:val="ListParagraph"/>
        <w:numPr>
          <w:ilvl w:val="0"/>
          <w:numId w:val="11"/>
        </w:numPr>
        <w:spacing w:after="70" w:line="272" w:lineRule="auto"/>
        <w:jc w:val="left"/>
      </w:pPr>
      <w:r>
        <w:rPr>
          <w:b/>
          <w:bCs/>
        </w:rPr>
        <w:t xml:space="preserve">Trademarks are class-based. </w:t>
      </w:r>
      <w:r>
        <w:t xml:space="preserve">Registration in classes 29 and 30 covers food, not agricultural machinery. APPLE is simultaneously a technology company, a fruit seller and a restaurant.</w:t>
      </w:r>
    </w:p>
    <w:p>
      <w:pPr>
        <w:pStyle w:val="ListParagraph"/>
        <w:numPr>
          <w:ilvl w:val="0"/>
          <w:numId w:val="11"/>
        </w:numPr>
        <w:spacing w:after="70" w:line="272" w:lineRule="auto"/>
        <w:jc w:val="left"/>
      </w:pPr>
      <w:r>
        <w:rPr>
          <w:b/>
          <w:bCs/>
        </w:rPr>
        <w:t xml:space="preserve">Trademarks are territorial. </w:t>
      </w:r>
      <w:r>
        <w:t xml:space="preserve">An Indian registration gives no rights in Singapore, so fact (3) is lawful coexistence.</w:t>
      </w:r>
    </w:p>
    <w:p>
      <w:pPr>
        <w:pStyle w:val="ListParagraph"/>
        <w:numPr>
          <w:ilvl w:val="0"/>
          <w:numId w:val="11"/>
        </w:numPr>
        <w:spacing w:after="70" w:line="272" w:lineRule="auto"/>
        <w:jc w:val="left"/>
      </w:pPr>
      <w:r>
        <w:rPr>
          <w:b/>
          <w:bCs/>
        </w:rPr>
        <w:t xml:space="preserve">The test is not the word but the confusion. </w:t>
      </w:r>
      <w:r>
        <w:t xml:space="preserve">Protection = distinctiveness + specific goods or services + likelihood of confusion. Without confusion there is no infringement.</w:t>
      </w:r>
    </w:p>
    <w:p>
      <w:pPr>
        <w:pStyle w:val="ListParagraph"/>
        <w:numPr>
          <w:ilvl w:val="0"/>
          <w:numId w:val="11"/>
        </w:numPr>
        <w:spacing w:after="70" w:line="272" w:lineRule="auto"/>
        <w:jc w:val="left"/>
      </w:pPr>
      <w:r>
        <w:rPr>
          <w:b/>
          <w:bCs/>
        </w:rPr>
        <w:t xml:space="preserve">Trademark law must coexist with ordinary language and non-commercial use, </w:t>
      </w:r>
      <w:r>
        <w:t xml:space="preserve">so a blog using a common word is not automatically an infringement.</w:t>
      </w:r>
    </w:p>
    <w:p>
      <w:pPr>
        <w:pStyle w:val="ListParagraph"/>
        <w:numPr>
          <w:ilvl w:val="0"/>
          <w:numId w:val="11"/>
        </w:numPr>
        <w:spacing w:after="70" w:line="272" w:lineRule="auto"/>
        <w:jc w:val="left"/>
      </w:pPr>
      <w:r>
        <w:rPr>
          <w:b/>
          <w:bCs/>
        </w:rPr>
        <w:t xml:space="preserve">Prior rights survive. </w:t>
      </w:r>
      <w:r>
        <w:t xml:space="preserve">The 2017 domain registration predates the mark, and an earlier good-faith user cannot be dispossessed by a later registrant.</w:t>
      </w:r>
    </w:p>
    <w:p>
      <w:pPr>
        <w:keepNext w:val="false"/>
        <w:spacing w:after="140" w:line="280" w:lineRule="auto"/>
        <w:jc w:val="both"/>
      </w:pPr>
      <w:r>
        <w:rPr>
          <w:b/>
          <w:bCs/>
        </w:rPr>
        <w:t xml:space="preserve">But the Board is not entirely wrong.</w:t>
      </w:r>
      <w:r>
        <w:t xml:space="preserve"> Where the mark is well known and the use is in the same or a closely related field, protection can extend beyond the registered class, and the global reach of a domain name genuinely does increase the likelihood of confusion — which is what the Supreme Court recognised in Satyam Infoway.</w:t>
      </w:r>
    </w:p>
    <w:p>
      <w:pPr>
        <w:keepNext w:val="false"/>
        <w:spacing w:after="140" w:line="280" w:lineRule="auto"/>
        <w:jc w:val="both"/>
      </w:pPr>
      <w:r>
        <w:rPr>
          <w:b/>
          <w:bCs/>
        </w:rPr>
        <w:t xml:space="preserve">Conclusion. </w:t>
      </w:r>
      <w:r>
        <w:t xml:space="preserve">The Board should be advised that a trademark is a right against confusion in a defined field and territory, not ownership of a word. The company's real protection comes from registering widely where it trades, registering the matching domains in advance, and acting quickly where confusion actually arises — not from asserting a monopoly it does not have, which in the case of anaaj.com would expose it to a finding of reverse domain name hijacking.</w:t>
      </w:r>
    </w:p>
    <w:p>
      <w:pPr>
        <w:pStyle w:val="Heading2"/>
        <w:keepNext/>
        <w:spacing w:after="120" w:before="300"/>
      </w:pPr>
      <w:r>
        <w:t xml:space="preserve">2.  Kindly provide five differentiating points between a “Trademark” and a “Domain Name”.  [5]</w:t>
      </w:r>
    </w:p>
    <w:p>
      <w:pPr>
        <w:keepNext/>
        <w:spacing w:after="100" w:before="18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Trademark</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Domain Name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Function</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Identifies the source of goods or services and distinguishes one trader from another</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Identifies an address on the internet — a readable substitute for an IP address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Geographical reach</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Territorial. Rights arise and stop within a jurisdiction, so the same mark may belong to different owners in different countries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Global. One registration is reachable everywhere; the DNS has no borders</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Exclusivity</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Class-based. Identical marks coexist for different goods — APPLE for computers and for fruit</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Absolute. One exact string can have only one registrant in a top-level domain, worldwide</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How it is acquired</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Registration plus use, after substantive examination and publication for opposition. Unregistered rights can arise through use</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Availability alone. First come, first served, on payment, with no examination and no opposition</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Law and remedies</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Trade Marks Act 1999; infringement and passing off; injunctions and damages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Contract with the registrar under ICANN rules; UDRP or INDRP proceedings; only transfer or cancellation, no damages</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Duration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Ten years, renewable indefinitely while used</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Renewed annually or in blocks; lapses immediately on non-renewal and can be taken by anyone</w:t>
            </w:r>
          </w:p>
        </w:tc>
      </w:tr>
    </w:tbl>
    <w:p>
      <w:pPr>
        <w:pStyle w:val="Heading2"/>
        <w:keepNext/>
        <w:spacing w:after="120" w:before="300"/>
      </w:pPr>
      <w:r>
        <w:t xml:space="preserve">3.  Explain with example — In search of a paradigm shift from “Intellectual Property” to “Intellectual Capital”. Limit your answer to 10 points with example.  [5]</w:t>
      </w:r>
    </w:p>
    <w:p>
      <w:pPr>
        <w:keepNext/>
        <w:spacing w:after="100" w:before="180"/>
      </w:pPr>
      <w:r>
        <w:rPr>
          <w:rFonts w:ascii="Calibri" w:cs="Calibri" w:eastAsia="Calibri" w:hAnsi="Calibri"/>
          <w:b/>
          <w:bCs/>
          <w:color w:val="8A5A10"/>
          <w:sz w:val="21"/>
          <w:szCs w:val="21"/>
        </w:rPr>
        <w:t xml:space="preserve">Answer</w:t>
      </w:r>
    </w:p>
    <w:p>
      <w:pPr>
        <w:pStyle w:val="ListParagraph"/>
        <w:numPr>
          <w:ilvl w:val="0"/>
          <w:numId w:val="12"/>
        </w:numPr>
        <w:spacing w:after="70" w:line="272" w:lineRule="auto"/>
        <w:jc w:val="left"/>
      </w:pPr>
      <w:r>
        <w:rPr>
          <w:b/>
          <w:bCs/>
        </w:rPr>
        <w:t xml:space="preserve">Meaning of paradigm. </w:t>
      </w:r>
      <w:r>
        <w:t xml:space="preserve">A paradigm is the standard accepted structure of assumptions and methods. The term in this sense comes from Thomas Kuhn, The Structure of Scientific Revolutions (1962).</w:t>
      </w:r>
    </w:p>
    <w:p>
      <w:pPr>
        <w:pStyle w:val="ListParagraph"/>
        <w:numPr>
          <w:ilvl w:val="0"/>
          <w:numId w:val="12"/>
        </w:numPr>
        <w:spacing w:after="70" w:line="272" w:lineRule="auto"/>
        <w:jc w:val="left"/>
      </w:pPr>
      <w:r>
        <w:rPr>
          <w:b/>
          <w:bCs/>
        </w:rPr>
        <w:t xml:space="preserve">Meaning of paradigm shift. </w:t>
      </w:r>
      <w:r>
        <w:t xml:space="preserve">It occurs when developments challenge those assumptions so deeply that the assumptions themselves are replaced.</w:t>
      </w:r>
    </w:p>
    <w:p>
      <w:pPr>
        <w:pStyle w:val="ListParagraph"/>
        <w:numPr>
          <w:ilvl w:val="0"/>
          <w:numId w:val="12"/>
        </w:numPr>
        <w:spacing w:after="70" w:line="272" w:lineRule="auto"/>
        <w:jc w:val="left"/>
      </w:pPr>
      <w:r>
        <w:rPr>
          <w:b/>
          <w:bCs/>
        </w:rPr>
        <w:t xml:space="preserve">The economy has passed through four stages: </w:t>
      </w:r>
      <w:r>
        <w:t xml:space="preserve">agricultural (land, cattle, seed), industrial (labour and machines), information (data and computing), and intellectual capitalism (knowledge and the rights that fence it).</w:t>
      </w:r>
    </w:p>
    <w:p>
      <w:pPr>
        <w:pStyle w:val="ListParagraph"/>
        <w:numPr>
          <w:ilvl w:val="0"/>
          <w:numId w:val="12"/>
        </w:numPr>
        <w:spacing w:after="70" w:line="272" w:lineRule="auto"/>
        <w:jc w:val="left"/>
      </w:pPr>
      <w:r>
        <w:rPr>
          <w:b/>
          <w:bCs/>
        </w:rPr>
        <w:t xml:space="preserve">Granstrand's term for the present stage is intellectual capitalism </w:t>
      </w:r>
      <w:r>
        <w:t xml:space="preserve">— an economy in which creating intellectual capital and intellectual properties is the heart of value creation, with IP in many firms worth more than physical capital.</w:t>
      </w:r>
    </w:p>
    <w:p>
      <w:pPr>
        <w:pStyle w:val="ListParagraph"/>
        <w:numPr>
          <w:ilvl w:val="0"/>
          <w:numId w:val="12"/>
        </w:numPr>
        <w:spacing w:after="70" w:line="272" w:lineRule="auto"/>
        <w:jc w:val="left"/>
      </w:pPr>
      <w:r>
        <w:rPr>
          <w:b/>
          <w:bCs/>
        </w:rPr>
        <w:t xml:space="preserve">The law did not change. </w:t>
      </w:r>
      <w:r>
        <w:t xml:space="preserve">No statute was amended. What changed is the purpose for which the same right is held.</w:t>
      </w:r>
    </w:p>
    <w:p>
      <w:pPr>
        <w:pStyle w:val="ListParagraph"/>
        <w:numPr>
          <w:ilvl w:val="0"/>
          <w:numId w:val="12"/>
        </w:numPr>
        <w:spacing w:after="70" w:line="272" w:lineRule="auto"/>
        <w:jc w:val="left"/>
      </w:pPr>
      <w:r>
        <w:rPr>
          <w:b/>
          <w:bCs/>
        </w:rPr>
        <w:t xml:space="preserve">The old model: </w:t>
      </w:r>
      <w:r>
        <w:t xml:space="preserve">create IP to protect a product sold to consumers. IP is a defensive cost; revenue comes from goods. Business-to-consumer.</w:t>
      </w:r>
    </w:p>
    <w:p>
      <w:pPr>
        <w:pStyle w:val="ListParagraph"/>
        <w:numPr>
          <w:ilvl w:val="0"/>
          <w:numId w:val="12"/>
        </w:numPr>
        <w:spacing w:after="70" w:line="272" w:lineRule="auto"/>
        <w:jc w:val="left"/>
      </w:pPr>
      <w:r>
        <w:rPr>
          <w:b/>
          <w:bCs/>
        </w:rPr>
        <w:t xml:space="preserve">The new model: </w:t>
      </w:r>
      <w:r>
        <w:t xml:space="preserve">create IP in order to licence it. IP is the revenue line itself. Business-to-business.</w:t>
      </w:r>
    </w:p>
    <w:p>
      <w:pPr>
        <w:pStyle w:val="ListParagraph"/>
        <w:numPr>
          <w:ilvl w:val="0"/>
          <w:numId w:val="12"/>
        </w:numPr>
        <w:spacing w:after="70" w:line="272" w:lineRule="auto"/>
        <w:jc w:val="left"/>
      </w:pPr>
      <w:r>
        <w:rPr>
          <w:b/>
          <w:bCs/>
        </w:rPr>
        <w:t xml:space="preserve">A short way to say it: </w:t>
      </w:r>
      <w:r>
        <w:t xml:space="preserve">firms once generated property to protect themselves; now they generate property in order to make property.</w:t>
      </w:r>
    </w:p>
    <w:p>
      <w:pPr>
        <w:pStyle w:val="ListParagraph"/>
        <w:numPr>
          <w:ilvl w:val="0"/>
          <w:numId w:val="12"/>
        </w:numPr>
        <w:spacing w:after="70" w:line="272" w:lineRule="auto"/>
        <w:jc w:val="left"/>
      </w:pPr>
      <w:r>
        <w:rPr>
          <w:b/>
          <w:bCs/>
        </w:rPr>
        <w:t xml:space="preserve">A second consequence is a new kind of owner </w:t>
      </w:r>
      <w:r>
        <w:t xml:space="preserve">— non-practising entities, patent assertion entities, brokers and IP marketplaces, who own rights but make nothing.</w:t>
      </w:r>
    </w:p>
    <w:p>
      <w:pPr>
        <w:pStyle w:val="ListParagraph"/>
        <w:numPr>
          <w:ilvl w:val="0"/>
          <w:numId w:val="12"/>
        </w:numPr>
        <w:spacing w:after="70" w:line="272" w:lineRule="auto"/>
        <w:jc w:val="left"/>
      </w:pPr>
      <w:r>
        <w:rPr>
          <w:b/>
          <w:bCs/>
        </w:rPr>
        <w:t xml:space="preserve">Keep the two meanings of intellectual capital apart: </w:t>
      </w:r>
      <w:r>
        <w:t xml:space="preserve">the innovation sense (the stock of knowledge resources) and the accounting sense (intangible capital in money terms). Also note the heading says “in search of” — the shift is uneven, and most firms still exploit internally rather than by licensing.</w:t>
      </w:r>
    </w:p>
    <w:p>
      <w:pPr>
        <w:keepNext w:val="false"/>
        <w:spacing w:after="140" w:line="280" w:lineRule="auto"/>
        <w:jc w:val="both"/>
      </w:pPr>
      <w:r>
        <w:rPr>
          <w:b/>
          <w:bCs/>
        </w:rPr>
        <w:t xml:space="preserve">Example. </w:t>
      </w:r>
      <w:r>
        <w:t xml:space="preserve">Qualcomm's licensing arm earned about USD 5.3 billion in FY2023 — roughly 15% of revenue but at about 68% pre-tax margin, so it produces far more profit than turnover. IBM's IP and licensing income averaged around USD 1 billion a year after 1996, peaking near USD 1.7 billion in 2000. In both, the patent is not a fence around the product; the patent is the product.</w:t>
      </w:r>
    </w:p>
    <w:p>
      <w:pPr>
        <w:pStyle w:val="Heading1"/>
        <w:pageBreakBefore/>
        <w:pBdr>
          <w:bottom w:val="single" w:color="1F3864" w:sz="10" w:space="6"/>
        </w:pBdr>
        <w:spacing w:after="200" w:before="0"/>
      </w:pPr>
      <w:r>
        <w:t xml:space="preserve">Paper 5  —  Institutional IP Policy</w:t>
      </w:r>
    </w:p>
    <w:p>
      <w:pPr>
        <w:spacing w:after="100"/>
        <w:jc w:val="center"/>
      </w:pPr>
      <w:r>
        <w:rPr>
          <w:rFonts w:ascii="Calibri" w:cs="Calibri" w:eastAsia="Calibri" w:hAnsi="Calibri"/>
          <w:b/>
          <w:bCs/>
          <w:color w:val="1F3864"/>
          <w:sz w:val="26"/>
          <w:szCs w:val="26"/>
        </w:rPr>
        <w:t xml:space="preserve">Mid-Autumn Semester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520"/>
        <w:gridCol w:w="2520"/>
        <w:gridCol w:w="2520"/>
        <w:gridCol w:w="2520"/>
      </w:tblGrid>
      <w:tr>
        <w:trPr>
          <w:cantSplit/>
        </w:trPr>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Date of Examination: ____ / ____ / 20____</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Session: FN</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Duration: 2 hrs</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Full Marks: 30</w:t>
            </w:r>
          </w:p>
        </w:tc>
      </w:tr>
      <w:tr>
        <w:trPr>
          <w:cantSplit/>
        </w:trPr>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Subject No.: IP61019</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Subject: IPR Management</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Dept.: Rajiv Gandhi School of Intellectual Property Law</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Charts / tables: Not Applicable</w:t>
            </w:r>
          </w:p>
        </w:tc>
      </w:tr>
    </w:tbl>
    <w:p>
      <w:pPr>
        <w:spacing w:after="180" w:before="100"/>
      </w:pPr>
      <w:r>
        <w:rPr>
          <w:i/>
          <w:iCs/>
          <w:color w:val="5A6270"/>
          <w:sz w:val="16"/>
          <w:szCs w:val="16"/>
        </w:rPr>
        <w:t xml:space="preserve">Special Instructions:  1. All questions are compulsory.   2. Numbers on the right side in bracket indicate 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 — Case Study: The National Institute of Agricultural Biotechnology</w:t>
            </w:r>
          </w:p>
          <w:p>
            <w:pPr>
              <w:spacing w:after="70" w:line="265"/>
              <w:jc w:val="both"/>
            </w:pPr>
            <w:r>
              <w:rPr>
                <w:sz w:val="18"/>
                <w:szCs w:val="18"/>
              </w:rPr>
              <w:t xml:space="preserve">The National Institute of Agricultural Biotechnology (NIAB) is funded by the government. A team led by Dr Rao has developed a drought-resistant seed trait of national importance. The Institute must now decide how to take it to farmers.</w:t>
            </w:r>
          </w:p>
          <w:p>
            <w:pPr>
              <w:spacing w:after="70" w:line="265"/>
              <w:jc w:val="both"/>
            </w:pPr>
            <w:r>
              <w:rPr>
                <w:sz w:val="18"/>
                <w:szCs w:val="18"/>
              </w:rPr>
              <w:t xml:space="preserve">(1) NIAB has no written IP policy; past inventions were dealt with case by case. (2) A large multinational agribusiness offers a substantial sum for an exclusive worldwide licence; four Indian seed SMEs ask for non-exclusive licences at a low royalty. (3) Dr Rao wants to start his own company and has asked for a no-objection certificate. (4) Two research scholars and one technician also worked on the trait; the technician has since joined a private firm. (5) The Ministry wants the trait deployed in three drought-prone states within two seasons and is worried that the technology should not reach parties who might misuse it. (6) NIAB has filed in India only, although the trait matters across South Asia and Africa.</w:t>
            </w:r>
          </w:p>
        </w:tc>
      </w:tr>
    </w:tbl>
    <w:p>
      <w:pPr>
        <w:spacing w:after="160"/>
      </w:pPr>
    </w:p>
    <w:p>
      <w:pPr>
        <w:pStyle w:val="Heading2"/>
        <w:keepNext/>
        <w:spacing w:after="120" w:before="300"/>
      </w:pPr>
      <w:r>
        <w:t xml:space="preserve">1.1  Identify the objectives, purpose and players in this situation.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Objectives, and the conflict between them.</w:t>
      </w:r>
      <w:r>
        <w:t xml:space="preserve"> A public research body does not maximise what a company maximises. Its stated priorities are accelerated market penetration, priority to SMEs and underserved regions, capacity development, national security, global competitiveness, resilience of national infrastructure, preventing bad actors from obtaining the technology, and harmonious relations with the private sector. Fact (5) engages three of these at once: speed of deployment, exclusion of undesirable parties, and food security as national resilience. The objectives in this file conflict directly — the multinational offer maximises revenue, the SME route maximises diffusion, and the Ministry's two-season deadline is a diffusion objective, not a revenue one.</w:t>
      </w:r>
    </w:p>
    <w:p>
      <w:pPr>
        <w:keepNext w:val="false"/>
        <w:spacing w:after="140" w:line="280" w:lineRule="auto"/>
        <w:jc w:val="both"/>
      </w:pPr>
      <w:r>
        <w:rPr>
          <w:b/>
          <w:bCs/>
        </w:rPr>
        <w:t xml:space="preserve">Purpose, by type of institution.</w:t>
      </w:r>
    </w:p>
    <w:p>
      <w:pPr>
        <w:pStyle w:val="ListParagraph"/>
        <w:numPr>
          <w:ilvl w:val="0"/>
          <w:numId w:val="3"/>
        </w:numPr>
        <w:spacing w:after="70" w:line="272" w:lineRule="auto"/>
        <w:jc w:val="left"/>
      </w:pPr>
      <w:r>
        <w:t xml:space="preserve">A corporation maximises value appropriated for shareholders.</w:t>
      </w:r>
    </w:p>
    <w:p>
      <w:pPr>
        <w:pStyle w:val="ListParagraph"/>
        <w:numPr>
          <w:ilvl w:val="0"/>
          <w:numId w:val="3"/>
        </w:numPr>
        <w:spacing w:after="70" w:line="272" w:lineRule="auto"/>
        <w:jc w:val="left"/>
      </w:pPr>
      <w:r>
        <w:t xml:space="preserve">A university maximises use of the technology plus a share of the value, together with ranking and standing.</w:t>
      </w:r>
    </w:p>
    <w:p>
      <w:pPr>
        <w:pStyle w:val="ListParagraph"/>
        <w:numPr>
          <w:ilvl w:val="0"/>
          <w:numId w:val="3"/>
        </w:numPr>
        <w:spacing w:after="70" w:line="272" w:lineRule="auto"/>
        <w:jc w:val="left"/>
      </w:pPr>
      <w:r>
        <w:t xml:space="preserve">A public research body maximises diffusion into national use, subject to security. NIAB is in the third category, so the licence it should sign is not the licence a company would sign from the same invention.</w:t>
      </w:r>
    </w:p>
    <w:p>
      <w:pPr>
        <w:keepNext w:val="false"/>
        <w:spacing w:after="140" w:line="280" w:lineRule="auto"/>
        <w:jc w:val="both"/>
      </w:pPr>
      <w:r>
        <w:rPr>
          <w:b/>
          <w:bCs/>
        </w:rPr>
        <w:t xml:space="preserve">The players.</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300"/>
        <w:gridCol w:w="3600"/>
        <w:gridCol w:w="4180"/>
      </w:tblGrid>
      <w:tr>
        <w:trPr>
          <w:cantSplit/>
          <w:tblHeader/>
        </w:trPr>
        <w:tc>
          <w:tcPr>
            <w:tcW w:type="dxa" w:w="23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Group</w:t>
            </w:r>
          </w:p>
        </w:tc>
        <w:tc>
          <w:tcPr>
            <w:tcW w:type="dxa" w:w="36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Who</w:t>
            </w:r>
          </w:p>
        </w:tc>
        <w:tc>
          <w:tcPr>
            <w:tcW w:type="dxa" w:w="41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Their stake</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Creators</w:t>
            </w:r>
          </w:p>
        </w:tc>
        <w:tc>
          <w:tcPr>
            <w:tcW w:type="dxa" w:w="3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Dr Rao, two research scholars, one technician (fact 4)</w:t>
            </w:r>
          </w:p>
        </w:tc>
        <w:tc>
          <w:tcPr>
            <w:tcW w:type="dxa" w:w="41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Inventorship, revenue share, and for Dr Rao the start-up route. The departed technician is an unresolved claim and a leakage risk</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The institution</w:t>
            </w:r>
          </w:p>
        </w:tc>
        <w:tc>
          <w:tcPr>
            <w:tcW w:type="dxa" w:w="36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NIAB, its director, and an IP cell that does not yet exist</w:t>
            </w:r>
          </w:p>
        </w:tc>
        <w:tc>
          <w:tcPr>
            <w:tcW w:type="dxa" w:w="41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Title, cost recovery, reputation, and the ability to do this again</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Funder and regulator</w:t>
            </w:r>
          </w:p>
        </w:tc>
        <w:tc>
          <w:tcPr>
            <w:tcW w:type="dxa" w:w="3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Ministry; biosafety and seed regulators</w:t>
            </w:r>
          </w:p>
        </w:tc>
        <w:tc>
          <w:tcPr>
            <w:tcW w:type="dxa" w:w="41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Deployment within two seasons, security screening, and compliance with seed and biosafety law</w:t>
            </w:r>
          </w:p>
        </w:tc>
      </w:tr>
      <w:tr>
        <w:trPr>
          <w:cantSplit/>
        </w:trPr>
        <w:tc>
          <w:tcPr>
            <w:tcW w:type="dxa" w:w="23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Prospective exploiters</w:t>
            </w:r>
          </w:p>
        </w:tc>
        <w:tc>
          <w:tcPr>
            <w:tcW w:type="dxa" w:w="36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multinational; the four SMEs; Dr Rao's proposed company</w:t>
            </w:r>
          </w:p>
        </w:tc>
        <w:tc>
          <w:tcPr>
            <w:tcW w:type="dxa" w:w="41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Exclusivity, territory, field of use, price</w:t>
            </w:r>
          </w:p>
        </w:tc>
      </w:tr>
      <w:tr>
        <w:trPr>
          <w:cantSplit/>
        </w:trPr>
        <w:tc>
          <w:tcPr>
            <w:tcW w:type="dxa" w:w="23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Beneficiaries</w:t>
            </w:r>
          </w:p>
        </w:tc>
        <w:tc>
          <w:tcPr>
            <w:tcW w:type="dxa" w:w="36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Farmers in the three states, and the public</w:t>
            </w:r>
          </w:p>
        </w:tc>
        <w:tc>
          <w:tcPr>
            <w:tcW w:type="dxa" w:w="41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Availability, affordability, and no lock-in to one supplier</w:t>
            </w:r>
          </w:p>
        </w:tc>
      </w:tr>
    </w:tbl>
    <w:p>
      <w:pPr>
        <w:keepNext w:val="false"/>
        <w:spacing w:after="140" w:line="280" w:lineRule="auto"/>
        <w:jc w:val="both"/>
      </w:pPr>
      <w:r>
        <w:rPr>
          <w:b/>
          <w:bCs/>
        </w:rPr>
        <w:t xml:space="preserve">Stakeholder analysis. </w:t>
      </w:r>
      <w:r>
        <w:t xml:space="preserve">Using Mendelow's power–interest matrix (1991): the Ministry has high power and high interest and must be managed closely; farmers have high interest and no power, which is exactly why a public body must protect them through licence terms rather than leave them to the market; and the departed technician has low interest today but latent power, because an unresolved inventorship claim can cloud title later.</w:t>
      </w:r>
    </w:p>
    <w:p>
      <w:pPr>
        <w:pStyle w:val="Heading2"/>
        <w:keepNext/>
        <w:spacing w:after="120" w:before="300"/>
      </w:pPr>
      <w:r>
        <w:t xml:space="preserve">1.2  Draft the essential clauses of an IP policy for NIAB, with reasons.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t xml:space="preserve">A policy is a set of guiding principles settled in advance, so that recurring questions are answered by reference rather than argued afresh. It is administrative intent, not a statute: it works through the agreements made under it, and an enforceable agreement is a contract under s.2(h) of the Indian Contract Act 1872. The following are the minimum clauses for NIAB.</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400"/>
        <w:gridCol w:w="7680"/>
      </w:tblGrid>
      <w:tr>
        <w:trPr>
          <w:cantSplit/>
          <w:tblHeader/>
        </w:trPr>
        <w:tc>
          <w:tcPr>
            <w:tcW w:type="dxa" w:w="2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Clause</w:t>
            </w:r>
          </w:p>
        </w:tc>
        <w:tc>
          <w:tcPr>
            <w:tcW w:type="dxa" w:w="76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must say, and why</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Ownership</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Title vests in NIAB wherever there has been significant use of institutional resources, which covers this trait. It must also name the difficult cases: sponsored and collaborative work, consultancy, student and scholar contributions, unprotected know-how, and material generated after a person leaves. Answers facts (1) and (4)</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Inventorship and disclosure</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 written disclosure form naming every contributor, signed before any publication. Inventorship is a question of fact, not seniority, so the technician must be named or expressly excluded now, not after a licence is signed</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Confidentiality and assignment</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No publication before filing; assignment executed on joining and again on disclosure. This is the only protection available for know-how, because India has no trade-secret statute</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Evaluation and reassignment</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IP cell evaluates within a fixed period. If NIAB declines to protect, the rights return to the creators — which removes the fear that makes researchers withhold disclosures</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Foreign filing and cost sharing</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Territory follows the licensee's market. A PCT application should be filed at once given fact (6). Costs may be shared — for example PCT costs equally, national-phase costs borne by the exploiting party</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Revenue sharing</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One published model. For a public research body the usual balance is about 50:50 of net income, because the scientist is paid full time to research — against the 70:30 net common in the IITs. It should continue after the creator leaves and pass to legal heirs</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Start-up route and NOC</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One NOC template; a choice between 1–3% equity and a running royalty; and a rule that all rights are filed in the name of the start-up as a legal person, never in individual names. Answers fact (3)</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Conflict of interest</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Dr Rao cannot sit on both sides. Recusal from the licensing decision, a written declaration of interest, and an arm's-length valuation are mandatory</w:t>
            </w:r>
          </w:p>
        </w:tc>
      </w:tr>
      <w:tr>
        <w:trPr>
          <w:cantSplit/>
        </w:trPr>
        <w:tc>
          <w:tcPr>
            <w:tcW w:type="dxa" w:w="2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Public-interest conditions</w:t>
            </w:r>
          </w:p>
        </w:tc>
        <w:tc>
          <w:tcPr>
            <w:tcW w:type="dxa" w:w="7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March-in and government-use rights retained; security screening of licensees; local deployment obligations; and availability or pricing undertakings for the notified states. Answers fact (5)</w:t>
            </w:r>
          </w:p>
        </w:tc>
      </w:tr>
      <w:tr>
        <w:trPr>
          <w:cantSplit/>
        </w:trPr>
        <w:tc>
          <w:tcPr>
            <w:tcW w:type="dxa" w:w="2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Dispute resolution, right to regulate, jurisdiction</w:t>
            </w:r>
          </w:p>
        </w:tc>
        <w:tc>
          <w:tcPr>
            <w:tcW w:type="dxa" w:w="7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An internal committee before any external forum; an express power to amend with versioning; and a stated forum and governing law</w:t>
            </w:r>
          </w:p>
        </w:tc>
      </w:tr>
    </w:tbl>
    <w:p>
      <w:pPr>
        <w:keepNext w:val="false"/>
        <w:spacing w:after="140" w:line="280" w:lineRule="auto"/>
        <w:jc w:val="both"/>
      </w:pPr>
      <w:r>
        <w:rPr>
          <w:b/>
          <w:bCs/>
        </w:rPr>
        <w:t xml:space="preserve">Method of adoption. </w:t>
      </w:r>
      <w:r>
        <w:t xml:space="preserve">Ownership and revenue clauses should be settled bottom-up by consultation, because the scientists they bind also generate the asset and their consent produces real compliance. Disclosure duties, confidentiality and filing deadlines should be imposed top-down, because consultation adds nothing to a compliance rule. Most workable policies mix both.</w:t>
      </w:r>
    </w:p>
    <w:p>
      <w:pPr>
        <w:pStyle w:val="Heading2"/>
        <w:keepNext/>
        <w:spacing w:after="120" w:before="300"/>
      </w:pPr>
      <w:r>
        <w:t xml:space="preserve">1.3  Advise NIAB whether to licence exclusively to the multinational or non-exclusively to the SME consortium.  [5]</w:t>
      </w:r>
    </w:p>
    <w:p>
      <w:pPr>
        <w:keepNext/>
        <w:spacing w:after="100" w:before="18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Exclusive to the multinational</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Non-exclusive to the SMEs</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Revenue</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High and immediate — a substantial sum plus royalties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Low per licence, but the same asset is sold four times, and more later</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Speed of deployment</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Uncertain. A licensee with a competing conventional seed line has a reason to shelve the trait</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Faster in the target states, because four firms distribute in parallel through existing networks</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Risk of non-use</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High unless controlled by diligence obligations and minimum annual royalties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Low. No single licensee can block deployment</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Public-interest objectives</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Poor fit. Exclusivity concentrates supply, risks price control over farmers, and conflicts with SME priority</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Strong fit. Serves accelerated penetration, SME priority and national resilience</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Security screening (fact 5)</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One licensee is easier to screen, but a worldwide grant exports control of the trait</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Harder to police across four licensees, but territory can be limited and each licensee screened</w:t>
            </w:r>
          </w:p>
        </w:tc>
      </w:tr>
    </w:tbl>
    <w:p>
      <w:pPr>
        <w:keepNext w:val="false"/>
        <w:spacing w:after="140" w:line="280" w:lineRule="auto"/>
        <w:jc w:val="both"/>
      </w:pPr>
      <w:r>
        <w:rPr>
          <w:b/>
          <w:bCs/>
        </w:rPr>
        <w:t xml:space="preserve">Advice.</w:t>
      </w:r>
      <w:r>
        <w:t xml:space="preserve"> Do neither in the form offered. Structure the grant instead, because field-of-use and territory clauses allow the same right to be licensed many times without conflict.</w:t>
      </w:r>
    </w:p>
    <w:p>
      <w:pPr>
        <w:pStyle w:val="ListParagraph"/>
        <w:numPr>
          <w:ilvl w:val="0"/>
          <w:numId w:val="13"/>
        </w:numPr>
        <w:spacing w:after="70" w:line="272" w:lineRule="auto"/>
        <w:jc w:val="left"/>
      </w:pPr>
      <w:r>
        <w:t xml:space="preserve">Grant non-exclusive licences to the four SMEs for the three notified states and the smallholder seed field, at a low royalty, with diligence milestones tied to the two-season deadline and audit rights.</w:t>
      </w:r>
    </w:p>
    <w:p>
      <w:pPr>
        <w:pStyle w:val="ListParagraph"/>
        <w:numPr>
          <w:ilvl w:val="0"/>
          <w:numId w:val="13"/>
        </w:numPr>
        <w:spacing w:after="70" w:line="272" w:lineRule="auto"/>
        <w:jc w:val="left"/>
      </w:pPr>
      <w:r>
        <w:t xml:space="preserve">Grant the multinational an exclusive licence only outside India, or only in a field NIAB cannot serve, in exchange for the lump sum and for funding the PCT and national-phase costs that fact (6) makes urgent.</w:t>
      </w:r>
    </w:p>
    <w:p>
      <w:pPr>
        <w:pStyle w:val="ListParagraph"/>
        <w:numPr>
          <w:ilvl w:val="0"/>
          <w:numId w:val="13"/>
        </w:numPr>
        <w:spacing w:after="70" w:line="272" w:lineRule="auto"/>
        <w:jc w:val="left"/>
      </w:pPr>
      <w:r>
        <w:t xml:space="preserve">Retain government-use and march-in rights in every licence, impose security screening, and include reversion for non-performance.</w:t>
      </w:r>
    </w:p>
    <w:p>
      <w:pPr>
        <w:pStyle w:val="ListParagraph"/>
        <w:numPr>
          <w:ilvl w:val="0"/>
          <w:numId w:val="13"/>
        </w:numPr>
        <w:spacing w:after="70" w:line="272" w:lineRule="auto"/>
        <w:jc w:val="left"/>
      </w:pPr>
      <w:r>
        <w:t xml:space="preserve">Deal with Dr Rao's start-up separately through the NOC, with an equity or royalty election and full recusal from the licensing decision.</w:t>
      </w:r>
    </w:p>
    <w:p>
      <w:pPr>
        <w:keepNext w:val="false"/>
        <w:spacing w:after="140" w:line="280" w:lineRule="auto"/>
        <w:jc w:val="both"/>
      </w:pPr>
      <w:r>
        <w:rPr>
          <w:b/>
          <w:bCs/>
        </w:rPr>
        <w:t xml:space="preserve">Theoretical support. </w:t>
      </w:r>
      <w:r>
        <w:t xml:space="preserve">Teece's framework explains why licensing rather than integration is correct here: NIAB holds the invention but none of the complementary assets — seed multiplication, distribution, extension services and farmer trust — and cannot build them in the time available. The choice between exclusive and non-exclusive then depends on whose objective governs, and for a public body the objective is diffusion subject to security, not appropriated value.</w:t>
      </w:r>
    </w:p>
    <w:p>
      <w:pPr>
        <w:pStyle w:val="Heading2"/>
        <w:keepNext/>
        <w:spacing w:after="120" w:before="300"/>
      </w:pPr>
      <w:r>
        <w:t xml:space="preserve">1.4  Critically assess whether NIAB's IP policy should be made top-down or bottom-up.  [5]</w:t>
      </w:r>
    </w:p>
    <w:p>
      <w:pPr>
        <w:keepNext/>
        <w:spacing w:after="100" w:before="18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Top-down</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Bottom-up</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How it works</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administration decides and issues a circular. No ratification, no consent</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Stakeholders are consulted; draft, comment, redraft, deliberate, adopt</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Speed</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Fast — NIAB could have a policy in weeks, which matters given the two-season deadline</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Slow — months or longer</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Acceptance</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Low. Scientists who were never heard comply minimally</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High. Those bound by it own it</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Typical user</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Corporations, where employment terms already bind everyone</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Universities and research bodies, where the people governed also generate the asset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Risk</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Resistance and quiet non-disclosure of inventions</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Compromise clauses that satisfy nobody, and revision that is too slow</w:t>
            </w:r>
          </w:p>
        </w:tc>
      </w:tr>
    </w:tbl>
    <w:p>
      <w:pPr>
        <w:keepNext w:val="false"/>
        <w:spacing w:after="140" w:line="280" w:lineRule="auto"/>
        <w:jc w:val="both"/>
      </w:pPr>
      <w:r>
        <w:rPr>
          <w:b/>
          <w:bCs/>
        </w:rPr>
        <w:t xml:space="preserve">Assessment.</w:t>
      </w:r>
      <w:r>
        <w:t xml:space="preserve"> The choice is presented as either-or, and that is the mistake. These are clause-level decisions, not institutional types.</w:t>
      </w:r>
    </w:p>
    <w:p>
      <w:pPr>
        <w:pStyle w:val="ListParagraph"/>
        <w:numPr>
          <w:ilvl w:val="0"/>
          <w:numId w:val="3"/>
        </w:numPr>
        <w:spacing w:after="70" w:line="272" w:lineRule="auto"/>
        <w:jc w:val="left"/>
      </w:pPr>
      <w:r>
        <w:rPr>
          <w:b/>
          <w:bCs/>
        </w:rPr>
        <w:t xml:space="preserve">Consult on entitlement. </w:t>
      </w:r>
      <w:r>
        <w:t xml:space="preserve">Ownership, revenue sharing and the start-up route affect the scientist directly. Imposing them produces exactly the resistance that makes researchers publish rather than disclose, and NIAB cannot afford that when the technician has already left with knowledge in his head.</w:t>
      </w:r>
    </w:p>
    <w:p>
      <w:pPr>
        <w:pStyle w:val="ListParagraph"/>
        <w:numPr>
          <w:ilvl w:val="0"/>
          <w:numId w:val="3"/>
        </w:numPr>
        <w:spacing w:after="70" w:line="272" w:lineRule="auto"/>
        <w:jc w:val="left"/>
      </w:pPr>
      <w:r>
        <w:rPr>
          <w:b/>
          <w:bCs/>
        </w:rPr>
        <w:t xml:space="preserve">Impose compliance. </w:t>
      </w:r>
      <w:r>
        <w:t xml:space="preserve">Disclosure duties, confidentiality, no publication before filing and filing deadlines gain nothing from consultation. They should be issued and enforced.</w:t>
      </w:r>
    </w:p>
    <w:p>
      <w:pPr>
        <w:pStyle w:val="ListParagraph"/>
        <w:numPr>
          <w:ilvl w:val="0"/>
          <w:numId w:val="3"/>
        </w:numPr>
        <w:spacing w:after="70" w:line="272" w:lineRule="auto"/>
        <w:jc w:val="left"/>
      </w:pPr>
      <w:r>
        <w:rPr>
          <w:b/>
          <w:bCs/>
        </w:rPr>
        <w:t xml:space="preserve">Impose the public-interest clauses too, </w:t>
      </w:r>
      <w:r>
        <w:t xml:space="preserve">because march-in rights, security screening and deployment obligations flow from the Ministry's mandate and are not negotiable with the scientists.</w:t>
      </w:r>
    </w:p>
    <w:p>
      <w:pPr>
        <w:keepNext w:val="false"/>
        <w:spacing w:after="140" w:line="280" w:lineRule="auto"/>
        <w:jc w:val="both"/>
      </w:pPr>
      <w:r>
        <w:rPr>
          <w:b/>
          <w:bCs/>
        </w:rPr>
        <w:t xml:space="preserve">Conclusion. </w:t>
      </w:r>
      <w:r>
        <w:t xml:space="preserve">NIAB should adopt a hybrid: a top-down interim policy immediately, covering disclosure, confidentiality and ownership, so that the trait is protected while the deadline runs; followed within six months by a consulted, full policy on revenue sharing and the start-up route. The policy must also be versioned, because a policy that is never revised becomes a finding about the institution rather than a rule for it.</w:t>
      </w:r>
    </w:p>
    <w:p>
      <w:pPr>
        <w:pStyle w:val="Heading2"/>
        <w:keepNext/>
        <w:spacing w:after="120" w:before="300"/>
      </w:pPr>
      <w:r>
        <w:t xml:space="preserve">2.  Kindly provide five differentiating points between a “Licence” and an “Assignment”.  [5]</w:t>
      </w:r>
    </w:p>
    <w:p>
      <w:pPr>
        <w:keepNext/>
        <w:spacing w:after="100" w:before="18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Licence</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Assignment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Effect on ownership</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Ownership stays with the licensor; only permission to use is given</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Ownership passes to the assignee absolutely</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Duration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For a stated term, after which the rights simply return</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Permanent, unless the deed provides for reversion</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Control retained</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Substantial — field of use, territory, exclusivity, quality, diligence, audit and termination</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None after execution. The assignor becomes a stranger to the right</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Consideration</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Usually recurring — upfront, milestones and running royalty</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Usually a single capital sum</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Formality</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Under s.68 of the Patents Act 1970 it must be in writing and embodied in a document containing all the terms, and recorded with the Controller</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Same requirement of writing and recordal, and the change of proprietorship is entered in the register</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When it is used</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Where the owner wants continuing income and control, or wants to licence the same asset many times</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Where the asset is off-strategy, or where an investor or acquirer requires clean title in one name</w:t>
            </w:r>
          </w:p>
        </w:tc>
      </w:tr>
    </w:tbl>
    <w:p>
      <w:pPr>
        <w:pStyle w:val="Heading2"/>
        <w:keepNext/>
        <w:spacing w:after="120" w:before="300"/>
      </w:pPr>
      <w:r>
        <w:t xml:space="preserve">3.  Explain with example — Defining IP policy for a corporation, a university and research organisations. Limit your answer to 10 points with example.  [5]</w:t>
      </w:r>
    </w:p>
    <w:p>
      <w:pPr>
        <w:keepNext/>
        <w:spacing w:after="100" w:before="180"/>
      </w:pPr>
      <w:r>
        <w:rPr>
          <w:rFonts w:ascii="Calibri" w:cs="Calibri" w:eastAsia="Calibri" w:hAnsi="Calibri"/>
          <w:b/>
          <w:bCs/>
          <w:color w:val="8A5A10"/>
          <w:sz w:val="21"/>
          <w:szCs w:val="21"/>
        </w:rPr>
        <w:t xml:space="preserve">Answer</w:t>
      </w:r>
    </w:p>
    <w:p>
      <w:pPr>
        <w:pStyle w:val="ListParagraph"/>
        <w:numPr>
          <w:ilvl w:val="0"/>
          <w:numId w:val="14"/>
        </w:numPr>
        <w:spacing w:after="70" w:line="272" w:lineRule="auto"/>
        <w:jc w:val="left"/>
      </w:pPr>
      <w:r>
        <w:rPr>
          <w:b/>
          <w:bCs/>
        </w:rPr>
        <w:t xml:space="preserve">What a policy is. </w:t>
      </w:r>
      <w:r>
        <w:t xml:space="preserve">A set of guiding principles that decide recurring questions in advance, so that answers are given by reference instead of being argued each time.</w:t>
      </w:r>
    </w:p>
    <w:p>
      <w:pPr>
        <w:pStyle w:val="ListParagraph"/>
        <w:numPr>
          <w:ilvl w:val="0"/>
          <w:numId w:val="14"/>
        </w:numPr>
        <w:spacing w:after="70" w:line="272" w:lineRule="auto"/>
        <w:jc w:val="left"/>
      </w:pPr>
      <w:r>
        <w:rPr>
          <w:b/>
          <w:bCs/>
        </w:rPr>
        <w:t xml:space="preserve">Why it is required. </w:t>
      </w:r>
      <w:r>
        <w:t xml:space="preserve">It states the vision, keeps the process consistent, fixes the revenue model in advance, and defines the rights and duties of stakeholders.</w:t>
      </w:r>
    </w:p>
    <w:p>
      <w:pPr>
        <w:pStyle w:val="ListParagraph"/>
        <w:numPr>
          <w:ilvl w:val="0"/>
          <w:numId w:val="14"/>
        </w:numPr>
        <w:spacing w:after="70" w:line="272" w:lineRule="auto"/>
        <w:jc w:val="left"/>
      </w:pPr>
      <w:r>
        <w:rPr>
          <w:b/>
          <w:bCs/>
        </w:rPr>
        <w:t xml:space="preserve">Its legal status. </w:t>
      </w:r>
      <w:r>
        <w:t xml:space="preserve">It is administrative intent, not a statute. It works through agreements, and an agreement enforceable by law is a contract under s.2(h) of the Contract Act 1872. So templates should be annexed to it.</w:t>
      </w:r>
    </w:p>
    <w:p>
      <w:pPr>
        <w:pStyle w:val="ListParagraph"/>
        <w:numPr>
          <w:ilvl w:val="0"/>
          <w:numId w:val="14"/>
        </w:numPr>
        <w:spacing w:after="70" w:line="272" w:lineRule="auto"/>
        <w:jc w:val="left"/>
      </w:pPr>
      <w:r>
        <w:rPr>
          <w:b/>
          <w:bCs/>
        </w:rPr>
        <w:t xml:space="preserve">The standard clauses: </w:t>
      </w:r>
      <w:r>
        <w:t xml:space="preserve">ownership; disclosure; confidentiality and assignment; evaluation; obtaining and renewing rights; foreign filing and cost sharing; contracts; technology transfer; revenue sharing; infringement and indemnity; conflict of interest; dispute resolution; right to regulate; jurisdiction.</w:t>
      </w:r>
    </w:p>
    <w:p>
      <w:pPr>
        <w:pStyle w:val="ListParagraph"/>
        <w:numPr>
          <w:ilvl w:val="0"/>
          <w:numId w:val="14"/>
        </w:numPr>
        <w:spacing w:after="70" w:line="272" w:lineRule="auto"/>
        <w:jc w:val="left"/>
      </w:pPr>
      <w:r>
        <w:rPr>
          <w:b/>
          <w:bCs/>
        </w:rPr>
        <w:t xml:space="preserve">Ownership is the central clause. </w:t>
      </w:r>
      <w:r>
        <w:t xml:space="preserve">The test is significant use of institutional resources, with express rules for sponsored work, consultancy, students, theses, software and material created at institutional events.</w:t>
      </w:r>
    </w:p>
    <w:p>
      <w:pPr>
        <w:pStyle w:val="ListParagraph"/>
        <w:numPr>
          <w:ilvl w:val="0"/>
          <w:numId w:val="14"/>
        </w:numPr>
        <w:spacing w:after="70" w:line="272" w:lineRule="auto"/>
        <w:jc w:val="left"/>
      </w:pPr>
      <w:r>
        <w:rPr>
          <w:b/>
          <w:bCs/>
        </w:rPr>
        <w:t xml:space="preserve">Revenue-sharing models: </w:t>
      </w:r>
      <w:r>
        <w:t xml:space="preserve">70:30, 60:40 or 50:50 of NET income, with hybrid versions that change over the life of the patent and progressive versions that change with the level of income.</w:t>
      </w:r>
    </w:p>
    <w:p>
      <w:pPr>
        <w:pStyle w:val="ListParagraph"/>
        <w:numPr>
          <w:ilvl w:val="0"/>
          <w:numId w:val="14"/>
        </w:numPr>
        <w:spacing w:after="70" w:line="272" w:lineRule="auto"/>
        <w:jc w:val="left"/>
      </w:pPr>
      <w:r>
        <w:rPr>
          <w:b/>
          <w:bCs/>
        </w:rPr>
        <w:t xml:space="preserve">The start-up route: </w:t>
      </w:r>
      <w:r>
        <w:t xml:space="preserve">one NOC template, a choice between 1–3% equity and a royalty, and all rights held by the start-up as a legal person, never by individuals.</w:t>
      </w:r>
    </w:p>
    <w:p>
      <w:pPr>
        <w:pStyle w:val="ListParagraph"/>
        <w:numPr>
          <w:ilvl w:val="0"/>
          <w:numId w:val="14"/>
        </w:numPr>
        <w:spacing w:after="70" w:line="272" w:lineRule="auto"/>
        <w:jc w:val="left"/>
      </w:pPr>
      <w:r>
        <w:rPr>
          <w:b/>
          <w:bCs/>
        </w:rPr>
        <w:t xml:space="preserve">A corporation is top-down. </w:t>
      </w:r>
      <w:r>
        <w:t xml:space="preserve">It owns everything, and rewards inventors with honoraria, awards and recognition rather than a revenue share, because an open-ended liability across thousands of patents is unmanageable.</w:t>
      </w:r>
    </w:p>
    <w:p>
      <w:pPr>
        <w:pStyle w:val="ListParagraph"/>
        <w:numPr>
          <w:ilvl w:val="0"/>
          <w:numId w:val="14"/>
        </w:numPr>
        <w:spacing w:after="70" w:line="272" w:lineRule="auto"/>
        <w:jc w:val="left"/>
      </w:pPr>
      <w:r>
        <w:rPr>
          <w:b/>
          <w:bCs/>
        </w:rPr>
        <w:t xml:space="preserve">A university is bottom-up on entitlement. </w:t>
      </w:r>
      <w:r>
        <w:t xml:space="preserve">It shares substantially with inventors — 70:30 of net at IIT Bombay and IIT Delhi — and measures itself partly on ranking and reputation.</w:t>
      </w:r>
    </w:p>
    <w:p>
      <w:pPr>
        <w:pStyle w:val="ListParagraph"/>
        <w:numPr>
          <w:ilvl w:val="0"/>
          <w:numId w:val="14"/>
        </w:numPr>
        <w:spacing w:after="70" w:line="272" w:lineRule="auto"/>
        <w:jc w:val="left"/>
      </w:pPr>
      <w:r>
        <w:rPr>
          <w:b/>
          <w:bCs/>
        </w:rPr>
        <w:t xml:space="preserve">A public research organisation tilts the share towards the institution </w:t>
      </w:r>
      <w:r>
        <w:t xml:space="preserve">— often around 50:50 — retains march-in and government-use rights, and prefers non-exclusive licensing because its objective is diffusion subject to security.</w:t>
      </w:r>
    </w:p>
    <w:p>
      <w:pPr>
        <w:keepNext w:val="false"/>
        <w:spacing w:after="140" w:line="280" w:lineRule="auto"/>
        <w:jc w:val="both"/>
      </w:pPr>
      <w:r>
        <w:rPr>
          <w:b/>
          <w:bCs/>
        </w:rPr>
        <w:t xml:space="preserve">Example. </w:t>
      </w:r>
      <w:r>
        <w:t xml:space="preserve">Take the same invention in three hands. At IIT Bombay the inventor receives 70% of the net royalty, continuing even after leaving the institute. In Germany, s.42 of the Arbeitnehmererfindungsgesetz gives a university inventor 30% of GROSS licensing income — gross, not net. In a private company the same inventor would receive a certificate, a bonus and a mention at the annual meeting. One invention, three policies, because the three institutions are trying to achieve three different things.</w:t>
      </w:r>
    </w:p>
    <w:p>
      <w:pPr>
        <w:pStyle w:val="Heading1"/>
        <w:pageBreakBefore/>
        <w:pBdr>
          <w:bottom w:val="single" w:color="1F3864" w:sz="10" w:space="6"/>
        </w:pBdr>
        <w:spacing w:after="200" w:before="0"/>
      </w:pPr>
      <w:r>
        <w:t xml:space="preserve">Paper 6  —  Open Technology and Who Profits</w:t>
      </w:r>
    </w:p>
    <w:p>
      <w:pPr>
        <w:spacing w:after="100"/>
        <w:jc w:val="center"/>
      </w:pPr>
      <w:r>
        <w:rPr>
          <w:rFonts w:ascii="Calibri" w:cs="Calibri" w:eastAsia="Calibri" w:hAnsi="Calibri"/>
          <w:b/>
          <w:bCs/>
          <w:color w:val="1F3864"/>
          <w:sz w:val="26"/>
          <w:szCs w:val="26"/>
        </w:rPr>
        <w:t xml:space="preserve">Mid-Autumn Semester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520"/>
        <w:gridCol w:w="2520"/>
        <w:gridCol w:w="2520"/>
        <w:gridCol w:w="2520"/>
      </w:tblGrid>
      <w:tr>
        <w:trPr>
          <w:cantSplit/>
        </w:trPr>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Date of Examination: ____ / ____ / 20____</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Session: FN</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Duration: 2 hrs</w:t>
            </w:r>
          </w:p>
        </w:tc>
        <w:tc>
          <w:tcPr>
            <w:tcW w:type="dxa" w:w="2520"/>
            <w:shd w:fill="F3F4F6"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Full Marks: 30</w:t>
            </w:r>
          </w:p>
        </w:tc>
      </w:tr>
      <w:tr>
        <w:trPr>
          <w:cantSplit/>
        </w:trPr>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Subject No.: IP61019</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Subject: IPR Management</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Dept.: Rajiv Gandhi School of Intellectual Property Law</w:t>
            </w:r>
          </w:p>
        </w:tc>
        <w:tc>
          <w:tcPr>
            <w:tcW w:type="dxa" w:w="2520"/>
            <w:shd w:fill="FFFFFF" w:color="auto" w:val="clear"/>
            <w:tcMar>
              <w:top w:type="dxa" w:w="70"/>
              <w:left w:type="dxa" w:w="110"/>
              <w:bottom w:type="dxa" w:w="70"/>
              <w:right w:type="dxa" w:w="110"/>
            </w:tcMar>
            <w:vAlign w:val="center"/>
          </w:tcPr>
          <w:p>
            <w:pPr>
              <w:spacing w:after="40" w:before="40" w:line="250" w:lineRule="auto"/>
              <w:jc w:val="left"/>
            </w:pPr>
            <w:r>
              <w:rPr>
                <w:color w:val="1A1A1A"/>
                <w:sz w:val="15"/>
                <w:szCs w:val="15"/>
              </w:rPr>
              <w:t xml:space="preserve">Charts / tables: Not Applicable</w:t>
            </w:r>
          </w:p>
        </w:tc>
      </w:tr>
    </w:tbl>
    <w:p>
      <w:pPr>
        <w:spacing w:after="180" w:before="100"/>
      </w:pPr>
      <w:r>
        <w:rPr>
          <w:i/>
          <w:iCs/>
          <w:color w:val="5A6270"/>
          <w:sz w:val="16"/>
          <w:szCs w:val="16"/>
        </w:rPr>
        <w:t xml:space="preserve">Special Instructions:  1. All questions are compulsory.   2. Numbers on the right side in bracket indicate 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3864" w:sz="4"/>
              <w:left w:val="single" w:color="1F3864" w:sz="18"/>
              <w:bottom w:val="single" w:color="1F3864" w:sz="4"/>
              <w:right w:val="single" w:color="1F3864" w:sz="4"/>
            </w:tcBorders>
            <w:shd w:fill="E9EFF8" w:color="auto" w:val="clear"/>
            <w:tcMar>
              <w:top w:type="dxa" w:w="150"/>
              <w:left w:type="dxa" w:w="200"/>
              <w:bottom w:type="dxa" w:w="150"/>
              <w:right w:type="dxa" w:w="200"/>
            </w:tcMar>
          </w:tcPr>
          <w:p>
            <w:pPr>
              <w:spacing w:after="80"/>
            </w:pPr>
            <w:r>
              <w:rPr>
                <w:b/>
                <w:bCs/>
                <w:color w:val="1F3864"/>
                <w:sz w:val="19"/>
                <w:szCs w:val="19"/>
              </w:rPr>
              <w:t xml:space="preserve">Question 1 — Case Study: The National Language AI Platform</w:t>
            </w:r>
          </w:p>
          <w:p>
            <w:pPr>
              <w:spacing w:after="70" w:line="265"/>
              <w:jc w:val="both"/>
            </w:pPr>
            <w:r>
              <w:rPr>
                <w:sz w:val="18"/>
                <w:szCs w:val="18"/>
              </w:rPr>
              <w:t xml:space="preserve">A government mission funds a consortium — two public institutes and three private firms — to build an artificial intelligence platform that provides healthcare guidance in regional Indian languages. The position after two years is as follows.</w:t>
            </w:r>
          </w:p>
          <w:p>
            <w:pPr>
              <w:spacing w:after="70" w:line="265"/>
              <w:jc w:val="both"/>
            </w:pPr>
            <w:r>
              <w:rPr>
                <w:sz w:val="18"/>
                <w:szCs w:val="18"/>
              </w:rPr>
              <w:t xml:space="preserve">(1) The Ministry wants the platform released openly so that every State can adopt it free of cost. (2) Two of the private members want the core models kept proprietary and licensed for a fee. (3) The training data were contributed by public hospitals and contain patient information. (4) Parts of the platform are built on components licensed under the GPL. (5) A foreign technology company has offered to fund the next phase in exchange for exclusive commercial rights outside India. (6) The consortium holds no patents; its assets are software, model weights, datasets and the platform's name.</w:t>
            </w:r>
          </w:p>
        </w:tc>
      </w:tr>
    </w:tbl>
    <w:p>
      <w:pPr>
        <w:spacing w:after="160"/>
      </w:pPr>
    </w:p>
    <w:p>
      <w:pPr>
        <w:pStyle w:val="Heading2"/>
        <w:keepNext/>
        <w:spacing w:after="120" w:before="300"/>
      </w:pPr>
      <w:r>
        <w:t xml:space="preserve">1.1  Identify the consortium's intellectual assets and the rights available for each.  [5]</w:t>
      </w:r>
    </w:p>
    <w:p>
      <w:pPr>
        <w:keepNext/>
        <w:spacing w:after="100" w:before="18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2000"/>
        <w:gridCol w:w="3500"/>
        <w:gridCol w:w="4580"/>
      </w:tblGrid>
      <w:tr>
        <w:trPr>
          <w:cantSplit/>
          <w:tblHeader/>
        </w:trPr>
        <w:tc>
          <w:tcPr>
            <w:tcW w:type="dxa" w:w="20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Asset</w:t>
            </w:r>
          </w:p>
        </w:tc>
        <w:tc>
          <w:tcPr>
            <w:tcW w:type="dxa" w:w="35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What it is here</w:t>
            </w:r>
          </w:p>
        </w:tc>
        <w:tc>
          <w:tcPr>
            <w:tcW w:type="dxa" w:w="45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Right or instrument available</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Software and source code</w:t>
            </w:r>
          </w:p>
        </w:tc>
        <w:tc>
          <w:tcPr>
            <w:tcW w:type="dxa" w:w="35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platform, its interfaces and tools</w:t>
            </w:r>
          </w:p>
        </w:tc>
        <w:tc>
          <w:tcPr>
            <w:tcW w:type="dxa" w:w="45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Copyright, which arises automatically. The only question is who owns it, which makes it a policy question</w:t>
            </w:r>
          </w:p>
        </w:tc>
      </w:tr>
      <w:tr>
        <w:trPr>
          <w:cantSplit/>
        </w:trPr>
        <w:tc>
          <w:tcPr>
            <w:tcW w:type="dxa" w:w="2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Model weights and architecture</w:t>
            </w:r>
          </w:p>
        </w:tc>
        <w:tc>
          <w:tcPr>
            <w:tcW w:type="dxa" w:w="35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trained models that do the work</w:t>
            </w:r>
          </w:p>
        </w:tc>
        <w:tc>
          <w:tcPr>
            <w:tcW w:type="dxa" w:w="45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Copyright in the code, plus trade secret for the weights. Patent protection is difficult in India for computer programmes as such</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Training data</w:t>
            </w:r>
          </w:p>
        </w:tc>
        <w:tc>
          <w:tcPr>
            <w:tcW w:type="dxa" w:w="35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Contributed by public hospitals, containing patient information (fact 3)</w:t>
            </w:r>
          </w:p>
        </w:tc>
        <w:tc>
          <w:tcPr>
            <w:tcW w:type="dxa" w:w="45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Copyright in the compilation, plus confidentiality and data-protection duties. Important: consent limits on patient data cannot be cured by any IP right</w:t>
            </w:r>
          </w:p>
        </w:tc>
      </w:tr>
      <w:tr>
        <w:trPr>
          <w:cantSplit/>
        </w:trPr>
        <w:tc>
          <w:tcPr>
            <w:tcW w:type="dxa" w:w="2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Platform name and domains</w:t>
            </w:r>
          </w:p>
        </w:tc>
        <w:tc>
          <w:tcPr>
            <w:tcW w:type="dxa" w:w="35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The brand under which States will adopt it</w:t>
            </w:r>
          </w:p>
        </w:tc>
        <w:tc>
          <w:tcPr>
            <w:tcW w:type="dxa" w:w="45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Trademark registration plus the matching domain names, registered together</w:t>
            </w:r>
          </w:p>
        </w:tc>
      </w:tr>
      <w:tr>
        <w:trPr>
          <w:cantSplit/>
        </w:trPr>
        <w:tc>
          <w:tcPr>
            <w:tcW w:type="dxa" w:w="20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Documentation and training material</w:t>
            </w:r>
          </w:p>
        </w:tc>
        <w:tc>
          <w:tcPr>
            <w:tcW w:type="dxa" w:w="35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Manuals, guides, clinician training content</w:t>
            </w:r>
          </w:p>
        </w:tc>
        <w:tc>
          <w:tcPr>
            <w:tcW w:type="dxa" w:w="45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Copyright</w:t>
            </w:r>
          </w:p>
        </w:tc>
      </w:tr>
      <w:tr>
        <w:trPr>
          <w:cantSplit/>
        </w:trPr>
        <w:tc>
          <w:tcPr>
            <w:tcW w:type="dxa" w:w="20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5"/>
                <w:szCs w:val="15"/>
              </w:rPr>
              <w:t xml:space="preserve">Deployment know-how</w:t>
            </w:r>
          </w:p>
        </w:tc>
        <w:tc>
          <w:tcPr>
            <w:tcW w:type="dxa" w:w="35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How to install, tune and integrate the platform in a State health system</w:t>
            </w:r>
          </w:p>
        </w:tc>
        <w:tc>
          <w:tcPr>
            <w:tcW w:type="dxa" w:w="45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5"/>
                <w:szCs w:val="15"/>
              </w:rPr>
              <w:t xml:space="preserve">Trade secret, protected only by contract and confidentiality</w:t>
            </w:r>
          </w:p>
        </w:tc>
      </w:tr>
    </w:tbl>
    <w:p>
      <w:pPr>
        <w:keepNext w:val="false"/>
        <w:spacing w:after="140" w:line="280" w:lineRule="auto"/>
        <w:jc w:val="both"/>
      </w:pPr>
      <w:r>
        <w:rPr>
          <w:b/>
          <w:bCs/>
        </w:rPr>
        <w:t xml:space="preserve">Two points to add.</w:t>
      </w:r>
      <w:r>
        <w:t xml:space="preserve"> First, the consortium holds no patents (fact 6), so its whole position rests on copyright, confidentiality and contract — none of which prevents an independent developer from building a similar platform. Second, fact (4) must be resolved before anything else: the GPL is a copyleft licence whose reciprocity obligations can extend to derivative works, so the consortium may already be obliged to release code it is planning to sell.</w:t>
      </w:r>
    </w:p>
    <w:p>
      <w:pPr>
        <w:pStyle w:val="Heading2"/>
        <w:keepNext/>
        <w:spacing w:after="120" w:before="300"/>
      </w:pPr>
      <w:r>
        <w:t xml:space="preserve">1.2  Evaluate whether the platform should be released openly or kept proprietary.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rPr>
          <w:b/>
          <w:bCs/>
        </w:rPr>
        <w:t xml:space="preserve">The case for open release.</w:t>
      </w:r>
    </w:p>
    <w:p>
      <w:pPr>
        <w:pStyle w:val="ListParagraph"/>
        <w:numPr>
          <w:ilvl w:val="0"/>
          <w:numId w:val="3"/>
        </w:numPr>
        <w:spacing w:after="70" w:line="272" w:lineRule="auto"/>
        <w:jc w:val="left"/>
      </w:pPr>
      <w:r>
        <w:t xml:space="preserve">Five mechanisms create value in an open ecosystem: lower transaction costs and entry barriers; rapid diffusion across States and developers; network effects through interoperability; collective innovation and human-capital development; and high-margin complementary products built on top.</w:t>
      </w:r>
    </w:p>
    <w:p>
      <w:pPr>
        <w:pStyle w:val="ListParagraph"/>
        <w:numPr>
          <w:ilvl w:val="0"/>
          <w:numId w:val="3"/>
        </w:numPr>
        <w:spacing w:after="70" w:line="272" w:lineRule="auto"/>
        <w:jc w:val="left"/>
      </w:pPr>
      <w:r>
        <w:t xml:space="preserve">The Ministry's objective is diffusion. A public body maximises use of the technology subject to security, not appropriated value.</w:t>
      </w:r>
    </w:p>
    <w:p>
      <w:pPr>
        <w:pStyle w:val="ListParagraph"/>
        <w:numPr>
          <w:ilvl w:val="0"/>
          <w:numId w:val="3"/>
        </w:numPr>
        <w:spacing w:after="70" w:line="272" w:lineRule="auto"/>
        <w:jc w:val="left"/>
      </w:pPr>
      <w:r>
        <w:t xml:space="preserve">Chesbrough's open innovation (2003) shows that using inflows and outflows of knowledge accelerates internal innovation and widens the market for external use.</w:t>
      </w:r>
    </w:p>
    <w:p>
      <w:pPr>
        <w:pStyle w:val="ListParagraph"/>
        <w:numPr>
          <w:ilvl w:val="0"/>
          <w:numId w:val="3"/>
        </w:numPr>
        <w:spacing w:after="70" w:line="272" w:lineRule="auto"/>
        <w:jc w:val="left"/>
      </w:pPr>
      <w:r>
        <w:t xml:space="preserve">The precedent is the Human Genome Project. An attempt to enclose the sequence was rejected in favour of the Bermuda Principles requiring daily public release, and the value moved downstream to diagnostics and tools.</w:t>
      </w:r>
    </w:p>
    <w:p>
      <w:pPr>
        <w:pStyle w:val="ListParagraph"/>
        <w:numPr>
          <w:ilvl w:val="0"/>
          <w:numId w:val="3"/>
        </w:numPr>
        <w:spacing w:after="70" w:line="272" w:lineRule="auto"/>
        <w:jc w:val="left"/>
      </w:pPr>
      <w:r>
        <w:t xml:space="preserve">The data in fact (3) were contributed by public hospitals, which weakens the moral case for enclosing the result.</w:t>
      </w:r>
    </w:p>
    <w:p>
      <w:pPr>
        <w:keepNext w:val="false"/>
        <w:spacing w:after="140" w:line="280" w:lineRule="auto"/>
        <w:jc w:val="both"/>
      </w:pPr>
      <w:r>
        <w:rPr>
          <w:b/>
          <w:bCs/>
        </w:rPr>
        <w:t xml:space="preserve">The case for keeping it proprietary.</w:t>
      </w:r>
    </w:p>
    <w:p>
      <w:pPr>
        <w:pStyle w:val="ListParagraph"/>
        <w:numPr>
          <w:ilvl w:val="0"/>
          <w:numId w:val="3"/>
        </w:numPr>
        <w:spacing w:after="70" w:line="272" w:lineRule="auto"/>
        <w:jc w:val="left"/>
      </w:pPr>
      <w:r>
        <w:t xml:space="preserve">Appropriability. Anything built on components everyone can use is not a barrier to entry, so the private members have no protected return.</w:t>
      </w:r>
    </w:p>
    <w:p>
      <w:pPr>
        <w:pStyle w:val="ListParagraph"/>
        <w:numPr>
          <w:ilvl w:val="0"/>
          <w:numId w:val="3"/>
        </w:numPr>
        <w:spacing w:after="70" w:line="272" w:lineRule="auto"/>
        <w:jc w:val="left"/>
      </w:pPr>
      <w:r>
        <w:t xml:space="preserve">By Teece's analysis, where appropriability is weak the returns flow to whoever holds the complementary assets — here, the firms with State health-system relationships, not the consortium.</w:t>
      </w:r>
    </w:p>
    <w:p>
      <w:pPr>
        <w:pStyle w:val="ListParagraph"/>
        <w:numPr>
          <w:ilvl w:val="0"/>
          <w:numId w:val="3"/>
        </w:numPr>
        <w:spacing w:after="70" w:line="272" w:lineRule="auto"/>
        <w:jc w:val="left"/>
      </w:pPr>
      <w:r>
        <w:t xml:space="preserve">Without a return, the private members will not fund the next phase, and the platform will stall after the grant ends.</w:t>
      </w:r>
    </w:p>
    <w:p>
      <w:pPr>
        <w:pStyle w:val="ListParagraph"/>
        <w:numPr>
          <w:ilvl w:val="0"/>
          <w:numId w:val="3"/>
        </w:numPr>
        <w:spacing w:after="70" w:line="272" w:lineRule="auto"/>
        <w:jc w:val="left"/>
      </w:pPr>
      <w:r>
        <w:t xml:space="preserve">Open release may simply export the benefit to better-resourced foreign firms who can build services on it faster.</w:t>
      </w:r>
    </w:p>
    <w:p>
      <w:pPr>
        <w:keepNext w:val="false"/>
        <w:spacing w:after="140" w:line="280" w:lineRule="auto"/>
        <w:jc w:val="both"/>
      </w:pPr>
      <w:r>
        <w:rPr>
          <w:b/>
          <w:bCs/>
        </w:rPr>
        <w:t xml:space="preserve">Conclusion.</w:t>
      </w:r>
      <w:r>
        <w:t xml:space="preserve"> The question is wrongly framed as a choice. Governance is a dial, not a switch: the continuum runs from exclusive ownership, through controlled access by licence, through shared access, to open access, and the same asset can sit at any point. Remember also that non-proprietary does not mean unowned — Linux is copyrighted and Android is owned; what makes them open is that the owner chose to licence openly. The correct answer is a mixed model, which is what every successful open platform actually uses.</w:t>
      </w:r>
    </w:p>
    <w:p>
      <w:pPr>
        <w:pStyle w:val="Heading2"/>
        <w:keepNext/>
        <w:spacing w:after="120" w:before="300"/>
      </w:pPr>
      <w:r>
        <w:t xml:space="preserve">1.3  Propose a governance model that satisfies both the Ministry and the private members.  [5]</w:t>
      </w:r>
    </w:p>
    <w:p>
      <w:pPr>
        <w:keepNext/>
        <w:spacing w:after="100" w:before="180"/>
      </w:pPr>
      <w:r>
        <w:rPr>
          <w:rFonts w:ascii="Calibri" w:cs="Calibri" w:eastAsia="Calibri" w:hAnsi="Calibri"/>
          <w:b/>
          <w:bCs/>
          <w:color w:val="8A5A10"/>
          <w:sz w:val="21"/>
          <w:szCs w:val="21"/>
        </w:rPr>
        <w:t xml:space="preserve">Answer</w:t>
      </w:r>
    </w:p>
    <w:p>
      <w:pPr>
        <w:pStyle w:val="ListParagraph"/>
        <w:numPr>
          <w:ilvl w:val="0"/>
          <w:numId w:val="15"/>
        </w:numPr>
        <w:spacing w:after="70" w:line="272" w:lineRule="auto"/>
        <w:jc w:val="left"/>
      </w:pPr>
      <w:r>
        <w:rPr>
          <w:b/>
          <w:bCs/>
        </w:rPr>
        <w:t xml:space="preserve">Resolve the GPL question first (fact 4). </w:t>
      </w:r>
      <w:r>
        <w:t xml:space="preserve">Audit every dependency. If copyleft reciprocity already applies to the core, the choice has been made and the code must be released; only then can the rest be designed.</w:t>
      </w:r>
    </w:p>
    <w:p>
      <w:pPr>
        <w:pStyle w:val="ListParagraph"/>
        <w:numPr>
          <w:ilvl w:val="0"/>
          <w:numId w:val="15"/>
        </w:numPr>
        <w:spacing w:after="70" w:line="272" w:lineRule="auto"/>
        <w:jc w:val="left"/>
      </w:pPr>
      <w:r>
        <w:rPr>
          <w:b/>
          <w:bCs/>
        </w:rPr>
        <w:t xml:space="preserve">Release an open core </w:t>
      </w:r>
      <w:r>
        <w:t xml:space="preserve">— the base platform and interfaces — under a permissive licence such as Apache 2.0, which also grants an express patent licence, so every State can adopt it free of cost. This satisfies fact (1).</w:t>
      </w:r>
    </w:p>
    <w:p>
      <w:pPr>
        <w:pStyle w:val="ListParagraph"/>
        <w:numPr>
          <w:ilvl w:val="0"/>
          <w:numId w:val="15"/>
        </w:numPr>
        <w:spacing w:after="70" w:line="272" w:lineRule="auto"/>
        <w:jc w:val="left"/>
      </w:pPr>
      <w:r>
        <w:rPr>
          <w:b/>
          <w:bCs/>
        </w:rPr>
        <w:t xml:space="preserve">Keep a proprietary layer above it </w:t>
      </w:r>
      <w:r>
        <w:t xml:space="preserve">— deployment services, integration with hospital systems, tuning, support and clinician training. This is where the private members earn, and it satisfies fact (2) without closing the base.</w:t>
      </w:r>
    </w:p>
    <w:p>
      <w:pPr>
        <w:pStyle w:val="ListParagraph"/>
        <w:numPr>
          <w:ilvl w:val="0"/>
          <w:numId w:val="15"/>
        </w:numPr>
        <w:spacing w:after="70" w:line="272" w:lineRule="auto"/>
        <w:jc w:val="left"/>
      </w:pPr>
      <w:r>
        <w:rPr>
          <w:b/>
          <w:bCs/>
        </w:rPr>
        <w:t xml:space="preserve">Handle the data separately (fact 3). </w:t>
      </w:r>
      <w:r>
        <w:t xml:space="preserve">De-identify, review consents, and use data-use agreements. Patient data is a consent and data-protection question, not a licensing question, and no IP licence can cure a consent defect.</w:t>
      </w:r>
    </w:p>
    <w:p>
      <w:pPr>
        <w:pStyle w:val="ListParagraph"/>
        <w:numPr>
          <w:ilvl w:val="0"/>
          <w:numId w:val="15"/>
        </w:numPr>
        <w:spacing w:after="70" w:line="272" w:lineRule="auto"/>
        <w:jc w:val="left"/>
      </w:pPr>
      <w:r>
        <w:rPr>
          <w:b/>
          <w:bCs/>
        </w:rPr>
        <w:t xml:space="preserve">Register the platform name as a trademark, </w:t>
      </w:r>
      <w:r>
        <w:t xml:space="preserve">with the matching domains, and hold it in the consortium's name. A trademark can be enforced even where the code is open, and it is how States will identify the genuine version.</w:t>
      </w:r>
    </w:p>
    <w:p>
      <w:pPr>
        <w:pStyle w:val="ListParagraph"/>
        <w:numPr>
          <w:ilvl w:val="0"/>
          <w:numId w:val="15"/>
        </w:numPr>
        <w:spacing w:after="70" w:line="272" w:lineRule="auto"/>
        <w:jc w:val="left"/>
      </w:pPr>
      <w:r>
        <w:rPr>
          <w:b/>
          <w:bCs/>
        </w:rPr>
        <w:t xml:space="preserve">Use a certification mark or conformance programme </w:t>
      </w:r>
      <w:r>
        <w:t xml:space="preserve">so that only tested deployments may use the name. This preserves quality without restricting the code.</w:t>
      </w:r>
    </w:p>
    <w:p>
      <w:pPr>
        <w:pStyle w:val="ListParagraph"/>
        <w:numPr>
          <w:ilvl w:val="0"/>
          <w:numId w:val="15"/>
        </w:numPr>
        <w:spacing w:after="70" w:line="272" w:lineRule="auto"/>
        <w:jc w:val="left"/>
      </w:pPr>
      <w:r>
        <w:rPr>
          <w:b/>
          <w:bCs/>
        </w:rPr>
        <w:t xml:space="preserve">Refuse fact (5) as offered. </w:t>
      </w:r>
      <w:r>
        <w:t xml:space="preserve">Exclusive foreign commercial rights over a publicly funded platform conflicts with the diffusion objective. A non-exclusive commercial licence abroad, with a revenue share, is acceptable.</w:t>
      </w:r>
    </w:p>
    <w:p>
      <w:pPr>
        <w:pStyle w:val="ListParagraph"/>
        <w:numPr>
          <w:ilvl w:val="0"/>
          <w:numId w:val="15"/>
        </w:numPr>
        <w:spacing w:after="70" w:line="272" w:lineRule="auto"/>
        <w:jc w:val="left"/>
      </w:pPr>
      <w:r>
        <w:rPr>
          <w:b/>
          <w:bCs/>
        </w:rPr>
        <w:t xml:space="preserve">Put a written IP and open-source policy in place: </w:t>
      </w:r>
      <w:r>
        <w:t xml:space="preserve">an approved-licence list, a bill of materials for every release, and legal review before a new dependency is added.</w:t>
      </w:r>
    </w:p>
    <w:p>
      <w:pPr>
        <w:pStyle w:val="ListParagraph"/>
        <w:numPr>
          <w:ilvl w:val="0"/>
          <w:numId w:val="15"/>
        </w:numPr>
        <w:spacing w:after="70" w:line="272" w:lineRule="auto"/>
        <w:jc w:val="left"/>
      </w:pPr>
      <w:r>
        <w:rPr>
          <w:b/>
          <w:bCs/>
        </w:rPr>
        <w:t xml:space="preserve">Define ownership among the consortium members now, </w:t>
      </w:r>
      <w:r>
        <w:t xml:space="preserve">separating background IP each member brought in from foreground IP created in the project, with field-of-use rights for each.</w:t>
      </w:r>
    </w:p>
    <w:p>
      <w:pPr>
        <w:pStyle w:val="ListParagraph"/>
        <w:numPr>
          <w:ilvl w:val="0"/>
          <w:numId w:val="15"/>
        </w:numPr>
        <w:spacing w:after="70" w:line="272" w:lineRule="auto"/>
        <w:jc w:val="left"/>
      </w:pPr>
      <w:r>
        <w:rPr>
          <w:b/>
          <w:bCs/>
        </w:rPr>
        <w:t xml:space="preserve">Measure the mission on adoption, not on assets </w:t>
      </w:r>
      <w:r>
        <w:t xml:space="preserve">— States deployed, patients served, languages supported — because diffusion is the objective.</w:t>
      </w:r>
    </w:p>
    <w:p>
      <w:pPr>
        <w:pStyle w:val="Heading2"/>
        <w:keepNext/>
        <w:spacing w:after="120" w:before="300"/>
      </w:pPr>
      <w:r>
        <w:t xml:space="preserve">1.4  Critically assess who is most likely to profit from this platform, and why.  [5]</w:t>
      </w:r>
    </w:p>
    <w:p>
      <w:pPr>
        <w:keepNext/>
        <w:spacing w:after="100" w:before="180"/>
      </w:pPr>
      <w:r>
        <w:rPr>
          <w:rFonts w:ascii="Calibri" w:cs="Calibri" w:eastAsia="Calibri" w:hAnsi="Calibri"/>
          <w:b/>
          <w:bCs/>
          <w:color w:val="8A5A10"/>
          <w:sz w:val="21"/>
          <w:szCs w:val="21"/>
        </w:rPr>
        <w:t xml:space="preserve">Answer</w:t>
      </w:r>
    </w:p>
    <w:p>
      <w:pPr>
        <w:keepNext w:val="false"/>
        <w:spacing w:after="140" w:line="280" w:lineRule="auto"/>
        <w:jc w:val="both"/>
      </w:pPr>
      <w:r>
        <w:t xml:space="preserve">The right framework is David J. Teece, “Profiting from Technological Innovation”, Research Policy 15(6), 1986. Teece's puzzle is that innovators often fail to capture the returns from their own innovations, while imitators, followers, customers and suppliers profit. His explanation has three parts.</w:t>
      </w:r>
    </w:p>
    <w:p>
      <w:pPr>
        <w:pStyle w:val="ListParagraph"/>
        <w:numPr>
          <w:ilvl w:val="0"/>
          <w:numId w:val="16"/>
        </w:numPr>
        <w:spacing w:after="70" w:line="272" w:lineRule="auto"/>
        <w:jc w:val="left"/>
      </w:pPr>
      <w:r>
        <w:rPr>
          <w:b/>
          <w:bCs/>
        </w:rPr>
        <w:t xml:space="preserve">Appropriability regime. </w:t>
      </w:r>
      <w:r>
        <w:t xml:space="preserve">Weak here. There are no patents (fact 6); software is easily copied; and parts of the platform are already under a copyleft licence. The only tacit element is deployment know-how.</w:t>
      </w:r>
    </w:p>
    <w:p>
      <w:pPr>
        <w:pStyle w:val="ListParagraph"/>
        <w:numPr>
          <w:ilvl w:val="0"/>
          <w:numId w:val="16"/>
        </w:numPr>
        <w:spacing w:after="70" w:line="272" w:lineRule="auto"/>
        <w:jc w:val="left"/>
      </w:pPr>
      <w:r>
        <w:rPr>
          <w:b/>
          <w:bCs/>
        </w:rPr>
        <w:t xml:space="preserve">Dominant design. </w:t>
      </w:r>
      <w:r>
        <w:t xml:space="preserve">Language AI is still pre-paradigmatic — no standard has settled — which gives some time, but the field is moving very fast.</w:t>
      </w:r>
    </w:p>
    <w:p>
      <w:pPr>
        <w:pStyle w:val="ListParagraph"/>
        <w:numPr>
          <w:ilvl w:val="0"/>
          <w:numId w:val="16"/>
        </w:numPr>
        <w:spacing w:after="70" w:line="272" w:lineRule="auto"/>
        <w:jc w:val="left"/>
      </w:pPr>
      <w:r>
        <w:rPr>
          <w:b/>
          <w:bCs/>
        </w:rPr>
        <w:t xml:space="preserve">Complementary assets. </w:t>
      </w:r>
      <w:r>
        <w:t xml:space="preserve">What a State actually needs is integration with hospital systems, clinician training, local-language support, regulatory clearance and trust. None of these is held by the consortium; they are held by systems integrators and by the State health departments themselves.</w:t>
      </w:r>
    </w:p>
    <w:p>
      <w:pPr>
        <w:keepNext/>
        <w:spacing w:after="60" w:before="160" w:line="240" w:lineRule="auto"/>
        <w:jc w:val="center"/>
      </w:pPr>
      <w:r>
        <w:drawing>
          <wp:inline distT="0" distB="0" distL="0" distR="0">
            <wp:extent cx="61722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457575"/>
                    </a:xfrm>
                    <a:prstGeom prst="rect">
                      <a:avLst/>
                    </a:prstGeom>
                  </pic:spPr>
                </pic:pic>
              </a:graphicData>
            </a:graphic>
          </wp:inline>
        </w:drawing>
      </w:r>
    </w:p>
    <w:p>
      <w:pPr>
        <w:spacing w:after="220" w:line="240" w:lineRule="auto"/>
        <w:jc w:val="center"/>
      </w:pPr>
      <w:r>
        <w:rPr>
          <w:i/>
          <w:iCs/>
          <w:color w:val="5A6270"/>
          <w:sz w:val="17"/>
          <w:szCs w:val="17"/>
        </w:rPr>
        <w:t xml:space="preserve">Teece's grid — weak appropriability with the assets held by others is the losing cell.</w:t>
      </w:r>
    </w:p>
    <w:p>
      <w:pPr>
        <w:keepNext w:val="false"/>
        <w:spacing w:after="140" w:line="280" w:lineRule="auto"/>
        <w:jc w:val="both"/>
      </w:pPr>
      <w:r>
        <w:rPr>
          <w:b/>
          <w:bCs/>
        </w:rPr>
        <w:t xml:space="preserve">Applying the framework. </w:t>
      </w:r>
      <w:r>
        <w:t xml:space="preserve">Weak appropriability plus complementary assets held by others is the cell in which the innovator loses and the asset holder captures the value. On present facts the likely winners are the systems integrators who deploy the platform and the foreign firm in fact (5) if it obtains exclusive commercial rights abroad. The consortium is in the position of EMI with the CAT scanner — first, technically excellent, and without the manufacturing, distribution and service assets that the customer also needed.</w:t>
      </w:r>
    </w:p>
    <w:p>
      <w:pPr>
        <w:keepNext w:val="false"/>
        <w:spacing w:after="140" w:line="280" w:lineRule="auto"/>
        <w:jc w:val="both"/>
      </w:pPr>
      <w:r>
        <w:rPr>
          <w:b/>
          <w:bCs/>
        </w:rPr>
        <w:t xml:space="preserve">What would change the outcome.</w:t>
      </w:r>
    </w:p>
    <w:p>
      <w:pPr>
        <w:pStyle w:val="ListParagraph"/>
        <w:numPr>
          <w:ilvl w:val="0"/>
          <w:numId w:val="3"/>
        </w:numPr>
        <w:spacing w:after="70" w:line="272" w:lineRule="auto"/>
        <w:jc w:val="left"/>
      </w:pPr>
      <w:r>
        <w:t xml:space="preserve">Build or contract for the complementary assets — a deployment and support arm, or exclusive partnerships with integrators.</w:t>
      </w:r>
    </w:p>
    <w:p>
      <w:pPr>
        <w:pStyle w:val="ListParagraph"/>
        <w:numPr>
          <w:ilvl w:val="0"/>
          <w:numId w:val="3"/>
        </w:numPr>
        <w:spacing w:after="70" w:line="272" w:lineRule="auto"/>
        <w:jc w:val="left"/>
      </w:pPr>
      <w:r>
        <w:t xml:space="preserve">Strengthen appropriability where it is still possible: register the trademark, keep deployment know-how as a trade secret under contract, and control the data pipeline.</w:t>
      </w:r>
    </w:p>
    <w:p>
      <w:pPr>
        <w:pStyle w:val="ListParagraph"/>
        <w:numPr>
          <w:ilvl w:val="0"/>
          <w:numId w:val="3"/>
        </w:numPr>
        <w:spacing w:after="70" w:line="272" w:lineRule="auto"/>
        <w:jc w:val="left"/>
      </w:pPr>
      <w:r>
        <w:t xml:space="preserve">Use the certification programme as a substitute barrier, since a name that States trust is harder to copy than code.</w:t>
      </w:r>
    </w:p>
    <w:p>
      <w:pPr>
        <w:pStyle w:val="ListParagraph"/>
        <w:numPr>
          <w:ilvl w:val="0"/>
          <w:numId w:val="3"/>
        </w:numPr>
        <w:spacing w:after="70" w:line="272" w:lineRule="auto"/>
        <w:jc w:val="left"/>
      </w:pPr>
      <w:r>
        <w:t xml:space="preserve">Follow G.D. Searle's example with aspartame — it held its returns beyond patent expiry through brand and restricted manufacture, not through the patent.</w:t>
      </w:r>
    </w:p>
    <w:p>
      <w:pPr>
        <w:keepNext w:val="false"/>
        <w:spacing w:after="140" w:line="280" w:lineRule="auto"/>
        <w:jc w:val="both"/>
      </w:pPr>
      <w:r>
        <w:rPr>
          <w:b/>
          <w:bCs/>
        </w:rPr>
        <w:t xml:space="preserve">Conclusion. </w:t>
      </w:r>
      <w:r>
        <w:t xml:space="preserve">Commercial success does not guarantee economic success. The platform may be adopted by every State and still earn the consortium nothing, because what converts a right into a return is the position the holder occupies relative to everything else the customer needs.</w:t>
      </w:r>
    </w:p>
    <w:p>
      <w:pPr>
        <w:pStyle w:val="Heading2"/>
        <w:keepNext/>
        <w:spacing w:after="120" w:before="300"/>
      </w:pPr>
      <w:r>
        <w:t xml:space="preserve">2.  Kindly provide five differentiating points between “Open Source” and “Public Domain”.  [5]</w:t>
      </w:r>
    </w:p>
    <w:p>
      <w:pPr>
        <w:keepNext/>
        <w:spacing w:after="100" w:before="180"/>
      </w:pPr>
      <w:r>
        <w:rPr>
          <w:rFonts w:ascii="Calibri" w:cs="Calibri" w:eastAsia="Calibri" w:hAnsi="Calibri"/>
          <w:b/>
          <w:bCs/>
          <w:color w:val="8A5A10"/>
          <w:sz w:val="21"/>
          <w:szCs w:val="21"/>
        </w:rPr>
        <w:t xml:space="preserve">Answer</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1900"/>
        <w:gridCol w:w="4100"/>
        <w:gridCol w:w="4080"/>
      </w:tblGrid>
      <w:tr>
        <w:trPr>
          <w:cantSplit/>
          <w:tblHeader/>
        </w:trPr>
        <w:tc>
          <w:tcPr>
            <w:tcW w:type="dxa" w:w="19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Basis</w:t>
            </w:r>
          </w:p>
        </w:tc>
        <w:tc>
          <w:tcPr>
            <w:tcW w:type="dxa" w:w="41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Open Source</w:t>
            </w:r>
          </w:p>
        </w:tc>
        <w:tc>
          <w:tcPr>
            <w:tcW w:type="dxa" w:w="40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Public Domain</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Ownership</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Owned. Linux is copyrighted and Android is owned by Google; the owner has chosen to licence openly</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Unowned. Rights have expired, lapsed or never existed</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Conditions of use</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Conditions apply — attribution, share-alike, source disclosure — and breaching them is infringement</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 conditions at all. Anyone may use it, including commercially and without credit</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How it arises</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By the deliberate act of the owner in granting a licence</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By operation of law — expiry of term, or ineligibility for protection</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Reversibility</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The owner may licence future versions differently, though grants already made stand</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Irreversible. Nothing can be taken back out of the public domain</w:t>
            </w:r>
          </w:p>
        </w:tc>
      </w:tr>
      <w:tr>
        <w:trPr>
          <w:cantSplit/>
        </w:trPr>
        <w:tc>
          <w:tcPr>
            <w:tcW w:type="dxa" w:w="19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Typical instruments</w:t>
            </w:r>
          </w:p>
        </w:tc>
        <w:tc>
          <w:tcPr>
            <w:tcW w:type="dxa" w:w="410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GPL and copyleft; MIT and Apache 2.0 as permissive licences; Creative Commons for content</w:t>
            </w:r>
          </w:p>
        </w:tc>
        <w:tc>
          <w:tcPr>
            <w:tcW w:type="dxa" w:w="40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Expired patents and copyrights; facts and ideas; government works where so provided</w:t>
            </w:r>
          </w:p>
        </w:tc>
      </w:tr>
      <w:tr>
        <w:trPr>
          <w:cantSplit/>
        </w:trPr>
        <w:tc>
          <w:tcPr>
            <w:tcW w:type="dxa" w:w="19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Commercial consequence</w:t>
            </w:r>
          </w:p>
        </w:tc>
        <w:tc>
          <w:tcPr>
            <w:tcW w:type="dxa" w:w="410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Compliance is a live legal risk and must be audited before any release</w:t>
            </w:r>
          </w:p>
        </w:tc>
        <w:tc>
          <w:tcPr>
            <w:tcW w:type="dxa" w:w="40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No compliance risk, but equally no ability to exclude anyone</w:t>
            </w:r>
          </w:p>
        </w:tc>
      </w:tr>
    </w:tbl>
    <w:p>
      <w:pPr>
        <w:pStyle w:val="Heading2"/>
        <w:keepNext/>
        <w:spacing w:after="120" w:before="300"/>
      </w:pPr>
      <w:r>
        <w:t xml:space="preserve">3.  Explain with example — Profiting from technology innovation and its implications for integration, collaboration, licensing and public policy. Limit your answer to 10 points with example.  [5]</w:t>
      </w:r>
    </w:p>
    <w:p>
      <w:pPr>
        <w:keepNext/>
        <w:spacing w:after="100" w:before="180"/>
      </w:pPr>
      <w:r>
        <w:rPr>
          <w:rFonts w:ascii="Calibri" w:cs="Calibri" w:eastAsia="Calibri" w:hAnsi="Calibri"/>
          <w:b/>
          <w:bCs/>
          <w:color w:val="8A5A10"/>
          <w:sz w:val="21"/>
          <w:szCs w:val="21"/>
        </w:rPr>
        <w:t xml:space="preserve">Answer</w:t>
      </w:r>
    </w:p>
    <w:p>
      <w:pPr>
        <w:pStyle w:val="ListParagraph"/>
        <w:numPr>
          <w:ilvl w:val="0"/>
          <w:numId w:val="17"/>
        </w:numPr>
        <w:spacing w:after="70" w:line="272" w:lineRule="auto"/>
        <w:jc w:val="left"/>
      </w:pPr>
      <w:r>
        <w:rPr>
          <w:b/>
          <w:bCs/>
        </w:rPr>
        <w:t xml:space="preserve">The source. </w:t>
      </w:r>
      <w:r>
        <w:t xml:space="preserve">David J. Teece, “Profiting from Technological Innovation: Implications for Integration, Collaboration, Licensing and Public Policy”, Research Policy 15(6), 1986, pages 285–305.</w:t>
      </w:r>
    </w:p>
    <w:p>
      <w:pPr>
        <w:pStyle w:val="ListParagraph"/>
        <w:numPr>
          <w:ilvl w:val="0"/>
          <w:numId w:val="17"/>
        </w:numPr>
        <w:spacing w:after="70" w:line="272" w:lineRule="auto"/>
        <w:jc w:val="left"/>
      </w:pPr>
      <w:r>
        <w:rPr>
          <w:b/>
          <w:bCs/>
        </w:rPr>
        <w:t xml:space="preserve">The puzzle. </w:t>
      </w:r>
      <w:r>
        <w:t xml:space="preserve">Innovating firms frequently fail to capture the returns from their innovations, while imitators, followers, customers and suppliers profit.</w:t>
      </w:r>
    </w:p>
    <w:p>
      <w:pPr>
        <w:pStyle w:val="ListParagraph"/>
        <w:numPr>
          <w:ilvl w:val="0"/>
          <w:numId w:val="17"/>
        </w:numPr>
        <w:spacing w:after="70" w:line="272" w:lineRule="auto"/>
        <w:jc w:val="left"/>
      </w:pPr>
      <w:r>
        <w:rPr>
          <w:b/>
          <w:bCs/>
        </w:rPr>
        <w:t xml:space="preserve">First block — appropriability regime. </w:t>
      </w:r>
      <w:r>
        <w:t xml:space="preserve">Set by the efficacy of legal protection and by the nature of the technology. Tacit knowledge protects itself; codified knowledge travels and is copied.</w:t>
      </w:r>
    </w:p>
    <w:p>
      <w:pPr>
        <w:pStyle w:val="ListParagraph"/>
        <w:numPr>
          <w:ilvl w:val="0"/>
          <w:numId w:val="17"/>
        </w:numPr>
        <w:spacing w:after="70" w:line="272" w:lineRule="auto"/>
        <w:jc w:val="left"/>
      </w:pPr>
      <w:r>
        <w:rPr>
          <w:b/>
          <w:bCs/>
        </w:rPr>
        <w:t xml:space="preserve">Second block — dominant design. </w:t>
      </w:r>
      <w:r>
        <w:t xml:space="preserve">Before a standard emerges, competition is over designs. Once it emerges, competition shifts to price and manufacturing, and complementary assets decide the outcome.</w:t>
      </w:r>
    </w:p>
    <w:p>
      <w:pPr>
        <w:pStyle w:val="ListParagraph"/>
        <w:numPr>
          <w:ilvl w:val="0"/>
          <w:numId w:val="17"/>
        </w:numPr>
        <w:spacing w:after="70" w:line="272" w:lineRule="auto"/>
        <w:jc w:val="left"/>
      </w:pPr>
      <w:r>
        <w:rPr>
          <w:b/>
          <w:bCs/>
        </w:rPr>
        <w:t xml:space="preserve">Third block — complementary assets. </w:t>
      </w:r>
      <w:r>
        <w:t xml:space="preserve">Everything besides the invention that the customer also needs: manufacturing, distribution, marketing, service, brand, regulatory approval. They are generic, specialised or co-specialised, and co-specialisation creates hold-up risk.</w:t>
      </w:r>
    </w:p>
    <w:p>
      <w:pPr>
        <w:pStyle w:val="ListParagraph"/>
        <w:numPr>
          <w:ilvl w:val="0"/>
          <w:numId w:val="17"/>
        </w:numPr>
        <w:spacing w:after="70" w:line="272" w:lineRule="auto"/>
        <w:jc w:val="left"/>
      </w:pPr>
      <w:r>
        <w:rPr>
          <w:b/>
          <w:bCs/>
        </w:rPr>
        <w:t xml:space="preserve">The decision rule. </w:t>
      </w:r>
      <w:r>
        <w:t xml:space="preserve">Weak appropriability plus specialised assets means integrate, if you have time and capital. Generic assets or strong appropriability means contract or licence. Weak appropriability with neither time nor assets means the innovator loses.</w:t>
      </w:r>
    </w:p>
    <w:p>
      <w:pPr>
        <w:pStyle w:val="ListParagraph"/>
        <w:numPr>
          <w:ilvl w:val="0"/>
          <w:numId w:val="17"/>
        </w:numPr>
        <w:spacing w:after="70" w:line="272" w:lineRule="auto"/>
        <w:jc w:val="left"/>
      </w:pPr>
      <w:r>
        <w:rPr>
          <w:b/>
          <w:bCs/>
        </w:rPr>
        <w:t xml:space="preserve">Implication for integration. </w:t>
      </w:r>
      <w:r>
        <w:t xml:space="preserve">Build or buy the assets where a contract would expose you to hold-up. Large firms therefore profit more, because they already own them — which is why manufacturing often matters.</w:t>
      </w:r>
    </w:p>
    <w:p>
      <w:pPr>
        <w:pStyle w:val="ListParagraph"/>
        <w:numPr>
          <w:ilvl w:val="0"/>
          <w:numId w:val="17"/>
        </w:numPr>
        <w:spacing w:after="70" w:line="272" w:lineRule="auto"/>
        <w:jc w:val="left"/>
      </w:pPr>
      <w:r>
        <w:rPr>
          <w:b/>
          <w:bCs/>
        </w:rPr>
        <w:t xml:space="preserve">Implication for collaboration. </w:t>
      </w:r>
      <w:r>
        <w:t xml:space="preserve">The middle route when integration is too slow or costly. It must be drafted against hold-up through exclusivity, field-of-use limits, grant-back terms, diligence obligations and termination rights.</w:t>
      </w:r>
    </w:p>
    <w:p>
      <w:pPr>
        <w:pStyle w:val="ListParagraph"/>
        <w:numPr>
          <w:ilvl w:val="0"/>
          <w:numId w:val="17"/>
        </w:numPr>
        <w:spacing w:after="70" w:line="272" w:lineRule="auto"/>
        <w:jc w:val="left"/>
      </w:pPr>
      <w:r>
        <w:rPr>
          <w:b/>
          <w:bCs/>
        </w:rPr>
        <w:t xml:space="preserve">Implication for licensing. </w:t>
      </w:r>
      <w:r>
        <w:t xml:space="preserve">Licensing maximises profit when appropriability is strong and you lack the complementary assets. It destroys value when appropriability is weak, because the disclosure needed for the licence equips the licensee to become a competitor.</w:t>
      </w:r>
    </w:p>
    <w:p>
      <w:pPr>
        <w:pStyle w:val="ListParagraph"/>
        <w:numPr>
          <w:ilvl w:val="0"/>
          <w:numId w:val="17"/>
        </w:numPr>
        <w:spacing w:after="70" w:line="272" w:lineRule="auto"/>
        <w:jc w:val="left"/>
      </w:pPr>
      <w:r>
        <w:rPr>
          <w:b/>
          <w:bCs/>
        </w:rPr>
        <w:t xml:space="preserve">Implication for public policy. </w:t>
      </w:r>
      <w:r>
        <w:t xml:space="preserve">If returns flow to holders of complementary assets, a country that lets its manufacturing and commercialisation capability decay cannot profit from its own inventions however strong its research. It also affects antitrust, since integration and collaboration may be efficient responses rather than restraints.</w:t>
      </w:r>
    </w:p>
    <w:p>
      <w:pPr>
        <w:keepNext w:val="false"/>
        <w:spacing w:after="140" w:line="280" w:lineRule="auto"/>
        <w:jc w:val="both"/>
      </w:pPr>
      <w:r>
        <w:rPr>
          <w:b/>
          <w:bCs/>
        </w:rPr>
        <w:t xml:space="preserve">Example. </w:t>
      </w:r>
      <w:r>
        <w:t xml:space="preserve">EMI invented and first commercialised the CAT scanner, and the underlying science won a Nobel Prize. Within a few years EMI had left the business, because it held none of the medical-equipment manufacturing, distribution or service assets that hospitals required, and General Electric and others took the market. The opposite example is G.D. Searle, which held its returns on aspartame even beyond patent expiry by building the NutraSweet brand, restricting contract manufacture and continuing research. The lesson: commercial success does not guarantee economic success.</w:t>
      </w:r>
    </w:p>
    <w:p>
      <w:pPr>
        <w:pStyle w:val="Heading1"/>
        <w:pageBreakBefore/>
        <w:pBdr>
          <w:bottom w:val="single" w:color="1F3864" w:sz="10" w:space="6"/>
        </w:pBdr>
        <w:spacing w:after="200" w:before="0"/>
      </w:pPr>
      <w:r>
        <w:t xml:space="preserve">Syllabus Coverage</w:t>
      </w:r>
    </w:p>
    <w:tbl>
      <w:tblPr>
        <w:tblW w:type="dxa" w:w="10080"/>
        <w:tblBorders>
          <w:top w:val="single" w:color="9FB3CE" w:sz="6"/>
          <w:left w:val="single" w:color="9FB3CE" w:sz="6"/>
          <w:bottom w:val="single" w:color="9FB3CE" w:sz="6"/>
          <w:right w:val="single" w:color="9FB3CE" w:sz="6"/>
          <w:insideH w:val="single" w:color="D6DDE8" w:sz="4"/>
          <w:insideV w:val="single" w:color="D6DDE8" w:sz="4"/>
        </w:tblBorders>
      </w:tblPr>
      <w:tblGrid>
        <w:gridCol w:w="3400"/>
        <w:gridCol w:w="6680"/>
      </w:tblGrid>
      <w:tr>
        <w:trPr>
          <w:cantSplit/>
          <w:tblHeader/>
        </w:trPr>
        <w:tc>
          <w:tcPr>
            <w:tcW w:type="dxa" w:w="340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Syllabus topic</w:t>
            </w:r>
          </w:p>
        </w:tc>
        <w:tc>
          <w:tcPr>
            <w:tcW w:type="dxa" w:w="6680"/>
            <w:shd w:fill="1F3864" w:color="auto" w:val="clear"/>
            <w:tcMar>
              <w:top w:type="dxa" w:w="70"/>
              <w:left w:type="dxa" w:w="110"/>
              <w:bottom w:type="dxa" w:w="70"/>
              <w:right w:type="dxa" w:w="110"/>
            </w:tcMar>
            <w:vAlign w:val="center"/>
          </w:tcPr>
          <w:p>
            <w:pPr>
              <w:spacing w:after="40" w:before="40" w:line="250" w:lineRule="auto"/>
              <w:jc w:val="left"/>
            </w:pPr>
            <w:r>
              <w:rPr>
                <w:b/>
                <w:bCs/>
                <w:color w:val="FFFFFF"/>
                <w:sz w:val="17"/>
                <w:szCs w:val="17"/>
              </w:rPr>
              <w:t xml:space="preserve">Where it is tested</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1(a) Introduction to IP Management</w:t>
            </w:r>
          </w:p>
        </w:tc>
        <w:tc>
          <w:tcPr>
            <w:tcW w:type="dxa" w:w="6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2 — Q1.1, Q2, Q3</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1(b) Basic Definitions and Concepts</w:t>
            </w:r>
          </w:p>
        </w:tc>
        <w:tc>
          <w:tcPr>
            <w:tcW w:type="dxa" w:w="6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1 — Q1.1;  Paper 3 — Q2;  Paper 6 — Q1.1, Q2</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1(c) IP culture and measurement of value</w:t>
            </w:r>
          </w:p>
        </w:tc>
        <w:tc>
          <w:tcPr>
            <w:tcW w:type="dxa" w:w="6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1 — Q1.4;  Paper 2 — Q1.1, Q1.2, Q1.4</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1(d) Paradigm shift from IP to intellectual capital</w:t>
            </w:r>
          </w:p>
        </w:tc>
        <w:tc>
          <w:tcPr>
            <w:tcW w:type="dxa" w:w="6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4 — Q3</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2(a) Intellectual capital and knowledge economy</w:t>
            </w:r>
          </w:p>
        </w:tc>
        <w:tc>
          <w:tcPr>
            <w:tcW w:type="dxa" w:w="6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1 — Q1.1;  Paper 3 — Q1.1</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2(b) Transforming IP into intellectual capital</w:t>
            </w:r>
          </w:p>
        </w:tc>
        <w:tc>
          <w:tcPr>
            <w:tcW w:type="dxa" w:w="6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1 — Q3;  Paper 2 — Q1.2</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2(c) Ideas and IPR in economic growth</w:t>
            </w:r>
          </w:p>
        </w:tc>
        <w:tc>
          <w:tcPr>
            <w:tcW w:type="dxa" w:w="6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3 — Q1.2, Q1.4, Q3</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2(d) Role of non-proprietary technologies</w:t>
            </w:r>
          </w:p>
        </w:tc>
        <w:tc>
          <w:tcPr>
            <w:tcW w:type="dxa" w:w="6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6 — Q1.2, Q1.3, Q2</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2(e) Objectives, purpose and players</w:t>
            </w:r>
          </w:p>
        </w:tc>
        <w:tc>
          <w:tcPr>
            <w:tcW w:type="dxa" w:w="6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5 — Q1.1;  Paper 2 — Q1.4</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2(f) IP policies — top-down and bottom-up</w:t>
            </w:r>
          </w:p>
        </w:tc>
        <w:tc>
          <w:tcPr>
            <w:tcW w:type="dxa" w:w="6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5 — Q1.4;  Paper 1 — Q1.2</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2(g) IP policy for corporation, university, research body</w:t>
            </w:r>
          </w:p>
        </w:tc>
        <w:tc>
          <w:tcPr>
            <w:tcW w:type="dxa" w:w="6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1 — Q1.2, Q1.3;  Paper 5 — Q1.2, Q3</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2(h) Trademark owners versus domain name owners</w:t>
            </w:r>
          </w:p>
        </w:tc>
        <w:tc>
          <w:tcPr>
            <w:tcW w:type="dxa" w:w="6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4 — Q1.1, Q1.2, Q1.3, Q1.4, Q2</w:t>
            </w:r>
          </w:p>
        </w:tc>
      </w:tr>
      <w:tr>
        <w:trPr>
          <w:cantSplit/>
        </w:trPr>
        <w:tc>
          <w:tcPr>
            <w:tcW w:type="dxa" w:w="3400"/>
            <w:shd w:fill="F3F4F6"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2(i) Profiting from technology innovation (Teece)</w:t>
            </w:r>
          </w:p>
        </w:tc>
        <w:tc>
          <w:tcPr>
            <w:tcW w:type="dxa" w:w="6680"/>
            <w:shd w:fill="F3F4F6"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6 — Q1.4, Q3;  Paper 5 — Q1.3</w:t>
            </w:r>
          </w:p>
        </w:tc>
      </w:tr>
      <w:tr>
        <w:trPr>
          <w:cantSplit/>
        </w:trPr>
        <w:tc>
          <w:tcPr>
            <w:tcW w:type="dxa" w:w="3400"/>
            <w:shd w:fill="FFFFFF" w:color="auto" w:val="clear"/>
            <w:tcMar>
              <w:top w:type="dxa" w:w="70"/>
              <w:left w:type="dxa" w:w="110"/>
              <w:bottom w:type="dxa" w:w="70"/>
              <w:right w:type="dxa" w:w="110"/>
            </w:tcMar>
            <w:vAlign w:val="center"/>
          </w:tcPr>
          <w:p>
            <w:pPr>
              <w:spacing w:after="40" w:before="40" w:line="250" w:lineRule="auto"/>
              <w:jc w:val="left"/>
            </w:pPr>
            <w:r>
              <w:rPr>
                <w:b/>
                <w:bCs/>
                <w:color w:val="1A1A1A"/>
                <w:sz w:val="16"/>
                <w:szCs w:val="16"/>
              </w:rPr>
              <w:t xml:space="preserve">3 IP Commercialization</w:t>
            </w:r>
          </w:p>
        </w:tc>
        <w:tc>
          <w:tcPr>
            <w:tcW w:type="dxa" w:w="6680"/>
            <w:shd w:fill="FFFFFF" w:color="auto" w:val="clear"/>
            <w:tcMar>
              <w:top w:type="dxa" w:w="70"/>
              <w:left w:type="dxa" w:w="110"/>
              <w:bottom w:type="dxa" w:w="70"/>
              <w:right w:type="dxa" w:w="110"/>
            </w:tcMar>
            <w:vAlign w:val="center"/>
          </w:tcPr>
          <w:p>
            <w:pPr>
              <w:spacing w:after="40" w:before="40" w:line="250" w:lineRule="auto"/>
              <w:jc w:val="left"/>
            </w:pPr>
            <w:r>
              <w:rPr>
                <w:b w:val="false"/>
                <w:bCs w:val="false"/>
                <w:color w:val="1A1A1A"/>
                <w:sz w:val="16"/>
                <w:szCs w:val="16"/>
              </w:rPr>
              <w:t xml:space="preserve">Paper 1 — Q2, Q3;  Paper 2 — Q1.2, Q1.3;  Paper 5 — Q1.3, Q2;  Paper 6 — Q1.4</w:t>
            </w:r>
          </w:p>
        </w:tc>
      </w:tr>
    </w:tbl>
    <w:p>
      <w:pPr>
        <w:keepNext w:val="false"/>
        <w:spacing w:after="0" w:line="280" w:lineRule="auto"/>
        <w:jc w:val="center"/>
      </w:pPr>
      <w:r>
        <w:rPr>
          <w:i/>
          <w:iCs/>
          <w:color w:val="5A6270"/>
        </w:rPr>
        <w:t xml:space="preserve">End of document.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2E0" w:sz="4" w:space="8"/>
      </w:pBdr>
      <w:spacing w:before="120"/>
      <w:jc w:val="center"/>
    </w:pPr>
    <w:r>
      <w:rPr>
        <w:sz w:val="15"/>
        <w:szCs w:val="15"/>
      </w:rPr>
      <w:t xml:space="preserve">IP Management  ·  Practice Papers  ·  </w:t>
    </w:r>
    <w:r>
      <w:rPr>
        <w:color w:val="5A62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F3864"/>
      </w:rPr>
    </w:lvl>
    <w:lvl w:ilvl="1" w15:tentative="1">
      <w:start w:val="1"/>
      <w:numFmt w:val="bullet"/>
      <w:lvlText w:val="–"/>
      <w:lvlJc w:val="left"/>
      <w:pPr>
        <w:ind w:left="760" w:hanging="220"/>
      </w:pPr>
      <w:rPr>
        <w:color w:val="1F3864"/>
      </w:rPr>
    </w:lvl>
  </w:abstractNum>
  <w:abstractNum w:abstractNumId="3" w15:restartNumberingAfterBreak="0">
    <w:multiLevelType w:val="hybridMultilevel"/>
    <w:lvl w:ilvl="0" w15:tentative="1">
      <w:start w:val="1"/>
      <w:numFmt w:val="decimal"/>
      <w:lvlText w:val="%1."/>
      <w:lvlJc w:val="left"/>
      <w:pPr>
        <w:ind w:left="460" w:hanging="300"/>
      </w:pPr>
      <w:rPr>
        <w:b/>
        <w:bCs/>
        <w:color w:val="1F386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pPr>
        <w:spacing w:after="140" w:line="2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0"/>
    </w:pPr>
    <w:rPr>
      <w:rFonts w:ascii="Calibri" w:cs="Calibri" w:eastAsia="Calibri" w:hAnsi="Calibri"/>
      <w:b/>
      <w:bCs/>
      <w:color w:val="1F3864"/>
      <w:sz w:val="34"/>
      <w:szCs w:val="34"/>
    </w:rPr>
  </w:style>
  <w:style w:type="paragraph" w:styleId="Heading2">
    <w:name w:val="Heading 2"/>
    <w:basedOn w:val="Normal"/>
    <w:next w:val="Normal"/>
    <w:qFormat/>
    <w:pPr>
      <w:spacing w:after="120" w:before="300"/>
    </w:pPr>
    <w:rPr>
      <w:rFonts w:ascii="Calibri" w:cs="Calibri" w:eastAsia="Calibri" w:hAnsi="Calibri"/>
      <w:b/>
      <w:bCs/>
      <w:color w:val="1F3864"/>
      <w:sz w:val="26"/>
      <w:szCs w:val="26"/>
    </w:rPr>
  </w:style>
  <w:style w:type="paragraph" w:styleId="Heading3">
    <w:name w:val="Heading 3"/>
    <w:basedOn w:val="Normal"/>
    <w:next w:val="Normal"/>
    <w:qFormat/>
    <w:pPr>
      <w:spacing w:after="90" w:before="220"/>
    </w:pPr>
    <w:rPr>
      <w:rFonts w:ascii="Calibri" w:cs="Calibri" w:eastAsia="Calibri" w:hAnsi="Calibri"/>
      <w:b/>
      <w:bCs/>
      <w:color w:val="8A5A1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rPr>
      <w:color w:val="2E5A8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20ca18ba00b2362b28a96cd5ea74c2a4404c78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Management — Mid-Sem Practice Papers with Answers</dc:title>
  <dc:creator>IPR Management study notes</dc:creator>
  <dc:description>Complete study document on IP commercialization</dc:description>
  <cp:lastModifiedBy>Un-named</cp:lastModifiedBy>
  <cp:revision>1</cp:revision>
  <dcterms:created xsi:type="dcterms:W3CDTF">2026-09-20T12:15:08.674Z</dcterms:created>
  <dcterms:modified xsi:type="dcterms:W3CDTF">2026-09-20T12:15:08.683Z</dcterms:modified>
</cp:coreProperties>
</file>

<file path=docProps/custom.xml><?xml version="1.0" encoding="utf-8"?>
<Properties xmlns="http://schemas.openxmlformats.org/officeDocument/2006/custom-properties" xmlns:vt="http://schemas.openxmlformats.org/officeDocument/2006/docPropsVTypes"/>
</file>