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3B8A" w14:textId="77777777" w:rsidR="00E33D27" w:rsidRDefault="00000000">
      <w:pPr>
        <w:spacing w:before="1350" w:after="0"/>
        <w:jc w:val="center"/>
      </w:pPr>
      <w:r>
        <w:rPr>
          <w:b/>
          <w:bCs/>
          <w:color w:val="8A5A10"/>
          <w:sz w:val="24"/>
          <w:szCs w:val="24"/>
        </w:rPr>
        <w:t>IP MANAGEMENT  ·  IP61019</w:t>
      </w:r>
    </w:p>
    <w:p w14:paraId="353F03C9" w14:textId="77777777" w:rsidR="00E33D27" w:rsidRDefault="00000000">
      <w:pPr>
        <w:spacing w:before="250" w:after="0"/>
        <w:jc w:val="center"/>
      </w:pPr>
      <w:r>
        <w:rPr>
          <w:rFonts w:ascii="Calibri" w:eastAsia="Calibri" w:hAnsi="Calibri" w:cs="Calibri"/>
          <w:b/>
          <w:bCs/>
          <w:color w:val="1F3864"/>
          <w:sz w:val="68"/>
          <w:szCs w:val="68"/>
        </w:rPr>
        <w:t>Complete Notes</w:t>
      </w:r>
    </w:p>
    <w:p w14:paraId="4D810A2A" w14:textId="77777777" w:rsidR="00E33D27" w:rsidRDefault="00000000">
      <w:pPr>
        <w:spacing w:before="120" w:after="0"/>
        <w:jc w:val="center"/>
      </w:pPr>
      <w:r>
        <w:rPr>
          <w:i/>
          <w:iCs/>
          <w:color w:val="5A6270"/>
          <w:sz w:val="22"/>
          <w:szCs w:val="22"/>
        </w:rPr>
        <w:t>Definitions and Context  ·  Intellectual Capital and the Knowledge Economy  ·  IP Commercialization</w:t>
      </w:r>
    </w:p>
    <w:p w14:paraId="6A6FC66C" w14:textId="77777777" w:rsidR="00E33D27" w:rsidRDefault="00E33D27">
      <w:pPr>
        <w:pBdr>
          <w:top w:val="single" w:sz="8" w:space="14" w:color="1F3864"/>
        </w:pBdr>
        <w:spacing w:before="420" w:after="0"/>
        <w:jc w:val="center"/>
      </w:pPr>
    </w:p>
    <w:p w14:paraId="5D1BFCEB" w14:textId="77777777" w:rsidR="00E33D27" w:rsidRDefault="00000000">
      <w:pPr>
        <w:spacing w:before="300" w:after="0"/>
        <w:jc w:val="center"/>
      </w:pPr>
      <w:r>
        <w:rPr>
          <w:i/>
          <w:iCs/>
          <w:color w:val="5A6270"/>
          <w:sz w:val="20"/>
          <w:szCs w:val="20"/>
        </w:rPr>
        <w:t>The Rajiv Gandhi School of Intellectual Property Law, IIT Kharagpur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D7F2525"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15C29B7D" w14:textId="77777777" w:rsidR="00E33D27" w:rsidRDefault="00000000">
            <w:pPr>
              <w:spacing w:after="80"/>
            </w:pPr>
            <w:r>
              <w:rPr>
                <w:b/>
                <w:bCs/>
                <w:color w:val="8A5A10"/>
                <w:sz w:val="19"/>
                <w:szCs w:val="19"/>
              </w:rPr>
              <w:t>What is in this file</w:t>
            </w:r>
          </w:p>
          <w:p w14:paraId="65D3D543" w14:textId="77777777" w:rsidR="00E33D27" w:rsidRDefault="00000000">
            <w:pPr>
              <w:spacing w:after="70" w:line="265" w:lineRule="auto"/>
              <w:jc w:val="both"/>
            </w:pPr>
            <w:r>
              <w:rPr>
                <w:b/>
                <w:bCs/>
              </w:rPr>
              <w:t xml:space="preserve">Chapters 1 and 2 </w:t>
            </w:r>
            <w:r>
              <w:t>cover the two examination units in full and in syllabus order: Definitions, Concepts and Context; and Intellectual Capital and the Knowledge Economy, through to the trademark–domain collision and Teece on profiting from technological innovation.</w:t>
            </w:r>
          </w:p>
          <w:p w14:paraId="0AA956CA" w14:textId="77777777" w:rsidR="00E33D27" w:rsidRDefault="00000000">
            <w:pPr>
              <w:spacing w:after="70" w:line="265" w:lineRule="auto"/>
              <w:jc w:val="both"/>
            </w:pPr>
            <w:r>
              <w:rPr>
                <w:b/>
                <w:bCs/>
              </w:rPr>
              <w:t xml:space="preserve">Chapters 3 to 5 </w:t>
            </w:r>
            <w:r>
              <w:t>cover IP Commercialization — syllabus unit 8, delivered as the guest session on IP commercialization in the corporate world.</w:t>
            </w:r>
          </w:p>
          <w:p w14:paraId="1D7348FE" w14:textId="77777777" w:rsidR="00E33D27" w:rsidRDefault="00000000">
            <w:pPr>
              <w:spacing w:after="70" w:line="265" w:lineRule="auto"/>
              <w:jc w:val="both"/>
            </w:pPr>
            <w:r>
              <w:rPr>
                <w:b/>
                <w:bCs/>
              </w:rPr>
              <w:t xml:space="preserve">Chapter 6 </w:t>
            </w:r>
            <w:r>
              <w:t>is revision: the roadmap, twelve points, one key-numbers table, one glossary, the authorities to cite, corrections to claims that circulate in class notes, and practice questions.</w:t>
            </w:r>
          </w:p>
          <w:p w14:paraId="6AC4084B" w14:textId="77777777" w:rsidR="00E33D27" w:rsidRDefault="00000000">
            <w:pPr>
              <w:spacing w:after="70" w:line="265" w:lineRule="auto"/>
              <w:jc w:val="both"/>
            </w:pPr>
            <w:r>
              <w:rPr>
                <w:b/>
                <w:bCs/>
              </w:rPr>
              <w:t xml:space="preserve">Sources. </w:t>
            </w:r>
            <w:r>
              <w:t>The class lectures and notes, the seminar deck, and the prescribed readings — Bosworth &amp; Webster (2006), Granstrand (2000) and Anderson on technology transfer and licensing — supported by the primary scholarship each heading rests on. Gap-filling additions are visible in the text; corrections are consolidated at section 6.5.</w:t>
            </w:r>
          </w:p>
        </w:tc>
      </w:tr>
    </w:tbl>
    <w:p w14:paraId="11C0FEF8" w14:textId="77777777" w:rsidR="00E33D27" w:rsidRDefault="00E33D27">
      <w:pPr>
        <w:spacing w:after="160"/>
      </w:pPr>
    </w:p>
    <w:p w14:paraId="340233C1" w14:textId="77777777" w:rsidR="00E33D27" w:rsidRDefault="00000000">
      <w:r>
        <w:br w:type="page"/>
      </w:r>
    </w:p>
    <w:p w14:paraId="53884DC7" w14:textId="77777777" w:rsidR="00E33D27" w:rsidRDefault="00000000">
      <w:pPr>
        <w:spacing w:after="200"/>
      </w:pPr>
      <w:r>
        <w:rPr>
          <w:rFonts w:ascii="Calibri" w:eastAsia="Calibri" w:hAnsi="Calibri" w:cs="Calibri"/>
          <w:b/>
          <w:bCs/>
          <w:color w:val="1F3864"/>
          <w:sz w:val="36"/>
          <w:szCs w:val="36"/>
        </w:rPr>
        <w:lastRenderedPageBreak/>
        <w:t>Contents</w:t>
      </w:r>
    </w:p>
    <w:sdt>
      <w:sdtPr>
        <w:alias w:val="Contents"/>
        <w:id w:val="-1395887474"/>
      </w:sdtPr>
      <w:sdtContent>
        <w:p w14:paraId="2F1C9CE4" w14:textId="77777777" w:rsidR="00E33D27" w:rsidRDefault="00000000">
          <w:r>
            <w:fldChar w:fldCharType="begin"/>
          </w:r>
          <w:r>
            <w:instrText>TOC \h \o "1-3"</w:instrText>
          </w:r>
          <w:r>
            <w:fldChar w:fldCharType="separate"/>
          </w:r>
        </w:p>
        <w:p w14:paraId="77BBA93F" w14:textId="77777777" w:rsidR="00E33D27" w:rsidRDefault="00000000">
          <w:r>
            <w:fldChar w:fldCharType="end"/>
          </w:r>
        </w:p>
      </w:sdtContent>
    </w:sdt>
    <w:p w14:paraId="7558CE98" w14:textId="77777777" w:rsidR="00E33D27" w:rsidRDefault="00000000">
      <w:pPr>
        <w:spacing w:before="260"/>
      </w:pPr>
      <w:r>
        <w:rPr>
          <w:i/>
          <w:iCs/>
          <w:color w:val="5A6270"/>
          <w:sz w:val="16"/>
          <w:szCs w:val="16"/>
        </w:rPr>
        <w:t>If the list above appears blank, click in it and press F9 (Windows) or right-click → Update Field.</w:t>
      </w:r>
    </w:p>
    <w:p w14:paraId="6AFA8F08" w14:textId="77777777" w:rsidR="00E33D27" w:rsidRDefault="00000000">
      <w:r>
        <w:br w:type="page"/>
      </w:r>
    </w:p>
    <w:p w14:paraId="294E22D0" w14:textId="77777777" w:rsidR="00E33D27" w:rsidRDefault="00000000">
      <w:pPr>
        <w:pStyle w:val="Heading1"/>
        <w:pageBreakBefore/>
        <w:pBdr>
          <w:bottom w:val="single" w:sz="10" w:space="6" w:color="1F3864"/>
        </w:pBdr>
      </w:pPr>
      <w:r>
        <w:lastRenderedPageBreak/>
        <w:t>1  Definitions, Concepts and Context</w:t>
      </w:r>
    </w:p>
    <w:p w14:paraId="359A579C" w14:textId="77777777" w:rsidR="00E33D27" w:rsidRDefault="00000000">
      <w:pPr>
        <w:pStyle w:val="Heading2"/>
        <w:keepNext/>
      </w:pPr>
      <w:r>
        <w:t>1.1  Introduction to Intellectual Property Management</w:t>
      </w:r>
    </w:p>
    <w:p w14:paraId="7D1FD189" w14:textId="77777777" w:rsidR="00E33D27" w:rsidRDefault="00000000">
      <w:pPr>
        <w:jc w:val="both"/>
      </w:pPr>
      <w:r>
        <w:t>This subject begins with a shift of mental gear that catches most law students off guard. Everything you have studied until now asks what a right is, how it is obtained and how it is enforced. Management asks a different question: given that the right exists, what is it for, what is it worth, who should hold it, and what should be done with it? The law is the instrument; management is the use of the instrument. A patent attorney asks whether a claim is valid. An IP manager asks whether the claim is worth the annuity that will be paid on it for the next nineteen years. Both questions are legitimate, and the second one is the subject of this course.</w:t>
      </w:r>
    </w:p>
    <w:p w14:paraId="48B67B1E" w14:textId="77777777" w:rsidR="00E33D27" w:rsidRDefault="00000000">
      <w:pPr>
        <w:jc w:val="both"/>
      </w:pPr>
      <w:r>
        <w:t>Start from the ordinary meaning of management, because the definition of IP management is built on it. Management is the coordinated use of resources to achieve a defined objective. In the classroom that definition was assembled out of seven recurring aims, and they are worth listing because each one reappears later as a specific IP problem: increasing efficiency; cost-benefit optimisation; resource optimisation; minimising errors; maximising shareholder value; quality improvement; and balancing competing interests. To these the class added legal compliance and running the operation. Notice how naturally each transfers. Error minimisation becomes the avoidance of a missed deadline, a defective assignment or a disclosure before filing. Balancing competing interests becomes the reconciliation of the inventor, the employer, the sponsor, the licensee and the public. Cost-benefit optimisation becomes the decision whether to enter the national phase in a country where nobody will sell the product.</w:t>
      </w:r>
    </w:p>
    <w:p w14:paraId="1B9DFB9A" w14:textId="77777777" w:rsidR="00E33D27" w:rsidRDefault="00000000">
      <w:pPr>
        <w:jc w:val="both"/>
      </w:pPr>
      <w:r>
        <w:t>A caution about definitions, since it was made emphatically in class and it applies throughout this document. There is no single examinable definition of management, of intellectual capital, or of IP management. Every scholar classifies differently and is at liberty to do so. What is assessed is whether you have understood the concept well enough to express it in your own words and to illustrate it. A definition reproduced without an example earns less than a definition framed imprecisely but illustrated exactly. Understand the concept; then choose your own wording.</w:t>
      </w:r>
    </w:p>
    <w:p w14:paraId="16CA0449" w14:textId="77777777" w:rsidR="00E33D27" w:rsidRDefault="00000000">
      <w:pPr>
        <w:pStyle w:val="Heading3"/>
        <w:keepNext/>
      </w:pPr>
      <w:r>
        <w:t>Management, administration, IP management and IP strategy</w:t>
      </w:r>
    </w:p>
    <w:p w14:paraId="5F1326FB" w14:textId="77777777" w:rsidR="00E33D27" w:rsidRDefault="00000000">
      <w:pPr>
        <w:jc w:val="both"/>
      </w:pPr>
      <w:r>
        <w:t>The distinction that organises the whole first unit is between management and administration, and its IP analogue between IP management and IP strategy.</w:t>
      </w:r>
    </w:p>
    <w:p w14:paraId="7CCB4971" w14:textId="77777777" w:rsidR="00E33D27" w:rsidRDefault="00000000">
      <w:pPr>
        <w:keepNext/>
        <w:spacing w:before="160" w:after="60" w:line="240" w:lineRule="auto"/>
        <w:jc w:val="center"/>
      </w:pPr>
      <w:r>
        <w:rPr>
          <w:noProof/>
        </w:rPr>
        <w:lastRenderedPageBreak/>
        <w:drawing>
          <wp:inline distT="0" distB="0" distL="0" distR="0" wp14:anchorId="528B5522" wp14:editId="464DCD32">
            <wp:extent cx="617220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3819525"/>
                    </a:xfrm>
                    <a:prstGeom prst="rect">
                      <a:avLst/>
                    </a:prstGeom>
                  </pic:spPr>
                </pic:pic>
              </a:graphicData>
            </a:graphic>
          </wp:inline>
        </w:drawing>
      </w:r>
    </w:p>
    <w:p w14:paraId="1DCD6139" w14:textId="77777777" w:rsidR="00E33D27" w:rsidRDefault="00000000">
      <w:pPr>
        <w:spacing w:after="220" w:line="240" w:lineRule="auto"/>
        <w:jc w:val="center"/>
      </w:pPr>
      <w:r>
        <w:rPr>
          <w:i/>
          <w:iCs/>
          <w:color w:val="5A6270"/>
          <w:sz w:val="17"/>
          <w:szCs w:val="17"/>
        </w:rPr>
        <w:t>Figure 1.1  The strategy hierarchy, and the administration–management distinction on which it rests.</w:t>
      </w:r>
    </w:p>
    <w:p w14:paraId="6B179435" w14:textId="77777777" w:rsidR="00E33D27" w:rsidRDefault="00000000">
      <w:pPr>
        <w:jc w:val="both"/>
      </w:pPr>
      <w:r>
        <w:t>Administration operates at the highest level. It formulates policy, makes decisions, governs, and anticipates — it asks what the organisation should look like in ten or twenty years, whether to enter a sector, whether to pursue a merger, how much capital to commit to a patent portfolio. Its vocabulary is vision. Management operates below it: it implements, executes, achieves targets, optimises resources, assesses risk step by step, and delivers the mission, objectives and milestones that administration has set. In an institute the central administration building houses the first; the departments and divisions perform the second. In a company the board and the chief executive perform the first; the levels of manager below them perform the second.</w:t>
      </w:r>
    </w:p>
    <w:p w14:paraId="029DA08E" w14:textId="77777777" w:rsidR="00E33D27" w:rsidRDefault="00000000">
      <w:pPr>
        <w:jc w:val="both"/>
      </w:pPr>
      <w:r>
        <w:t>Applied to IP, administration corresponds to IP strategy and management to IP management. When a firm decides that it will build a portfolio in automotive sensing because the automobile sector is growing faster than its existing electrical business, that is administration exercising IP strategy: the board deliberates, anticipates the market, commits the capital, and accepts the risk. When the IP department then decides which of the resulting disclosures to file, in which countries, with which claim structure and at what cost, that is IP management. The two are not ranked by difficulty but by horizon and by the type of decision each makes.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C48DD65"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74251F41" w14:textId="77777777" w:rsidR="00E33D27" w:rsidRDefault="00000000">
            <w:pPr>
              <w:spacing w:after="80"/>
            </w:pPr>
            <w:r>
              <w:rPr>
                <w:b/>
                <w:bCs/>
                <w:color w:val="1F3864"/>
                <w:sz w:val="19"/>
                <w:szCs w:val="19"/>
              </w:rPr>
              <w:t>The point that is examined, not merely stated</w:t>
            </w:r>
          </w:p>
          <w:p w14:paraId="4F2CFF3E" w14:textId="77777777" w:rsidR="00E33D27" w:rsidRDefault="00000000">
            <w:pPr>
              <w:spacing w:after="70" w:line="265" w:lineRule="auto"/>
              <w:jc w:val="both"/>
            </w:pPr>
            <w:r>
              <w:rPr>
                <w:sz w:val="18"/>
                <w:szCs w:val="18"/>
              </w:rPr>
              <w:t>Strategy is not the property of senior people alone; it appears wherever a single choice changes a future outcome. Drafting is often dismissed as mundane, but the choice of one word in a claim decides what the patent will cover for twenty years, and the choice of one word in a contract decides who owns the next generation of the technology. So the practitioner who drafts with the market and the portfolio in mind is doing strategic work at an operational desk. This is exactly why the discipline exists: it teaches the person holding the pen to think about the horizon.</w:t>
            </w:r>
          </w:p>
        </w:tc>
      </w:tr>
    </w:tbl>
    <w:p w14:paraId="6262266F" w14:textId="77777777" w:rsidR="00E33D27" w:rsidRDefault="00E33D27">
      <w:pPr>
        <w:spacing w:after="160"/>
      </w:pPr>
    </w:p>
    <w:p w14:paraId="6A6959BF" w14:textId="77777777" w:rsidR="00E33D27" w:rsidRDefault="00000000">
      <w:pPr>
        <w:pStyle w:val="Heading3"/>
        <w:keepNext/>
      </w:pPr>
      <w:r>
        <w:lastRenderedPageBreak/>
        <w:t>Why IP management became a separate discipline, and when</w:t>
      </w:r>
    </w:p>
    <w:p w14:paraId="66A4E407" w14:textId="77777777" w:rsidR="00E33D27" w:rsidRDefault="00000000">
      <w:pPr>
        <w:jc w:val="both"/>
      </w:pPr>
      <w:r>
        <w:t>IP rights are old; IP management is recent. The explanation lies in a policy shift usually called the pro-patent era.</w:t>
      </w:r>
    </w:p>
    <w:p w14:paraId="5ECCD31B" w14:textId="77777777" w:rsidR="00E33D27" w:rsidRDefault="00000000">
      <w:pPr>
        <w:keepNext/>
        <w:spacing w:before="160" w:after="60" w:line="240" w:lineRule="auto"/>
        <w:jc w:val="center"/>
      </w:pPr>
      <w:r>
        <w:rPr>
          <w:noProof/>
        </w:rPr>
        <w:drawing>
          <wp:inline distT="0" distB="0" distL="0" distR="0" wp14:anchorId="31C5DAD2" wp14:editId="0E687419">
            <wp:extent cx="6172200" cy="2581275"/>
            <wp:effectExtent l="0" t="0" r="0" b="0"/>
            <wp:docPr id="742078488" name="Picture 74207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2581275"/>
                    </a:xfrm>
                    <a:prstGeom prst="rect">
                      <a:avLst/>
                    </a:prstGeom>
                  </pic:spPr>
                </pic:pic>
              </a:graphicData>
            </a:graphic>
          </wp:inline>
        </w:drawing>
      </w:r>
    </w:p>
    <w:p w14:paraId="72CBA898" w14:textId="77777777" w:rsidR="00E33D27" w:rsidRDefault="00000000">
      <w:pPr>
        <w:spacing w:after="220" w:line="240" w:lineRule="auto"/>
        <w:jc w:val="center"/>
      </w:pPr>
      <w:r>
        <w:rPr>
          <w:i/>
          <w:iCs/>
          <w:color w:val="5A6270"/>
          <w:sz w:val="17"/>
          <w:szCs w:val="17"/>
        </w:rPr>
        <w:t>Figure 1.2  The dates that made IP management necessary.</w:t>
      </w:r>
    </w:p>
    <w:p w14:paraId="0A0FBDBE" w14:textId="77777777" w:rsidR="00E33D27" w:rsidRDefault="00000000">
      <w:pPr>
        <w:jc w:val="both"/>
      </w:pPr>
      <w:r>
        <w:t>Four changes concentrated in a very short period transformed the commercial weight of patents. In 1980 the Bayh–Dole Act allowed American universities, non-profits and small businesses to take title to inventions arising from federally funded research, creating for the first time an owner who could licence exclusively and therefore a counterparty a company could negotiate with. In the same year the Supreme Court of the United States held in Diamond v. Chakrabarty, 447 U.S. 303 (1980), by a majority of five to four, that a live, genetically engineered micro-organism was patentable subject matter — the decision whose reasoning is popularly compressed into the phrase that patentable subject matter includes anything under the sun that is made by man. In 1982 the Court of Appeals for the Federal Circuit was created, centralising patent appeals and markedly strengthening the validity and enforceability of patents. And in 1994 the TRIPS Agreement made minimum standards binding on WTO members, globalising the system.</w:t>
      </w:r>
    </w:p>
    <w:p w14:paraId="18EED281" w14:textId="77777777" w:rsidR="00E33D27" w:rsidRDefault="00000000">
      <w:pPr>
        <w:jc w:val="both"/>
      </w:pPr>
      <w:r>
        <w:t>Once patents became reliably enforceable, commercially decisive and internationally uniform, portfolios grew, licensing markets formed, litigation values rose into the hundreds of millions, and the asset became too valuable to be left to a filing clerk. That is the period in which the dedicated function appears. The defensible dating is therefore the 1980s and 1990s. Two refinements are worth carrying into an answer. First, the Paris Convention of 1883 is properly described as the foundational multilateral instrument of the modern industrial property system, because it introduced national treatment and the right of priority; the class shorthand calling it the master key is rhetorical but not wrong. Second, the claim that Japan pioneered IP management before the centre of gravity moved to the United States is only partly right, and the precise version is worth knowing: Japanese corporations built exceptionally strong patent cultures during their long post-war catch-up, and Granstrand documents this at length, but the pro-patent era as a policy paradigm was initiated in the United States between 1980 and 1982 and then spread.</w:t>
      </w:r>
    </w:p>
    <w:p w14:paraId="1D0E6659" w14:textId="77777777" w:rsidR="00E33D27" w:rsidRDefault="00000000">
      <w:pPr>
        <w:pStyle w:val="Heading3"/>
        <w:keepNext/>
      </w:pPr>
      <w:r>
        <w:t>The responsibilities of the IP management function</w:t>
      </w:r>
    </w:p>
    <w:p w14:paraId="4C7922BF" w14:textId="77777777" w:rsidR="00E33D27" w:rsidRDefault="00000000">
      <w:pPr>
        <w:jc w:val="both"/>
      </w:pPr>
      <w:r>
        <w:t xml:space="preserve">The classic enumeration is Sullivan's, given in 1998 and still serviceable, and the class presented it precisely as a historical marker rather than as gospel: a scheme written when almost nothing existed, which you are free to extend, compress or replace. Sullivan's key responsibilities are the generation of IP, portfolio management, </w:t>
      </w:r>
      <w:r>
        <w:lastRenderedPageBreak/>
        <w:t>valuation, the conversion of intellectual assets into competitive assets, and strategic decision-making around them.</w:t>
      </w:r>
    </w:p>
    <w:p w14:paraId="5E36DEFD" w14:textId="77777777" w:rsidR="00E33D27" w:rsidRDefault="00000000">
      <w:pPr>
        <w:jc w:val="both"/>
      </w:pPr>
      <w:r>
        <w:t>Alongside Sullivan sits the four-stage cycle used in class as the practical spine of the subject, and it is the better answer to a question asking what an IP manager actually does. First, recognising an IP and categorising it: deciding whether a result is protectable at all, and if so under which regime, and classifying it in business, technical and legal terms. Second, branding the IP: attaching identity, reputation and communicable value to it. Third, growing and defending it: building the portfolio outward, monitoring, enforcing, maintaining. Fourth, valuing it, because every decision above requires a number. The modern function adds freedom-to-operate analysis, landscaping and intelligence, licensing and technology transfer, audit, and the management of external counsel.</w:t>
      </w:r>
    </w:p>
    <w:p w14:paraId="7A15756F" w14:textId="77777777" w:rsidR="00E33D27" w:rsidRDefault="00000000">
      <w:pPr>
        <w:jc w:val="both"/>
      </w:pPr>
      <w:r>
        <w:t>The role has a career geography worth knowing. Drafting, prosecution and analytics sit at the entry and middle levels and are frequently described as back-end work — though the previous callout explains why that description is misleading. IP management proper is a higher-level position in which one is answerable for the organisation's position in a technological domain, and the standard profile in a large firm is severe: thirty to thirty-five years of experience before a person runs the portfolio of a company like IBM or Pfizer. The roles are also small in headcount relative to the assets managed. A global IP team of around fifteen people, with perhaps four in India, may steward tens of thousands of active rights, with drafting and prosecution outsourced.</w:t>
      </w:r>
    </w:p>
    <w:p w14:paraId="24472840" w14:textId="77777777" w:rsidR="00E33D27" w:rsidRDefault="00000000">
      <w:pPr>
        <w:pStyle w:val="Heading3"/>
        <w:keepNext/>
      </w:pPr>
      <w:r>
        <w:t>The economic backdrop: why the discipline could not have existed earlier</w:t>
      </w:r>
    </w:p>
    <w:p w14:paraId="58DFDBB7" w14:textId="77777777" w:rsidR="00E33D27" w:rsidRDefault="00000000">
      <w:pPr>
        <w:jc w:val="both"/>
      </w:pPr>
      <w:r>
        <w:t>The factors of production in an industrial economy are land, labour, capital and entrepreneurship. Those four explain wealth when wealth is made by combining physical things. They do not explain a scientist who earns a living by monetising a right, or a consulting firm whose entire output is a copyrighted report, or a chip designer who never owns a factory. The class put the contrast starkly: in a knowledge-based economy those four criteria recede, and knowledge itself becomes the productive factor. This is not a claim that land and labour have ceased to matter; it is a claim that the marginal source of value has moved. Section 1.4 develops the shift, and section 2.1 gives it its formal name.</w:t>
      </w:r>
    </w:p>
    <w:p w14:paraId="1EFCEBBA" w14:textId="77777777" w:rsidR="00E33D27" w:rsidRDefault="00000000">
      <w:pPr>
        <w:keepNext/>
        <w:spacing w:before="60" w:after="80"/>
      </w:pPr>
      <w:r>
        <w:rPr>
          <w:b/>
          <w:bCs/>
          <w:color w:val="1F3864"/>
          <w:sz w:val="18"/>
          <w:szCs w:val="18"/>
        </w:rPr>
        <w:t>Four functions that are constantly confused — keep them separate</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100"/>
        <w:gridCol w:w="2700"/>
        <w:gridCol w:w="2700"/>
        <w:gridCol w:w="2580"/>
      </w:tblGrid>
      <w:tr w:rsidR="00E33D27" w14:paraId="1941CF19" w14:textId="77777777">
        <w:tblPrEx>
          <w:tblCellMar>
            <w:top w:w="0" w:type="dxa"/>
            <w:bottom w:w="0" w:type="dxa"/>
          </w:tblCellMar>
        </w:tblPrEx>
        <w:trPr>
          <w:cantSplit/>
          <w:tblHeader/>
        </w:trPr>
        <w:tc>
          <w:tcPr>
            <w:tcW w:w="2100" w:type="dxa"/>
            <w:shd w:val="clear" w:color="auto" w:fill="1F3864"/>
            <w:tcMar>
              <w:top w:w="70" w:type="dxa"/>
              <w:left w:w="110" w:type="dxa"/>
              <w:bottom w:w="70" w:type="dxa"/>
              <w:right w:w="110" w:type="dxa"/>
            </w:tcMar>
            <w:vAlign w:val="center"/>
          </w:tcPr>
          <w:p w14:paraId="67EBF5CA" w14:textId="77777777" w:rsidR="00E33D27" w:rsidRDefault="00E33D27">
            <w:pPr>
              <w:spacing w:before="40" w:after="40" w:line="250" w:lineRule="auto"/>
            </w:pPr>
          </w:p>
        </w:tc>
        <w:tc>
          <w:tcPr>
            <w:tcW w:w="2700" w:type="dxa"/>
            <w:shd w:val="clear" w:color="auto" w:fill="1F3864"/>
            <w:tcMar>
              <w:top w:w="70" w:type="dxa"/>
              <w:left w:w="110" w:type="dxa"/>
              <w:bottom w:w="70" w:type="dxa"/>
              <w:right w:w="110" w:type="dxa"/>
            </w:tcMar>
            <w:vAlign w:val="center"/>
          </w:tcPr>
          <w:p w14:paraId="62414190" w14:textId="77777777" w:rsidR="00E33D27" w:rsidRDefault="00000000">
            <w:pPr>
              <w:spacing w:before="40" w:after="40" w:line="250" w:lineRule="auto"/>
            </w:pPr>
            <w:r>
              <w:rPr>
                <w:b/>
                <w:bCs/>
                <w:color w:val="FFFFFF"/>
                <w:sz w:val="17"/>
                <w:szCs w:val="17"/>
              </w:rPr>
              <w:t>Question it asks</w:t>
            </w:r>
          </w:p>
        </w:tc>
        <w:tc>
          <w:tcPr>
            <w:tcW w:w="2700" w:type="dxa"/>
            <w:shd w:val="clear" w:color="auto" w:fill="1F3864"/>
            <w:tcMar>
              <w:top w:w="70" w:type="dxa"/>
              <w:left w:w="110" w:type="dxa"/>
              <w:bottom w:w="70" w:type="dxa"/>
              <w:right w:w="110" w:type="dxa"/>
            </w:tcMar>
            <w:vAlign w:val="center"/>
          </w:tcPr>
          <w:p w14:paraId="7C7D22D3" w14:textId="77777777" w:rsidR="00E33D27" w:rsidRDefault="00000000">
            <w:pPr>
              <w:spacing w:before="40" w:after="40" w:line="250" w:lineRule="auto"/>
            </w:pPr>
            <w:r>
              <w:rPr>
                <w:b/>
                <w:bCs/>
                <w:color w:val="FFFFFF"/>
                <w:sz w:val="17"/>
                <w:szCs w:val="17"/>
              </w:rPr>
              <w:t>Typical actor</w:t>
            </w:r>
          </w:p>
        </w:tc>
        <w:tc>
          <w:tcPr>
            <w:tcW w:w="2580" w:type="dxa"/>
            <w:shd w:val="clear" w:color="auto" w:fill="1F3864"/>
            <w:tcMar>
              <w:top w:w="70" w:type="dxa"/>
              <w:left w:w="110" w:type="dxa"/>
              <w:bottom w:w="70" w:type="dxa"/>
              <w:right w:w="110" w:type="dxa"/>
            </w:tcMar>
            <w:vAlign w:val="center"/>
          </w:tcPr>
          <w:p w14:paraId="67ADFFF9" w14:textId="77777777" w:rsidR="00E33D27" w:rsidRDefault="00000000">
            <w:pPr>
              <w:spacing w:before="40" w:after="40" w:line="250" w:lineRule="auto"/>
            </w:pPr>
            <w:r>
              <w:rPr>
                <w:b/>
                <w:bCs/>
                <w:color w:val="FFFFFF"/>
                <w:sz w:val="17"/>
                <w:szCs w:val="17"/>
              </w:rPr>
              <w:t>Output</w:t>
            </w:r>
          </w:p>
        </w:tc>
      </w:tr>
      <w:tr w:rsidR="00E33D27" w14:paraId="31491A1F" w14:textId="77777777">
        <w:tblPrEx>
          <w:tblCellMar>
            <w:top w:w="0" w:type="dxa"/>
            <w:bottom w:w="0" w:type="dxa"/>
          </w:tblCellMar>
        </w:tblPrEx>
        <w:trPr>
          <w:cantSplit/>
        </w:trPr>
        <w:tc>
          <w:tcPr>
            <w:tcW w:w="2100" w:type="dxa"/>
            <w:shd w:val="clear" w:color="auto" w:fill="F3F4F6"/>
            <w:tcMar>
              <w:top w:w="70" w:type="dxa"/>
              <w:left w:w="110" w:type="dxa"/>
              <w:bottom w:w="70" w:type="dxa"/>
              <w:right w:w="110" w:type="dxa"/>
            </w:tcMar>
            <w:vAlign w:val="center"/>
          </w:tcPr>
          <w:p w14:paraId="0CB2AB2E" w14:textId="77777777" w:rsidR="00E33D27" w:rsidRDefault="00000000">
            <w:pPr>
              <w:spacing w:before="40" w:after="40" w:line="250" w:lineRule="auto"/>
            </w:pPr>
            <w:r>
              <w:rPr>
                <w:b/>
                <w:bCs/>
                <w:sz w:val="16"/>
                <w:szCs w:val="16"/>
              </w:rPr>
              <w:t>IP law practice</w:t>
            </w:r>
          </w:p>
        </w:tc>
        <w:tc>
          <w:tcPr>
            <w:tcW w:w="2700" w:type="dxa"/>
            <w:shd w:val="clear" w:color="auto" w:fill="F3F4F6"/>
            <w:tcMar>
              <w:top w:w="70" w:type="dxa"/>
              <w:left w:w="110" w:type="dxa"/>
              <w:bottom w:w="70" w:type="dxa"/>
              <w:right w:w="110" w:type="dxa"/>
            </w:tcMar>
            <w:vAlign w:val="center"/>
          </w:tcPr>
          <w:p w14:paraId="3D5DC6EC" w14:textId="77777777" w:rsidR="00E33D27" w:rsidRDefault="00000000">
            <w:pPr>
              <w:spacing w:before="40" w:after="40" w:line="250" w:lineRule="auto"/>
            </w:pPr>
            <w:r>
              <w:rPr>
                <w:sz w:val="16"/>
                <w:szCs w:val="16"/>
              </w:rPr>
              <w:t>Is this right valid, infringed, enforceable?</w:t>
            </w:r>
          </w:p>
        </w:tc>
        <w:tc>
          <w:tcPr>
            <w:tcW w:w="2700" w:type="dxa"/>
            <w:shd w:val="clear" w:color="auto" w:fill="F3F4F6"/>
            <w:tcMar>
              <w:top w:w="70" w:type="dxa"/>
              <w:left w:w="110" w:type="dxa"/>
              <w:bottom w:w="70" w:type="dxa"/>
              <w:right w:w="110" w:type="dxa"/>
            </w:tcMar>
            <w:vAlign w:val="center"/>
          </w:tcPr>
          <w:p w14:paraId="51A522F3" w14:textId="77777777" w:rsidR="00E33D27" w:rsidRDefault="00000000">
            <w:pPr>
              <w:spacing w:before="40" w:after="40" w:line="250" w:lineRule="auto"/>
            </w:pPr>
            <w:r>
              <w:rPr>
                <w:sz w:val="16"/>
                <w:szCs w:val="16"/>
              </w:rPr>
              <w:t>Attorney, patent agent, litigator</w:t>
            </w:r>
          </w:p>
        </w:tc>
        <w:tc>
          <w:tcPr>
            <w:tcW w:w="2580" w:type="dxa"/>
            <w:shd w:val="clear" w:color="auto" w:fill="F3F4F6"/>
            <w:tcMar>
              <w:top w:w="70" w:type="dxa"/>
              <w:left w:w="110" w:type="dxa"/>
              <w:bottom w:w="70" w:type="dxa"/>
              <w:right w:w="110" w:type="dxa"/>
            </w:tcMar>
            <w:vAlign w:val="center"/>
          </w:tcPr>
          <w:p w14:paraId="473AAE9A" w14:textId="77777777" w:rsidR="00E33D27" w:rsidRDefault="00000000">
            <w:pPr>
              <w:spacing w:before="40" w:after="40" w:line="250" w:lineRule="auto"/>
            </w:pPr>
            <w:r>
              <w:rPr>
                <w:sz w:val="16"/>
                <w:szCs w:val="16"/>
              </w:rPr>
              <w:t>A drafted specification, an opinion, a pleading</w:t>
            </w:r>
          </w:p>
        </w:tc>
      </w:tr>
      <w:tr w:rsidR="00E33D27" w14:paraId="146FFB29"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vAlign w:val="center"/>
          </w:tcPr>
          <w:p w14:paraId="5C7BD85F" w14:textId="77777777" w:rsidR="00E33D27" w:rsidRDefault="00000000">
            <w:pPr>
              <w:spacing w:before="40" w:after="40" w:line="250" w:lineRule="auto"/>
            </w:pPr>
            <w:r>
              <w:rPr>
                <w:b/>
                <w:bCs/>
                <w:sz w:val="16"/>
                <w:szCs w:val="16"/>
              </w:rPr>
              <w:t>IP administration</w:t>
            </w:r>
          </w:p>
        </w:tc>
        <w:tc>
          <w:tcPr>
            <w:tcW w:w="2700" w:type="dxa"/>
            <w:shd w:val="clear" w:color="auto" w:fill="FFFFFF"/>
            <w:tcMar>
              <w:top w:w="70" w:type="dxa"/>
              <w:left w:w="110" w:type="dxa"/>
              <w:bottom w:w="70" w:type="dxa"/>
              <w:right w:w="110" w:type="dxa"/>
            </w:tcMar>
            <w:vAlign w:val="center"/>
          </w:tcPr>
          <w:p w14:paraId="1628AECC" w14:textId="77777777" w:rsidR="00E33D27" w:rsidRDefault="00000000">
            <w:pPr>
              <w:spacing w:before="40" w:after="40" w:line="250" w:lineRule="auto"/>
            </w:pPr>
            <w:r>
              <w:rPr>
                <w:sz w:val="16"/>
                <w:szCs w:val="16"/>
              </w:rPr>
              <w:t>Is the record correct and the deadline met?</w:t>
            </w:r>
          </w:p>
        </w:tc>
        <w:tc>
          <w:tcPr>
            <w:tcW w:w="2700" w:type="dxa"/>
            <w:shd w:val="clear" w:color="auto" w:fill="FFFFFF"/>
            <w:tcMar>
              <w:top w:w="70" w:type="dxa"/>
              <w:left w:w="110" w:type="dxa"/>
              <w:bottom w:w="70" w:type="dxa"/>
              <w:right w:w="110" w:type="dxa"/>
            </w:tcMar>
            <w:vAlign w:val="center"/>
          </w:tcPr>
          <w:p w14:paraId="31C68C5F" w14:textId="77777777" w:rsidR="00E33D27" w:rsidRDefault="00000000">
            <w:pPr>
              <w:spacing w:before="40" w:after="40" w:line="250" w:lineRule="auto"/>
            </w:pPr>
            <w:r>
              <w:rPr>
                <w:sz w:val="16"/>
                <w:szCs w:val="16"/>
              </w:rPr>
              <w:t>Docketing and records staff, IP cell</w:t>
            </w:r>
          </w:p>
        </w:tc>
        <w:tc>
          <w:tcPr>
            <w:tcW w:w="2580" w:type="dxa"/>
            <w:shd w:val="clear" w:color="auto" w:fill="FFFFFF"/>
            <w:tcMar>
              <w:top w:w="70" w:type="dxa"/>
              <w:left w:w="110" w:type="dxa"/>
              <w:bottom w:w="70" w:type="dxa"/>
              <w:right w:w="110" w:type="dxa"/>
            </w:tcMar>
            <w:vAlign w:val="center"/>
          </w:tcPr>
          <w:p w14:paraId="2903DE32" w14:textId="77777777" w:rsidR="00E33D27" w:rsidRDefault="00000000">
            <w:pPr>
              <w:spacing w:before="40" w:after="40" w:line="250" w:lineRule="auto"/>
            </w:pPr>
            <w:r>
              <w:rPr>
                <w:sz w:val="16"/>
                <w:szCs w:val="16"/>
              </w:rPr>
              <w:t>Filings, renewals, registers, chain of title</w:t>
            </w:r>
          </w:p>
        </w:tc>
      </w:tr>
      <w:tr w:rsidR="00E33D27" w14:paraId="2E12E97D" w14:textId="77777777">
        <w:tblPrEx>
          <w:tblCellMar>
            <w:top w:w="0" w:type="dxa"/>
            <w:bottom w:w="0" w:type="dxa"/>
          </w:tblCellMar>
        </w:tblPrEx>
        <w:trPr>
          <w:cantSplit/>
        </w:trPr>
        <w:tc>
          <w:tcPr>
            <w:tcW w:w="2100" w:type="dxa"/>
            <w:shd w:val="clear" w:color="auto" w:fill="F3F4F6"/>
            <w:tcMar>
              <w:top w:w="70" w:type="dxa"/>
              <w:left w:w="110" w:type="dxa"/>
              <w:bottom w:w="70" w:type="dxa"/>
              <w:right w:w="110" w:type="dxa"/>
            </w:tcMar>
            <w:vAlign w:val="center"/>
          </w:tcPr>
          <w:p w14:paraId="270302F4" w14:textId="77777777" w:rsidR="00E33D27" w:rsidRDefault="00000000">
            <w:pPr>
              <w:spacing w:before="40" w:after="40" w:line="250" w:lineRule="auto"/>
            </w:pPr>
            <w:r>
              <w:rPr>
                <w:b/>
                <w:bCs/>
                <w:sz w:val="16"/>
                <w:szCs w:val="16"/>
              </w:rPr>
              <w:t>IP management</w:t>
            </w:r>
          </w:p>
        </w:tc>
        <w:tc>
          <w:tcPr>
            <w:tcW w:w="2700" w:type="dxa"/>
            <w:shd w:val="clear" w:color="auto" w:fill="F3F4F6"/>
            <w:tcMar>
              <w:top w:w="70" w:type="dxa"/>
              <w:left w:w="110" w:type="dxa"/>
              <w:bottom w:w="70" w:type="dxa"/>
              <w:right w:w="110" w:type="dxa"/>
            </w:tcMar>
            <w:vAlign w:val="center"/>
          </w:tcPr>
          <w:p w14:paraId="399500D1" w14:textId="77777777" w:rsidR="00E33D27" w:rsidRDefault="00000000">
            <w:pPr>
              <w:spacing w:before="40" w:after="40" w:line="250" w:lineRule="auto"/>
            </w:pPr>
            <w:r>
              <w:rPr>
                <w:sz w:val="16"/>
                <w:szCs w:val="16"/>
              </w:rPr>
              <w:t>How do we use, price and defend what we hold?</w:t>
            </w:r>
          </w:p>
        </w:tc>
        <w:tc>
          <w:tcPr>
            <w:tcW w:w="2700" w:type="dxa"/>
            <w:shd w:val="clear" w:color="auto" w:fill="F3F4F6"/>
            <w:tcMar>
              <w:top w:w="70" w:type="dxa"/>
              <w:left w:w="110" w:type="dxa"/>
              <w:bottom w:w="70" w:type="dxa"/>
              <w:right w:w="110" w:type="dxa"/>
            </w:tcMar>
            <w:vAlign w:val="center"/>
          </w:tcPr>
          <w:p w14:paraId="244D11EB" w14:textId="77777777" w:rsidR="00E33D27" w:rsidRDefault="00000000">
            <w:pPr>
              <w:spacing w:before="40" w:after="40" w:line="250" w:lineRule="auto"/>
            </w:pPr>
            <w:r>
              <w:rPr>
                <w:sz w:val="16"/>
                <w:szCs w:val="16"/>
              </w:rPr>
              <w:t>IP manager, technology transfer officer</w:t>
            </w:r>
          </w:p>
        </w:tc>
        <w:tc>
          <w:tcPr>
            <w:tcW w:w="2580" w:type="dxa"/>
            <w:shd w:val="clear" w:color="auto" w:fill="F3F4F6"/>
            <w:tcMar>
              <w:top w:w="70" w:type="dxa"/>
              <w:left w:w="110" w:type="dxa"/>
              <w:bottom w:w="70" w:type="dxa"/>
              <w:right w:w="110" w:type="dxa"/>
            </w:tcMar>
            <w:vAlign w:val="center"/>
          </w:tcPr>
          <w:p w14:paraId="3BB51C7E" w14:textId="77777777" w:rsidR="00E33D27" w:rsidRDefault="00000000">
            <w:pPr>
              <w:spacing w:before="40" w:after="40" w:line="250" w:lineRule="auto"/>
            </w:pPr>
            <w:r>
              <w:rPr>
                <w:sz w:val="16"/>
                <w:szCs w:val="16"/>
              </w:rPr>
              <w:t>Portfolio decisions, licences, budgets, audits</w:t>
            </w:r>
          </w:p>
        </w:tc>
      </w:tr>
      <w:tr w:rsidR="00E33D27" w14:paraId="42A63603"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vAlign w:val="center"/>
          </w:tcPr>
          <w:p w14:paraId="2694207A" w14:textId="77777777" w:rsidR="00E33D27" w:rsidRDefault="00000000">
            <w:pPr>
              <w:spacing w:before="40" w:after="40" w:line="250" w:lineRule="auto"/>
            </w:pPr>
            <w:r>
              <w:rPr>
                <w:b/>
                <w:bCs/>
                <w:sz w:val="16"/>
                <w:szCs w:val="16"/>
              </w:rPr>
              <w:t>IP strategy</w:t>
            </w:r>
          </w:p>
        </w:tc>
        <w:tc>
          <w:tcPr>
            <w:tcW w:w="2700" w:type="dxa"/>
            <w:shd w:val="clear" w:color="auto" w:fill="FFFFFF"/>
            <w:tcMar>
              <w:top w:w="70" w:type="dxa"/>
              <w:left w:w="110" w:type="dxa"/>
              <w:bottom w:w="70" w:type="dxa"/>
              <w:right w:w="110" w:type="dxa"/>
            </w:tcMar>
            <w:vAlign w:val="center"/>
          </w:tcPr>
          <w:p w14:paraId="1BAEA76A" w14:textId="77777777" w:rsidR="00E33D27" w:rsidRDefault="00000000">
            <w:pPr>
              <w:spacing w:before="40" w:after="40" w:line="250" w:lineRule="auto"/>
            </w:pPr>
            <w:r>
              <w:rPr>
                <w:sz w:val="16"/>
                <w:szCs w:val="16"/>
              </w:rPr>
              <w:t>Which rights should exist at all, and why?</w:t>
            </w:r>
          </w:p>
        </w:tc>
        <w:tc>
          <w:tcPr>
            <w:tcW w:w="2700" w:type="dxa"/>
            <w:shd w:val="clear" w:color="auto" w:fill="FFFFFF"/>
            <w:tcMar>
              <w:top w:w="70" w:type="dxa"/>
              <w:left w:w="110" w:type="dxa"/>
              <w:bottom w:w="70" w:type="dxa"/>
              <w:right w:w="110" w:type="dxa"/>
            </w:tcMar>
            <w:vAlign w:val="center"/>
          </w:tcPr>
          <w:p w14:paraId="16593EBD" w14:textId="77777777" w:rsidR="00E33D27" w:rsidRDefault="00000000">
            <w:pPr>
              <w:spacing w:before="40" w:after="40" w:line="250" w:lineRule="auto"/>
            </w:pPr>
            <w:r>
              <w:rPr>
                <w:sz w:val="16"/>
                <w:szCs w:val="16"/>
              </w:rPr>
              <w:t>Board, CTO, director, dean</w:t>
            </w:r>
          </w:p>
        </w:tc>
        <w:tc>
          <w:tcPr>
            <w:tcW w:w="2580" w:type="dxa"/>
            <w:shd w:val="clear" w:color="auto" w:fill="FFFFFF"/>
            <w:tcMar>
              <w:top w:w="70" w:type="dxa"/>
              <w:left w:w="110" w:type="dxa"/>
              <w:bottom w:w="70" w:type="dxa"/>
              <w:right w:w="110" w:type="dxa"/>
            </w:tcMar>
            <w:vAlign w:val="center"/>
          </w:tcPr>
          <w:p w14:paraId="78C89918" w14:textId="77777777" w:rsidR="00E33D27" w:rsidRDefault="00000000">
            <w:pPr>
              <w:spacing w:before="40" w:after="40" w:line="250" w:lineRule="auto"/>
            </w:pPr>
            <w:r>
              <w:rPr>
                <w:sz w:val="16"/>
                <w:szCs w:val="16"/>
              </w:rPr>
              <w:t>Vision, sector choices, capital allocation</w:t>
            </w:r>
          </w:p>
        </w:tc>
      </w:tr>
    </w:tbl>
    <w:p w14:paraId="7D72FA83" w14:textId="77777777" w:rsidR="00E33D27" w:rsidRDefault="00000000">
      <w:pPr>
        <w:spacing w:before="60" w:after="180"/>
      </w:pPr>
      <w:r>
        <w:rPr>
          <w:i/>
          <w:iCs/>
          <w:color w:val="5A6270"/>
          <w:sz w:val="16"/>
          <w:szCs w:val="16"/>
        </w:rPr>
        <w:t>Table 1.1  Four adjacent functions. Examination answers lose marks mainly by collapsing the third into the first.</w:t>
      </w:r>
    </w:p>
    <w:p w14:paraId="3F01633C" w14:textId="77777777" w:rsidR="00E33D27" w:rsidRDefault="00000000">
      <w:pPr>
        <w:pStyle w:val="Heading2"/>
        <w:keepNext/>
      </w:pPr>
      <w:r>
        <w:t>1.2  Basic Definitions and Concepts</w:t>
      </w:r>
    </w:p>
    <w:p w14:paraId="3348C126" w14:textId="77777777" w:rsidR="00E33D27" w:rsidRDefault="00000000">
      <w:pPr>
        <w:jc w:val="both"/>
      </w:pPr>
      <w:r>
        <w:t>This section is the vocabulary on which both units depend. Treat it as definitional groundwork to be learned exactly, because almost every later argument is a rearrangement of these terms.</w:t>
      </w:r>
    </w:p>
    <w:p w14:paraId="0926AC2B" w14:textId="77777777" w:rsidR="00E33D27" w:rsidRDefault="00000000">
      <w:pPr>
        <w:pStyle w:val="Heading3"/>
        <w:keepNext/>
      </w:pPr>
      <w:r>
        <w:lastRenderedPageBreak/>
        <w:t>The nesting of intangible assets, intellectual capital, intellectual property and IP rights</w:t>
      </w:r>
    </w:p>
    <w:p w14:paraId="2BA7AD89" w14:textId="77777777" w:rsidR="00E33D27" w:rsidRDefault="00000000">
      <w:pPr>
        <w:jc w:val="both"/>
      </w:pPr>
      <w:r>
        <w:t>The four terms are not synonyms and they are not parallel. They are nested.</w:t>
      </w:r>
    </w:p>
    <w:p w14:paraId="5AB93849" w14:textId="77777777" w:rsidR="00E33D27" w:rsidRDefault="00000000">
      <w:pPr>
        <w:keepNext/>
        <w:spacing w:before="160" w:after="60" w:line="240" w:lineRule="auto"/>
        <w:jc w:val="center"/>
      </w:pPr>
      <w:r>
        <w:rPr>
          <w:noProof/>
        </w:rPr>
        <w:drawing>
          <wp:inline distT="0" distB="0" distL="0" distR="0" wp14:anchorId="583A9356" wp14:editId="5A33232E">
            <wp:extent cx="6172200" cy="3152775"/>
            <wp:effectExtent l="0" t="0" r="0" b="0"/>
            <wp:docPr id="1600541824" name="Picture 16005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152775"/>
                    </a:xfrm>
                    <a:prstGeom prst="rect">
                      <a:avLst/>
                    </a:prstGeom>
                  </pic:spPr>
                </pic:pic>
              </a:graphicData>
            </a:graphic>
          </wp:inline>
        </w:drawing>
      </w:r>
    </w:p>
    <w:p w14:paraId="0EB1285B" w14:textId="77777777" w:rsidR="00E33D27" w:rsidRDefault="00000000">
      <w:pPr>
        <w:spacing w:after="220" w:line="240" w:lineRule="auto"/>
        <w:jc w:val="center"/>
      </w:pPr>
      <w:r>
        <w:rPr>
          <w:i/>
          <w:iCs/>
          <w:color w:val="5A6270"/>
          <w:sz w:val="17"/>
          <w:szCs w:val="17"/>
        </w:rPr>
        <w:t>Figure 1.3  The nesting. Read it from the outside in.</w:t>
      </w:r>
    </w:p>
    <w:p w14:paraId="3D65EAC0" w14:textId="77777777" w:rsidR="00E33D27" w:rsidRDefault="00000000">
      <w:pPr>
        <w:jc w:val="both"/>
      </w:pPr>
      <w:r>
        <w:t>An intangible asset is anything of economic value that lacks physical substance. It is the widest category and includes items no IP statute touches: goodwill, workforce morale, customer relationships, an assembled database, a firm's reputation for reliability. Intellectual capital is the knowledge-based part of that universe — the stock of knowledge resources, embodied in people, structures and relationships, from which an organisation creates value. Intellectual assets are the identifiable, usually documented, elements of that stock: a written process, a recorded dataset, a body of know-how. Intellectual property is the subset of intellectual assets that the law recognises as protectable subject matter. And an intellectual property right is the enforceable legal right itself.</w:t>
      </w:r>
    </w:p>
    <w:p w14:paraId="09EB8A5D" w14:textId="77777777" w:rsidR="00E33D27" w:rsidRDefault="00000000">
      <w:pPr>
        <w:jc w:val="both"/>
      </w:pPr>
      <w:r>
        <w:t>Two propositions from class follow directly and are frequently examined. First, intellectual property is a subset of intangible property — never the reverse. Second, all IP has a specific, dedicated protection regime, whereas other intangible property is protected only through general legal protection. A patent is protected by the Patents Act; a trademark by the Trade Marks Act; a design by the Designs Act; a copyright by the Copyright Act. But a firm's goodwill, its customer list, its internal culture and its confidential business information have no dedicated statute and must be defended through contract, confidentiality, employment terms, competition law, the tort of passing off, or accounting treatment. The careful way to put this is that the sets of applicable law differ: IP has a closed, purpose-built set; other intangibles fall back on general law.</w:t>
      </w:r>
    </w:p>
    <w:p w14:paraId="2C27D79F" w14:textId="77777777" w:rsidR="00E33D27" w:rsidRDefault="00000000">
      <w:pPr>
        <w:jc w:val="both"/>
      </w:pPr>
      <w:r>
        <w:t>It is also worth noticing how deeply contract law underlies the whole field. When an applicant files a patent with the patent office, the applicant discloses the invention and the State confers the right — an exchange that is contractual in structure. Every licence, assignment, NOC, sponsored-research arrangement and confidentiality undertaking is a contract. A weak grasp of contract law is therefore a fatal weakness in IP management, however strong the grasp of the IP statutes.</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1900"/>
        <w:gridCol w:w="3300"/>
        <w:gridCol w:w="1500"/>
        <w:gridCol w:w="3380"/>
      </w:tblGrid>
      <w:tr w:rsidR="00E33D27" w14:paraId="5372D01C" w14:textId="77777777">
        <w:tblPrEx>
          <w:tblCellMar>
            <w:top w:w="0" w:type="dxa"/>
            <w:bottom w:w="0" w:type="dxa"/>
          </w:tblCellMar>
        </w:tblPrEx>
        <w:trPr>
          <w:cantSplit/>
          <w:tblHeader/>
        </w:trPr>
        <w:tc>
          <w:tcPr>
            <w:tcW w:w="1900" w:type="dxa"/>
            <w:shd w:val="clear" w:color="auto" w:fill="1F3864"/>
            <w:tcMar>
              <w:top w:w="70" w:type="dxa"/>
              <w:left w:w="110" w:type="dxa"/>
              <w:bottom w:w="70" w:type="dxa"/>
              <w:right w:w="110" w:type="dxa"/>
            </w:tcMar>
            <w:vAlign w:val="center"/>
          </w:tcPr>
          <w:p w14:paraId="0F87AD55" w14:textId="77777777" w:rsidR="00E33D27" w:rsidRDefault="00000000">
            <w:pPr>
              <w:spacing w:before="40" w:after="40" w:line="250" w:lineRule="auto"/>
            </w:pPr>
            <w:r>
              <w:rPr>
                <w:b/>
                <w:bCs/>
                <w:color w:val="FFFFFF"/>
                <w:sz w:val="17"/>
                <w:szCs w:val="17"/>
              </w:rPr>
              <w:lastRenderedPageBreak/>
              <w:t>Right</w:t>
            </w:r>
          </w:p>
        </w:tc>
        <w:tc>
          <w:tcPr>
            <w:tcW w:w="3300" w:type="dxa"/>
            <w:shd w:val="clear" w:color="auto" w:fill="1F3864"/>
            <w:tcMar>
              <w:top w:w="70" w:type="dxa"/>
              <w:left w:w="110" w:type="dxa"/>
              <w:bottom w:w="70" w:type="dxa"/>
              <w:right w:w="110" w:type="dxa"/>
            </w:tcMar>
            <w:vAlign w:val="center"/>
          </w:tcPr>
          <w:p w14:paraId="63113CB1" w14:textId="77777777" w:rsidR="00E33D27" w:rsidRDefault="00000000">
            <w:pPr>
              <w:spacing w:before="40" w:after="40" w:line="250" w:lineRule="auto"/>
            </w:pPr>
            <w:r>
              <w:rPr>
                <w:b/>
                <w:bCs/>
                <w:color w:val="FFFFFF"/>
                <w:sz w:val="17"/>
                <w:szCs w:val="17"/>
              </w:rPr>
              <w:t>What it protects</w:t>
            </w:r>
          </w:p>
        </w:tc>
        <w:tc>
          <w:tcPr>
            <w:tcW w:w="1500" w:type="dxa"/>
            <w:shd w:val="clear" w:color="auto" w:fill="1F3864"/>
            <w:tcMar>
              <w:top w:w="70" w:type="dxa"/>
              <w:left w:w="110" w:type="dxa"/>
              <w:bottom w:w="70" w:type="dxa"/>
              <w:right w:w="110" w:type="dxa"/>
            </w:tcMar>
            <w:vAlign w:val="center"/>
          </w:tcPr>
          <w:p w14:paraId="27522F97" w14:textId="77777777" w:rsidR="00E33D27" w:rsidRDefault="00000000">
            <w:pPr>
              <w:spacing w:before="40" w:after="40" w:line="250" w:lineRule="auto"/>
            </w:pPr>
            <w:r>
              <w:rPr>
                <w:b/>
                <w:bCs/>
                <w:color w:val="FFFFFF"/>
                <w:sz w:val="17"/>
                <w:szCs w:val="17"/>
              </w:rPr>
              <w:t>Typical term</w:t>
            </w:r>
          </w:p>
        </w:tc>
        <w:tc>
          <w:tcPr>
            <w:tcW w:w="3380" w:type="dxa"/>
            <w:shd w:val="clear" w:color="auto" w:fill="1F3864"/>
            <w:tcMar>
              <w:top w:w="70" w:type="dxa"/>
              <w:left w:w="110" w:type="dxa"/>
              <w:bottom w:w="70" w:type="dxa"/>
              <w:right w:w="110" w:type="dxa"/>
            </w:tcMar>
            <w:vAlign w:val="center"/>
          </w:tcPr>
          <w:p w14:paraId="16F86CCE" w14:textId="77777777" w:rsidR="00E33D27" w:rsidRDefault="00000000">
            <w:pPr>
              <w:spacing w:before="40" w:after="40" w:line="250" w:lineRule="auto"/>
            </w:pPr>
            <w:r>
              <w:rPr>
                <w:b/>
                <w:bCs/>
                <w:color w:val="FFFFFF"/>
                <w:sz w:val="17"/>
                <w:szCs w:val="17"/>
              </w:rPr>
              <w:t>Role in commercialization</w:t>
            </w:r>
          </w:p>
        </w:tc>
      </w:tr>
      <w:tr w:rsidR="00E33D27" w14:paraId="30674496" w14:textId="77777777">
        <w:tblPrEx>
          <w:tblCellMar>
            <w:top w:w="0" w:type="dxa"/>
            <w:bottom w:w="0" w:type="dxa"/>
          </w:tblCellMar>
        </w:tblPrEx>
        <w:trPr>
          <w:cantSplit/>
        </w:trPr>
        <w:tc>
          <w:tcPr>
            <w:tcW w:w="1900" w:type="dxa"/>
            <w:shd w:val="clear" w:color="auto" w:fill="F3F4F6"/>
            <w:tcMar>
              <w:top w:w="70" w:type="dxa"/>
              <w:left w:w="110" w:type="dxa"/>
              <w:bottom w:w="70" w:type="dxa"/>
              <w:right w:w="110" w:type="dxa"/>
            </w:tcMar>
            <w:vAlign w:val="center"/>
          </w:tcPr>
          <w:p w14:paraId="76A6A1A1" w14:textId="77777777" w:rsidR="00E33D27" w:rsidRDefault="00000000">
            <w:pPr>
              <w:spacing w:before="40" w:after="40" w:line="250" w:lineRule="auto"/>
            </w:pPr>
            <w:r>
              <w:rPr>
                <w:b/>
                <w:bCs/>
                <w:sz w:val="16"/>
                <w:szCs w:val="16"/>
              </w:rPr>
              <w:t>Patent</w:t>
            </w:r>
          </w:p>
        </w:tc>
        <w:tc>
          <w:tcPr>
            <w:tcW w:w="3300" w:type="dxa"/>
            <w:shd w:val="clear" w:color="auto" w:fill="F3F4F6"/>
            <w:tcMar>
              <w:top w:w="70" w:type="dxa"/>
              <w:left w:w="110" w:type="dxa"/>
              <w:bottom w:w="70" w:type="dxa"/>
              <w:right w:w="110" w:type="dxa"/>
            </w:tcMar>
            <w:vAlign w:val="center"/>
          </w:tcPr>
          <w:p w14:paraId="7193870F" w14:textId="77777777" w:rsidR="00E33D27" w:rsidRDefault="00000000">
            <w:pPr>
              <w:spacing w:before="40" w:after="40" w:line="250" w:lineRule="auto"/>
            </w:pPr>
            <w:r>
              <w:rPr>
                <w:sz w:val="16"/>
                <w:szCs w:val="16"/>
              </w:rPr>
              <w:t>A new, non-obvious, industrially applicable invention, in exchange for full public disclosure</w:t>
            </w:r>
          </w:p>
        </w:tc>
        <w:tc>
          <w:tcPr>
            <w:tcW w:w="1500" w:type="dxa"/>
            <w:shd w:val="clear" w:color="auto" w:fill="F3F4F6"/>
            <w:tcMar>
              <w:top w:w="70" w:type="dxa"/>
              <w:left w:w="110" w:type="dxa"/>
              <w:bottom w:w="70" w:type="dxa"/>
              <w:right w:w="110" w:type="dxa"/>
            </w:tcMar>
            <w:vAlign w:val="center"/>
          </w:tcPr>
          <w:p w14:paraId="43B1481B" w14:textId="77777777" w:rsidR="00E33D27" w:rsidRDefault="00000000">
            <w:pPr>
              <w:spacing w:before="40" w:after="40" w:line="250" w:lineRule="auto"/>
            </w:pPr>
            <w:r>
              <w:rPr>
                <w:sz w:val="16"/>
                <w:szCs w:val="16"/>
              </w:rPr>
              <w:t>20 years from filing</w:t>
            </w:r>
          </w:p>
        </w:tc>
        <w:tc>
          <w:tcPr>
            <w:tcW w:w="3380" w:type="dxa"/>
            <w:shd w:val="clear" w:color="auto" w:fill="F3F4F6"/>
            <w:tcMar>
              <w:top w:w="70" w:type="dxa"/>
              <w:left w:w="110" w:type="dxa"/>
              <w:bottom w:w="70" w:type="dxa"/>
              <w:right w:w="110" w:type="dxa"/>
            </w:tcMar>
            <w:vAlign w:val="center"/>
          </w:tcPr>
          <w:p w14:paraId="0327FED1" w14:textId="77777777" w:rsidR="00E33D27" w:rsidRDefault="00000000">
            <w:pPr>
              <w:spacing w:before="40" w:after="40" w:line="250" w:lineRule="auto"/>
            </w:pPr>
            <w:r>
              <w:rPr>
                <w:sz w:val="16"/>
                <w:szCs w:val="16"/>
              </w:rPr>
              <w:t>The core exclusivity asset: blocks imitation, earns royalties, and is the currency of cross-licensing</w:t>
            </w:r>
          </w:p>
        </w:tc>
      </w:tr>
      <w:tr w:rsidR="00E33D27" w14:paraId="2788CD20" w14:textId="77777777">
        <w:tblPrEx>
          <w:tblCellMar>
            <w:top w:w="0" w:type="dxa"/>
            <w:bottom w:w="0" w:type="dxa"/>
          </w:tblCellMar>
        </w:tblPrEx>
        <w:trPr>
          <w:cantSplit/>
        </w:trPr>
        <w:tc>
          <w:tcPr>
            <w:tcW w:w="1900" w:type="dxa"/>
            <w:shd w:val="clear" w:color="auto" w:fill="FFFFFF"/>
            <w:tcMar>
              <w:top w:w="70" w:type="dxa"/>
              <w:left w:w="110" w:type="dxa"/>
              <w:bottom w:w="70" w:type="dxa"/>
              <w:right w:w="110" w:type="dxa"/>
            </w:tcMar>
            <w:vAlign w:val="center"/>
          </w:tcPr>
          <w:p w14:paraId="04BEEBDD" w14:textId="77777777" w:rsidR="00E33D27" w:rsidRDefault="00000000">
            <w:pPr>
              <w:spacing w:before="40" w:after="40" w:line="250" w:lineRule="auto"/>
            </w:pPr>
            <w:r>
              <w:rPr>
                <w:b/>
                <w:bCs/>
                <w:sz w:val="16"/>
                <w:szCs w:val="16"/>
              </w:rPr>
              <w:t>Utility model</w:t>
            </w:r>
          </w:p>
        </w:tc>
        <w:tc>
          <w:tcPr>
            <w:tcW w:w="3300" w:type="dxa"/>
            <w:shd w:val="clear" w:color="auto" w:fill="FFFFFF"/>
            <w:tcMar>
              <w:top w:w="70" w:type="dxa"/>
              <w:left w:w="110" w:type="dxa"/>
              <w:bottom w:w="70" w:type="dxa"/>
              <w:right w:w="110" w:type="dxa"/>
            </w:tcMar>
            <w:vAlign w:val="center"/>
          </w:tcPr>
          <w:p w14:paraId="2B6B3EB3" w14:textId="77777777" w:rsidR="00E33D27" w:rsidRDefault="00000000">
            <w:pPr>
              <w:spacing w:before="40" w:after="40" w:line="250" w:lineRule="auto"/>
            </w:pPr>
            <w:r>
              <w:rPr>
                <w:sz w:val="16"/>
                <w:szCs w:val="16"/>
              </w:rPr>
              <w:t>Smaller technical improvements; little or no examination in some countries</w:t>
            </w:r>
          </w:p>
        </w:tc>
        <w:tc>
          <w:tcPr>
            <w:tcW w:w="1500" w:type="dxa"/>
            <w:shd w:val="clear" w:color="auto" w:fill="FFFFFF"/>
            <w:tcMar>
              <w:top w:w="70" w:type="dxa"/>
              <w:left w:w="110" w:type="dxa"/>
              <w:bottom w:w="70" w:type="dxa"/>
              <w:right w:w="110" w:type="dxa"/>
            </w:tcMar>
            <w:vAlign w:val="center"/>
          </w:tcPr>
          <w:p w14:paraId="4C512275" w14:textId="77777777" w:rsidR="00E33D27" w:rsidRDefault="00000000">
            <w:pPr>
              <w:spacing w:before="40" w:after="40" w:line="250" w:lineRule="auto"/>
            </w:pPr>
            <w:r>
              <w:rPr>
                <w:sz w:val="16"/>
                <w:szCs w:val="16"/>
              </w:rPr>
              <w:t>6–10 years</w:t>
            </w:r>
          </w:p>
        </w:tc>
        <w:tc>
          <w:tcPr>
            <w:tcW w:w="3380" w:type="dxa"/>
            <w:shd w:val="clear" w:color="auto" w:fill="FFFFFF"/>
            <w:tcMar>
              <w:top w:w="70" w:type="dxa"/>
              <w:left w:w="110" w:type="dxa"/>
              <w:bottom w:w="70" w:type="dxa"/>
              <w:right w:w="110" w:type="dxa"/>
            </w:tcMar>
            <w:vAlign w:val="center"/>
          </w:tcPr>
          <w:p w14:paraId="5FA3BCA4" w14:textId="77777777" w:rsidR="00E33D27" w:rsidRDefault="00000000">
            <w:pPr>
              <w:spacing w:before="40" w:after="40" w:line="250" w:lineRule="auto"/>
            </w:pPr>
            <w:r>
              <w:rPr>
                <w:sz w:val="16"/>
                <w:szCs w:val="16"/>
              </w:rPr>
              <w:t>Fast, cheap fencing around a core patent</w:t>
            </w:r>
          </w:p>
        </w:tc>
      </w:tr>
      <w:tr w:rsidR="00E33D27" w14:paraId="71E2ED74" w14:textId="77777777">
        <w:tblPrEx>
          <w:tblCellMar>
            <w:top w:w="0" w:type="dxa"/>
            <w:bottom w:w="0" w:type="dxa"/>
          </w:tblCellMar>
        </w:tblPrEx>
        <w:trPr>
          <w:cantSplit/>
        </w:trPr>
        <w:tc>
          <w:tcPr>
            <w:tcW w:w="1900" w:type="dxa"/>
            <w:shd w:val="clear" w:color="auto" w:fill="F3F4F6"/>
            <w:tcMar>
              <w:top w:w="70" w:type="dxa"/>
              <w:left w:w="110" w:type="dxa"/>
              <w:bottom w:w="70" w:type="dxa"/>
              <w:right w:w="110" w:type="dxa"/>
            </w:tcMar>
            <w:vAlign w:val="center"/>
          </w:tcPr>
          <w:p w14:paraId="46320D88" w14:textId="77777777" w:rsidR="00E33D27" w:rsidRDefault="00000000">
            <w:pPr>
              <w:spacing w:before="40" w:after="40" w:line="250" w:lineRule="auto"/>
            </w:pPr>
            <w:r>
              <w:rPr>
                <w:b/>
                <w:bCs/>
                <w:sz w:val="16"/>
                <w:szCs w:val="16"/>
              </w:rPr>
              <w:t>Trademark</w:t>
            </w:r>
          </w:p>
        </w:tc>
        <w:tc>
          <w:tcPr>
            <w:tcW w:w="3300" w:type="dxa"/>
            <w:shd w:val="clear" w:color="auto" w:fill="F3F4F6"/>
            <w:tcMar>
              <w:top w:w="70" w:type="dxa"/>
              <w:left w:w="110" w:type="dxa"/>
              <w:bottom w:w="70" w:type="dxa"/>
              <w:right w:w="110" w:type="dxa"/>
            </w:tcMar>
            <w:vAlign w:val="center"/>
          </w:tcPr>
          <w:p w14:paraId="093DEA22" w14:textId="77777777" w:rsidR="00E33D27" w:rsidRDefault="00000000">
            <w:pPr>
              <w:spacing w:before="40" w:after="40" w:line="250" w:lineRule="auto"/>
            </w:pPr>
            <w:r>
              <w:rPr>
                <w:sz w:val="16"/>
                <w:szCs w:val="16"/>
              </w:rPr>
              <w:t>A sign distinguishing one undertaking's goods or services</w:t>
            </w:r>
          </w:p>
        </w:tc>
        <w:tc>
          <w:tcPr>
            <w:tcW w:w="1500" w:type="dxa"/>
            <w:shd w:val="clear" w:color="auto" w:fill="F3F4F6"/>
            <w:tcMar>
              <w:top w:w="70" w:type="dxa"/>
              <w:left w:w="110" w:type="dxa"/>
              <w:bottom w:w="70" w:type="dxa"/>
              <w:right w:w="110" w:type="dxa"/>
            </w:tcMar>
            <w:vAlign w:val="center"/>
          </w:tcPr>
          <w:p w14:paraId="274BD805" w14:textId="77777777" w:rsidR="00E33D27" w:rsidRDefault="00000000">
            <w:pPr>
              <w:spacing w:before="40" w:after="40" w:line="250" w:lineRule="auto"/>
            </w:pPr>
            <w:r>
              <w:rPr>
                <w:sz w:val="16"/>
                <w:szCs w:val="16"/>
              </w:rPr>
              <w:t>10 years, renewable indefinitely</w:t>
            </w:r>
          </w:p>
        </w:tc>
        <w:tc>
          <w:tcPr>
            <w:tcW w:w="3380" w:type="dxa"/>
            <w:shd w:val="clear" w:color="auto" w:fill="F3F4F6"/>
            <w:tcMar>
              <w:top w:w="70" w:type="dxa"/>
              <w:left w:w="110" w:type="dxa"/>
              <w:bottom w:w="70" w:type="dxa"/>
              <w:right w:w="110" w:type="dxa"/>
            </w:tcMar>
            <w:vAlign w:val="center"/>
          </w:tcPr>
          <w:p w14:paraId="23AAFE1A" w14:textId="77777777" w:rsidR="00E33D27" w:rsidRDefault="00000000">
            <w:pPr>
              <w:spacing w:before="40" w:after="40" w:line="250" w:lineRule="auto"/>
            </w:pPr>
            <w:r>
              <w:rPr>
                <w:sz w:val="16"/>
                <w:szCs w:val="16"/>
              </w:rPr>
              <w:t>Carries value into new product areas and outlives the patent</w:t>
            </w:r>
          </w:p>
        </w:tc>
      </w:tr>
      <w:tr w:rsidR="00E33D27" w14:paraId="36005957" w14:textId="77777777">
        <w:tblPrEx>
          <w:tblCellMar>
            <w:top w:w="0" w:type="dxa"/>
            <w:bottom w:w="0" w:type="dxa"/>
          </w:tblCellMar>
        </w:tblPrEx>
        <w:trPr>
          <w:cantSplit/>
        </w:trPr>
        <w:tc>
          <w:tcPr>
            <w:tcW w:w="1900" w:type="dxa"/>
            <w:shd w:val="clear" w:color="auto" w:fill="FFFFFF"/>
            <w:tcMar>
              <w:top w:w="70" w:type="dxa"/>
              <w:left w:w="110" w:type="dxa"/>
              <w:bottom w:w="70" w:type="dxa"/>
              <w:right w:w="110" w:type="dxa"/>
            </w:tcMar>
            <w:vAlign w:val="center"/>
          </w:tcPr>
          <w:p w14:paraId="29BC7C52" w14:textId="77777777" w:rsidR="00E33D27" w:rsidRDefault="00000000">
            <w:pPr>
              <w:spacing w:before="40" w:after="40" w:line="250" w:lineRule="auto"/>
            </w:pPr>
            <w:r>
              <w:rPr>
                <w:b/>
                <w:bCs/>
                <w:sz w:val="16"/>
                <w:szCs w:val="16"/>
              </w:rPr>
              <w:t>Industrial design</w:t>
            </w:r>
          </w:p>
        </w:tc>
        <w:tc>
          <w:tcPr>
            <w:tcW w:w="3300" w:type="dxa"/>
            <w:shd w:val="clear" w:color="auto" w:fill="FFFFFF"/>
            <w:tcMar>
              <w:top w:w="70" w:type="dxa"/>
              <w:left w:w="110" w:type="dxa"/>
              <w:bottom w:w="70" w:type="dxa"/>
              <w:right w:w="110" w:type="dxa"/>
            </w:tcMar>
            <w:vAlign w:val="center"/>
          </w:tcPr>
          <w:p w14:paraId="3EFA0EF6" w14:textId="77777777" w:rsidR="00E33D27" w:rsidRDefault="00000000">
            <w:pPr>
              <w:spacing w:before="40" w:after="40" w:line="250" w:lineRule="auto"/>
            </w:pPr>
            <w:r>
              <w:rPr>
                <w:sz w:val="16"/>
                <w:szCs w:val="16"/>
              </w:rPr>
              <w:t>The appearance of a product</w:t>
            </w:r>
          </w:p>
        </w:tc>
        <w:tc>
          <w:tcPr>
            <w:tcW w:w="1500" w:type="dxa"/>
            <w:shd w:val="clear" w:color="auto" w:fill="FFFFFF"/>
            <w:tcMar>
              <w:top w:w="70" w:type="dxa"/>
              <w:left w:w="110" w:type="dxa"/>
              <w:bottom w:w="70" w:type="dxa"/>
              <w:right w:w="110" w:type="dxa"/>
            </w:tcMar>
            <w:vAlign w:val="center"/>
          </w:tcPr>
          <w:p w14:paraId="1A1CBD8D" w14:textId="77777777" w:rsidR="00E33D27" w:rsidRDefault="00000000">
            <w:pPr>
              <w:spacing w:before="40" w:after="40" w:line="250" w:lineRule="auto"/>
            </w:pPr>
            <w:r>
              <w:rPr>
                <w:sz w:val="16"/>
                <w:szCs w:val="16"/>
              </w:rPr>
              <w:t>10 + 5 years in India</w:t>
            </w:r>
          </w:p>
        </w:tc>
        <w:tc>
          <w:tcPr>
            <w:tcW w:w="3380" w:type="dxa"/>
            <w:shd w:val="clear" w:color="auto" w:fill="FFFFFF"/>
            <w:tcMar>
              <w:top w:w="70" w:type="dxa"/>
              <w:left w:w="110" w:type="dxa"/>
              <w:bottom w:w="70" w:type="dxa"/>
              <w:right w:w="110" w:type="dxa"/>
            </w:tcMar>
            <w:vAlign w:val="center"/>
          </w:tcPr>
          <w:p w14:paraId="5BA076F4" w14:textId="77777777" w:rsidR="00E33D27" w:rsidRDefault="00000000">
            <w:pPr>
              <w:spacing w:before="40" w:after="40" w:line="250" w:lineRule="auto"/>
            </w:pPr>
            <w:r>
              <w:rPr>
                <w:sz w:val="16"/>
                <w:szCs w:val="16"/>
              </w:rPr>
              <w:t>Protects the embodiment when the function is unpatentable</w:t>
            </w:r>
          </w:p>
        </w:tc>
      </w:tr>
      <w:tr w:rsidR="00E33D27" w14:paraId="315430D3" w14:textId="77777777">
        <w:tblPrEx>
          <w:tblCellMar>
            <w:top w:w="0" w:type="dxa"/>
            <w:bottom w:w="0" w:type="dxa"/>
          </w:tblCellMar>
        </w:tblPrEx>
        <w:trPr>
          <w:cantSplit/>
        </w:trPr>
        <w:tc>
          <w:tcPr>
            <w:tcW w:w="1900" w:type="dxa"/>
            <w:shd w:val="clear" w:color="auto" w:fill="F3F4F6"/>
            <w:tcMar>
              <w:top w:w="70" w:type="dxa"/>
              <w:left w:w="110" w:type="dxa"/>
              <w:bottom w:w="70" w:type="dxa"/>
              <w:right w:w="110" w:type="dxa"/>
            </w:tcMar>
            <w:vAlign w:val="center"/>
          </w:tcPr>
          <w:p w14:paraId="46702B42" w14:textId="77777777" w:rsidR="00E33D27" w:rsidRDefault="00000000">
            <w:pPr>
              <w:spacing w:before="40" w:after="40" w:line="250" w:lineRule="auto"/>
            </w:pPr>
            <w:r>
              <w:rPr>
                <w:b/>
                <w:bCs/>
                <w:sz w:val="16"/>
                <w:szCs w:val="16"/>
              </w:rPr>
              <w:t>Copyright</w:t>
            </w:r>
          </w:p>
        </w:tc>
        <w:tc>
          <w:tcPr>
            <w:tcW w:w="3300" w:type="dxa"/>
            <w:shd w:val="clear" w:color="auto" w:fill="F3F4F6"/>
            <w:tcMar>
              <w:top w:w="70" w:type="dxa"/>
              <w:left w:w="110" w:type="dxa"/>
              <w:bottom w:w="70" w:type="dxa"/>
              <w:right w:w="110" w:type="dxa"/>
            </w:tcMar>
            <w:vAlign w:val="center"/>
          </w:tcPr>
          <w:p w14:paraId="583855D9" w14:textId="77777777" w:rsidR="00E33D27" w:rsidRDefault="00000000">
            <w:pPr>
              <w:spacing w:before="40" w:after="40" w:line="250" w:lineRule="auto"/>
            </w:pPr>
            <w:r>
              <w:rPr>
                <w:sz w:val="16"/>
                <w:szCs w:val="16"/>
              </w:rPr>
              <w:t>Original expression — code, text, drawings, data compilations</w:t>
            </w:r>
          </w:p>
        </w:tc>
        <w:tc>
          <w:tcPr>
            <w:tcW w:w="1500" w:type="dxa"/>
            <w:shd w:val="clear" w:color="auto" w:fill="F3F4F6"/>
            <w:tcMar>
              <w:top w:w="70" w:type="dxa"/>
              <w:left w:w="110" w:type="dxa"/>
              <w:bottom w:w="70" w:type="dxa"/>
              <w:right w:w="110" w:type="dxa"/>
            </w:tcMar>
            <w:vAlign w:val="center"/>
          </w:tcPr>
          <w:p w14:paraId="04423BA1" w14:textId="77777777" w:rsidR="00E33D27" w:rsidRDefault="00000000">
            <w:pPr>
              <w:spacing w:before="40" w:after="40" w:line="250" w:lineRule="auto"/>
            </w:pPr>
            <w:r>
              <w:rPr>
                <w:sz w:val="16"/>
                <w:szCs w:val="16"/>
              </w:rPr>
              <w:t>Life of author + 60 years (India)</w:t>
            </w:r>
          </w:p>
        </w:tc>
        <w:tc>
          <w:tcPr>
            <w:tcW w:w="3380" w:type="dxa"/>
            <w:shd w:val="clear" w:color="auto" w:fill="F3F4F6"/>
            <w:tcMar>
              <w:top w:w="70" w:type="dxa"/>
              <w:left w:w="110" w:type="dxa"/>
              <w:bottom w:w="70" w:type="dxa"/>
              <w:right w:w="110" w:type="dxa"/>
            </w:tcMar>
            <w:vAlign w:val="center"/>
          </w:tcPr>
          <w:p w14:paraId="7BF64223" w14:textId="77777777" w:rsidR="00E33D27" w:rsidRDefault="00000000">
            <w:pPr>
              <w:spacing w:before="40" w:after="40" w:line="250" w:lineRule="auto"/>
            </w:pPr>
            <w:r>
              <w:rPr>
                <w:sz w:val="16"/>
                <w:szCs w:val="16"/>
              </w:rPr>
              <w:t>Dominant in software and content licensing; arises automatically</w:t>
            </w:r>
          </w:p>
        </w:tc>
      </w:tr>
      <w:tr w:rsidR="00E33D27" w14:paraId="3857D80A" w14:textId="77777777">
        <w:tblPrEx>
          <w:tblCellMar>
            <w:top w:w="0" w:type="dxa"/>
            <w:bottom w:w="0" w:type="dxa"/>
          </w:tblCellMar>
        </w:tblPrEx>
        <w:trPr>
          <w:cantSplit/>
        </w:trPr>
        <w:tc>
          <w:tcPr>
            <w:tcW w:w="1900" w:type="dxa"/>
            <w:shd w:val="clear" w:color="auto" w:fill="FFFFFF"/>
            <w:tcMar>
              <w:top w:w="70" w:type="dxa"/>
              <w:left w:w="110" w:type="dxa"/>
              <w:bottom w:w="70" w:type="dxa"/>
              <w:right w:w="110" w:type="dxa"/>
            </w:tcMar>
            <w:vAlign w:val="center"/>
          </w:tcPr>
          <w:p w14:paraId="05E1EF17" w14:textId="77777777" w:rsidR="00E33D27" w:rsidRDefault="00000000">
            <w:pPr>
              <w:spacing w:before="40" w:after="40" w:line="250" w:lineRule="auto"/>
            </w:pPr>
            <w:r>
              <w:rPr>
                <w:b/>
                <w:bCs/>
                <w:sz w:val="16"/>
                <w:szCs w:val="16"/>
              </w:rPr>
              <w:t>Trade secret</w:t>
            </w:r>
          </w:p>
        </w:tc>
        <w:tc>
          <w:tcPr>
            <w:tcW w:w="3300" w:type="dxa"/>
            <w:shd w:val="clear" w:color="auto" w:fill="FFFFFF"/>
            <w:tcMar>
              <w:top w:w="70" w:type="dxa"/>
              <w:left w:w="110" w:type="dxa"/>
              <w:bottom w:w="70" w:type="dxa"/>
              <w:right w:w="110" w:type="dxa"/>
            </w:tcMar>
            <w:vAlign w:val="center"/>
          </w:tcPr>
          <w:p w14:paraId="479DF011" w14:textId="77777777" w:rsidR="00E33D27" w:rsidRDefault="00000000">
            <w:pPr>
              <w:spacing w:before="40" w:after="40" w:line="250" w:lineRule="auto"/>
            </w:pPr>
            <w:r>
              <w:rPr>
                <w:sz w:val="16"/>
                <w:szCs w:val="16"/>
              </w:rPr>
              <w:t>Commercially valuable information kept confidential</w:t>
            </w:r>
          </w:p>
        </w:tc>
        <w:tc>
          <w:tcPr>
            <w:tcW w:w="1500" w:type="dxa"/>
            <w:shd w:val="clear" w:color="auto" w:fill="FFFFFF"/>
            <w:tcMar>
              <w:top w:w="70" w:type="dxa"/>
              <w:left w:w="110" w:type="dxa"/>
              <w:bottom w:w="70" w:type="dxa"/>
              <w:right w:w="110" w:type="dxa"/>
            </w:tcMar>
            <w:vAlign w:val="center"/>
          </w:tcPr>
          <w:p w14:paraId="110F842F" w14:textId="77777777" w:rsidR="00E33D27" w:rsidRDefault="00000000">
            <w:pPr>
              <w:spacing w:before="40" w:after="40" w:line="250" w:lineRule="auto"/>
            </w:pPr>
            <w:r>
              <w:rPr>
                <w:sz w:val="16"/>
                <w:szCs w:val="16"/>
              </w:rPr>
              <w:t>As long as secrecy holds</w:t>
            </w:r>
          </w:p>
        </w:tc>
        <w:tc>
          <w:tcPr>
            <w:tcW w:w="3380" w:type="dxa"/>
            <w:shd w:val="clear" w:color="auto" w:fill="FFFFFF"/>
            <w:tcMar>
              <w:top w:w="70" w:type="dxa"/>
              <w:left w:w="110" w:type="dxa"/>
              <w:bottom w:w="70" w:type="dxa"/>
              <w:right w:w="110" w:type="dxa"/>
            </w:tcMar>
            <w:vAlign w:val="center"/>
          </w:tcPr>
          <w:p w14:paraId="1B4EC7E8" w14:textId="77777777" w:rsidR="00E33D27" w:rsidRDefault="00000000">
            <w:pPr>
              <w:spacing w:before="40" w:after="40" w:line="250" w:lineRule="auto"/>
            </w:pPr>
            <w:r>
              <w:rPr>
                <w:sz w:val="16"/>
                <w:szCs w:val="16"/>
              </w:rPr>
              <w:t>The alternative to patenting: no disclosure, but no right against reverse engineering</w:t>
            </w:r>
          </w:p>
        </w:tc>
      </w:tr>
    </w:tbl>
    <w:p w14:paraId="1D07B96C" w14:textId="77777777" w:rsidR="00E33D27" w:rsidRDefault="00000000">
      <w:pPr>
        <w:spacing w:before="60" w:after="180"/>
      </w:pPr>
      <w:r>
        <w:rPr>
          <w:i/>
          <w:iCs/>
          <w:color w:val="5A6270"/>
          <w:sz w:val="16"/>
          <w:szCs w:val="16"/>
        </w:rPr>
        <w:t>Table 1.2  The instrument set. A single product ordinarily carries several of these at once.</w:t>
      </w:r>
    </w:p>
    <w:p w14:paraId="4C612A24" w14:textId="77777777" w:rsidR="00E33D27" w:rsidRDefault="00000000">
      <w:pPr>
        <w:keepNext/>
        <w:spacing w:before="160" w:after="60" w:line="240" w:lineRule="auto"/>
        <w:jc w:val="center"/>
      </w:pPr>
      <w:r>
        <w:rPr>
          <w:noProof/>
        </w:rPr>
        <w:drawing>
          <wp:inline distT="0" distB="0" distL="0" distR="0" wp14:anchorId="76D98CDA" wp14:editId="12FD6BAD">
            <wp:extent cx="6172200" cy="3705225"/>
            <wp:effectExtent l="0" t="0" r="0" b="0"/>
            <wp:docPr id="2143056514" name="Picture 214305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705225"/>
                    </a:xfrm>
                    <a:prstGeom prst="rect">
                      <a:avLst/>
                    </a:prstGeom>
                  </pic:spPr>
                </pic:pic>
              </a:graphicData>
            </a:graphic>
          </wp:inline>
        </w:drawing>
      </w:r>
    </w:p>
    <w:p w14:paraId="469A92FA" w14:textId="77777777" w:rsidR="00E33D27" w:rsidRDefault="00000000">
      <w:pPr>
        <w:spacing w:after="220" w:line="240" w:lineRule="auto"/>
        <w:jc w:val="center"/>
      </w:pPr>
      <w:r>
        <w:rPr>
          <w:i/>
          <w:iCs/>
          <w:color w:val="5A6270"/>
          <w:sz w:val="17"/>
          <w:szCs w:val="17"/>
        </w:rPr>
        <w:t>Figure 1.4  Classification of intangible assets. The right branch is the subject of Unit 2.</w:t>
      </w:r>
    </w:p>
    <w:p w14:paraId="330549E0" w14:textId="77777777" w:rsidR="00E33D27" w:rsidRDefault="00000000">
      <w:pPr>
        <w:jc w:val="both"/>
      </w:pPr>
      <w:r>
        <w:t xml:space="preserve">The classification in Figure 1.4 is the one used in class and it is a classification, not the classification — accounting scholars, management scholars and lawyers each cut the same universe differently, and Baruch Lev, for instance, classifies intangibles by driver into discovery- and innovation-related, organisational-practice-related, and human-resource-related. What matters is that you can defend whichever scheme you present. Under the scheme here, intangible assets divide into intellectual property, which the law protects directly, and intellectual capital, which divides in turn into human capital, structural or infrastructure capital, relational capital, innovation capital </w:t>
      </w:r>
      <w:r>
        <w:lastRenderedPageBreak/>
        <w:t>or innovation potential, and the three qualitative dimensions — cognitive, conative and affective — that section 2.1 examines in detail.</w:t>
      </w:r>
    </w:p>
    <w:p w14:paraId="6CEFF408" w14:textId="77777777" w:rsidR="00E33D27" w:rsidRDefault="00000000">
      <w:pPr>
        <w:pStyle w:val="Heading3"/>
        <w:keepNext/>
      </w:pPr>
      <w:r>
        <w:t>The accounting problem, and why the value gap exists</w:t>
      </w:r>
    </w:p>
    <w:p w14:paraId="4C71D90E" w14:textId="77777777" w:rsidR="00E33D27" w:rsidRDefault="00000000">
      <w:pPr>
        <w:jc w:val="both"/>
      </w:pPr>
      <w:r>
        <w:t>This is the gap-filling point behind the whole measurement debate and it is short. Under IAS 38, and its Indian counterpart Ind AS 38, an intangible asset is an identifiable non-monetary asset without physical substance. Recognition is tightly restricted: internally generated goodwill cannot be recognised at all, internally generated brands, mastheads, publishing titles and customer lists are expressly prohibited from recognition, all research expenditure must be expensed as incurred, and only development expenditure satisfying a strict set of conditions may be capitalised. The consequence is structural. A company that spends a decade building the most valuable patent portfolio in its sector will show almost none of it on its balance sheet, while a company that buys the same portfolio will show it at cost. The difference between a firm's market value and its book value is therefore where intellectual capital hides — and the entire measurement literature in section 1.3 exists to make that difference visible.</w:t>
      </w:r>
    </w:p>
    <w:p w14:paraId="46A0DB8E" w14:textId="77777777" w:rsidR="00E33D27" w:rsidRDefault="00000000">
      <w:pPr>
        <w:pStyle w:val="Heading3"/>
        <w:keepNext/>
      </w:pPr>
      <w:r>
        <w:t>From data to an intellectual product</w:t>
      </w:r>
    </w:p>
    <w:p w14:paraId="2413BEE3" w14:textId="77777777" w:rsidR="00E33D27" w:rsidRDefault="00000000">
      <w:pPr>
        <w:jc w:val="both"/>
      </w:pPr>
      <w:r>
        <w:t>The class built a sequence and then insisted the class derive it rather than receive it, which is a good sign that it is examinable.</w:t>
      </w:r>
    </w:p>
    <w:p w14:paraId="248EDE50" w14:textId="77777777" w:rsidR="00E33D27" w:rsidRDefault="00000000">
      <w:pPr>
        <w:keepNext/>
        <w:spacing w:before="160" w:after="60" w:line="240" w:lineRule="auto"/>
        <w:jc w:val="center"/>
      </w:pPr>
      <w:r>
        <w:rPr>
          <w:noProof/>
        </w:rPr>
        <w:drawing>
          <wp:inline distT="0" distB="0" distL="0" distR="0" wp14:anchorId="1F1895A8" wp14:editId="0D31FE4A">
            <wp:extent cx="6172200" cy="2705100"/>
            <wp:effectExtent l="0" t="0" r="0" b="0"/>
            <wp:docPr id="977897574" name="Picture 97789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2705100"/>
                    </a:xfrm>
                    <a:prstGeom prst="rect">
                      <a:avLst/>
                    </a:prstGeom>
                  </pic:spPr>
                </pic:pic>
              </a:graphicData>
            </a:graphic>
          </wp:inline>
        </w:drawing>
      </w:r>
    </w:p>
    <w:p w14:paraId="17F3605B" w14:textId="77777777" w:rsidR="00E33D27" w:rsidRDefault="00000000">
      <w:pPr>
        <w:spacing w:after="220" w:line="240" w:lineRule="auto"/>
        <w:jc w:val="center"/>
      </w:pPr>
      <w:r>
        <w:rPr>
          <w:i/>
          <w:iCs/>
          <w:color w:val="5A6270"/>
          <w:sz w:val="17"/>
          <w:szCs w:val="17"/>
        </w:rPr>
        <w:t>Figure 1.5  The knowledge chain, and the three distinctions that hang off it.</w:t>
      </w:r>
    </w:p>
    <w:p w14:paraId="6EC44CDC" w14:textId="77777777" w:rsidR="00E33D27" w:rsidRDefault="00000000">
      <w:pPr>
        <w:jc w:val="both"/>
      </w:pPr>
      <w:r>
        <w:t>Data are raw, unorganised signals. Organised and contextualised, data become information. Interpreted, information becomes knowledge. Applied to a problem, knowledge yields ideas. And an idea, developed and protected, becomes an intellectual product. The sequence is worth testing on artificial intelligence, as the class did: data are supplied, organised and analysed; information is extracted; with a trained model this becomes usable knowledge; from that knowledge come outputs that function as ideas. The analogy is imperfect but the ordering holds.</w:t>
      </w:r>
    </w:p>
    <w:p w14:paraId="7BC590E6" w14:textId="77777777" w:rsidR="00E33D27" w:rsidRDefault="00000000">
      <w:pPr>
        <w:jc w:val="both"/>
      </w:pPr>
      <w:r>
        <w:t xml:space="preserve">Three distinctions sit on this chain and are regularly confused. The first is between optimisation, innovation and invention. The classroom case was an operator who, after thirty years of performing the same task on a tobacco processing machine, realised that a plate could be turned the other way, substantially reducing both production time and cost. Within the same resources and with no additional effort, efficiency rose and cost fell: that is </w:t>
      </w:r>
      <w:r>
        <w:lastRenderedPageBreak/>
        <w:t>optimisation. Whether it is also an invention depends on whether the improvement meets the statutory tests — and the class point was precisely that trial-and-error discovery is not excluded from patentability, so an optimisation of this kind may indeed be granted. The second distinction is between invention and innovation: an invention is the technical creation; innovation, in the Schumpeterian sense the management literature uses, is its successful commercialisation. The third is statutory. Under the Patents Act 1970, section 2(1)(j) defines an invention as a new product or process involving an inventive step and capable of industrial application; section 2(1)(ja) defines inventive step; and section 2(1)(l) defines a new invention as an invention or technology not anticipated by publication in any document or use in the country or elsewhere in the world before the date of filing with complete specification — that is, subject matter which has not fallen into the public domain and does not form part of the state of the art. Section 2(1)(l) is thus the statutory expression of absolute novelty, and when an examination question asks about “new invention” it is asking about that provision and not about ordinary English.</w:t>
      </w:r>
    </w:p>
    <w:p w14:paraId="6554C6DB" w14:textId="77777777" w:rsidR="00E33D27" w:rsidRDefault="00000000">
      <w:pPr>
        <w:pStyle w:val="Heading3"/>
        <w:keepNext/>
      </w:pPr>
      <w:r>
        <w:t>Why a patent is called a negative right</w:t>
      </w:r>
    </w:p>
    <w:p w14:paraId="005DB0C8" w14:textId="77777777" w:rsidR="00E33D27" w:rsidRDefault="00000000">
      <w:pPr>
        <w:jc w:val="both"/>
      </w:pPr>
      <w:r>
        <w:t>The homework question set in class was: why is a patent a negative right, whereas other IP rights are said not to be? The question contains a premise that itself needs testing, and the best answers did test it.</w:t>
      </w:r>
    </w:p>
    <w:p w14:paraId="25538761" w14:textId="77777777" w:rsidR="00E33D27" w:rsidRDefault="00000000">
      <w:pPr>
        <w:keepNext/>
        <w:spacing w:before="160" w:after="60" w:line="240" w:lineRule="auto"/>
        <w:jc w:val="center"/>
      </w:pPr>
      <w:r>
        <w:rPr>
          <w:noProof/>
        </w:rPr>
        <w:drawing>
          <wp:inline distT="0" distB="0" distL="0" distR="0" wp14:anchorId="51F50F75" wp14:editId="415EECA5">
            <wp:extent cx="6172200" cy="2990850"/>
            <wp:effectExtent l="0" t="0" r="0" b="0"/>
            <wp:docPr id="1812172580" name="Picture 181217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2990850"/>
                    </a:xfrm>
                    <a:prstGeom prst="rect">
                      <a:avLst/>
                    </a:prstGeom>
                  </pic:spPr>
                </pic:pic>
              </a:graphicData>
            </a:graphic>
          </wp:inline>
        </w:drawing>
      </w:r>
    </w:p>
    <w:p w14:paraId="107D59DA" w14:textId="77777777" w:rsidR="00E33D27" w:rsidRDefault="00000000">
      <w:pPr>
        <w:spacing w:after="220" w:line="240" w:lineRule="auto"/>
        <w:jc w:val="center"/>
      </w:pPr>
      <w:r>
        <w:rPr>
          <w:i/>
          <w:iCs/>
          <w:color w:val="5A6270"/>
          <w:sz w:val="17"/>
          <w:szCs w:val="17"/>
        </w:rPr>
        <w:t>Figure 1.6  What the right gives, what it withholds, and the example that settles it.</w:t>
      </w:r>
    </w:p>
    <w:p w14:paraId="33ECB83E" w14:textId="77777777" w:rsidR="00E33D27" w:rsidRDefault="00000000">
      <w:pPr>
        <w:jc w:val="both"/>
      </w:pPr>
      <w:r>
        <w:t>Section 48 of the Patents Act 1970 confers on the patentee the exclusive right to prevent third parties from making, using, offering for sale, selling or importing the patented product or process; 35 U.S.C. §154 uses the same construction, granting the right to exclude others. Nothing in either provision permits the patentee to do anything. Hence the description: a patent is a right to exclude, not a licence to practise.</w:t>
      </w:r>
    </w:p>
    <w:p w14:paraId="1B64F745" w14:textId="77777777" w:rsidR="00E33D27" w:rsidRDefault="00000000">
      <w:pPr>
        <w:jc w:val="both"/>
      </w:pPr>
      <w:r>
        <w:t>The chair example in Figure 1.6 is the cleanest demonstration, and it was the best answer given in class. Where A holds a patent on a chair consisting of four legs, a platform and a backrest, and B validly patents an improvement adding an armrest and a cushion, B can exclude everyone from making the improved chair — including, in practice, B, because every improved chair still embodies all of A's claimed elements. B must take a licence from A. The patentee's own freedom to work is therefore a separate question from the patentee's right to exclude, and it depends on earlier dominant patents plus the entire apparatus of regulatory, safety, environmental and sectoral approval, which the Patents Act does not address at all.</w:t>
      </w:r>
    </w:p>
    <w:p w14:paraId="0B6ED641" w14:textId="77777777" w:rsidR="00E33D27" w:rsidRDefault="00000000">
      <w:pPr>
        <w:jc w:val="both"/>
      </w:pPr>
      <w:r>
        <w:lastRenderedPageBreak/>
        <w:t>Now the premise. Is the negative character unique to patents? The argument that it is runs as follows: in copyright the author can always use the work, and a trademark proprietor can always use the mark, whereas a patentee may be blocked from using the very invention patented. The argument that it is not runs the other way: every exclusive right is structurally a right to exclude, copyright included, because what the Copyright Act confers is the exclusive right to do or authorise certain acts, which is a right against others. A strong answer states the orthodox position, gives the chair example, and then observes that the distinction is one of degree — the blocking problem is acute in patents because technology is cumulative and improvements necessarily contain what came before, whereas expression can usually be created independently around an existing copyright. A related class argument is also worth reproducing because it sharpens the point: ownership and licence are different things. If I own a classroom I may exclude others and also use it; if I merely have permission to use it between certain hours, my right is a licence and the exclusionary right remains with the owner. The patentee is in neither position exactly, which is what makes the right distinctive.</w:t>
      </w:r>
    </w:p>
    <w:p w14:paraId="361E3A54" w14:textId="77777777" w:rsidR="00E33D27" w:rsidRDefault="00000000">
      <w:pPr>
        <w:pStyle w:val="Heading3"/>
        <w:keepNext/>
      </w:pPr>
      <w:r>
        <w:t>Value, price, and why trademark valuation is the volatile one</w:t>
      </w:r>
    </w:p>
    <w:p w14:paraId="40B083A1" w14:textId="77777777" w:rsidR="00E33D27" w:rsidRDefault="00000000">
      <w:pPr>
        <w:jc w:val="both"/>
      </w:pPr>
      <w:r>
        <w:t>Value and price are not the same, and in IP the gap between them is unusually wide. Value is the worth of the asset in use, assessed by the holder or a valuer. Price is what is actually paid, and it is determined by the market, by bargaining power and by information. There is always a gap; in IP valuation it is habitually a large one, which is why section 1.3 treats measurement as a problem rather than a procedure.</w:t>
      </w:r>
    </w:p>
    <w:p w14:paraId="4EB68C88" w14:textId="77777777" w:rsidR="00E33D27" w:rsidRDefault="00000000">
      <w:pPr>
        <w:jc w:val="both"/>
      </w:pPr>
      <w:r>
        <w:t>Within IP, trademark value is markedly the more volatile, and the reason is the source of the value. A trademark derives its value from goodwill — reputation, consumer perception, trust — which can be destroyed by a single event. A patent derives its value from the underlying technology and a defined claim scope, which does not evaporate because of a news cycle; its value declines instead for structural reasons, as the remaining term shortens or as substitute technologies arrive. The class examples of collapse were Kingfisher and Nestlé, and the documented brand-value shocks usually cited are the collapse of Kingfisher Airlines, Nestlé's Maggi recall in India in 2015 and Volkswagen's emissions scandal. The formulation to remember is that one adverse statement can take a trademark's value to zero or below, whereas a patent's value is a function of technology and time.</w:t>
      </w:r>
    </w:p>
    <w:p w14:paraId="4C3A1D77" w14:textId="77777777" w:rsidR="00E33D27" w:rsidRDefault="00000000">
      <w:pPr>
        <w:pStyle w:val="Heading3"/>
        <w:keepNext/>
      </w:pPr>
      <w:r>
        <w:t>Treaty, convention, protocol, agreement, contract, instrument</w:t>
      </w:r>
    </w:p>
    <w:p w14:paraId="6C8932D2" w14:textId="77777777" w:rsidR="00E33D27" w:rsidRDefault="00000000">
      <w:pPr>
        <w:jc w:val="both"/>
      </w:pPr>
      <w:r>
        <w:t>This was set in class as a study prompt and it belongs in the definitional section. In international law a treaty is a binding agreement between States governed by international law, and a convention is in substance a treaty — the label is conventionally used for multilateral instruments concluded under the auspices of an international organisation, such as the Paris Convention. A protocol is a supplementary instrument attached to a parent treaty, either amending it or adding obligations, and it may require separate ratification; the Madrid Protocol is the familiar IP example. Agreement is the broadest term and is used both for international instruments, as in the TRIPS Agreement, and in private law. In Indian private law the distinction that matters is statutory: under section 2(h) of the Indian Contract Act 1872 a contract is an agreement enforceable by law, and section 10 supplies the conditions of enforceability — free consent of competent parties, lawful consideration and a lawful object, and that the agreement is not expressly declared void. Every contract is therefore an agreement, but not every agreement is a contract. Instrument is an umbrella term for any formal legal document. The practical consequence for this course, developed in section 2.6, is that a policy is none of these: it is a statement of administrative intent that guides the agreements which, once enforceable, become contracts.</w:t>
      </w:r>
    </w:p>
    <w:p w14:paraId="666FA543" w14:textId="77777777" w:rsidR="00E33D27" w:rsidRDefault="00000000">
      <w:pPr>
        <w:pStyle w:val="Heading2"/>
        <w:keepNext/>
      </w:pPr>
      <w:r>
        <w:lastRenderedPageBreak/>
        <w:t>1.3  Context for the Development and Measurement of Intellectual Property Culture and Value</w:t>
      </w:r>
    </w:p>
    <w:p w14:paraId="6423E8A9" w14:textId="77777777" w:rsidR="00E33D27" w:rsidRDefault="00000000">
      <w:pPr>
        <w:jc w:val="both"/>
      </w:pPr>
      <w:r>
        <w:t>This heading has two halves that are usually run together and should not be. The first is IP culture: whether an organisation has the habits, incentives and infrastructure that produce IP at all. The second is IP value: what the resulting assets are worth. Culture is a precondition; value is an outcome. An organisation can have a strong culture and little realised value, because value depends on commercialisation; it cannot have realised value without the culture, because nothing will have been created.</w:t>
      </w:r>
    </w:p>
    <w:p w14:paraId="50A175C2" w14:textId="77777777" w:rsidR="00E33D27" w:rsidRDefault="00000000">
      <w:pPr>
        <w:pStyle w:val="Heading3"/>
        <w:keepNext/>
      </w:pPr>
      <w:r>
        <w:t>What IP culture is, and the proof that the concept exists</w:t>
      </w:r>
    </w:p>
    <w:p w14:paraId="5D2F6F90" w14:textId="77777777" w:rsidR="00E33D27" w:rsidRDefault="00000000">
      <w:pPr>
        <w:jc w:val="both"/>
      </w:pPr>
      <w:r>
        <w:t>The classroom demonstration was elegant. Name five institutions — Stanford, MIT, an older IIT, a newer IIT, and any university in the country — and ask a class to rank them from one to ten for IP culture. Every student ranks them immediately and the rankings broadly agree, without anyone having defined the term. That instinctive agreement is the proof that the concept is real; the analytical task is to recover the parameters the ranking was actually using.</w:t>
      </w:r>
    </w:p>
    <w:p w14:paraId="7FD7CA37" w14:textId="77777777" w:rsidR="00E33D27" w:rsidRDefault="00000000">
      <w:pPr>
        <w:keepNext/>
        <w:spacing w:before="160" w:after="60" w:line="240" w:lineRule="auto"/>
        <w:jc w:val="center"/>
      </w:pPr>
      <w:r>
        <w:rPr>
          <w:noProof/>
        </w:rPr>
        <w:drawing>
          <wp:inline distT="0" distB="0" distL="0" distR="0" wp14:anchorId="71A95A6B" wp14:editId="08FEAAF8">
            <wp:extent cx="6172200" cy="3171825"/>
            <wp:effectExtent l="0" t="0" r="0" b="0"/>
            <wp:docPr id="865694377" name="Picture 86569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171825"/>
                    </a:xfrm>
                    <a:prstGeom prst="rect">
                      <a:avLst/>
                    </a:prstGeom>
                  </pic:spPr>
                </pic:pic>
              </a:graphicData>
            </a:graphic>
          </wp:inline>
        </w:drawing>
      </w:r>
    </w:p>
    <w:p w14:paraId="14759732" w14:textId="77777777" w:rsidR="00E33D27" w:rsidRDefault="00000000">
      <w:pPr>
        <w:spacing w:after="220" w:line="240" w:lineRule="auto"/>
        <w:jc w:val="center"/>
      </w:pPr>
      <w:r>
        <w:rPr>
          <w:i/>
          <w:iCs/>
          <w:color w:val="5A6270"/>
          <w:sz w:val="17"/>
          <w:szCs w:val="17"/>
        </w:rPr>
        <w:t>Figure 1.7  The parameters an intuitive ranking of IP culture is made of.</w:t>
      </w:r>
    </w:p>
    <w:p w14:paraId="7E360C56" w14:textId="77777777" w:rsidR="00E33D27" w:rsidRDefault="00000000">
      <w:pPr>
        <w:jc w:val="both"/>
      </w:pPr>
      <w:r>
        <w:t>The eight the class recovered were research history and experience; patent portfolio size and quality; infrastructure and resources; number of applications filed; technology transfer and licences; research funding and sponsorship; infringement litigation; and collaborations with companies. The list is open and three more are worth adding because they measure culture rather than output: the invention-disclosure rate per researcher, which shows whether people report what they create; the existence of inventor reward and recognition systems; and IP awareness training. Having assembled the parameters, one can score an organisation and place it at a level, which is exactly what the intuitive ranking was doing.</w:t>
      </w:r>
    </w:p>
    <w:p w14:paraId="7A8441C4" w14:textId="77777777" w:rsidR="00E33D27" w:rsidRDefault="00000000">
      <w:pPr>
        <w:jc w:val="both"/>
      </w:pPr>
      <w:r>
        <w:t>Behind all of these sits a single summary parameter, and the class was explicit about it: wealth generation. Most of what happens in an organisation eventually expresses itself in wealth, and where wealth is generated from intellectual assets, the culture is working. The qualification is that this is true most of the time and not always, which is why the parameters are kept separate from the outcome.</w:t>
      </w:r>
    </w:p>
    <w:p w14:paraId="3EDBE63A" w14:textId="77777777" w:rsidR="00E33D27" w:rsidRDefault="00000000">
      <w:pPr>
        <w:pStyle w:val="Heading3"/>
        <w:keepNext/>
      </w:pPr>
      <w:r>
        <w:lastRenderedPageBreak/>
        <w:t>Benchmarking: what a strong IP culture looks like in numbers</w:t>
      </w:r>
    </w:p>
    <w:p w14:paraId="151C19D0" w14:textId="77777777" w:rsidR="00E33D27" w:rsidRDefault="00000000">
      <w:pPr>
        <w:jc w:val="both"/>
      </w:pPr>
      <w:r>
        <w:t>Two American universities are the standard reference points, and the Indian comparison is instructive rather than flattering.</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400"/>
        <w:gridCol w:w="3900"/>
        <w:gridCol w:w="3780"/>
      </w:tblGrid>
      <w:tr w:rsidR="00E33D27" w14:paraId="63775C4B" w14:textId="77777777">
        <w:tblPrEx>
          <w:tblCellMar>
            <w:top w:w="0" w:type="dxa"/>
            <w:bottom w:w="0" w:type="dxa"/>
          </w:tblCellMar>
        </w:tblPrEx>
        <w:trPr>
          <w:cantSplit/>
          <w:tblHeader/>
        </w:trPr>
        <w:tc>
          <w:tcPr>
            <w:tcW w:w="2400" w:type="dxa"/>
            <w:shd w:val="clear" w:color="auto" w:fill="1F3864"/>
            <w:tcMar>
              <w:top w:w="70" w:type="dxa"/>
              <w:left w:w="110" w:type="dxa"/>
              <w:bottom w:w="70" w:type="dxa"/>
              <w:right w:w="110" w:type="dxa"/>
            </w:tcMar>
            <w:vAlign w:val="center"/>
          </w:tcPr>
          <w:p w14:paraId="7216F2C3" w14:textId="77777777" w:rsidR="00E33D27" w:rsidRDefault="00000000">
            <w:pPr>
              <w:spacing w:before="40" w:after="40" w:line="250" w:lineRule="auto"/>
            </w:pPr>
            <w:r>
              <w:rPr>
                <w:b/>
                <w:bCs/>
                <w:color w:val="FFFFFF"/>
                <w:sz w:val="17"/>
                <w:szCs w:val="17"/>
              </w:rPr>
              <w:t>Institution</w:t>
            </w:r>
          </w:p>
        </w:tc>
        <w:tc>
          <w:tcPr>
            <w:tcW w:w="3900" w:type="dxa"/>
            <w:shd w:val="clear" w:color="auto" w:fill="1F3864"/>
            <w:tcMar>
              <w:top w:w="70" w:type="dxa"/>
              <w:left w:w="110" w:type="dxa"/>
              <w:bottom w:w="70" w:type="dxa"/>
              <w:right w:w="110" w:type="dxa"/>
            </w:tcMar>
            <w:vAlign w:val="center"/>
          </w:tcPr>
          <w:p w14:paraId="756C1780" w14:textId="77777777" w:rsidR="00E33D27" w:rsidRDefault="00000000">
            <w:pPr>
              <w:spacing w:before="40" w:after="40" w:line="250" w:lineRule="auto"/>
            </w:pPr>
            <w:r>
              <w:rPr>
                <w:b/>
                <w:bCs/>
                <w:color w:val="FFFFFF"/>
                <w:sz w:val="17"/>
                <w:szCs w:val="17"/>
              </w:rPr>
              <w:t>Documented performance</w:t>
            </w:r>
          </w:p>
        </w:tc>
        <w:tc>
          <w:tcPr>
            <w:tcW w:w="3780" w:type="dxa"/>
            <w:shd w:val="clear" w:color="auto" w:fill="1F3864"/>
            <w:tcMar>
              <w:top w:w="70" w:type="dxa"/>
              <w:left w:w="110" w:type="dxa"/>
              <w:bottom w:w="70" w:type="dxa"/>
              <w:right w:w="110" w:type="dxa"/>
            </w:tcMar>
            <w:vAlign w:val="center"/>
          </w:tcPr>
          <w:p w14:paraId="4ECE82A9" w14:textId="77777777" w:rsidR="00E33D27" w:rsidRDefault="00000000">
            <w:pPr>
              <w:spacing w:before="40" w:after="40" w:line="250" w:lineRule="auto"/>
            </w:pPr>
            <w:r>
              <w:rPr>
                <w:b/>
                <w:bCs/>
                <w:color w:val="FFFFFF"/>
                <w:sz w:val="17"/>
                <w:szCs w:val="17"/>
              </w:rPr>
              <w:t>What it demonstrates</w:t>
            </w:r>
          </w:p>
        </w:tc>
      </w:tr>
      <w:tr w:rsidR="00E33D27" w14:paraId="3D20C6AE" w14:textId="77777777">
        <w:tblPrEx>
          <w:tblCellMar>
            <w:top w:w="0" w:type="dxa"/>
            <w:bottom w:w="0" w:type="dxa"/>
          </w:tblCellMar>
        </w:tblPrEx>
        <w:trPr>
          <w:cantSplit/>
        </w:trPr>
        <w:tc>
          <w:tcPr>
            <w:tcW w:w="2400" w:type="dxa"/>
            <w:shd w:val="clear" w:color="auto" w:fill="F3F4F6"/>
            <w:tcMar>
              <w:top w:w="70" w:type="dxa"/>
              <w:left w:w="110" w:type="dxa"/>
              <w:bottom w:w="70" w:type="dxa"/>
              <w:right w:w="110" w:type="dxa"/>
            </w:tcMar>
            <w:vAlign w:val="center"/>
          </w:tcPr>
          <w:p w14:paraId="751C8D59" w14:textId="77777777" w:rsidR="00E33D27" w:rsidRDefault="00000000">
            <w:pPr>
              <w:spacing w:before="40" w:after="40" w:line="250" w:lineRule="auto"/>
            </w:pPr>
            <w:r>
              <w:rPr>
                <w:b/>
                <w:bCs/>
                <w:sz w:val="15"/>
                <w:szCs w:val="15"/>
              </w:rPr>
              <w:t>Stanford University</w:t>
            </w:r>
          </w:p>
        </w:tc>
        <w:tc>
          <w:tcPr>
            <w:tcW w:w="3900" w:type="dxa"/>
            <w:shd w:val="clear" w:color="auto" w:fill="F3F4F6"/>
            <w:tcMar>
              <w:top w:w="70" w:type="dxa"/>
              <w:left w:w="110" w:type="dxa"/>
              <w:bottom w:w="70" w:type="dxa"/>
              <w:right w:w="110" w:type="dxa"/>
            </w:tcMar>
            <w:vAlign w:val="center"/>
          </w:tcPr>
          <w:p w14:paraId="636782F2" w14:textId="77777777" w:rsidR="00E33D27" w:rsidRDefault="00000000">
            <w:pPr>
              <w:spacing w:before="40" w:after="40" w:line="250" w:lineRule="auto"/>
            </w:pPr>
            <w:r>
              <w:rPr>
                <w:sz w:val="15"/>
                <w:szCs w:val="15"/>
              </w:rPr>
              <w:t>Held the PageRank patent (US 6,285,999, invented by Larry Page as a graduate student); licensed it exclusively to Google for 1.8 million shares, sold in 2005 for about USD 336 million. Also held the Cohen–Boyer recombinant DNA patents (US 4,237,224 and two related), licensed to 468 companies, associated with an estimated USD 35 billion of product sales and 2,442 new products, and yielding USD 255 million in licensing revenue to Stanford and the University of California to the end of 2001. Stanford's single largest earner was later its functional monoclonal antibody IP.</w:t>
            </w:r>
          </w:p>
        </w:tc>
        <w:tc>
          <w:tcPr>
            <w:tcW w:w="3780" w:type="dxa"/>
            <w:shd w:val="clear" w:color="auto" w:fill="F3F4F6"/>
            <w:tcMar>
              <w:top w:w="70" w:type="dxa"/>
              <w:left w:w="110" w:type="dxa"/>
              <w:bottom w:w="70" w:type="dxa"/>
              <w:right w:w="110" w:type="dxa"/>
            </w:tcMar>
            <w:vAlign w:val="center"/>
          </w:tcPr>
          <w:p w14:paraId="1517623F" w14:textId="77777777" w:rsidR="00E33D27" w:rsidRDefault="00000000">
            <w:pPr>
              <w:spacing w:before="40" w:after="40" w:line="250" w:lineRule="auto"/>
            </w:pPr>
            <w:r>
              <w:rPr>
                <w:sz w:val="15"/>
                <w:szCs w:val="15"/>
              </w:rPr>
              <w:t>That a university can be a primary actor in the knowledge economy; and that the equity route can outperform royalties, since Stanford took about 2% of a start-up rather than a running royalty</w:t>
            </w:r>
          </w:p>
        </w:tc>
      </w:tr>
      <w:tr w:rsidR="00E33D27" w14:paraId="46848595"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2D72D91A" w14:textId="77777777" w:rsidR="00E33D27" w:rsidRDefault="00000000">
            <w:pPr>
              <w:spacing w:before="40" w:after="40" w:line="250" w:lineRule="auto"/>
            </w:pPr>
            <w:r>
              <w:rPr>
                <w:b/>
                <w:bCs/>
                <w:sz w:val="15"/>
                <w:szCs w:val="15"/>
              </w:rPr>
              <w:t>MIT (FY2025)</w:t>
            </w:r>
          </w:p>
        </w:tc>
        <w:tc>
          <w:tcPr>
            <w:tcW w:w="3900" w:type="dxa"/>
            <w:shd w:val="clear" w:color="auto" w:fill="FFFFFF"/>
            <w:tcMar>
              <w:top w:w="70" w:type="dxa"/>
              <w:left w:w="110" w:type="dxa"/>
              <w:bottom w:w="70" w:type="dxa"/>
              <w:right w:w="110" w:type="dxa"/>
            </w:tcMar>
            <w:vAlign w:val="center"/>
          </w:tcPr>
          <w:p w14:paraId="29FF96C2" w14:textId="77777777" w:rsidR="00E33D27" w:rsidRDefault="00000000">
            <w:pPr>
              <w:spacing w:before="40" w:after="40" w:line="250" w:lineRule="auto"/>
            </w:pPr>
            <w:r>
              <w:rPr>
                <w:sz w:val="15"/>
                <w:szCs w:val="15"/>
              </w:rPr>
              <w:t>About 684 invention disclosures, 623 new US patent applications, 282 US patents issued, 137 licence or option agreements, 38 companies supported using MIT IP, and roughly USD 60.9 million of licensing revenue; a portfolio of over 12,000 issued and pending patents, of which about 53% are licensed or optioned; industry-sponsored research of about USD 176 million, around 20% of a total research budget of roughly USD 880 million.</w:t>
            </w:r>
          </w:p>
        </w:tc>
        <w:tc>
          <w:tcPr>
            <w:tcW w:w="3780" w:type="dxa"/>
            <w:shd w:val="clear" w:color="auto" w:fill="FFFFFF"/>
            <w:tcMar>
              <w:top w:w="70" w:type="dxa"/>
              <w:left w:w="110" w:type="dxa"/>
              <w:bottom w:w="70" w:type="dxa"/>
              <w:right w:w="110" w:type="dxa"/>
            </w:tcMar>
            <w:vAlign w:val="center"/>
          </w:tcPr>
          <w:p w14:paraId="4D4761EC" w14:textId="77777777" w:rsidR="00E33D27" w:rsidRDefault="00000000">
            <w:pPr>
              <w:spacing w:before="40" w:after="40" w:line="250" w:lineRule="auto"/>
            </w:pPr>
            <w:r>
              <w:rPr>
                <w:sz w:val="15"/>
                <w:szCs w:val="15"/>
              </w:rPr>
              <w:t>Scale plus conversion: the licensed-or-optioned proportion is the real measure of culture, because it shows the portfolio is being used rather than merely accumulated</w:t>
            </w:r>
          </w:p>
        </w:tc>
      </w:tr>
      <w:tr w:rsidR="00E33D27" w14:paraId="01DD987A" w14:textId="77777777">
        <w:tblPrEx>
          <w:tblCellMar>
            <w:top w:w="0" w:type="dxa"/>
            <w:bottom w:w="0" w:type="dxa"/>
          </w:tblCellMar>
        </w:tblPrEx>
        <w:trPr>
          <w:cantSplit/>
        </w:trPr>
        <w:tc>
          <w:tcPr>
            <w:tcW w:w="2400" w:type="dxa"/>
            <w:shd w:val="clear" w:color="auto" w:fill="F3F4F6"/>
            <w:tcMar>
              <w:top w:w="70" w:type="dxa"/>
              <w:left w:w="110" w:type="dxa"/>
              <w:bottom w:w="70" w:type="dxa"/>
              <w:right w:w="110" w:type="dxa"/>
            </w:tcMar>
            <w:vAlign w:val="center"/>
          </w:tcPr>
          <w:p w14:paraId="65057FB7" w14:textId="77777777" w:rsidR="00E33D27" w:rsidRDefault="00000000">
            <w:pPr>
              <w:spacing w:before="40" w:after="40" w:line="250" w:lineRule="auto"/>
            </w:pPr>
            <w:r>
              <w:rPr>
                <w:b/>
                <w:bCs/>
                <w:sz w:val="15"/>
                <w:szCs w:val="15"/>
              </w:rPr>
              <w:t>IIT Kharagpur</w:t>
            </w:r>
          </w:p>
        </w:tc>
        <w:tc>
          <w:tcPr>
            <w:tcW w:w="3900" w:type="dxa"/>
            <w:shd w:val="clear" w:color="auto" w:fill="F3F4F6"/>
            <w:tcMar>
              <w:top w:w="70" w:type="dxa"/>
              <w:left w:w="110" w:type="dxa"/>
              <w:bottom w:w="70" w:type="dxa"/>
              <w:right w:w="110" w:type="dxa"/>
            </w:tcMar>
            <w:vAlign w:val="center"/>
          </w:tcPr>
          <w:p w14:paraId="1F01807A" w14:textId="77777777" w:rsidR="00E33D27" w:rsidRDefault="00000000">
            <w:pPr>
              <w:spacing w:before="40" w:after="40" w:line="250" w:lineRule="auto"/>
            </w:pPr>
            <w:r>
              <w:rPr>
                <w:sz w:val="15"/>
                <w:szCs w:val="15"/>
              </w:rPr>
              <w:t>Cumulative snapshot from the Institute's IPR &amp; IR Cell: about 450 patents filed, 120 granted, 7 licensed, about 40 copyrights and about 60 technology transfers, with a student Technology Transfer Group. Annual sponsored-research turnover in the range of a few hundred crore rupees.</w:t>
            </w:r>
          </w:p>
        </w:tc>
        <w:tc>
          <w:tcPr>
            <w:tcW w:w="3780" w:type="dxa"/>
            <w:shd w:val="clear" w:color="auto" w:fill="F3F4F6"/>
            <w:tcMar>
              <w:top w:w="70" w:type="dxa"/>
              <w:left w:w="110" w:type="dxa"/>
              <w:bottom w:w="70" w:type="dxa"/>
              <w:right w:w="110" w:type="dxa"/>
            </w:tcMar>
            <w:vAlign w:val="center"/>
          </w:tcPr>
          <w:p w14:paraId="17AA7881" w14:textId="77777777" w:rsidR="00E33D27" w:rsidRDefault="00000000">
            <w:pPr>
              <w:spacing w:before="40" w:after="40" w:line="250" w:lineRule="auto"/>
            </w:pPr>
            <w:r>
              <w:rPr>
                <w:sz w:val="15"/>
                <w:szCs w:val="15"/>
              </w:rPr>
              <w:t>A functioning filing culture with a narrow commercialisation neck: the ratio of licences to grants is the diagnostic figure</w:t>
            </w:r>
          </w:p>
        </w:tc>
      </w:tr>
      <w:tr w:rsidR="00E33D27" w14:paraId="7BA15946"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2D2F28DC" w14:textId="77777777" w:rsidR="00E33D27" w:rsidRDefault="00000000">
            <w:pPr>
              <w:spacing w:before="40" w:after="40" w:line="250" w:lineRule="auto"/>
            </w:pPr>
            <w:r>
              <w:rPr>
                <w:b/>
                <w:bCs/>
                <w:sz w:val="15"/>
                <w:szCs w:val="15"/>
              </w:rPr>
              <w:t>AUTM (US aggregate, FY2024)</w:t>
            </w:r>
          </w:p>
        </w:tc>
        <w:tc>
          <w:tcPr>
            <w:tcW w:w="3900" w:type="dxa"/>
            <w:shd w:val="clear" w:color="auto" w:fill="FFFFFF"/>
            <w:tcMar>
              <w:top w:w="70" w:type="dxa"/>
              <w:left w:w="110" w:type="dxa"/>
              <w:bottom w:w="70" w:type="dxa"/>
              <w:right w:w="110" w:type="dxa"/>
            </w:tcMar>
            <w:vAlign w:val="center"/>
          </w:tcPr>
          <w:p w14:paraId="053F3DAB" w14:textId="77777777" w:rsidR="00E33D27" w:rsidRDefault="00000000">
            <w:pPr>
              <w:spacing w:before="40" w:after="40" w:line="250" w:lineRule="auto"/>
            </w:pPr>
            <w:r>
              <w:rPr>
                <w:sz w:val="15"/>
                <w:szCs w:val="15"/>
              </w:rPr>
              <w:t>About 26,196 invention disclosures, 14,432 new US patent applications, 7,968 patents issued, 9,507 licences and options executed, 775 new products and 941 start-ups formed, against about USD 109.7 billion of research expenditure.</w:t>
            </w:r>
          </w:p>
        </w:tc>
        <w:tc>
          <w:tcPr>
            <w:tcW w:w="3780" w:type="dxa"/>
            <w:shd w:val="clear" w:color="auto" w:fill="FFFFFF"/>
            <w:tcMar>
              <w:top w:w="70" w:type="dxa"/>
              <w:left w:w="110" w:type="dxa"/>
              <w:bottom w:w="70" w:type="dxa"/>
              <w:right w:w="110" w:type="dxa"/>
            </w:tcMar>
            <w:vAlign w:val="center"/>
          </w:tcPr>
          <w:p w14:paraId="662D8703" w14:textId="77777777" w:rsidR="00E33D27" w:rsidRDefault="00000000">
            <w:pPr>
              <w:spacing w:before="40" w:after="40" w:line="250" w:lineRule="auto"/>
            </w:pPr>
            <w:r>
              <w:rPr>
                <w:sz w:val="15"/>
                <w:szCs w:val="15"/>
              </w:rPr>
              <w:t>The standard benchmarking instrument; and the arithmetic of the funnel — disclosures greatly outnumber licences, and licences greatly outnumber products</w:t>
            </w:r>
          </w:p>
        </w:tc>
      </w:tr>
    </w:tbl>
    <w:p w14:paraId="77EAD4CD" w14:textId="77777777" w:rsidR="00E33D27" w:rsidRDefault="00000000">
      <w:pPr>
        <w:spacing w:before="60" w:after="180"/>
      </w:pPr>
      <w:r>
        <w:rPr>
          <w:i/>
          <w:iCs/>
          <w:color w:val="5A6270"/>
          <w:sz w:val="16"/>
          <w:szCs w:val="16"/>
        </w:rPr>
        <w:t>Table 1.3  Benchmarks. Cite the year with every figure; the IIT Kharagpur numbers are an undated cumulative snapshot and should be described as approximate.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588428D"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06F2BEC7" w14:textId="77777777" w:rsidR="00E33D27" w:rsidRDefault="00000000">
            <w:pPr>
              <w:spacing w:after="80"/>
            </w:pPr>
            <w:r>
              <w:rPr>
                <w:b/>
                <w:bCs/>
                <w:color w:val="8A5A10"/>
                <w:sz w:val="19"/>
                <w:szCs w:val="19"/>
              </w:rPr>
              <w:t>The Cohen–Boyer story, because it is the whole syllabus in one case</w:t>
            </w:r>
          </w:p>
          <w:p w14:paraId="298D86FA" w14:textId="77777777" w:rsidR="00E33D27" w:rsidRDefault="00000000">
            <w:pPr>
              <w:spacing w:after="70" w:line="265" w:lineRule="auto"/>
              <w:jc w:val="both"/>
            </w:pPr>
            <w:r>
              <w:rPr>
                <w:sz w:val="18"/>
                <w:szCs w:val="18"/>
              </w:rPr>
              <w:t>Two scientists, Stanley Cohen at Stanford and Herbert Boyer at the University of California, were working separately — one on a cutting enzyme, the other on the joining technique — and had never collaborated. Both presented at a conference and the work was reported in the press. Niels Reimers, who ran Stanford’s Office of Technology Licensing, read the report, saw that the two halves together constituted a platform technology, and proposed patenting. When the life-sciences community objected that a technology able to cut and join genes could be misused, Reimers neither proceeded over the objection nor abandoned the filing: he convened the objectors and produced a policy governing genetic experiments. Once the policy existed the objection dissolved and the application proceeded. Commercialisation then required a different kind of person — the venture capitalist Robert Swanson, who pursued Boyer until he obtained a meeting, out of which came Genentech and the first recombinant human insulin.</w:t>
            </w:r>
          </w:p>
          <w:p w14:paraId="357FDE84" w14:textId="77777777" w:rsidR="00E33D27" w:rsidRDefault="00000000">
            <w:pPr>
              <w:spacing w:after="70" w:line="265" w:lineRule="auto"/>
              <w:jc w:val="both"/>
            </w:pPr>
            <w:r>
              <w:rPr>
                <w:sz w:val="18"/>
                <w:szCs w:val="18"/>
              </w:rPr>
              <w:t>Read the case against every heading in these units. IP culture: a technology transfer officer who reads the newspaper. Policy: an objection answered by drafting rules rather than by refusing to act. Non-proprietary considerations: a platform licensed non-exclusively to 468 companies rather than closed to one. Complementary assets, which is Teece’s point in section 2.9: the university had the invention, Genentech the development capability and Eli Lilly the marketing — and all three were required.</w:t>
            </w:r>
          </w:p>
        </w:tc>
      </w:tr>
    </w:tbl>
    <w:p w14:paraId="576DD178" w14:textId="77777777" w:rsidR="00E33D27" w:rsidRDefault="00E33D27">
      <w:pPr>
        <w:spacing w:after="160"/>
      </w:pPr>
    </w:p>
    <w:p w14:paraId="2B09D5EA" w14:textId="77777777" w:rsidR="00E33D27" w:rsidRDefault="00000000">
      <w:pPr>
        <w:pStyle w:val="Heading3"/>
        <w:keepNext/>
      </w:pPr>
      <w:r>
        <w:lastRenderedPageBreak/>
        <w:t>Measuring value: the frameworks, and why none of them settles it</w:t>
      </w:r>
    </w:p>
    <w:p w14:paraId="33604C5F" w14:textId="77777777" w:rsidR="00E33D27" w:rsidRDefault="00000000">
      <w:pPr>
        <w:jc w:val="both"/>
      </w:pPr>
      <w:r>
        <w:t>If intellectual capital is largely absent from the balance sheet, it must be measured some other way. Several frameworks exist and each is a different compromise between rigour and usability.</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700"/>
        <w:gridCol w:w="3300"/>
        <w:gridCol w:w="4080"/>
      </w:tblGrid>
      <w:tr w:rsidR="00E33D27" w14:paraId="3E7C6D71" w14:textId="77777777">
        <w:tblPrEx>
          <w:tblCellMar>
            <w:top w:w="0" w:type="dxa"/>
            <w:bottom w:w="0" w:type="dxa"/>
          </w:tblCellMar>
        </w:tblPrEx>
        <w:trPr>
          <w:cantSplit/>
          <w:tblHeader/>
        </w:trPr>
        <w:tc>
          <w:tcPr>
            <w:tcW w:w="2700" w:type="dxa"/>
            <w:shd w:val="clear" w:color="auto" w:fill="1F3864"/>
            <w:tcMar>
              <w:top w:w="70" w:type="dxa"/>
              <w:left w:w="110" w:type="dxa"/>
              <w:bottom w:w="70" w:type="dxa"/>
              <w:right w:w="110" w:type="dxa"/>
            </w:tcMar>
            <w:vAlign w:val="center"/>
          </w:tcPr>
          <w:p w14:paraId="105EB49A" w14:textId="77777777" w:rsidR="00E33D27" w:rsidRDefault="00000000">
            <w:pPr>
              <w:spacing w:before="40" w:after="40" w:line="250" w:lineRule="auto"/>
            </w:pPr>
            <w:r>
              <w:rPr>
                <w:b/>
                <w:bCs/>
                <w:color w:val="FFFFFF"/>
                <w:sz w:val="17"/>
                <w:szCs w:val="17"/>
              </w:rPr>
              <w:t>Framework</w:t>
            </w:r>
          </w:p>
        </w:tc>
        <w:tc>
          <w:tcPr>
            <w:tcW w:w="3300" w:type="dxa"/>
            <w:shd w:val="clear" w:color="auto" w:fill="1F3864"/>
            <w:tcMar>
              <w:top w:w="70" w:type="dxa"/>
              <w:left w:w="110" w:type="dxa"/>
              <w:bottom w:w="70" w:type="dxa"/>
              <w:right w:w="110" w:type="dxa"/>
            </w:tcMar>
            <w:vAlign w:val="center"/>
          </w:tcPr>
          <w:p w14:paraId="1C43347D" w14:textId="77777777" w:rsidR="00E33D27" w:rsidRDefault="00000000">
            <w:pPr>
              <w:spacing w:before="40" w:after="40" w:line="250" w:lineRule="auto"/>
            </w:pPr>
            <w:r>
              <w:rPr>
                <w:b/>
                <w:bCs/>
                <w:color w:val="FFFFFF"/>
                <w:sz w:val="17"/>
                <w:szCs w:val="17"/>
              </w:rPr>
              <w:t>Author and year</w:t>
            </w:r>
          </w:p>
        </w:tc>
        <w:tc>
          <w:tcPr>
            <w:tcW w:w="4080" w:type="dxa"/>
            <w:shd w:val="clear" w:color="auto" w:fill="1F3864"/>
            <w:tcMar>
              <w:top w:w="70" w:type="dxa"/>
              <w:left w:w="110" w:type="dxa"/>
              <w:bottom w:w="70" w:type="dxa"/>
              <w:right w:w="110" w:type="dxa"/>
            </w:tcMar>
            <w:vAlign w:val="center"/>
          </w:tcPr>
          <w:p w14:paraId="59417042" w14:textId="77777777" w:rsidR="00E33D27" w:rsidRDefault="00000000">
            <w:pPr>
              <w:spacing w:before="40" w:after="40" w:line="250" w:lineRule="auto"/>
            </w:pPr>
            <w:r>
              <w:rPr>
                <w:b/>
                <w:bCs/>
                <w:color w:val="FFFFFF"/>
                <w:sz w:val="17"/>
                <w:szCs w:val="17"/>
              </w:rPr>
              <w:t>What it does</w:t>
            </w:r>
          </w:p>
        </w:tc>
      </w:tr>
      <w:tr w:rsidR="00E33D27" w14:paraId="4D94D87B" w14:textId="77777777">
        <w:tblPrEx>
          <w:tblCellMar>
            <w:top w:w="0" w:type="dxa"/>
            <w:bottom w:w="0" w:type="dxa"/>
          </w:tblCellMar>
        </w:tblPrEx>
        <w:trPr>
          <w:cantSplit/>
        </w:trPr>
        <w:tc>
          <w:tcPr>
            <w:tcW w:w="2700" w:type="dxa"/>
            <w:shd w:val="clear" w:color="auto" w:fill="F3F4F6"/>
            <w:tcMar>
              <w:top w:w="70" w:type="dxa"/>
              <w:left w:w="110" w:type="dxa"/>
              <w:bottom w:w="70" w:type="dxa"/>
              <w:right w:w="110" w:type="dxa"/>
            </w:tcMar>
            <w:vAlign w:val="center"/>
          </w:tcPr>
          <w:p w14:paraId="467F5D3F" w14:textId="77777777" w:rsidR="00E33D27" w:rsidRDefault="00000000">
            <w:pPr>
              <w:spacing w:before="40" w:after="40" w:line="250" w:lineRule="auto"/>
            </w:pPr>
            <w:r>
              <w:rPr>
                <w:b/>
                <w:bCs/>
                <w:sz w:val="16"/>
                <w:szCs w:val="16"/>
              </w:rPr>
              <w:t>Skandia Navigator</w:t>
            </w:r>
          </w:p>
        </w:tc>
        <w:tc>
          <w:tcPr>
            <w:tcW w:w="3300" w:type="dxa"/>
            <w:shd w:val="clear" w:color="auto" w:fill="F3F4F6"/>
            <w:tcMar>
              <w:top w:w="70" w:type="dxa"/>
              <w:left w:w="110" w:type="dxa"/>
              <w:bottom w:w="70" w:type="dxa"/>
              <w:right w:w="110" w:type="dxa"/>
            </w:tcMar>
            <w:vAlign w:val="center"/>
          </w:tcPr>
          <w:p w14:paraId="1F290185" w14:textId="77777777" w:rsidR="00E33D27" w:rsidRDefault="00000000">
            <w:pPr>
              <w:spacing w:before="40" w:after="40" w:line="250" w:lineRule="auto"/>
            </w:pPr>
            <w:r>
              <w:rPr>
                <w:sz w:val="16"/>
                <w:szCs w:val="16"/>
              </w:rPr>
              <w:t>Edvinsson &amp; Malone, 1997</w:t>
            </w:r>
          </w:p>
        </w:tc>
        <w:tc>
          <w:tcPr>
            <w:tcW w:w="4080" w:type="dxa"/>
            <w:shd w:val="clear" w:color="auto" w:fill="F3F4F6"/>
            <w:tcMar>
              <w:top w:w="70" w:type="dxa"/>
              <w:left w:w="110" w:type="dxa"/>
              <w:bottom w:w="70" w:type="dxa"/>
              <w:right w:w="110" w:type="dxa"/>
            </w:tcMar>
            <w:vAlign w:val="center"/>
          </w:tcPr>
          <w:p w14:paraId="032C17AC" w14:textId="77777777" w:rsidR="00E33D27" w:rsidRDefault="00000000">
            <w:pPr>
              <w:spacing w:before="40" w:after="40" w:line="250" w:lineRule="auto"/>
            </w:pPr>
            <w:r>
              <w:rPr>
                <w:sz w:val="16"/>
                <w:szCs w:val="16"/>
              </w:rPr>
              <w:t>The first corporate IC reporting model: five focus areas — financial, customer, process, renewal and development, and human — arranged as a house, with the human focus at the centre</w:t>
            </w:r>
          </w:p>
        </w:tc>
      </w:tr>
      <w:tr w:rsidR="00E33D27" w14:paraId="783DAC4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6241CCF6" w14:textId="77777777" w:rsidR="00E33D27" w:rsidRDefault="00000000">
            <w:pPr>
              <w:spacing w:before="40" w:after="40" w:line="250" w:lineRule="auto"/>
            </w:pPr>
            <w:r>
              <w:rPr>
                <w:b/>
                <w:bCs/>
                <w:sz w:val="16"/>
                <w:szCs w:val="16"/>
              </w:rPr>
              <w:t>Tobin's q</w:t>
            </w:r>
          </w:p>
        </w:tc>
        <w:tc>
          <w:tcPr>
            <w:tcW w:w="3300" w:type="dxa"/>
            <w:shd w:val="clear" w:color="auto" w:fill="FFFFFF"/>
            <w:tcMar>
              <w:top w:w="70" w:type="dxa"/>
              <w:left w:w="110" w:type="dxa"/>
              <w:bottom w:w="70" w:type="dxa"/>
              <w:right w:w="110" w:type="dxa"/>
            </w:tcMar>
            <w:vAlign w:val="center"/>
          </w:tcPr>
          <w:p w14:paraId="1160E7E4" w14:textId="77777777" w:rsidR="00E33D27" w:rsidRDefault="00000000">
            <w:pPr>
              <w:spacing w:before="40" w:after="40" w:line="250" w:lineRule="auto"/>
            </w:pPr>
            <w:r>
              <w:rPr>
                <w:sz w:val="16"/>
                <w:szCs w:val="16"/>
              </w:rPr>
              <w:t>James Tobin</w:t>
            </w:r>
          </w:p>
        </w:tc>
        <w:tc>
          <w:tcPr>
            <w:tcW w:w="4080" w:type="dxa"/>
            <w:shd w:val="clear" w:color="auto" w:fill="FFFFFF"/>
            <w:tcMar>
              <w:top w:w="70" w:type="dxa"/>
              <w:left w:w="110" w:type="dxa"/>
              <w:bottom w:w="70" w:type="dxa"/>
              <w:right w:w="110" w:type="dxa"/>
            </w:tcMar>
            <w:vAlign w:val="center"/>
          </w:tcPr>
          <w:p w14:paraId="4DACC63B" w14:textId="77777777" w:rsidR="00E33D27" w:rsidRDefault="00000000">
            <w:pPr>
              <w:spacing w:before="40" w:after="40" w:line="250" w:lineRule="auto"/>
            </w:pPr>
            <w:r>
              <w:rPr>
                <w:sz w:val="16"/>
                <w:szCs w:val="16"/>
              </w:rPr>
              <w:t>Market value divided by the replacement cost of assets; a q well above one is read as the market pricing intangibles the accounts omit</w:t>
            </w:r>
          </w:p>
        </w:tc>
      </w:tr>
      <w:tr w:rsidR="00E33D27" w14:paraId="32CDC2EC" w14:textId="77777777">
        <w:tblPrEx>
          <w:tblCellMar>
            <w:top w:w="0" w:type="dxa"/>
            <w:bottom w:w="0" w:type="dxa"/>
          </w:tblCellMar>
        </w:tblPrEx>
        <w:trPr>
          <w:cantSplit/>
        </w:trPr>
        <w:tc>
          <w:tcPr>
            <w:tcW w:w="2700" w:type="dxa"/>
            <w:shd w:val="clear" w:color="auto" w:fill="F3F4F6"/>
            <w:tcMar>
              <w:top w:w="70" w:type="dxa"/>
              <w:left w:w="110" w:type="dxa"/>
              <w:bottom w:w="70" w:type="dxa"/>
              <w:right w:w="110" w:type="dxa"/>
            </w:tcMar>
            <w:vAlign w:val="center"/>
          </w:tcPr>
          <w:p w14:paraId="71083B99" w14:textId="77777777" w:rsidR="00E33D27" w:rsidRDefault="00000000">
            <w:pPr>
              <w:spacing w:before="40" w:after="40" w:line="250" w:lineRule="auto"/>
            </w:pPr>
            <w:r>
              <w:rPr>
                <w:b/>
                <w:bCs/>
                <w:sz w:val="16"/>
                <w:szCs w:val="16"/>
              </w:rPr>
              <w:t>Market-to-book ratio</w:t>
            </w:r>
          </w:p>
        </w:tc>
        <w:tc>
          <w:tcPr>
            <w:tcW w:w="3300" w:type="dxa"/>
            <w:shd w:val="clear" w:color="auto" w:fill="F3F4F6"/>
            <w:tcMar>
              <w:top w:w="70" w:type="dxa"/>
              <w:left w:w="110" w:type="dxa"/>
              <w:bottom w:w="70" w:type="dxa"/>
              <w:right w:w="110" w:type="dxa"/>
            </w:tcMar>
            <w:vAlign w:val="center"/>
          </w:tcPr>
          <w:p w14:paraId="63E341CF" w14:textId="77777777" w:rsidR="00E33D27" w:rsidRDefault="00000000">
            <w:pPr>
              <w:spacing w:before="40" w:after="40" w:line="250" w:lineRule="auto"/>
            </w:pPr>
            <w:r>
              <w:rPr>
                <w:sz w:val="16"/>
                <w:szCs w:val="16"/>
              </w:rPr>
              <w:t>—</w:t>
            </w:r>
          </w:p>
        </w:tc>
        <w:tc>
          <w:tcPr>
            <w:tcW w:w="4080" w:type="dxa"/>
            <w:shd w:val="clear" w:color="auto" w:fill="F3F4F6"/>
            <w:tcMar>
              <w:top w:w="70" w:type="dxa"/>
              <w:left w:w="110" w:type="dxa"/>
              <w:bottom w:w="70" w:type="dxa"/>
              <w:right w:w="110" w:type="dxa"/>
            </w:tcMar>
            <w:vAlign w:val="center"/>
          </w:tcPr>
          <w:p w14:paraId="20608B53" w14:textId="77777777" w:rsidR="00E33D27" w:rsidRDefault="00000000">
            <w:pPr>
              <w:spacing w:before="40" w:after="40" w:line="250" w:lineRule="auto"/>
            </w:pPr>
            <w:r>
              <w:rPr>
                <w:sz w:val="16"/>
                <w:szCs w:val="16"/>
              </w:rPr>
              <w:t>The crudest proxy: the excess of market over book value taken as intellectual capital</w:t>
            </w:r>
          </w:p>
        </w:tc>
      </w:tr>
      <w:tr w:rsidR="00E33D27" w14:paraId="3C0F732D"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1ABBB46C" w14:textId="77777777" w:rsidR="00E33D27" w:rsidRDefault="00000000">
            <w:pPr>
              <w:spacing w:before="40" w:after="40" w:line="250" w:lineRule="auto"/>
            </w:pPr>
            <w:r>
              <w:rPr>
                <w:b/>
                <w:bCs/>
                <w:sz w:val="16"/>
                <w:szCs w:val="16"/>
              </w:rPr>
              <w:t>Intangible Assets Monitor</w:t>
            </w:r>
          </w:p>
        </w:tc>
        <w:tc>
          <w:tcPr>
            <w:tcW w:w="3300" w:type="dxa"/>
            <w:shd w:val="clear" w:color="auto" w:fill="FFFFFF"/>
            <w:tcMar>
              <w:top w:w="70" w:type="dxa"/>
              <w:left w:w="110" w:type="dxa"/>
              <w:bottom w:w="70" w:type="dxa"/>
              <w:right w:w="110" w:type="dxa"/>
            </w:tcMar>
            <w:vAlign w:val="center"/>
          </w:tcPr>
          <w:p w14:paraId="2E056129" w14:textId="77777777" w:rsidR="00E33D27" w:rsidRDefault="00000000">
            <w:pPr>
              <w:spacing w:before="40" w:after="40" w:line="250" w:lineRule="auto"/>
            </w:pPr>
            <w:r>
              <w:rPr>
                <w:sz w:val="16"/>
                <w:szCs w:val="16"/>
              </w:rPr>
              <w:t>Karl-Erik Sveiby</w:t>
            </w:r>
          </w:p>
        </w:tc>
        <w:tc>
          <w:tcPr>
            <w:tcW w:w="4080" w:type="dxa"/>
            <w:shd w:val="clear" w:color="auto" w:fill="FFFFFF"/>
            <w:tcMar>
              <w:top w:w="70" w:type="dxa"/>
              <w:left w:w="110" w:type="dxa"/>
              <w:bottom w:w="70" w:type="dxa"/>
              <w:right w:w="110" w:type="dxa"/>
            </w:tcMar>
            <w:vAlign w:val="center"/>
          </w:tcPr>
          <w:p w14:paraId="1F6D3824" w14:textId="77777777" w:rsidR="00E33D27" w:rsidRDefault="00000000">
            <w:pPr>
              <w:spacing w:before="40" w:after="40" w:line="250" w:lineRule="auto"/>
            </w:pPr>
            <w:r>
              <w:rPr>
                <w:sz w:val="16"/>
                <w:szCs w:val="16"/>
              </w:rPr>
              <w:t>Three families — external structure, internal structure and individual competence — each with growth, renewal, efficiency and stability indicators</w:t>
            </w:r>
          </w:p>
        </w:tc>
      </w:tr>
      <w:tr w:rsidR="00E33D27" w14:paraId="6FF5C68A" w14:textId="77777777">
        <w:tblPrEx>
          <w:tblCellMar>
            <w:top w:w="0" w:type="dxa"/>
            <w:bottom w:w="0" w:type="dxa"/>
          </w:tblCellMar>
        </w:tblPrEx>
        <w:trPr>
          <w:cantSplit/>
        </w:trPr>
        <w:tc>
          <w:tcPr>
            <w:tcW w:w="2700" w:type="dxa"/>
            <w:shd w:val="clear" w:color="auto" w:fill="F3F4F6"/>
            <w:tcMar>
              <w:top w:w="70" w:type="dxa"/>
              <w:left w:w="110" w:type="dxa"/>
              <w:bottom w:w="70" w:type="dxa"/>
              <w:right w:w="110" w:type="dxa"/>
            </w:tcMar>
            <w:vAlign w:val="center"/>
          </w:tcPr>
          <w:p w14:paraId="37C264BB" w14:textId="77777777" w:rsidR="00E33D27" w:rsidRDefault="00000000">
            <w:pPr>
              <w:spacing w:before="40" w:after="40" w:line="250" w:lineRule="auto"/>
            </w:pPr>
            <w:r>
              <w:rPr>
                <w:b/>
                <w:bCs/>
                <w:sz w:val="16"/>
                <w:szCs w:val="16"/>
              </w:rPr>
              <w:t>Balanced Scorecard</w:t>
            </w:r>
          </w:p>
        </w:tc>
        <w:tc>
          <w:tcPr>
            <w:tcW w:w="3300" w:type="dxa"/>
            <w:shd w:val="clear" w:color="auto" w:fill="F3F4F6"/>
            <w:tcMar>
              <w:top w:w="70" w:type="dxa"/>
              <w:left w:w="110" w:type="dxa"/>
              <w:bottom w:w="70" w:type="dxa"/>
              <w:right w:w="110" w:type="dxa"/>
            </w:tcMar>
            <w:vAlign w:val="center"/>
          </w:tcPr>
          <w:p w14:paraId="379F3C8A" w14:textId="77777777" w:rsidR="00E33D27" w:rsidRDefault="00000000">
            <w:pPr>
              <w:spacing w:before="40" w:after="40" w:line="250" w:lineRule="auto"/>
            </w:pPr>
            <w:r>
              <w:rPr>
                <w:sz w:val="16"/>
                <w:szCs w:val="16"/>
              </w:rPr>
              <w:t>Kaplan &amp; Norton, 1992/1996</w:t>
            </w:r>
          </w:p>
        </w:tc>
        <w:tc>
          <w:tcPr>
            <w:tcW w:w="4080" w:type="dxa"/>
            <w:shd w:val="clear" w:color="auto" w:fill="F3F4F6"/>
            <w:tcMar>
              <w:top w:w="70" w:type="dxa"/>
              <w:left w:w="110" w:type="dxa"/>
              <w:bottom w:w="70" w:type="dxa"/>
              <w:right w:w="110" w:type="dxa"/>
            </w:tcMar>
            <w:vAlign w:val="center"/>
          </w:tcPr>
          <w:p w14:paraId="72E25578" w14:textId="77777777" w:rsidR="00E33D27" w:rsidRDefault="00000000">
            <w:pPr>
              <w:spacing w:before="40" w:after="40" w:line="250" w:lineRule="auto"/>
            </w:pPr>
            <w:r>
              <w:rPr>
                <w:sz w:val="16"/>
                <w:szCs w:val="16"/>
              </w:rPr>
              <w:t>Financial, customer, internal process, and learning and growth perspectives; a management system rather than a valuation</w:t>
            </w:r>
          </w:p>
        </w:tc>
      </w:tr>
      <w:tr w:rsidR="00E33D27" w14:paraId="57A8D2F3"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42CE9657" w14:textId="77777777" w:rsidR="00E33D27" w:rsidRDefault="00000000">
            <w:pPr>
              <w:spacing w:before="40" w:after="40" w:line="250" w:lineRule="auto"/>
            </w:pPr>
            <w:r>
              <w:rPr>
                <w:b/>
                <w:bCs/>
                <w:sz w:val="16"/>
                <w:szCs w:val="16"/>
              </w:rPr>
              <w:t>Value Added Intellectual Coefficient (VAIC)</w:t>
            </w:r>
          </w:p>
        </w:tc>
        <w:tc>
          <w:tcPr>
            <w:tcW w:w="3300" w:type="dxa"/>
            <w:shd w:val="clear" w:color="auto" w:fill="FFFFFF"/>
            <w:tcMar>
              <w:top w:w="70" w:type="dxa"/>
              <w:left w:w="110" w:type="dxa"/>
              <w:bottom w:w="70" w:type="dxa"/>
              <w:right w:w="110" w:type="dxa"/>
            </w:tcMar>
            <w:vAlign w:val="center"/>
          </w:tcPr>
          <w:p w14:paraId="0A6A6B57" w14:textId="77777777" w:rsidR="00E33D27" w:rsidRDefault="00000000">
            <w:pPr>
              <w:spacing w:before="40" w:after="40" w:line="250" w:lineRule="auto"/>
            </w:pPr>
            <w:r>
              <w:rPr>
                <w:sz w:val="16"/>
                <w:szCs w:val="16"/>
              </w:rPr>
              <w:t>Ante Pulic</w:t>
            </w:r>
          </w:p>
        </w:tc>
        <w:tc>
          <w:tcPr>
            <w:tcW w:w="4080" w:type="dxa"/>
            <w:shd w:val="clear" w:color="auto" w:fill="FFFFFF"/>
            <w:tcMar>
              <w:top w:w="70" w:type="dxa"/>
              <w:left w:w="110" w:type="dxa"/>
              <w:bottom w:w="70" w:type="dxa"/>
              <w:right w:w="110" w:type="dxa"/>
            </w:tcMar>
            <w:vAlign w:val="center"/>
          </w:tcPr>
          <w:p w14:paraId="2FA49304" w14:textId="77777777" w:rsidR="00E33D27" w:rsidRDefault="00000000">
            <w:pPr>
              <w:spacing w:before="40" w:after="40" w:line="250" w:lineRule="auto"/>
            </w:pPr>
            <w:r>
              <w:rPr>
                <w:sz w:val="16"/>
                <w:szCs w:val="16"/>
              </w:rPr>
              <w:t>Computes efficiency of human capital, structural capital and capital employed from published financial data, so it is comparable across firms</w:t>
            </w:r>
          </w:p>
        </w:tc>
      </w:tr>
      <w:tr w:rsidR="00E33D27" w14:paraId="0E5057D9" w14:textId="77777777">
        <w:tblPrEx>
          <w:tblCellMar>
            <w:top w:w="0" w:type="dxa"/>
            <w:bottom w:w="0" w:type="dxa"/>
          </w:tblCellMar>
        </w:tblPrEx>
        <w:trPr>
          <w:cantSplit/>
        </w:trPr>
        <w:tc>
          <w:tcPr>
            <w:tcW w:w="2700" w:type="dxa"/>
            <w:shd w:val="clear" w:color="auto" w:fill="F3F4F6"/>
            <w:tcMar>
              <w:top w:w="70" w:type="dxa"/>
              <w:left w:w="110" w:type="dxa"/>
              <w:bottom w:w="70" w:type="dxa"/>
              <w:right w:w="110" w:type="dxa"/>
            </w:tcMar>
            <w:vAlign w:val="center"/>
          </w:tcPr>
          <w:p w14:paraId="02B18D99" w14:textId="77777777" w:rsidR="00E33D27" w:rsidRDefault="00000000">
            <w:pPr>
              <w:spacing w:before="40" w:after="40" w:line="250" w:lineRule="auto"/>
            </w:pPr>
            <w:r>
              <w:rPr>
                <w:b/>
                <w:bCs/>
                <w:sz w:val="16"/>
                <w:szCs w:val="16"/>
              </w:rPr>
              <w:t>Technology Broker / IC-Audit</w:t>
            </w:r>
          </w:p>
        </w:tc>
        <w:tc>
          <w:tcPr>
            <w:tcW w:w="3300" w:type="dxa"/>
            <w:shd w:val="clear" w:color="auto" w:fill="F3F4F6"/>
            <w:tcMar>
              <w:top w:w="70" w:type="dxa"/>
              <w:left w:w="110" w:type="dxa"/>
              <w:bottom w:w="70" w:type="dxa"/>
              <w:right w:w="110" w:type="dxa"/>
            </w:tcMar>
            <w:vAlign w:val="center"/>
          </w:tcPr>
          <w:p w14:paraId="7091C779" w14:textId="77777777" w:rsidR="00E33D27" w:rsidRDefault="00000000">
            <w:pPr>
              <w:spacing w:before="40" w:after="40" w:line="250" w:lineRule="auto"/>
            </w:pPr>
            <w:r>
              <w:rPr>
                <w:sz w:val="16"/>
                <w:szCs w:val="16"/>
              </w:rPr>
              <w:t>Annie Brooking, 1996</w:t>
            </w:r>
          </w:p>
        </w:tc>
        <w:tc>
          <w:tcPr>
            <w:tcW w:w="4080" w:type="dxa"/>
            <w:shd w:val="clear" w:color="auto" w:fill="F3F4F6"/>
            <w:tcMar>
              <w:top w:w="70" w:type="dxa"/>
              <w:left w:w="110" w:type="dxa"/>
              <w:bottom w:w="70" w:type="dxa"/>
              <w:right w:w="110" w:type="dxa"/>
            </w:tcMar>
            <w:vAlign w:val="center"/>
          </w:tcPr>
          <w:p w14:paraId="239E6333" w14:textId="77777777" w:rsidR="00E33D27" w:rsidRDefault="00000000">
            <w:pPr>
              <w:spacing w:before="40" w:after="40" w:line="250" w:lineRule="auto"/>
            </w:pPr>
            <w:r>
              <w:rPr>
                <w:sz w:val="16"/>
                <w:szCs w:val="16"/>
              </w:rPr>
              <w:t>Four asset classes: market assets, human-centred assets, intellectual property assets and infrastructure assets</w:t>
            </w:r>
          </w:p>
        </w:tc>
      </w:tr>
      <w:tr w:rsidR="00E33D27" w14:paraId="26717B0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3B46DBC6" w14:textId="77777777" w:rsidR="00E33D27" w:rsidRDefault="00000000">
            <w:pPr>
              <w:spacing w:before="40" w:after="40" w:line="250" w:lineRule="auto"/>
            </w:pPr>
            <w:r>
              <w:rPr>
                <w:b/>
                <w:bCs/>
                <w:sz w:val="16"/>
                <w:szCs w:val="16"/>
              </w:rPr>
              <w:t>Intangible market-value share</w:t>
            </w:r>
          </w:p>
        </w:tc>
        <w:tc>
          <w:tcPr>
            <w:tcW w:w="3300" w:type="dxa"/>
            <w:shd w:val="clear" w:color="auto" w:fill="FFFFFF"/>
            <w:tcMar>
              <w:top w:w="70" w:type="dxa"/>
              <w:left w:w="110" w:type="dxa"/>
              <w:bottom w:w="70" w:type="dxa"/>
              <w:right w:w="110" w:type="dxa"/>
            </w:tcMar>
            <w:vAlign w:val="center"/>
          </w:tcPr>
          <w:p w14:paraId="286A20C2" w14:textId="77777777" w:rsidR="00E33D27" w:rsidRDefault="00000000">
            <w:pPr>
              <w:spacing w:before="40" w:after="40" w:line="250" w:lineRule="auto"/>
            </w:pPr>
            <w:r>
              <w:rPr>
                <w:sz w:val="16"/>
                <w:szCs w:val="16"/>
              </w:rPr>
              <w:t>Ocean Tomo</w:t>
            </w:r>
          </w:p>
        </w:tc>
        <w:tc>
          <w:tcPr>
            <w:tcW w:w="4080" w:type="dxa"/>
            <w:shd w:val="clear" w:color="auto" w:fill="FFFFFF"/>
            <w:tcMar>
              <w:top w:w="70" w:type="dxa"/>
              <w:left w:w="110" w:type="dxa"/>
              <w:bottom w:w="70" w:type="dxa"/>
              <w:right w:w="110" w:type="dxa"/>
            </w:tcMar>
            <w:vAlign w:val="center"/>
          </w:tcPr>
          <w:p w14:paraId="0A77868D" w14:textId="77777777" w:rsidR="00E33D27" w:rsidRDefault="00000000">
            <w:pPr>
              <w:spacing w:before="40" w:after="40" w:line="250" w:lineRule="auto"/>
            </w:pPr>
            <w:r>
              <w:rPr>
                <w:sz w:val="16"/>
                <w:szCs w:val="16"/>
              </w:rPr>
              <w:t>Tracks intangibles as a percentage of S&amp;P 500 market value over time; the most-quoted single series in the field</w:t>
            </w:r>
          </w:p>
        </w:tc>
      </w:tr>
    </w:tbl>
    <w:p w14:paraId="6A8AABE3" w14:textId="77777777" w:rsidR="00E33D27" w:rsidRDefault="00000000">
      <w:pPr>
        <w:spacing w:before="60" w:after="180"/>
      </w:pPr>
      <w:r>
        <w:rPr>
          <w:i/>
          <w:iCs/>
          <w:color w:val="5A6270"/>
          <w:sz w:val="16"/>
          <w:szCs w:val="16"/>
        </w:rPr>
        <w:t>Table 1.4  Measurement frameworks. Name the author and year in an answer; that is what distinguishes a first-class response.</w:t>
      </w:r>
    </w:p>
    <w:p w14:paraId="64F12191" w14:textId="77777777" w:rsidR="00E33D27" w:rsidRDefault="00000000">
      <w:pPr>
        <w:keepNext/>
        <w:spacing w:before="160" w:after="60" w:line="240" w:lineRule="auto"/>
        <w:jc w:val="center"/>
      </w:pPr>
      <w:r>
        <w:rPr>
          <w:noProof/>
        </w:rPr>
        <w:lastRenderedPageBreak/>
        <w:drawing>
          <wp:inline distT="0" distB="0" distL="0" distR="0" wp14:anchorId="2CF19561" wp14:editId="4AFC874D">
            <wp:extent cx="6172200" cy="3228975"/>
            <wp:effectExtent l="0" t="0" r="0" b="0"/>
            <wp:docPr id="725988215" name="Picture 72598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228975"/>
                    </a:xfrm>
                    <a:prstGeom prst="rect">
                      <a:avLst/>
                    </a:prstGeom>
                  </pic:spPr>
                </pic:pic>
              </a:graphicData>
            </a:graphic>
          </wp:inline>
        </w:drawing>
      </w:r>
    </w:p>
    <w:p w14:paraId="11A1AC6B" w14:textId="77777777" w:rsidR="00E33D27" w:rsidRDefault="00000000">
      <w:pPr>
        <w:spacing w:after="220" w:line="240" w:lineRule="auto"/>
        <w:jc w:val="center"/>
      </w:pPr>
      <w:r>
        <w:rPr>
          <w:i/>
          <w:iCs/>
          <w:color w:val="5A6270"/>
          <w:sz w:val="17"/>
          <w:szCs w:val="17"/>
        </w:rPr>
        <w:t>Figure 1.8  The most-cited evidence that the measurement problem matters.</w:t>
      </w:r>
    </w:p>
    <w:p w14:paraId="02603833" w14:textId="77777777" w:rsidR="00E33D27" w:rsidRDefault="00000000">
      <w:pPr>
        <w:jc w:val="both"/>
      </w:pPr>
      <w:r>
        <w:t>The Ocean Tomo series shows intangibles rising from about 17% of S&amp;P 500 market value in 1975 to 32% in 1985, 68% in 1995, 84% in 2015 and over 90% by 2020, with the firm's own later updates putting the figure at about 92%. Two cautions. The series is produced by a commercially interested firm using its own methodology, so cite 90% for 2020 as the safe benchmark and attribute the higher figures. And the series measures the market's pricing of intangibles generally — brands, data, software, organisational capability — not patents specifically.</w:t>
      </w:r>
    </w:p>
    <w:p w14:paraId="4058C043" w14:textId="77777777" w:rsidR="00E33D27" w:rsidRDefault="00000000">
      <w:pPr>
        <w:jc w:val="both"/>
      </w:pPr>
      <w:r>
        <w:t>Why does no framework settle the question? Because IP value has three awkward properties. It is extremely skewed: within any portfolio a small number of assets carry most of the worth, with the top tenth accounting for roughly 80 to 85 per cent of value on the standard estimate (Scherer &amp; Harhoff, 2000). There is usually no market: most patents are never sold, so there are no comparables. And value is contingent on things outside the asset — the holder's complementary assets, the remaining term, the state of substitutes. Consequently the gap between valuation and realised price is habitually large, and a valuation is best presented as a range with an explanation rather than a number.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4D5EE7EB"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27D4ABFA" w14:textId="77777777" w:rsidR="00E33D27" w:rsidRDefault="00000000">
            <w:pPr>
              <w:spacing w:after="80"/>
            </w:pPr>
            <w:r>
              <w:rPr>
                <w:b/>
                <w:bCs/>
                <w:color w:val="1F3864"/>
                <w:sz w:val="19"/>
                <w:szCs w:val="19"/>
              </w:rPr>
              <w:t>The correction to make when you meet the “ten per cent” claim</w:t>
            </w:r>
          </w:p>
          <w:p w14:paraId="24D653F0" w14:textId="77777777" w:rsidR="00E33D27" w:rsidRDefault="00000000">
            <w:pPr>
              <w:spacing w:after="70" w:line="265" w:lineRule="auto"/>
              <w:jc w:val="both"/>
            </w:pPr>
            <w:r>
              <w:rPr>
                <w:sz w:val="18"/>
                <w:szCs w:val="18"/>
              </w:rPr>
              <w:t>The class statement that only about ten per cent of patents in a portfolio have any value is directionally right and technically imprecise. The defensible version is about concentration, not worthlessness: the top ten per cent of a portfolio typically accounts for roughly 80 to 85 per cent of its total value (Scherer &amp; Harhoff, 2000), and the PatVal-EU study of 2005 found only about 7 per cent of patents worth more than €10 million while roughly two-thirds were worth under €1 million. The distribution is approximately lognormal. Saying “ninety per cent are worthless” overstates it; saying “value is concentrated in the tail” is both accurate and more useful, because it justifies portfolio pruning as a value-creating act rather than a mere cost saving.</w:t>
            </w:r>
          </w:p>
        </w:tc>
      </w:tr>
    </w:tbl>
    <w:p w14:paraId="4CF3F205" w14:textId="77777777" w:rsidR="00E33D27" w:rsidRDefault="00E33D27">
      <w:pPr>
        <w:spacing w:after="160"/>
      </w:pPr>
    </w:p>
    <w:p w14:paraId="459886E1" w14:textId="77777777" w:rsidR="00E33D27" w:rsidRDefault="00000000">
      <w:pPr>
        <w:pStyle w:val="Heading3"/>
        <w:keepNext/>
      </w:pPr>
      <w:r>
        <w:t>The cost side of an IP culture</w:t>
      </w:r>
    </w:p>
    <w:p w14:paraId="077B3025" w14:textId="77777777" w:rsidR="00E33D27" w:rsidRDefault="00000000">
      <w:pPr>
        <w:jc w:val="both"/>
      </w:pPr>
      <w:r>
        <w:t>A culture that files has to pay for filing, and the arithmetic explains why portfolio decisions are strategic. The class built the estimate from the bottom up and it is worth reproducing because it converts abstract portfolio talk into money.</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3600"/>
        <w:gridCol w:w="6480"/>
      </w:tblGrid>
      <w:tr w:rsidR="00E33D27" w14:paraId="74D48FB8" w14:textId="77777777">
        <w:tblPrEx>
          <w:tblCellMar>
            <w:top w:w="0" w:type="dxa"/>
            <w:bottom w:w="0" w:type="dxa"/>
          </w:tblCellMar>
        </w:tblPrEx>
        <w:trPr>
          <w:cantSplit/>
          <w:tblHeader/>
        </w:trPr>
        <w:tc>
          <w:tcPr>
            <w:tcW w:w="3600" w:type="dxa"/>
            <w:shd w:val="clear" w:color="auto" w:fill="1F3864"/>
            <w:tcMar>
              <w:top w:w="70" w:type="dxa"/>
              <w:left w:w="110" w:type="dxa"/>
              <w:bottom w:w="70" w:type="dxa"/>
              <w:right w:w="110" w:type="dxa"/>
            </w:tcMar>
            <w:vAlign w:val="center"/>
          </w:tcPr>
          <w:p w14:paraId="1BF2BD15" w14:textId="77777777" w:rsidR="00E33D27" w:rsidRDefault="00000000">
            <w:pPr>
              <w:spacing w:before="40" w:after="40" w:line="250" w:lineRule="auto"/>
            </w:pPr>
            <w:r>
              <w:rPr>
                <w:b/>
                <w:bCs/>
                <w:color w:val="FFFFFF"/>
                <w:sz w:val="17"/>
                <w:szCs w:val="17"/>
              </w:rPr>
              <w:lastRenderedPageBreak/>
              <w:t>Cost element</w:t>
            </w:r>
          </w:p>
        </w:tc>
        <w:tc>
          <w:tcPr>
            <w:tcW w:w="6480" w:type="dxa"/>
            <w:shd w:val="clear" w:color="auto" w:fill="1F3864"/>
            <w:tcMar>
              <w:top w:w="70" w:type="dxa"/>
              <w:left w:w="110" w:type="dxa"/>
              <w:bottom w:w="70" w:type="dxa"/>
              <w:right w:w="110" w:type="dxa"/>
            </w:tcMar>
            <w:vAlign w:val="center"/>
          </w:tcPr>
          <w:p w14:paraId="4A4C869A" w14:textId="77777777" w:rsidR="00E33D27" w:rsidRDefault="00000000">
            <w:pPr>
              <w:spacing w:before="40" w:after="40" w:line="250" w:lineRule="auto"/>
            </w:pPr>
            <w:r>
              <w:rPr>
                <w:b/>
                <w:bCs/>
                <w:color w:val="FFFFFF"/>
                <w:sz w:val="17"/>
                <w:szCs w:val="17"/>
              </w:rPr>
              <w:t>Order of magnitude</w:t>
            </w:r>
          </w:p>
        </w:tc>
      </w:tr>
      <w:tr w:rsidR="00E33D27" w14:paraId="77B8BDC0" w14:textId="77777777">
        <w:tblPrEx>
          <w:tblCellMar>
            <w:top w:w="0" w:type="dxa"/>
            <w:bottom w:w="0" w:type="dxa"/>
          </w:tblCellMar>
        </w:tblPrEx>
        <w:trPr>
          <w:cantSplit/>
        </w:trPr>
        <w:tc>
          <w:tcPr>
            <w:tcW w:w="3600" w:type="dxa"/>
            <w:shd w:val="clear" w:color="auto" w:fill="F3F4F6"/>
            <w:tcMar>
              <w:top w:w="70" w:type="dxa"/>
              <w:left w:w="110" w:type="dxa"/>
              <w:bottom w:w="70" w:type="dxa"/>
              <w:right w:w="110" w:type="dxa"/>
            </w:tcMar>
            <w:vAlign w:val="center"/>
          </w:tcPr>
          <w:p w14:paraId="199A7484" w14:textId="77777777" w:rsidR="00E33D27" w:rsidRDefault="00000000">
            <w:pPr>
              <w:spacing w:before="40" w:after="40" w:line="250" w:lineRule="auto"/>
            </w:pPr>
            <w:r>
              <w:rPr>
                <w:b/>
                <w:bCs/>
                <w:sz w:val="16"/>
                <w:szCs w:val="16"/>
              </w:rPr>
              <w:t>Professional fees, one Indian patent</w:t>
            </w:r>
          </w:p>
        </w:tc>
        <w:tc>
          <w:tcPr>
            <w:tcW w:w="6480" w:type="dxa"/>
            <w:shd w:val="clear" w:color="auto" w:fill="F3F4F6"/>
            <w:tcMar>
              <w:top w:w="70" w:type="dxa"/>
              <w:left w:w="110" w:type="dxa"/>
              <w:bottom w:w="70" w:type="dxa"/>
              <w:right w:w="110" w:type="dxa"/>
            </w:tcMar>
            <w:vAlign w:val="center"/>
          </w:tcPr>
          <w:p w14:paraId="5574AA5E" w14:textId="77777777" w:rsidR="00E33D27" w:rsidRDefault="00000000">
            <w:pPr>
              <w:spacing w:before="40" w:after="40" w:line="250" w:lineRule="auto"/>
            </w:pPr>
            <w:r>
              <w:rPr>
                <w:sz w:val="16"/>
                <w:szCs w:val="16"/>
              </w:rPr>
              <w:t>Roughly ₹50,000 to ₹1.5 lakh depending on complexity; about ₹1 lakh as a working average, typically covering prior-art search, drafting, filing of the complete specification, request for examination and publication, and reply to the first examination report — with hearings and opposition excluded</w:t>
            </w:r>
          </w:p>
        </w:tc>
      </w:tr>
      <w:tr w:rsidR="00E33D27" w14:paraId="0D2D6D40" w14:textId="77777777">
        <w:tblPrEx>
          <w:tblCellMar>
            <w:top w:w="0" w:type="dxa"/>
            <w:bottom w:w="0" w:type="dxa"/>
          </w:tblCellMar>
        </w:tblPrEx>
        <w:trPr>
          <w:cantSplit/>
        </w:trPr>
        <w:tc>
          <w:tcPr>
            <w:tcW w:w="3600" w:type="dxa"/>
            <w:shd w:val="clear" w:color="auto" w:fill="FFFFFF"/>
            <w:tcMar>
              <w:top w:w="70" w:type="dxa"/>
              <w:left w:w="110" w:type="dxa"/>
              <w:bottom w:w="70" w:type="dxa"/>
              <w:right w:w="110" w:type="dxa"/>
            </w:tcMar>
            <w:vAlign w:val="center"/>
          </w:tcPr>
          <w:p w14:paraId="05545448" w14:textId="77777777" w:rsidR="00E33D27" w:rsidRDefault="00000000">
            <w:pPr>
              <w:spacing w:before="40" w:after="40" w:line="250" w:lineRule="auto"/>
            </w:pPr>
            <w:r>
              <w:rPr>
                <w:b/>
                <w:bCs/>
                <w:sz w:val="16"/>
                <w:szCs w:val="16"/>
              </w:rPr>
              <w:t>Government fees</w:t>
            </w:r>
          </w:p>
        </w:tc>
        <w:tc>
          <w:tcPr>
            <w:tcW w:w="6480" w:type="dxa"/>
            <w:shd w:val="clear" w:color="auto" w:fill="FFFFFF"/>
            <w:tcMar>
              <w:top w:w="70" w:type="dxa"/>
              <w:left w:w="110" w:type="dxa"/>
              <w:bottom w:w="70" w:type="dxa"/>
              <w:right w:w="110" w:type="dxa"/>
            </w:tcMar>
            <w:vAlign w:val="center"/>
          </w:tcPr>
          <w:p w14:paraId="0F32066E" w14:textId="77777777" w:rsidR="00E33D27" w:rsidRDefault="00000000">
            <w:pPr>
              <w:spacing w:before="40" w:after="40" w:line="250" w:lineRule="auto"/>
            </w:pPr>
            <w:r>
              <w:rPr>
                <w:sz w:val="16"/>
                <w:szCs w:val="16"/>
              </w:rPr>
              <w:t>Separate from professional fees, and tiered by applicant type (individual, start-up, MSME, other), so the same filing costs different amounts to different applicants</w:t>
            </w:r>
          </w:p>
        </w:tc>
      </w:tr>
      <w:tr w:rsidR="00E33D27" w14:paraId="0445A993" w14:textId="77777777">
        <w:tblPrEx>
          <w:tblCellMar>
            <w:top w:w="0" w:type="dxa"/>
            <w:bottom w:w="0" w:type="dxa"/>
          </w:tblCellMar>
        </w:tblPrEx>
        <w:trPr>
          <w:cantSplit/>
        </w:trPr>
        <w:tc>
          <w:tcPr>
            <w:tcW w:w="3600" w:type="dxa"/>
            <w:shd w:val="clear" w:color="auto" w:fill="F3F4F6"/>
            <w:tcMar>
              <w:top w:w="70" w:type="dxa"/>
              <w:left w:w="110" w:type="dxa"/>
              <w:bottom w:w="70" w:type="dxa"/>
              <w:right w:w="110" w:type="dxa"/>
            </w:tcMar>
            <w:vAlign w:val="center"/>
          </w:tcPr>
          <w:p w14:paraId="22C4E813" w14:textId="77777777" w:rsidR="00E33D27" w:rsidRDefault="00000000">
            <w:pPr>
              <w:spacing w:before="40" w:after="40" w:line="250" w:lineRule="auto"/>
            </w:pPr>
            <w:r>
              <w:rPr>
                <w:b/>
                <w:bCs/>
                <w:sz w:val="16"/>
                <w:szCs w:val="16"/>
              </w:rPr>
              <w:t>International coverage</w:t>
            </w:r>
          </w:p>
        </w:tc>
        <w:tc>
          <w:tcPr>
            <w:tcW w:w="6480" w:type="dxa"/>
            <w:shd w:val="clear" w:color="auto" w:fill="F3F4F6"/>
            <w:tcMar>
              <w:top w:w="70" w:type="dxa"/>
              <w:left w:w="110" w:type="dxa"/>
              <w:bottom w:w="70" w:type="dxa"/>
              <w:right w:w="110" w:type="dxa"/>
            </w:tcMar>
            <w:vAlign w:val="center"/>
          </w:tcPr>
          <w:p w14:paraId="7707E0BD" w14:textId="77777777" w:rsidR="00E33D27" w:rsidRDefault="00000000">
            <w:pPr>
              <w:spacing w:before="40" w:after="40" w:line="250" w:lineRule="auto"/>
            </w:pPr>
            <w:r>
              <w:rPr>
                <w:sz w:val="16"/>
                <w:szCs w:val="16"/>
              </w:rPr>
              <w:t>A single PCT application preserves the option; the expense arrives at the national phase. With 180-odd Paris Convention countries, protecting a product that is saleable everywhere multiplies the base cost by the number of jurisdictions actually entered</w:t>
            </w:r>
          </w:p>
        </w:tc>
      </w:tr>
      <w:tr w:rsidR="00E33D27" w14:paraId="7CBCF2D0" w14:textId="77777777">
        <w:tblPrEx>
          <w:tblCellMar>
            <w:top w:w="0" w:type="dxa"/>
            <w:bottom w:w="0" w:type="dxa"/>
          </w:tblCellMar>
        </w:tblPrEx>
        <w:trPr>
          <w:cantSplit/>
        </w:trPr>
        <w:tc>
          <w:tcPr>
            <w:tcW w:w="3600" w:type="dxa"/>
            <w:shd w:val="clear" w:color="auto" w:fill="FFFFFF"/>
            <w:tcMar>
              <w:top w:w="70" w:type="dxa"/>
              <w:left w:w="110" w:type="dxa"/>
              <w:bottom w:w="70" w:type="dxa"/>
              <w:right w:w="110" w:type="dxa"/>
            </w:tcMar>
            <w:vAlign w:val="center"/>
          </w:tcPr>
          <w:p w14:paraId="7F872A11" w14:textId="77777777" w:rsidR="00E33D27" w:rsidRDefault="00000000">
            <w:pPr>
              <w:spacing w:before="40" w:after="40" w:line="250" w:lineRule="auto"/>
            </w:pPr>
            <w:r>
              <w:rPr>
                <w:b/>
                <w:bCs/>
                <w:sz w:val="16"/>
                <w:szCs w:val="16"/>
              </w:rPr>
              <w:t>National-phase specifics</w:t>
            </w:r>
          </w:p>
        </w:tc>
        <w:tc>
          <w:tcPr>
            <w:tcW w:w="6480" w:type="dxa"/>
            <w:shd w:val="clear" w:color="auto" w:fill="FFFFFF"/>
            <w:tcMar>
              <w:top w:w="70" w:type="dxa"/>
              <w:left w:w="110" w:type="dxa"/>
              <w:bottom w:w="70" w:type="dxa"/>
              <w:right w:w="110" w:type="dxa"/>
            </w:tcMar>
            <w:vAlign w:val="center"/>
          </w:tcPr>
          <w:p w14:paraId="7F65BAD1" w14:textId="77777777" w:rsidR="00E33D27" w:rsidRDefault="00000000">
            <w:pPr>
              <w:spacing w:before="40" w:after="40" w:line="250" w:lineRule="auto"/>
            </w:pPr>
            <w:r>
              <w:rPr>
                <w:sz w:val="16"/>
                <w:szCs w:val="16"/>
              </w:rPr>
              <w:t>Translation, local agents, and claim amendment to local practice; cheaper in India and some jurisdictions, markedly dearer in others</w:t>
            </w:r>
          </w:p>
        </w:tc>
      </w:tr>
      <w:tr w:rsidR="00E33D27" w14:paraId="600129D2" w14:textId="77777777">
        <w:tblPrEx>
          <w:tblCellMar>
            <w:top w:w="0" w:type="dxa"/>
            <w:bottom w:w="0" w:type="dxa"/>
          </w:tblCellMar>
        </w:tblPrEx>
        <w:trPr>
          <w:cantSplit/>
        </w:trPr>
        <w:tc>
          <w:tcPr>
            <w:tcW w:w="3600" w:type="dxa"/>
            <w:shd w:val="clear" w:color="auto" w:fill="F3F4F6"/>
            <w:tcMar>
              <w:top w:w="70" w:type="dxa"/>
              <w:left w:w="110" w:type="dxa"/>
              <w:bottom w:w="70" w:type="dxa"/>
              <w:right w:w="110" w:type="dxa"/>
            </w:tcMar>
            <w:vAlign w:val="center"/>
          </w:tcPr>
          <w:p w14:paraId="77BBFE62" w14:textId="77777777" w:rsidR="00E33D27" w:rsidRDefault="00000000">
            <w:pPr>
              <w:spacing w:before="40" w:after="40" w:line="250" w:lineRule="auto"/>
            </w:pPr>
            <w:r>
              <w:rPr>
                <w:b/>
                <w:bCs/>
                <w:sz w:val="16"/>
                <w:szCs w:val="16"/>
              </w:rPr>
              <w:t>Annuities and maintenance</w:t>
            </w:r>
          </w:p>
        </w:tc>
        <w:tc>
          <w:tcPr>
            <w:tcW w:w="6480" w:type="dxa"/>
            <w:shd w:val="clear" w:color="auto" w:fill="F3F4F6"/>
            <w:tcMar>
              <w:top w:w="70" w:type="dxa"/>
              <w:left w:w="110" w:type="dxa"/>
              <w:bottom w:w="70" w:type="dxa"/>
              <w:right w:w="110" w:type="dxa"/>
            </w:tcMar>
            <w:vAlign w:val="center"/>
          </w:tcPr>
          <w:p w14:paraId="021AFA4E" w14:textId="77777777" w:rsidR="00E33D27" w:rsidRDefault="00000000">
            <w:pPr>
              <w:spacing w:before="40" w:after="40" w:line="250" w:lineRule="auto"/>
            </w:pPr>
            <w:r>
              <w:rPr>
                <w:sz w:val="16"/>
                <w:szCs w:val="16"/>
              </w:rPr>
              <w:t>Payable every year in every jurisdiction for up to twenty years — the cost that makes an unused patent a standing liability</w:t>
            </w:r>
          </w:p>
        </w:tc>
      </w:tr>
      <w:tr w:rsidR="00E33D27" w14:paraId="366E2085" w14:textId="77777777">
        <w:tblPrEx>
          <w:tblCellMar>
            <w:top w:w="0" w:type="dxa"/>
            <w:bottom w:w="0" w:type="dxa"/>
          </w:tblCellMar>
        </w:tblPrEx>
        <w:trPr>
          <w:cantSplit/>
        </w:trPr>
        <w:tc>
          <w:tcPr>
            <w:tcW w:w="3600" w:type="dxa"/>
            <w:shd w:val="clear" w:color="auto" w:fill="FFFFFF"/>
            <w:tcMar>
              <w:top w:w="70" w:type="dxa"/>
              <w:left w:w="110" w:type="dxa"/>
              <w:bottom w:w="70" w:type="dxa"/>
              <w:right w:w="110" w:type="dxa"/>
            </w:tcMar>
            <w:vAlign w:val="center"/>
          </w:tcPr>
          <w:p w14:paraId="27AE52EE" w14:textId="77777777" w:rsidR="00E33D27" w:rsidRDefault="00000000">
            <w:pPr>
              <w:spacing w:before="40" w:after="40" w:line="250" w:lineRule="auto"/>
            </w:pPr>
            <w:r>
              <w:rPr>
                <w:b/>
                <w:bCs/>
                <w:sz w:val="16"/>
                <w:szCs w:val="16"/>
              </w:rPr>
              <w:t>Adjacent rights</w:t>
            </w:r>
          </w:p>
        </w:tc>
        <w:tc>
          <w:tcPr>
            <w:tcW w:w="6480" w:type="dxa"/>
            <w:shd w:val="clear" w:color="auto" w:fill="FFFFFF"/>
            <w:tcMar>
              <w:top w:w="70" w:type="dxa"/>
              <w:left w:w="110" w:type="dxa"/>
              <w:bottom w:w="70" w:type="dxa"/>
              <w:right w:w="110" w:type="dxa"/>
            </w:tcMar>
            <w:vAlign w:val="center"/>
          </w:tcPr>
          <w:p w14:paraId="65B045AE" w14:textId="77777777" w:rsidR="00E33D27" w:rsidRDefault="00000000">
            <w:pPr>
              <w:spacing w:before="40" w:after="40" w:line="250" w:lineRule="auto"/>
            </w:pPr>
            <w:r>
              <w:rPr>
                <w:sz w:val="16"/>
                <w:szCs w:val="16"/>
              </w:rPr>
              <w:t>Design, trademark and, in India, copyright frequently travel with the same product; trade secrets carry their own maintenance cost in security and process</w:t>
            </w:r>
          </w:p>
        </w:tc>
      </w:tr>
      <w:tr w:rsidR="00E33D27" w14:paraId="42A47720" w14:textId="77777777">
        <w:tblPrEx>
          <w:tblCellMar>
            <w:top w:w="0" w:type="dxa"/>
            <w:bottom w:w="0" w:type="dxa"/>
          </w:tblCellMar>
        </w:tblPrEx>
        <w:trPr>
          <w:cantSplit/>
        </w:trPr>
        <w:tc>
          <w:tcPr>
            <w:tcW w:w="3600" w:type="dxa"/>
            <w:shd w:val="clear" w:color="auto" w:fill="F3F4F6"/>
            <w:tcMar>
              <w:top w:w="70" w:type="dxa"/>
              <w:left w:w="110" w:type="dxa"/>
              <w:bottom w:w="70" w:type="dxa"/>
              <w:right w:w="110" w:type="dxa"/>
            </w:tcMar>
            <w:vAlign w:val="center"/>
          </w:tcPr>
          <w:p w14:paraId="39E24EE8" w14:textId="77777777" w:rsidR="00E33D27" w:rsidRDefault="00000000">
            <w:pPr>
              <w:spacing w:before="40" w:after="40" w:line="250" w:lineRule="auto"/>
            </w:pPr>
            <w:r>
              <w:rPr>
                <w:b/>
                <w:bCs/>
                <w:sz w:val="16"/>
                <w:szCs w:val="16"/>
              </w:rPr>
              <w:t>Human resources</w:t>
            </w:r>
          </w:p>
        </w:tc>
        <w:tc>
          <w:tcPr>
            <w:tcW w:w="6480" w:type="dxa"/>
            <w:shd w:val="clear" w:color="auto" w:fill="F3F4F6"/>
            <w:tcMar>
              <w:top w:w="70" w:type="dxa"/>
              <w:left w:w="110" w:type="dxa"/>
              <w:bottom w:w="70" w:type="dxa"/>
              <w:right w:w="110" w:type="dxa"/>
            </w:tcMar>
            <w:vAlign w:val="center"/>
          </w:tcPr>
          <w:p w14:paraId="39F9E3C9" w14:textId="77777777" w:rsidR="00E33D27" w:rsidRDefault="00000000">
            <w:pPr>
              <w:spacing w:before="40" w:after="40" w:line="250" w:lineRule="auto"/>
            </w:pPr>
            <w:r>
              <w:rPr>
                <w:sz w:val="16"/>
                <w:szCs w:val="16"/>
              </w:rPr>
              <w:t>A global IP team of perhaps fifteen, with a handful in India, plus outsourced drafting and prosecution</w:t>
            </w:r>
          </w:p>
        </w:tc>
      </w:tr>
    </w:tbl>
    <w:p w14:paraId="3A7AF00D" w14:textId="77777777" w:rsidR="00E33D27" w:rsidRDefault="00000000">
      <w:pPr>
        <w:spacing w:before="60" w:after="180"/>
      </w:pPr>
      <w:r>
        <w:rPr>
          <w:i/>
          <w:iCs/>
          <w:color w:val="5A6270"/>
          <w:sz w:val="16"/>
          <w:szCs w:val="16"/>
        </w:rPr>
        <w:t>Table 1.5  The cost stack behind a portfolio. This is the answer to an examiner who asks how you would justify an IP budget to a CTO.</w:t>
      </w:r>
    </w:p>
    <w:p w14:paraId="1957EC01" w14:textId="77777777" w:rsidR="00E33D27" w:rsidRDefault="00000000">
      <w:pPr>
        <w:pStyle w:val="Heading2"/>
        <w:keepNext/>
      </w:pPr>
      <w:r>
        <w:t>1.4  In Search of a Paradigm Shift from “Intellectual Property” to “Intellectual Capital”</w:t>
      </w:r>
    </w:p>
    <w:p w14:paraId="5D05AE90" w14:textId="77777777" w:rsidR="00E33D27" w:rsidRDefault="00000000">
      <w:pPr>
        <w:jc w:val="both"/>
      </w:pPr>
      <w:r>
        <w:t>The heading is phrased as a search rather than a conclusion, and that phrasing should be respected in an answer: the shift is a thesis with evidence for it, not a settled fact.</w:t>
      </w:r>
    </w:p>
    <w:p w14:paraId="3E06C01A" w14:textId="77777777" w:rsidR="00E33D27" w:rsidRDefault="00000000">
      <w:pPr>
        <w:pStyle w:val="Heading3"/>
        <w:keepNext/>
      </w:pPr>
      <w:r>
        <w:t>Paradigm and paradigm shift</w:t>
      </w:r>
    </w:p>
    <w:p w14:paraId="24046D9A" w14:textId="77777777" w:rsidR="00E33D27" w:rsidRDefault="00000000">
      <w:pPr>
        <w:jc w:val="both"/>
      </w:pPr>
      <w:r>
        <w:t>A paradigm is a standard accepted structure — the set of assumptions, methods and models that a community treats as given. The term in this sense comes from Thomas Kuhn's The Structure of Scientific Revolutions (1962). A paradigm shift occurs when trends in technology, markets or understanding challenge that structure so fundamentally that the assumptions themselves are replaced. The word applies to social, technological and economic structures alike: something is being done routinely, something arrives, and the routine is drastically and irreversibly changed.</w:t>
      </w:r>
    </w:p>
    <w:p w14:paraId="58ED83B6" w14:textId="77777777" w:rsidR="00E33D27" w:rsidRDefault="00000000">
      <w:pPr>
        <w:pStyle w:val="Heading3"/>
        <w:keepNext/>
      </w:pPr>
      <w:r>
        <w:lastRenderedPageBreak/>
        <w:t>The economic sequence</w:t>
      </w:r>
    </w:p>
    <w:p w14:paraId="2AE2C3FF" w14:textId="77777777" w:rsidR="00E33D27" w:rsidRDefault="00000000">
      <w:pPr>
        <w:keepNext/>
        <w:spacing w:before="160" w:after="60" w:line="240" w:lineRule="auto"/>
        <w:jc w:val="center"/>
      </w:pPr>
      <w:r>
        <w:rPr>
          <w:noProof/>
        </w:rPr>
        <w:drawing>
          <wp:inline distT="0" distB="0" distL="0" distR="0" wp14:anchorId="54DF5F60" wp14:editId="185ACDE1">
            <wp:extent cx="6172200" cy="3124200"/>
            <wp:effectExtent l="0" t="0" r="0" b="0"/>
            <wp:docPr id="1507193611" name="Picture 150719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124200"/>
                    </a:xfrm>
                    <a:prstGeom prst="rect">
                      <a:avLst/>
                    </a:prstGeom>
                  </pic:spPr>
                </pic:pic>
              </a:graphicData>
            </a:graphic>
          </wp:inline>
        </w:drawing>
      </w:r>
    </w:p>
    <w:p w14:paraId="5885D02C" w14:textId="77777777" w:rsidR="00E33D27" w:rsidRDefault="00000000">
      <w:pPr>
        <w:spacing w:after="220" w:line="240" w:lineRule="auto"/>
        <w:jc w:val="center"/>
      </w:pPr>
      <w:r>
        <w:rPr>
          <w:i/>
          <w:iCs/>
          <w:color w:val="5A6270"/>
          <w:sz w:val="17"/>
          <w:szCs w:val="17"/>
        </w:rPr>
        <w:t>Figure 1.9  The stages, and the shift within the last of them.</w:t>
      </w:r>
    </w:p>
    <w:p w14:paraId="20900D37" w14:textId="77777777" w:rsidR="00E33D27" w:rsidRDefault="00000000">
      <w:pPr>
        <w:jc w:val="both"/>
      </w:pPr>
      <w:r>
        <w:t>The historical progression runs from agricultural through industrial to information and then knowledge or intellectual capitalism. In the agricultural stage wealth was land, cattle and seed — so completely that, as the class observed, dowry was reckoned in cows. In the industrial stage it was labour and machines, and the demand for labour shaped both colonial history and labour law. As technology displaced labour, value shifted to machines and then to products; washing machines displaced domestic labour just as automation displaced factory labour. In the information stage value lay in data and computing. In the present stage it lies in knowledge and in the rights that fence knowledge: one strong patent can control an entire market.</w:t>
      </w:r>
    </w:p>
    <w:p w14:paraId="5157B9AA" w14:textId="77777777" w:rsidR="00E33D27" w:rsidRDefault="00000000">
      <w:pPr>
        <w:jc w:val="both"/>
      </w:pPr>
      <w:r>
        <w:t>Granstrand's term for the present stage is intellectual capitalism: an economy in which the creation of intellectual capital and intellectual properties is at the heart of value creation, driven by technological innovation and entrepreneurship. His argument is that IP moved from being a defensive, specialist concern into the forefront of strategic management, that intellectual property in many firms now exceeds physical capital in value, and that managing it requires an integration of technology, law and economics that few organisations possess. That integration requirement is, in effect, the justification for this course.</w:t>
      </w:r>
    </w:p>
    <w:p w14:paraId="2D7AA1ED" w14:textId="77777777" w:rsidR="00E33D27" w:rsidRDefault="00000000">
      <w:pPr>
        <w:pStyle w:val="Heading3"/>
        <w:keepNext/>
      </w:pPr>
      <w:r>
        <w:t>What actually shifted: from shield to product</w:t>
      </w:r>
    </w:p>
    <w:p w14:paraId="54A2BB8A" w14:textId="77777777" w:rsidR="00E33D27" w:rsidRDefault="00000000">
      <w:pPr>
        <w:jc w:val="both"/>
      </w:pPr>
      <w:r>
        <w:t>The shift is not legal. No statute changed to produce it. What changed is the purpose for which the same right is held.</w:t>
      </w:r>
    </w:p>
    <w:p w14:paraId="0201910D" w14:textId="77777777" w:rsidR="00E33D27" w:rsidRDefault="00000000">
      <w:pPr>
        <w:jc w:val="both"/>
      </w:pPr>
      <w:r>
        <w:t>In the older model a firm generated IP in order to protect a product it intended to sell to consumers. IP was a defensive legal cost centre; revenue came from goods; the business was business-to-consumer. In the newer model a firm generates IP in order to licence it. The right is not a shield around the revenue line — it is the revenue line. The business becomes business-to-business. The class formulation is the most memorable: previously firms generated property to protect themselves; now they generate property to make property.</w:t>
      </w:r>
    </w:p>
    <w:p w14:paraId="11265320" w14:textId="77777777" w:rsidR="00E33D27" w:rsidRDefault="00000000">
      <w:pPr>
        <w:jc w:val="both"/>
      </w:pPr>
      <w:r>
        <w:t xml:space="preserve">The evidence is specific and should be quoted with figures. Qualcomm's licensing segment earned about USD 5.3 billion in the financial year 2023, roughly 15 per cent of total revenue of about USD 35.8 billion but at </w:t>
      </w:r>
      <w:r>
        <w:lastRenderedPageBreak/>
        <w:t>approximately 68 per cent pre-tax margin — so licensing contributes a far larger share of profit than of revenue, which is the whole point. IBM's IP and licensing income averaged around USD 1 billion a year for much of the period after 1996, peaking at about USD 1.7 billion in 2000, with cumulative IP revenue exceeding USD 27 billion; the popular account is Rivette and Kline's Rembrandts in the Attic (2000), and the caution is that IBM's figure mixes patents, copyright, brand and know-how, and declined sharply after about 2019. ARM, Dolby, InterDigital, Texas Instruments and post-handset Nokia are further instances, and Ericsson and Qualcomm are the standard examples of firms whose competitive position rests on standard-essential portfolios. Canon is the class example of a company that moved from selling product to monetising the intellectual layer.</w:t>
      </w:r>
    </w:p>
    <w:p w14:paraId="064FBD56" w14:textId="77777777" w:rsidR="00E33D27" w:rsidRDefault="00000000">
      <w:pPr>
        <w:jc w:val="both"/>
      </w:pPr>
      <w:r>
        <w:t>A second consequence of the shift is the appearance of actors who own rights without practising them: non-practising entities, patent assertion entities, patent brokers and IP marketplaces. The class analogy is exact — when land became valuable, brokers appeared; when IP became a product, its brokers appeared too, leveraging assets they neither made nor use.</w:t>
      </w:r>
    </w:p>
    <w:p w14:paraId="3C1F3408" w14:textId="77777777" w:rsidR="00E33D27" w:rsidRDefault="00000000">
      <w:pPr>
        <w:pStyle w:val="Heading3"/>
        <w:keepNext/>
      </w:pPr>
      <w:r>
        <w:t>Two meanings of intellectual capital, which must never be mixed</w:t>
      </w:r>
    </w:p>
    <w:p w14:paraId="141BDBB2" w14:textId="77777777" w:rsidR="00E33D27" w:rsidRDefault="00000000">
      <w:pPr>
        <w:jc w:val="both"/>
      </w:pPr>
      <w:r>
        <w:t>This is the most common source of confusion in the unit and the class returned to it repeatedly. Intellectual capital is used in two distinct senses. In the innovation sense it denotes the stock of knowledge resources — people, structures, relationships, capability — from which new value is generated; that is the sense in which section 2.1 uses it and in which it sits at the start of the value chain. In the accounting or financial sense it denotes intangible capital expressed in financial terms and brought onto the balance sheet or into a valuation. The words are identical; the referents are different. Section 2.1 treats the innovation sense; the financial sense belongs to the valuation and finance unit of the syllabus.</w:t>
      </w:r>
    </w:p>
    <w:p w14:paraId="0BC7E567" w14:textId="77777777" w:rsidR="00E33D27" w:rsidRDefault="00000000">
      <w:pPr>
        <w:pStyle w:val="Heading3"/>
        <w:keepNext/>
      </w:pPr>
      <w:r>
        <w:t>Why the management of IP arrived so late</w:t>
      </w:r>
    </w:p>
    <w:p w14:paraId="0EB85A91" w14:textId="77777777" w:rsidR="00E33D27" w:rsidRDefault="00000000">
      <w:pPr>
        <w:jc w:val="both"/>
      </w:pPr>
      <w:r>
        <w:t>A chronological observation makes the whole unit cohere. From 1883 to the late 1990s the international system was principally occupied with the generation and protection of rights. Management arrives only when there is a stock to manage — the class analogy being that one visits a wealth manager only after one has wealth. Once portfolios reached the scale of hundreds of thousands of active rights, rights began to be hoarded rather than merely generated, and management became unavoidable. That is the sense in which the class dated IP management to around the 1990s. The defensible formulation is that the accumulation of rights over the century following Paris created the conditions, and the pro-patent era of 1980 to 1982 triggered the function.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2898A91F"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51771E5A" w14:textId="77777777" w:rsidR="00E33D27" w:rsidRDefault="00000000">
            <w:pPr>
              <w:spacing w:after="80"/>
            </w:pPr>
            <w:r>
              <w:rPr>
                <w:b/>
                <w:bCs/>
                <w:color w:val="1F3864"/>
                <w:sz w:val="19"/>
                <w:szCs w:val="19"/>
              </w:rPr>
              <w:t>How to answer “Discuss the paradigm shift from intellectual property to intellectual capital”</w:t>
            </w:r>
          </w:p>
          <w:p w14:paraId="61D44CF1" w14:textId="77777777" w:rsidR="00E33D27" w:rsidRDefault="00000000">
            <w:pPr>
              <w:spacing w:after="70" w:line="265" w:lineRule="auto"/>
              <w:jc w:val="both"/>
            </w:pPr>
            <w:r>
              <w:rPr>
                <w:sz w:val="18"/>
                <w:szCs w:val="18"/>
              </w:rPr>
              <w:t>Define paradigm and paradigm shift with Kuhn (1962). Set out the economic sequence — agricultural, industrial, information, intellectual capitalism — and locate the shift inside the last stage. State the content of the shift in one sentence: from IP as a legal shield around a product, held defensively, to knowledge as capital, held to be measured, managed and monetised in its own right. Prove it with Qualcomm's FY2023 licensing figures and margin, IBM's licensing history, and the emergence of NPEs and IP marketplaces. Name Granstrand's intellectual capitalism as the theoretical statement of the thesis. Then qualify it honestly: the shift is uneven across sectors and countries, most firms still exploit internally rather than by licensing, and the heading's own phrasing — in search of — signals a thesis rather than a completed transition. Close by distinguishing the two senses of intellectual capital so that the examiner sees you know which one you have been discussing.</w:t>
            </w:r>
          </w:p>
        </w:tc>
      </w:tr>
    </w:tbl>
    <w:p w14:paraId="039CCF80" w14:textId="77777777" w:rsidR="00E33D27" w:rsidRDefault="00E33D27">
      <w:pPr>
        <w:spacing w:after="160"/>
      </w:pPr>
    </w:p>
    <w:p w14:paraId="31D10EAF" w14:textId="77777777" w:rsidR="00E33D27" w:rsidRDefault="00000000">
      <w:pPr>
        <w:pStyle w:val="Heading1"/>
        <w:pageBreakBefore/>
        <w:pBdr>
          <w:bottom w:val="single" w:sz="10" w:space="6" w:color="1F3864"/>
        </w:pBdr>
      </w:pPr>
      <w:r>
        <w:lastRenderedPageBreak/>
        <w:t>2  Intellectual Capital and Knowledge Economy</w:t>
      </w:r>
    </w:p>
    <w:p w14:paraId="3C2D175B" w14:textId="77777777" w:rsidR="00E33D27" w:rsidRDefault="00000000">
      <w:pPr>
        <w:pStyle w:val="Heading2"/>
        <w:keepNext/>
      </w:pPr>
      <w:r>
        <w:t>2.1  Intellectual Capital and the Knowledge Economy</w:t>
      </w:r>
    </w:p>
    <w:p w14:paraId="28E5D859" w14:textId="77777777" w:rsidR="00E33D27" w:rsidRDefault="00000000">
      <w:pPr>
        <w:jc w:val="both"/>
      </w:pPr>
      <w:r>
        <w:t>The first unit established that value has migrated into intangibles. This unit names the economy in which that is true, dissects the capital that operates in it, and then works through the practical apparatus — policies, players, licensing and the domain-name conflict — by which the migration is managed.</w:t>
      </w:r>
    </w:p>
    <w:p w14:paraId="14A9A374" w14:textId="77777777" w:rsidR="00E33D27" w:rsidRDefault="00000000">
      <w:pPr>
        <w:pStyle w:val="Heading3"/>
        <w:keepNext/>
      </w:pPr>
      <w:r>
        <w:t>What a knowledge economy is</w:t>
      </w:r>
    </w:p>
    <w:p w14:paraId="4AF059CE" w14:textId="77777777" w:rsidR="00E33D27" w:rsidRDefault="00000000">
      <w:pPr>
        <w:jc w:val="both"/>
      </w:pPr>
      <w:r>
        <w:t>A knowledge economy is one in which wealth is created principally by knowledge in its various forms rather than by land, labour or physical capital. The term was popularised by the OECD's report The Knowledge-Based Economy (1996), and its intellectual antecedents are Fritz Machlup's The Production and Distribution of Knowledge in the United States (1962), Daniel Bell's The Coming of Post-Industrial Society (1973), and Peter Drucker, who coined the expression knowledge worker.</w:t>
      </w:r>
    </w:p>
    <w:p w14:paraId="01B20450" w14:textId="77777777" w:rsidR="00E33D27" w:rsidRDefault="00000000">
      <w:pPr>
        <w:keepNext/>
        <w:spacing w:before="160" w:after="60" w:line="240" w:lineRule="auto"/>
        <w:jc w:val="center"/>
      </w:pPr>
      <w:r>
        <w:rPr>
          <w:noProof/>
        </w:rPr>
        <w:drawing>
          <wp:inline distT="0" distB="0" distL="0" distR="0" wp14:anchorId="6E98E8B5" wp14:editId="7B245BE4">
            <wp:extent cx="6172200" cy="3057525"/>
            <wp:effectExtent l="0" t="0" r="0" b="0"/>
            <wp:docPr id="604226631" name="Picture 60422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57525"/>
                    </a:xfrm>
                    <a:prstGeom prst="rect">
                      <a:avLst/>
                    </a:prstGeom>
                  </pic:spPr>
                </pic:pic>
              </a:graphicData>
            </a:graphic>
          </wp:inline>
        </w:drawing>
      </w:r>
    </w:p>
    <w:p w14:paraId="255C27B0" w14:textId="77777777" w:rsidR="00E33D27" w:rsidRDefault="00000000">
      <w:pPr>
        <w:spacing w:after="220" w:line="240" w:lineRule="auto"/>
        <w:jc w:val="center"/>
      </w:pPr>
      <w:r>
        <w:rPr>
          <w:i/>
          <w:iCs/>
          <w:color w:val="5A6270"/>
          <w:sz w:val="17"/>
          <w:szCs w:val="17"/>
        </w:rPr>
        <w:t>Figure 2.1  The four pillars by which the World Bank operationalises the concept.</w:t>
      </w:r>
    </w:p>
    <w:p w14:paraId="5B6B4E60" w14:textId="77777777" w:rsidR="00E33D27" w:rsidRDefault="00000000">
      <w:pPr>
        <w:jc w:val="both"/>
      </w:pPr>
      <w:r>
        <w:t>The World Bank's Knowledge Economy Index rests on four pillars, and they are useful because they convert a slogan into something assessable. First, an economic incentive and institutional regime — does the system reward the creation of knowledge, which is precisely where IP law sits. Second, education and skills — can people create knowledge and absorb it. Third, an innovation system — firms, universities and laboratories that convert knowledge into use. Fourth, information and communications infrastructure — can knowledge move. A country strong on the second and weak on the first will export its knowledge workers; a country strong on the first and weak on the third will hold rights that nobody commercialises.</w:t>
      </w:r>
    </w:p>
    <w:p w14:paraId="3EAA95A3" w14:textId="77777777" w:rsidR="00E33D27" w:rsidRDefault="00000000">
      <w:pPr>
        <w:jc w:val="both"/>
      </w:pPr>
      <w:r>
        <w:t>The neighbouring labels are worth one line each, because they appear in questions as distractors: a mixed economy combines private enterprise with State direction; a market economy leaves allocation to market forces; a command economy places it with the State; blue and green economies concern ocean resources and environmentally sustainable growth; and a data economy is the sub-case of the knowledge economy in which data are the primary input — hence the aphorism that data are the new oil.</w:t>
      </w:r>
    </w:p>
    <w:p w14:paraId="313B631C" w14:textId="77777777" w:rsidR="00E33D27" w:rsidRDefault="00000000">
      <w:pPr>
        <w:jc w:val="both"/>
      </w:pPr>
      <w:r>
        <w:lastRenderedPageBreak/>
        <w:t>The link to IP is close but must be stated carefully. In a knowledge economy IP is an integral and, most of the time, indispensable part of value capture, because the output of knowledge work almost always takes the form of one IP right or another — a consultancy's deliverable is a copyright, a chip designer's output is a patent portfolio, a platform's moat is software and data. The qualification the class insisted on is that every rule has an exception: some institutions and firms generate very large revenues with little reliance on IP, and it is a mistake to assert that everything in a knowledge economy must be governed by IP.</w:t>
      </w:r>
    </w:p>
    <w:p w14:paraId="4E55FB4B" w14:textId="77777777" w:rsidR="00E33D27" w:rsidRDefault="00000000">
      <w:pPr>
        <w:pStyle w:val="Heading3"/>
        <w:keepNext/>
      </w:pPr>
      <w:r>
        <w:t>The anatomy of intellectual capital</w:t>
      </w:r>
    </w:p>
    <w:p w14:paraId="53964915" w14:textId="77777777" w:rsidR="00E33D27" w:rsidRDefault="00000000">
      <w:pPr>
        <w:jc w:val="both"/>
      </w:pPr>
      <w:r>
        <w:t>Intellectual capital is the broader stock of knowledge-based resources that creates organisational and strategic value. The standard published taxonomy has three components — human capital, structural or organisational capital, and relational or customer capital — and the course adds innovation potential and the cognitive, conative and affective dimensions. Those additions are course-specific framings rather than universal models, and it is worth knowing that, but they are also the part of the taxonomy that does the most explanatory work. Each is best understood through the institutional illustration used in class.</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500"/>
        <w:gridCol w:w="7580"/>
      </w:tblGrid>
      <w:tr w:rsidR="00E33D27" w14:paraId="2EEC5224" w14:textId="77777777">
        <w:tblPrEx>
          <w:tblCellMar>
            <w:top w:w="0" w:type="dxa"/>
            <w:bottom w:w="0" w:type="dxa"/>
          </w:tblCellMar>
        </w:tblPrEx>
        <w:trPr>
          <w:cantSplit/>
          <w:tblHeader/>
        </w:trPr>
        <w:tc>
          <w:tcPr>
            <w:tcW w:w="2500" w:type="dxa"/>
            <w:shd w:val="clear" w:color="auto" w:fill="1F3864"/>
            <w:tcMar>
              <w:top w:w="70" w:type="dxa"/>
              <w:left w:w="110" w:type="dxa"/>
              <w:bottom w:w="70" w:type="dxa"/>
              <w:right w:w="110" w:type="dxa"/>
            </w:tcMar>
            <w:vAlign w:val="center"/>
          </w:tcPr>
          <w:p w14:paraId="477E867E" w14:textId="77777777" w:rsidR="00E33D27" w:rsidRDefault="00000000">
            <w:pPr>
              <w:spacing w:before="40" w:after="40" w:line="250" w:lineRule="auto"/>
            </w:pPr>
            <w:r>
              <w:rPr>
                <w:b/>
                <w:bCs/>
                <w:color w:val="FFFFFF"/>
                <w:sz w:val="17"/>
                <w:szCs w:val="17"/>
              </w:rPr>
              <w:t>Component</w:t>
            </w:r>
          </w:p>
        </w:tc>
        <w:tc>
          <w:tcPr>
            <w:tcW w:w="7580" w:type="dxa"/>
            <w:shd w:val="clear" w:color="auto" w:fill="1F3864"/>
            <w:tcMar>
              <w:top w:w="70" w:type="dxa"/>
              <w:left w:w="110" w:type="dxa"/>
              <w:bottom w:w="70" w:type="dxa"/>
              <w:right w:w="110" w:type="dxa"/>
            </w:tcMar>
            <w:vAlign w:val="center"/>
          </w:tcPr>
          <w:p w14:paraId="5BFA5DC6" w14:textId="77777777" w:rsidR="00E33D27" w:rsidRDefault="00000000">
            <w:pPr>
              <w:spacing w:before="40" w:after="40" w:line="250" w:lineRule="auto"/>
            </w:pPr>
            <w:r>
              <w:rPr>
                <w:b/>
                <w:bCs/>
                <w:color w:val="FFFFFF"/>
                <w:sz w:val="17"/>
                <w:szCs w:val="17"/>
              </w:rPr>
              <w:t>Content, with the illustration used in class</w:t>
            </w:r>
          </w:p>
        </w:tc>
      </w:tr>
      <w:tr w:rsidR="00E33D27" w14:paraId="1B1DC693"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3B18076B" w14:textId="77777777" w:rsidR="00E33D27" w:rsidRDefault="00000000">
            <w:pPr>
              <w:spacing w:before="40" w:after="40" w:line="250" w:lineRule="auto"/>
            </w:pPr>
            <w:r>
              <w:rPr>
                <w:b/>
                <w:bCs/>
                <w:sz w:val="16"/>
                <w:szCs w:val="16"/>
              </w:rPr>
              <w:t>Human capital</w:t>
            </w:r>
          </w:p>
        </w:tc>
        <w:tc>
          <w:tcPr>
            <w:tcW w:w="7580" w:type="dxa"/>
            <w:shd w:val="clear" w:color="auto" w:fill="F3F4F6"/>
            <w:tcMar>
              <w:top w:w="70" w:type="dxa"/>
              <w:left w:w="110" w:type="dxa"/>
              <w:bottom w:w="70" w:type="dxa"/>
              <w:right w:w="110" w:type="dxa"/>
            </w:tcMar>
            <w:vAlign w:val="center"/>
          </w:tcPr>
          <w:p w14:paraId="23E173A2" w14:textId="77777777" w:rsidR="00E33D27" w:rsidRDefault="00000000">
            <w:pPr>
              <w:spacing w:before="40" w:after="40" w:line="250" w:lineRule="auto"/>
            </w:pPr>
            <w:r>
              <w:rPr>
                <w:sz w:val="16"/>
                <w:szCs w:val="16"/>
              </w:rPr>
              <w:t>The knowledge, skills and experience of people. At an institute this is everyone: students, faculty, laboratory assistants, technical and library staff. The class assessment was that Indian institutions are strong here — the quality of a single classroom is the evidence</w:t>
            </w:r>
          </w:p>
        </w:tc>
      </w:tr>
      <w:tr w:rsidR="00E33D27" w14:paraId="4BE5906F" w14:textId="77777777">
        <w:tblPrEx>
          <w:tblCellMar>
            <w:top w:w="0" w:type="dxa"/>
            <w:bottom w:w="0" w:type="dxa"/>
          </w:tblCellMar>
        </w:tblPrEx>
        <w:trPr>
          <w:cantSplit/>
        </w:trPr>
        <w:tc>
          <w:tcPr>
            <w:tcW w:w="2500" w:type="dxa"/>
            <w:shd w:val="clear" w:color="auto" w:fill="FFFFFF"/>
            <w:tcMar>
              <w:top w:w="70" w:type="dxa"/>
              <w:left w:w="110" w:type="dxa"/>
              <w:bottom w:w="70" w:type="dxa"/>
              <w:right w:w="110" w:type="dxa"/>
            </w:tcMar>
            <w:vAlign w:val="center"/>
          </w:tcPr>
          <w:p w14:paraId="6057BC22" w14:textId="77777777" w:rsidR="00E33D27" w:rsidRDefault="00000000">
            <w:pPr>
              <w:spacing w:before="40" w:after="40" w:line="250" w:lineRule="auto"/>
            </w:pPr>
            <w:r>
              <w:rPr>
                <w:b/>
                <w:bCs/>
                <w:sz w:val="16"/>
                <w:szCs w:val="16"/>
              </w:rPr>
              <w:t>Structural / infrastructure capital</w:t>
            </w:r>
          </w:p>
        </w:tc>
        <w:tc>
          <w:tcPr>
            <w:tcW w:w="7580" w:type="dxa"/>
            <w:shd w:val="clear" w:color="auto" w:fill="FFFFFF"/>
            <w:tcMar>
              <w:top w:w="70" w:type="dxa"/>
              <w:left w:w="110" w:type="dxa"/>
              <w:bottom w:w="70" w:type="dxa"/>
              <w:right w:w="110" w:type="dxa"/>
            </w:tcMar>
            <w:vAlign w:val="center"/>
          </w:tcPr>
          <w:p w14:paraId="20D9502D" w14:textId="77777777" w:rsidR="00E33D27" w:rsidRDefault="00000000">
            <w:pPr>
              <w:spacing w:before="40" w:after="40" w:line="250" w:lineRule="auto"/>
            </w:pPr>
            <w:r>
              <w:rPr>
                <w:sz w:val="16"/>
                <w:szCs w:val="16"/>
              </w:rPr>
              <w:t>Processes, systems, records, laboratories, instrumentation, databases and physical research facilities. Also judged strong: the instrumentation and facilities on an IIT campus are world class</w:t>
            </w:r>
          </w:p>
        </w:tc>
      </w:tr>
      <w:tr w:rsidR="00E33D27" w14:paraId="071FB444"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40E2D41B" w14:textId="77777777" w:rsidR="00E33D27" w:rsidRDefault="00000000">
            <w:pPr>
              <w:spacing w:before="40" w:after="40" w:line="250" w:lineRule="auto"/>
            </w:pPr>
            <w:r>
              <w:rPr>
                <w:b/>
                <w:bCs/>
                <w:sz w:val="16"/>
                <w:szCs w:val="16"/>
              </w:rPr>
              <w:t>Relational capital</w:t>
            </w:r>
          </w:p>
        </w:tc>
        <w:tc>
          <w:tcPr>
            <w:tcW w:w="7580" w:type="dxa"/>
            <w:shd w:val="clear" w:color="auto" w:fill="F3F4F6"/>
            <w:tcMar>
              <w:top w:w="70" w:type="dxa"/>
              <w:left w:w="110" w:type="dxa"/>
              <w:bottom w:w="70" w:type="dxa"/>
              <w:right w:w="110" w:type="dxa"/>
            </w:tcMar>
            <w:vAlign w:val="center"/>
          </w:tcPr>
          <w:p w14:paraId="58EFEB38" w14:textId="77777777" w:rsidR="00E33D27" w:rsidRDefault="00000000">
            <w:pPr>
              <w:spacing w:before="40" w:after="40" w:line="250" w:lineRule="auto"/>
            </w:pPr>
            <w:r>
              <w:rPr>
                <w:sz w:val="16"/>
                <w:szCs w:val="16"/>
              </w:rPr>
              <w:t>The value residing in networks — with industry, with government, with alumni, and between individuals. The practical test is whether, when a project needs a panel, an instrument or a dataset, a phone call can produce it. That capacity is relational capital</w:t>
            </w:r>
          </w:p>
        </w:tc>
      </w:tr>
      <w:tr w:rsidR="00E33D27" w14:paraId="662583F8" w14:textId="77777777">
        <w:tblPrEx>
          <w:tblCellMar>
            <w:top w:w="0" w:type="dxa"/>
            <w:bottom w:w="0" w:type="dxa"/>
          </w:tblCellMar>
        </w:tblPrEx>
        <w:trPr>
          <w:cantSplit/>
        </w:trPr>
        <w:tc>
          <w:tcPr>
            <w:tcW w:w="2500" w:type="dxa"/>
            <w:shd w:val="clear" w:color="auto" w:fill="FFFFFF"/>
            <w:tcMar>
              <w:top w:w="70" w:type="dxa"/>
              <w:left w:w="110" w:type="dxa"/>
              <w:bottom w:w="70" w:type="dxa"/>
              <w:right w:w="110" w:type="dxa"/>
            </w:tcMar>
            <w:vAlign w:val="center"/>
          </w:tcPr>
          <w:p w14:paraId="66533DE9" w14:textId="77777777" w:rsidR="00E33D27" w:rsidRDefault="00000000">
            <w:pPr>
              <w:spacing w:before="40" w:after="40" w:line="250" w:lineRule="auto"/>
            </w:pPr>
            <w:r>
              <w:rPr>
                <w:b/>
                <w:bCs/>
                <w:sz w:val="16"/>
                <w:szCs w:val="16"/>
              </w:rPr>
              <w:t>Innovation capital / innovation potential</w:t>
            </w:r>
          </w:p>
        </w:tc>
        <w:tc>
          <w:tcPr>
            <w:tcW w:w="7580" w:type="dxa"/>
            <w:shd w:val="clear" w:color="auto" w:fill="FFFFFF"/>
            <w:tcMar>
              <w:top w:w="70" w:type="dxa"/>
              <w:left w:w="110" w:type="dxa"/>
              <w:bottom w:w="70" w:type="dxa"/>
              <w:right w:w="110" w:type="dxa"/>
            </w:tcMar>
            <w:vAlign w:val="center"/>
          </w:tcPr>
          <w:p w14:paraId="227B101A" w14:textId="77777777" w:rsidR="00E33D27" w:rsidRDefault="00000000">
            <w:pPr>
              <w:spacing w:before="40" w:after="40" w:line="250" w:lineRule="auto"/>
            </w:pPr>
            <w:r>
              <w:rPr>
                <w:sz w:val="16"/>
                <w:szCs w:val="16"/>
              </w:rPr>
              <w:t>The capacity to generate the next asset. In the class scheme this is the aggregate produced by the other components acting together, which is why it is treated as potential rather than as a stock</w:t>
            </w:r>
          </w:p>
        </w:tc>
      </w:tr>
      <w:tr w:rsidR="00E33D27" w14:paraId="4001C169"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4844A8B8" w14:textId="77777777" w:rsidR="00E33D27" w:rsidRDefault="00000000">
            <w:pPr>
              <w:spacing w:before="40" w:after="40" w:line="250" w:lineRule="auto"/>
            </w:pPr>
            <w:r>
              <w:rPr>
                <w:b/>
                <w:bCs/>
                <w:sz w:val="16"/>
                <w:szCs w:val="16"/>
              </w:rPr>
              <w:t>Cognitive capital</w:t>
            </w:r>
          </w:p>
        </w:tc>
        <w:tc>
          <w:tcPr>
            <w:tcW w:w="7580" w:type="dxa"/>
            <w:shd w:val="clear" w:color="auto" w:fill="F3F4F6"/>
            <w:tcMar>
              <w:top w:w="70" w:type="dxa"/>
              <w:left w:w="110" w:type="dxa"/>
              <w:bottom w:w="70" w:type="dxa"/>
              <w:right w:w="110" w:type="dxa"/>
            </w:tcMar>
            <w:vAlign w:val="center"/>
          </w:tcPr>
          <w:p w14:paraId="0D097CB4" w14:textId="77777777" w:rsidR="00E33D27" w:rsidRDefault="00000000">
            <w:pPr>
              <w:spacing w:before="40" w:after="40" w:line="250" w:lineRule="auto"/>
            </w:pPr>
            <w:r>
              <w:rPr>
                <w:sz w:val="16"/>
                <w:szCs w:val="16"/>
              </w:rPr>
              <w:t>How a problem is processed, and how fast. A hundred people solve one problem a hundred ways; some take two steps, others ten, and the answer is the same. The extreme illustration is the pilot who must decide in seconds, where failure to act is fatal — speed of processing is itself a capability</w:t>
            </w:r>
          </w:p>
        </w:tc>
      </w:tr>
      <w:tr w:rsidR="00E33D27" w14:paraId="2D98FF0E" w14:textId="77777777">
        <w:tblPrEx>
          <w:tblCellMar>
            <w:top w:w="0" w:type="dxa"/>
            <w:bottom w:w="0" w:type="dxa"/>
          </w:tblCellMar>
        </w:tblPrEx>
        <w:trPr>
          <w:cantSplit/>
        </w:trPr>
        <w:tc>
          <w:tcPr>
            <w:tcW w:w="2500" w:type="dxa"/>
            <w:shd w:val="clear" w:color="auto" w:fill="FFFFFF"/>
            <w:tcMar>
              <w:top w:w="70" w:type="dxa"/>
              <w:left w:w="110" w:type="dxa"/>
              <w:bottom w:w="70" w:type="dxa"/>
              <w:right w:w="110" w:type="dxa"/>
            </w:tcMar>
            <w:vAlign w:val="center"/>
          </w:tcPr>
          <w:p w14:paraId="1E659F94" w14:textId="77777777" w:rsidR="00E33D27" w:rsidRDefault="00000000">
            <w:pPr>
              <w:spacing w:before="40" w:after="40" w:line="250" w:lineRule="auto"/>
            </w:pPr>
            <w:r>
              <w:rPr>
                <w:b/>
                <w:bCs/>
                <w:sz w:val="16"/>
                <w:szCs w:val="16"/>
              </w:rPr>
              <w:t>Conative capital</w:t>
            </w:r>
          </w:p>
        </w:tc>
        <w:tc>
          <w:tcPr>
            <w:tcW w:w="7580" w:type="dxa"/>
            <w:shd w:val="clear" w:color="auto" w:fill="FFFFFF"/>
            <w:tcMar>
              <w:top w:w="70" w:type="dxa"/>
              <w:left w:w="110" w:type="dxa"/>
              <w:bottom w:w="70" w:type="dxa"/>
              <w:right w:w="110" w:type="dxa"/>
            </w:tcMar>
            <w:vAlign w:val="center"/>
          </w:tcPr>
          <w:p w14:paraId="3BA7C0B7" w14:textId="77777777" w:rsidR="00E33D27" w:rsidRDefault="00000000">
            <w:pPr>
              <w:spacing w:before="40" w:after="40" w:line="250" w:lineRule="auto"/>
            </w:pPr>
            <w:r>
              <w:rPr>
                <w:sz w:val="16"/>
                <w:szCs w:val="16"/>
              </w:rPr>
              <w:t>The will to act: drive, initiative, persistence, the decision to take the step rather than analyse it further</w:t>
            </w:r>
          </w:p>
        </w:tc>
      </w:tr>
      <w:tr w:rsidR="00E33D27" w14:paraId="14C60789"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617D7601" w14:textId="77777777" w:rsidR="00E33D27" w:rsidRDefault="00000000">
            <w:pPr>
              <w:spacing w:before="40" w:after="40" w:line="250" w:lineRule="auto"/>
            </w:pPr>
            <w:r>
              <w:rPr>
                <w:b/>
                <w:bCs/>
                <w:sz w:val="16"/>
                <w:szCs w:val="16"/>
              </w:rPr>
              <w:t>Affective capital</w:t>
            </w:r>
          </w:p>
        </w:tc>
        <w:tc>
          <w:tcPr>
            <w:tcW w:w="7580" w:type="dxa"/>
            <w:shd w:val="clear" w:color="auto" w:fill="F3F4F6"/>
            <w:tcMar>
              <w:top w:w="70" w:type="dxa"/>
              <w:left w:w="110" w:type="dxa"/>
              <w:bottom w:w="70" w:type="dxa"/>
              <w:right w:w="110" w:type="dxa"/>
            </w:tcMar>
            <w:vAlign w:val="center"/>
          </w:tcPr>
          <w:p w14:paraId="2524EDDD" w14:textId="77777777" w:rsidR="00E33D27" w:rsidRDefault="00000000">
            <w:pPr>
              <w:spacing w:before="40" w:after="40" w:line="250" w:lineRule="auto"/>
            </w:pPr>
            <w:r>
              <w:rPr>
                <w:sz w:val="16"/>
                <w:szCs w:val="16"/>
              </w:rPr>
              <w:t>How passionate people are about the work. The engineer who watches his creation leave the factory; the scientists who continued working through the pandemic knowing the risk. It shows in a presentation as clearly as in a laboratory</w:t>
            </w:r>
          </w:p>
        </w:tc>
      </w:tr>
    </w:tbl>
    <w:p w14:paraId="0C1BDADB" w14:textId="77777777" w:rsidR="00E33D27" w:rsidRDefault="00000000">
      <w:pPr>
        <w:spacing w:before="60" w:after="180"/>
      </w:pPr>
      <w:r>
        <w:rPr>
          <w:i/>
          <w:iCs/>
          <w:color w:val="5A6270"/>
          <w:sz w:val="16"/>
          <w:szCs w:val="16"/>
        </w:rPr>
        <w:t>Table 2.1  The components of intellectual capital. The cognitive, conative and affective triad is a classical psychological tripartition — thinking, willing, feeling — applied to organisational capability.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2A807A98"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23A7ACFF" w14:textId="77777777" w:rsidR="00E33D27" w:rsidRDefault="00000000">
            <w:pPr>
              <w:spacing w:after="80"/>
            </w:pPr>
            <w:r>
              <w:rPr>
                <w:b/>
                <w:bCs/>
                <w:color w:val="1F3864"/>
                <w:sz w:val="19"/>
                <w:szCs w:val="19"/>
              </w:rPr>
              <w:t>The class conclusion, which is the examinable point</w:t>
            </w:r>
          </w:p>
          <w:p w14:paraId="72A47745" w14:textId="77777777" w:rsidR="00E33D27" w:rsidRDefault="00000000">
            <w:pPr>
              <w:spacing w:after="70" w:line="265" w:lineRule="auto"/>
              <w:jc w:val="both"/>
            </w:pPr>
            <w:r>
              <w:rPr>
                <w:sz w:val="18"/>
                <w:szCs w:val="18"/>
              </w:rPr>
              <w:t>Human, structural and relational capital are strong almost everywhere, and in Indian institutions they are genuinely strong. Everybody has the first three. What differentiates one organisation from another is the last three — cognitive, conative and affective — because they determine whether the first three are actually converted into output. Together the six produce innovation potential. The formulation to remember: the first three explain capacity; the last three explain conversion.</w:t>
            </w:r>
          </w:p>
        </w:tc>
      </w:tr>
    </w:tbl>
    <w:p w14:paraId="1DEBDBAF" w14:textId="77777777" w:rsidR="00E33D27" w:rsidRDefault="00E33D27">
      <w:pPr>
        <w:spacing w:after="160"/>
      </w:pPr>
    </w:p>
    <w:p w14:paraId="7C578078" w14:textId="77777777" w:rsidR="00E33D27" w:rsidRDefault="00000000">
      <w:pPr>
        <w:jc w:val="both"/>
      </w:pPr>
      <w:r>
        <w:t xml:space="preserve">Two structural relationships complete the picture. First, organisational capital comprises intellectual capital on one side and financial capital on the other — the framing used throughout the class diagrams and developed in the next section. Second, intellectual capital must be kept distinct in its two senses, as section 1.4 established: the </w:t>
      </w:r>
      <w:r>
        <w:lastRenderedPageBreak/>
        <w:t>innovation sense used here, and the accounting sense in which intangible capital enters financial statements. Baruch Lev's classification of intangibles by driver — discovery and innovation, organisational practice, and human resources — is the standard published alternative and is worth citing as such.</w:t>
      </w:r>
    </w:p>
    <w:p w14:paraId="43E868C4" w14:textId="77777777" w:rsidR="00E33D27" w:rsidRDefault="00000000">
      <w:pPr>
        <w:pStyle w:val="Heading2"/>
        <w:keepNext/>
      </w:pPr>
      <w:r>
        <w:t>2.2  Transforming Intellectual Property into Intellectual Capital in a Competing Economy</w:t>
      </w:r>
    </w:p>
    <w:p w14:paraId="4607F3B4" w14:textId="77777777" w:rsidR="00E33D27" w:rsidRDefault="00000000">
      <w:pPr>
        <w:jc w:val="both"/>
      </w:pPr>
      <w:r>
        <w:t>The syllabus phrasing is deliberate. It does not ask how IP is created; it asks how IP is transformed into capital. That transformation is a pipeline with an investment side and an extraction side, and the whole of IP management lives inside it.</w:t>
      </w:r>
    </w:p>
    <w:p w14:paraId="3A1D2BB0" w14:textId="77777777" w:rsidR="00E33D27" w:rsidRDefault="00000000">
      <w:pPr>
        <w:keepNext/>
        <w:spacing w:before="160" w:after="60" w:line="240" w:lineRule="auto"/>
        <w:jc w:val="center"/>
      </w:pPr>
      <w:r>
        <w:rPr>
          <w:noProof/>
        </w:rPr>
        <w:drawing>
          <wp:inline distT="0" distB="0" distL="0" distR="0" wp14:anchorId="3CE628A6" wp14:editId="64B234A8">
            <wp:extent cx="6172200" cy="3800475"/>
            <wp:effectExtent l="0" t="0" r="0" b="0"/>
            <wp:docPr id="10219170" name="Picture 1021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800475"/>
                    </a:xfrm>
                    <a:prstGeom prst="rect">
                      <a:avLst/>
                    </a:prstGeom>
                  </pic:spPr>
                </pic:pic>
              </a:graphicData>
            </a:graphic>
          </wp:inline>
        </w:drawing>
      </w:r>
    </w:p>
    <w:p w14:paraId="0C21DCFA" w14:textId="77777777" w:rsidR="00E33D27" w:rsidRDefault="00000000">
      <w:pPr>
        <w:spacing w:after="220" w:line="240" w:lineRule="auto"/>
        <w:jc w:val="center"/>
      </w:pPr>
      <w:r>
        <w:rPr>
          <w:i/>
          <w:iCs/>
          <w:color w:val="5A6270"/>
          <w:sz w:val="17"/>
          <w:szCs w:val="17"/>
        </w:rPr>
        <w:t>Figure 2.2  The conversion of investment into financial gain, and the three stages through which IP passes.</w:t>
      </w:r>
    </w:p>
    <w:p w14:paraId="0A2714BA" w14:textId="77777777" w:rsidR="00E33D27" w:rsidRDefault="00000000">
      <w:pPr>
        <w:jc w:val="both"/>
      </w:pPr>
      <w:r>
        <w:t>Read the diagram from the outside in. Organisational capital divides into intellectual capital and financial capital. On the intellectual side the organisation invests: money goes into people, infrastructure, relationships and the cognitive, conative and affective conditions in which ideas occur. On the financial side it gains: revenue, working capital, recognised intangibles. Between the two runs the innovation and IP management system, and it has three stages.</w:t>
      </w:r>
    </w:p>
    <w:p w14:paraId="1852D600" w14:textId="77777777" w:rsidR="00E33D27" w:rsidRDefault="00000000">
      <w:pPr>
        <w:jc w:val="both"/>
      </w:pPr>
      <w:r>
        <w:t>The pre-IP stage is value creation: ideation, incubation and invention disclosure. Nothing is yet protected and nothing is yet earning; expenditure is one-directional. The IP stage is where the asset exists and takes one of three conditions at any moment — potential IP, which may be protected but is not yet deployed; idle IP, which is protected and not used; and commercialised IP, which is in the market. The post-IP stage is value extraction: the assets are consolidated into an integrated portfolio, commercialised through products, licences or transfer, and converted into financial gain. Business strategy, IP strategy and technology strategy govern the whole pipeline, and the IP and legal departments operate the gates within it.</w:t>
      </w:r>
    </w:p>
    <w:p w14:paraId="3CE87AD8" w14:textId="77777777" w:rsidR="00E33D27" w:rsidRDefault="00000000">
      <w:pPr>
        <w:jc w:val="both"/>
      </w:pPr>
      <w:r>
        <w:t xml:space="preserve">The critical observation is that the loop only closes if the middle band reaches its third condition. Idle IP is the point at which the conversion stalls: the annuity is paid every year in every jurisdiction and nothing returns. This </w:t>
      </w:r>
      <w:r>
        <w:lastRenderedPageBreak/>
        <w:t>is why the transformation of IP into intellectual capital is a management problem and not a legal one. Creating IP is not the achievement; monetisation is. The related loss is leakage — proprietary technology escaping through weak confidentiality, leaky suppliers or departing staff — and the sobering empirical observation from the survey literature is that firms lose roughly as much technology as they deliberately sell.</w:t>
      </w:r>
    </w:p>
    <w:p w14:paraId="3DBD76D4" w14:textId="77777777" w:rsidR="00E33D27" w:rsidRDefault="00000000">
      <w:pPr>
        <w:pStyle w:val="Heading3"/>
        <w:keepNext/>
      </w:pPr>
      <w:r>
        <w:t>How the transformation actually happens: the funnel and the filters</w:t>
      </w:r>
    </w:p>
    <w:p w14:paraId="28846BFF" w14:textId="77777777" w:rsidR="00E33D27" w:rsidRDefault="00000000">
      <w:pPr>
        <w:keepNext/>
        <w:spacing w:before="160" w:after="60" w:line="240" w:lineRule="auto"/>
        <w:jc w:val="center"/>
      </w:pPr>
      <w:r>
        <w:rPr>
          <w:noProof/>
        </w:rPr>
        <w:drawing>
          <wp:inline distT="0" distB="0" distL="0" distR="0" wp14:anchorId="239AEE65" wp14:editId="09B8589C">
            <wp:extent cx="6172200" cy="3105150"/>
            <wp:effectExtent l="0" t="0" r="0" b="0"/>
            <wp:docPr id="1341303122" name="Picture 134130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105150"/>
                    </a:xfrm>
                    <a:prstGeom prst="rect">
                      <a:avLst/>
                    </a:prstGeom>
                  </pic:spPr>
                </pic:pic>
              </a:graphicData>
            </a:graphic>
          </wp:inline>
        </w:drawing>
      </w:r>
    </w:p>
    <w:p w14:paraId="7B2FEC53" w14:textId="77777777" w:rsidR="00E33D27" w:rsidRDefault="00000000">
      <w:pPr>
        <w:spacing w:after="220" w:line="240" w:lineRule="auto"/>
        <w:jc w:val="center"/>
      </w:pPr>
      <w:r>
        <w:rPr>
          <w:i/>
          <w:iCs/>
          <w:color w:val="5A6270"/>
          <w:sz w:val="17"/>
          <w:szCs w:val="17"/>
        </w:rPr>
        <w:t>Figure 2.3  The funnel, from a one-word brief to a granted family.</w:t>
      </w:r>
    </w:p>
    <w:p w14:paraId="788A326C" w14:textId="77777777" w:rsidR="00E33D27" w:rsidRDefault="00000000">
      <w:pPr>
        <w:jc w:val="both"/>
      </w:pPr>
      <w:r>
        <w:t>The funnel model describes how innovation happens inside a firm and how ideas become products. The class account came from practice and is unusually concrete. An analytics team receives an email containing one word — fibre, natural colour, carbon footprint — with no brief and no explanation, because the team is expected to know the company's context. From that word it builds a patent landscape: a bird's-eye view of the technology assembled from the patent literature, examining prior art, R&amp;D trends, applicants, classifications and jurisdictions, and identifying white space that is under-explored, red space that is already crowded, and areas a dominant competitor has locked. Parameters may be as few as five or as many as sixty, and where sixty parameters must be recorded against ten thousand patents the work is often done manually, because machine classification makes mistakes that propagate.</w:t>
      </w:r>
    </w:p>
    <w:p w14:paraId="68BD4641" w14:textId="77777777" w:rsidR="00E33D27" w:rsidRDefault="00000000">
      <w:pPr>
        <w:jc w:val="both"/>
      </w:pPr>
      <w:r>
        <w:t>The landscape goes to R&amp;D, to marketing intelligence and to senior officers who know the business strategy, the reach and the budget. Together they generate ideas — possibly thousands. These are filtered against a checklist that is confidential to the team, and out of thousands perhaps five projects are selected, each with a projected timeline and an anticipated IP output. In a large firm invention disclosures arrive at the rate of three to four thousand a week; only a small fraction are filed, and fewer still enter the PCT. And, as section 1.3 established, roughly a tenth of what survives carries most of the eventual value.</w:t>
      </w:r>
    </w:p>
    <w:p w14:paraId="403D108B" w14:textId="77777777" w:rsidR="00E33D27" w:rsidRDefault="00000000">
      <w:pPr>
        <w:jc w:val="both"/>
      </w:pPr>
      <w:r>
        <w:t xml:space="preserve">Two tools must be distinguished because examiners ask. A patent landscape is broad, strategic and forgiving: a mistake in a landscape is survivable. A freedom-to-operate search is narrow, tactical and unforgiving: it asks whether a specific product can be sold in a specific market without infringing, and a single missed reference can be catastrophic. Competitive intelligence is the periodic version of landscaping, run against named competitors. Themescape mapping is a visualisation technique that renders patent clusters as a topographic surface, with </w:t>
      </w:r>
      <w:r>
        <w:lastRenderedPageBreak/>
        <w:t>elevations where activity is dense, and it reveals cross-pollination — that a compressor improvement developed for refrigeration is being used for cooling somewhere else entirely. The commercial databases named in class include Derwent and Clarivate, Questel Orbit, Delphion, Thomson Innovation and STN, the last being expert-only because a malformed query is expensive.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1A5B54E1"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01B071AD" w14:textId="77777777" w:rsidR="00E33D27" w:rsidRDefault="00000000">
            <w:pPr>
              <w:spacing w:after="80"/>
            </w:pPr>
            <w:r>
              <w:rPr>
                <w:b/>
                <w:bCs/>
                <w:color w:val="1F3864"/>
                <w:sz w:val="19"/>
                <w:szCs w:val="19"/>
              </w:rPr>
              <w:t>The direction of causation, which is a favourite question</w:t>
            </w:r>
          </w:p>
          <w:p w14:paraId="6905B0C5" w14:textId="77777777" w:rsidR="00E33D27" w:rsidRDefault="00000000">
            <w:pPr>
              <w:spacing w:after="70" w:line="265" w:lineRule="auto"/>
              <w:jc w:val="both"/>
            </w:pPr>
            <w:r>
              <w:rPr>
                <w:sz w:val="18"/>
                <w:szCs w:val="18"/>
              </w:rPr>
              <w:t>Does IP analysis drive business strategy, or does business strategy drive IP analysis? The answer given in class was unambiguous: business strategy is the umbrella, and everything beneath it is aligned downward. A board decides that the firm will move from electrical engineering into automotive sensing because that sector is growing; only then do inventions in that area pass the filter that previously rejected them. The IP function informs the decision with landscapes and intelligence, but it does not make it. Hence the hierarchy of section 1.1: business strategy, then IP strategy, then IP management.</w:t>
            </w:r>
          </w:p>
        </w:tc>
      </w:tr>
    </w:tbl>
    <w:p w14:paraId="3CD40804" w14:textId="77777777" w:rsidR="00E33D27" w:rsidRDefault="00E33D27">
      <w:pPr>
        <w:spacing w:after="160"/>
      </w:pPr>
    </w:p>
    <w:p w14:paraId="2D4457D9" w14:textId="77777777" w:rsidR="00E33D27" w:rsidRDefault="00000000">
      <w:pPr>
        <w:pStyle w:val="Heading3"/>
        <w:keepNext/>
      </w:pPr>
      <w:r>
        <w:t>Where India sits, and why</w:t>
      </w:r>
    </w:p>
    <w:p w14:paraId="31EAE3DE" w14:textId="77777777" w:rsidR="00E33D27" w:rsidRDefault="00000000">
      <w:pPr>
        <w:jc w:val="both"/>
      </w:pPr>
      <w:r>
        <w:t>The heading says “in a competing economy”, and the honest application to India was the most forceful passage in the lectures. India is exceptionally rich in intellectual capital — by population and by the quality of its human capital, arguably richer than any comparator — and yet wealth creation from it is disproportionately low. The gap has three explanations and each maps onto a component of Table 2.1.</w:t>
      </w:r>
    </w:p>
    <w:p w14:paraId="1B3492CB" w14:textId="77777777" w:rsidR="00E33D27" w:rsidRDefault="00000000">
      <w:pPr>
        <w:jc w:val="both"/>
      </w:pPr>
      <w:r>
        <w:t>The first is where the business sits. Wealth is created where the commercialising enterprise is located, and if the technology companies are headquartered elsewhere, the primary applications are filed elsewhere and the value accrues elsewhere. The resident and non-resident shares of Indian patent filings show this directly, with non-resident filings historically dominant — though the resident share has been rising. The second is structural capital: a researcher who has never had access to the instrumentation simply cannot produce the same output, and the class made the point personally — the same person, in a different infrastructure, produces different work. It is not a deficit of intellectual capital but of the conditions for its conversion. The third is the character of the innovation: incremental and reverse-engineering work rather than frontier invention, which follows from the first two.</w:t>
      </w:r>
    </w:p>
    <w:p w14:paraId="4AF032BD" w14:textId="77777777" w:rsidR="00E33D27" w:rsidRDefault="00000000">
      <w:pPr>
        <w:jc w:val="both"/>
      </w:pPr>
      <w:r>
        <w:t>The class also framed the strategic response memorably: they have started the game; we should know how to play it, and we have to win it. The practical version is that reducing the gap requires innovation infrastructure rather than exhortation. Large firms build it deliberately — internal collaboration platforms on which employees post projects and find collaborators, conferences and town halls, and the deliberately informal Friday events, outings and shared lunches whose purpose is to dissolve hierarchical barriers so that ideas are exchanged in informal registers. Google's campus design and the delivery-based autonomy of a research institute are the same instrument: create the conditions and the ideas follow.</w:t>
      </w:r>
    </w:p>
    <w:p w14:paraId="7BD750F3" w14:textId="77777777" w:rsidR="00E33D27" w:rsidRDefault="00000000">
      <w:pPr>
        <w:pStyle w:val="Heading2"/>
        <w:keepNext/>
      </w:pPr>
      <w:r>
        <w:t>2.3  Ideas and IPR in the Determination of Economic Growth</w:t>
      </w:r>
    </w:p>
    <w:p w14:paraId="0E4987BF" w14:textId="77777777" w:rsidR="00E33D27" w:rsidRDefault="00000000">
      <w:pPr>
        <w:jc w:val="both"/>
      </w:pPr>
      <w:r>
        <w:t>This heading asks a question of economics, not of law: do ideas and the rights over them actually determine economic growth, and by what mechanism? The answer has a canonical source and the answer should name it.</w:t>
      </w:r>
    </w:p>
    <w:p w14:paraId="35E95B77" w14:textId="77777777" w:rsidR="00E33D27" w:rsidRDefault="00000000">
      <w:pPr>
        <w:pStyle w:val="Heading3"/>
        <w:keepNext/>
      </w:pPr>
      <w:r>
        <w:t>Ideas as the starting point</w:t>
      </w:r>
    </w:p>
    <w:p w14:paraId="5466BD18" w14:textId="77777777" w:rsidR="00E33D27" w:rsidRDefault="00000000">
      <w:pPr>
        <w:jc w:val="both"/>
      </w:pPr>
      <w:r>
        <w:t xml:space="preserve">Ideas are the integral starting point of the innovation system, and the innovation system and the IP system overlap rather than coincide. The class sequence — data, information, knowledge, ideas, intellectual product — locates ideas immediately before the protected output, which is why managing innovation and managing IP are in practice the same activity performed at two moments. Note also that ideas can be monetised before they become IP at all: </w:t>
      </w:r>
      <w:r>
        <w:lastRenderedPageBreak/>
        <w:t>platforms of the InnoCentive type post a problem and pay for a solution, which is idea monetisation in its purest form.</w:t>
      </w:r>
    </w:p>
    <w:p w14:paraId="04712BE5" w14:textId="77777777" w:rsidR="00E33D27" w:rsidRDefault="00000000">
      <w:pPr>
        <w:pStyle w:val="Heading3"/>
        <w:keepNext/>
      </w:pPr>
      <w:r>
        <w:t>Why ideas drive growth: Romer's answer</w:t>
      </w:r>
    </w:p>
    <w:p w14:paraId="04ADB26F" w14:textId="77777777" w:rsidR="00E33D27" w:rsidRDefault="00000000">
      <w:pPr>
        <w:keepNext/>
        <w:spacing w:before="160" w:after="60" w:line="240" w:lineRule="auto"/>
        <w:jc w:val="center"/>
      </w:pPr>
      <w:r>
        <w:rPr>
          <w:noProof/>
        </w:rPr>
        <w:drawing>
          <wp:inline distT="0" distB="0" distL="0" distR="0" wp14:anchorId="002C09D4" wp14:editId="3481C37D">
            <wp:extent cx="6172200" cy="3200400"/>
            <wp:effectExtent l="0" t="0" r="0" b="0"/>
            <wp:docPr id="543738789" name="Picture 54373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200400"/>
                    </a:xfrm>
                    <a:prstGeom prst="rect">
                      <a:avLst/>
                    </a:prstGeom>
                  </pic:spPr>
                </pic:pic>
              </a:graphicData>
            </a:graphic>
          </wp:inline>
        </w:drawing>
      </w:r>
    </w:p>
    <w:p w14:paraId="16A2EF52" w14:textId="77777777" w:rsidR="00E33D27" w:rsidRDefault="00000000">
      <w:pPr>
        <w:spacing w:after="220" w:line="240" w:lineRule="auto"/>
        <w:jc w:val="center"/>
      </w:pPr>
      <w:r>
        <w:rPr>
          <w:i/>
          <w:iCs/>
          <w:color w:val="5A6270"/>
          <w:sz w:val="17"/>
          <w:szCs w:val="17"/>
        </w:rPr>
        <w:t>Figure 2.4  The two properties of ideas on which endogenous growth theory rests.</w:t>
      </w:r>
    </w:p>
    <w:p w14:paraId="03C3C99A" w14:textId="77777777" w:rsidR="00E33D27" w:rsidRDefault="00000000">
      <w:pPr>
        <w:jc w:val="both"/>
      </w:pPr>
      <w:r>
        <w:t>Paul Romer's Endogenous Technological Change, published in the Journal of Political Economy in 1990, supplies the mechanism. Ideas have two properties that distinguish them from every other input. They are non-rival: my use of a design does not consume your use of it, so the same idea can be deployed simultaneously by any number of users at almost no additional cost. And they are only partially excludable: others can be prevented from using an idea, but imperfectly — and intellectual property is precisely the instrument that supplies the excludability.</w:t>
      </w:r>
    </w:p>
    <w:p w14:paraId="0919BDE3" w14:textId="77777777" w:rsidR="00E33D27" w:rsidRDefault="00000000">
      <w:pPr>
        <w:jc w:val="both"/>
      </w:pPr>
      <w:r>
        <w:t>The consequences are structural. Because a non-rival input can be used at near-zero marginal cost, an economy with ideas as an input is non-convex, and price-taking perfect competition cannot be sustained; the equilibrium is monopolistic competition. Partial excludability then creates the profit that makes private, profit-maximising research worthwhile. Growth therefore becomes endogenous — generated inside the model by deliberate investment in research — rather than arriving as the unexplained residual that Solow's growth accounting had to attribute to exogenous technical progress. That is the precise sense in which ideas and IPR determine economic growth: IPR converts a non-rival good into a partially appropriable one, and appropriability is what induces the investment that produces growth.</w:t>
      </w:r>
    </w:p>
    <w:p w14:paraId="3B9675FF" w14:textId="77777777" w:rsidR="00E33D27" w:rsidRDefault="00000000">
      <w:pPr>
        <w:pStyle w:val="Heading3"/>
        <w:keepNext/>
      </w:pPr>
      <w:r>
        <w:t>The disclosure problem and the patent bargain</w:t>
      </w:r>
    </w:p>
    <w:p w14:paraId="16398AE3" w14:textId="77777777" w:rsidR="00E33D27" w:rsidRDefault="00000000">
      <w:pPr>
        <w:jc w:val="both"/>
      </w:pPr>
      <w:r>
        <w:t xml:space="preserve">Alongside Romer sits Kenneth Arrow's information paradox (1962): a prospective buyer of information cannot value it without seeing it, but once it has been seen the buyer already possesses it and need not pay. Information markets therefore fail without an institutional fix, and the patent system is one such fix — as are non-disclosure agreements and staged disclosure in licensing negotiations. This is why the patent bargain is structured as it is: the inventor discloses completely enough for a skilled person to reproduce the invention, and in exchange receives a time-limited right to exclude. The system thus serves two incentives at once — the incentive to invent and the </w:t>
      </w:r>
      <w:r>
        <w:lastRenderedPageBreak/>
        <w:t>incentive to disclose — and the second is often the more socially valuable, because it puts the teaching into the public record where it can be built upon.</w:t>
      </w:r>
    </w:p>
    <w:p w14:paraId="3891D260" w14:textId="77777777" w:rsidR="00E33D27" w:rsidRDefault="00000000">
      <w:pPr>
        <w:pStyle w:val="Heading3"/>
        <w:keepNext/>
      </w:pPr>
      <w:r>
        <w:t>The theoretical debate, which an answer should acknowledge</w:t>
      </w:r>
    </w:p>
    <w:p w14:paraId="4D407149" w14:textId="77777777" w:rsidR="00E33D27" w:rsidRDefault="00000000">
      <w:pPr>
        <w:jc w:val="both"/>
      </w:pPr>
      <w:r>
        <w:t>The proposition that stronger rights produce more growth is contested, and a good answer presents both sides. In favour, beyond Romer, is Edmund Kitch's prospect theory (Journal of Law and Economics, 1977), which argues that a patent functions like a mineral prospect: by granting one party control over a technological area early, it gives that party the incentive to coordinate and efficiently develop the downstream applications, avoiding duplicative and wasteful racing. Against, the central objection is the anticommons. Michael Heller and Rebecca Eisenberg, writing in Science in 1998 and building on Heller's Tragedy of the Anticommons (Harvard Law Review, 1998), argue that when too many fragmented and overlapping upstream rights exist, each holder can block, and the result is underuse — the mirror image of the tragedy of the commons — which impedes exactly the cumulative innovation the system is meant to promote. Petra Moser, Josh Lerner, and Boldrin and Levine in Against Intellectual Monopoly (2008) press the empirical case that the historical evidence for patents driving innovation is much weaker than the theory assumes. The Park–Ginarte index and the work of Kanwar and Evenson are the standard attempts to measure IPR strength against growth econometrically.</w:t>
      </w:r>
    </w:p>
    <w:p w14:paraId="3C46D124" w14:textId="77777777" w:rsidR="00E33D27" w:rsidRDefault="00000000">
      <w:pPr>
        <w:jc w:val="both"/>
      </w:pPr>
      <w:r>
        <w:t>On the empirical contribution of IP to an economy, the figures to use are the United States Patent and Trademark Office's series. The third edition of its study, published on 17 March 2022 using 2019 data, found that 127 IP-intensive industries accounted for USD 7.8 trillion of United States gross domestic product, or 41 per cent of the total, and contributed 44 per cent of employment, about 62.5 million jobs. This is the corrected version of a figure that circulates in class notes as “27 per cent of the US job market”: that figure comes from the 2012 edition of the same study using 2010 data, where 40 million jobs, or 27.7 per cent, were attributable to the most IP-intensive industries. Quote the evolution — 27.7 per cent in 2010 rising to 44 per cent in 2019 — rather than either figure alone. The WIPO Global Innovation Index is the standard national benchmarking instrument and shows the expected correlation between IP intensity and income per head.</w:t>
      </w:r>
    </w:p>
    <w:p w14:paraId="03D220D5" w14:textId="77777777" w:rsidR="00E33D27" w:rsidRDefault="00000000">
      <w:pPr>
        <w:pStyle w:val="Heading3"/>
        <w:keepNext/>
      </w:pPr>
      <w:r>
        <w:t>Diffusion: the other half of the growth mechanism</w:t>
      </w:r>
    </w:p>
    <w:p w14:paraId="2F423B2F" w14:textId="77777777" w:rsidR="00E33D27" w:rsidRDefault="00000000">
      <w:pPr>
        <w:jc w:val="both"/>
      </w:pPr>
      <w:r>
        <w:t>Growth requires not only invention but its spread, and the patent system contributes to both. The exclusive right restricts competition for a limited period; the disclosure requirement simultaneously puts the teaching into the public domain, where anyone with access may read it and build beyond it. Diffusion on the demand side follows the familiar S-curve: a small number of leaders adopt a new technology, the market observes their experience, and if the technology is good the adoption accelerates and then saturates. If it is not, diffusion is slow or the product is rejected outright, and a technically excellent product may still fail. Commercial success, as section 2.9 will insist, does not guarantee economic success.</w:t>
      </w:r>
    </w:p>
    <w:p w14:paraId="1AE54F92" w14:textId="77777777" w:rsidR="00E33D27" w:rsidRDefault="00000000">
      <w:pPr>
        <w:jc w:val="both"/>
      </w:pPr>
      <w:r>
        <w:t>Two frictions are worth naming because they recur in policy questions. Technology moves faster than law: by the time an instrument is drafted and implemented the technology has moved on, and an Act can be effectively obsolete before it is enforced — which is the structural reason artificial intelligence and data issues are so poorly handled by existing frameworks. And the patent term itself is contested: if a technology is obsolete after twenty years, what does its entry into the public domain actually contribute? The answer given in class is the right one — an expert reading an expired specification extracts the intricacies, not merely the claim, and the disclosure has been available for building upon since publication rather than since expiry. The counter-argument, also raised in class, is that firms respond by keeping the genuinely critical layer as a trade secret and patenting only the periphery, so that the public record contains the architecture and not the orchestration.</w:t>
      </w:r>
    </w:p>
    <w:p w14:paraId="6A2A512E" w14:textId="77777777" w:rsidR="00E33D27" w:rsidRDefault="00000000">
      <w:pPr>
        <w:pStyle w:val="Heading2"/>
        <w:keepNext/>
      </w:pPr>
      <w:r>
        <w:lastRenderedPageBreak/>
        <w:t>2.4  Intellectual Property and Intellectual Capital: the Role of Non-Proprietary Technologies</w:t>
      </w:r>
    </w:p>
    <w:p w14:paraId="747933F0" w14:textId="77777777" w:rsidR="00E33D27" w:rsidRDefault="00000000">
      <w:pPr>
        <w:jc w:val="both"/>
      </w:pPr>
      <w:r>
        <w:t>The question this heading poses was put directly in class: can technology create enormous economic value without being exclusively owned? The answer is plainly yes, and working out why forces a more precise account of what ownership actually contributes.</w:t>
      </w:r>
    </w:p>
    <w:p w14:paraId="68CA8368" w14:textId="77777777" w:rsidR="00E33D27" w:rsidRDefault="00000000">
      <w:pPr>
        <w:pStyle w:val="Heading3"/>
        <w:keepNext/>
      </w:pPr>
      <w:r>
        <w:t>Definitions, and one distinction that must not be missed</w:t>
      </w:r>
    </w:p>
    <w:p w14:paraId="3C202B7C" w14:textId="77777777" w:rsidR="00E33D27" w:rsidRDefault="00000000">
      <w:pPr>
        <w:jc w:val="both"/>
      </w:pPr>
      <w:r>
        <w:t>A non-proprietary technology is one not controlled by a private individual or entity. The public domain consists of material in which exclusive rights have expired, lapsed or never existed. Open source software is distributed under a licence permitting use, study, modification and redistribution. Freeware is merely free of charge and may be entirely proprietary. Open standards are specifications available to all implementers on defined terms.</w:t>
      </w:r>
    </w:p>
    <w:p w14:paraId="393113CE" w14:textId="77777777" w:rsidR="00E33D27" w:rsidRDefault="00000000">
      <w:pPr>
        <w:jc w:val="both"/>
      </w:pPr>
      <w:r>
        <w:t>The distinction that decides marks is this: non-proprietary does not mean unowned. Linux is copyrighted. Android is owned by Google. Wikipedia's content is licensed, not unowned. What makes these non-proprietary in the relevant sense is that the owner has chosen to license openly rather than to exclude. This is why the correct formulation is that the value lies not in ownership but in adoption — and why strong rights can be used either to open a technology or to close it. The class illustration of the boundary is instructive: when Android restricted certain interface elements from the wider community, the base remained open but the increment did not, which is precisely the mixed model most successful open platforms use.</w:t>
      </w:r>
    </w:p>
    <w:p w14:paraId="2AD1A4EC" w14:textId="77777777" w:rsidR="00E33D27" w:rsidRDefault="00000000">
      <w:pPr>
        <w:keepNext/>
        <w:spacing w:before="160" w:after="60" w:line="240" w:lineRule="auto"/>
        <w:jc w:val="center"/>
      </w:pPr>
      <w:r>
        <w:rPr>
          <w:noProof/>
        </w:rPr>
        <w:drawing>
          <wp:inline distT="0" distB="0" distL="0" distR="0" wp14:anchorId="71355219" wp14:editId="259B8072">
            <wp:extent cx="6172200" cy="2533650"/>
            <wp:effectExtent l="0" t="0" r="0" b="0"/>
            <wp:docPr id="59111933" name="Picture 5911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2533650"/>
                    </a:xfrm>
                    <a:prstGeom prst="rect">
                      <a:avLst/>
                    </a:prstGeom>
                  </pic:spPr>
                </pic:pic>
              </a:graphicData>
            </a:graphic>
          </wp:inline>
        </w:drawing>
      </w:r>
    </w:p>
    <w:p w14:paraId="47B0B877" w14:textId="77777777" w:rsidR="00E33D27" w:rsidRDefault="00000000">
      <w:pPr>
        <w:spacing w:after="220" w:line="240" w:lineRule="auto"/>
        <w:jc w:val="center"/>
      </w:pPr>
      <w:r>
        <w:rPr>
          <w:i/>
          <w:iCs/>
          <w:color w:val="5A6270"/>
          <w:sz w:val="17"/>
          <w:szCs w:val="17"/>
        </w:rPr>
        <w:t>Figure 2.5  Governance is a dial, not a switch.</w:t>
      </w:r>
    </w:p>
    <w:p w14:paraId="61A1990D" w14:textId="77777777" w:rsidR="00E33D27" w:rsidRDefault="00000000">
      <w:pPr>
        <w:jc w:val="both"/>
      </w:pPr>
      <w:r>
        <w:t>The access continuum runs from exclusive ownership, through controlled access by licence or non-disclosure agreement, through shared access within a defined group on agreed terms, to open access. The same patent can be placed at any point on the line, and the choice is commercial. Between shared and open sit patent pools and the standard-essential patent regime, where holders undertake to license on fair, reasonable and non-discriminatory terms so that a standard can be implemented by anybody — shared access engineered deliberately to prevent the blocking that exclusive rights would otherwise produce.</w:t>
      </w:r>
    </w:p>
    <w:p w14:paraId="0F79702D" w14:textId="77777777" w:rsidR="00E33D27" w:rsidRDefault="00000000">
      <w:pPr>
        <w:pStyle w:val="Heading3"/>
        <w:keepNext/>
      </w:pPr>
      <w:r>
        <w:t>The examples, and what each demonstrates</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300"/>
        <w:gridCol w:w="7780"/>
      </w:tblGrid>
      <w:tr w:rsidR="00E33D27" w14:paraId="2495BAF4" w14:textId="77777777">
        <w:tblPrEx>
          <w:tblCellMar>
            <w:top w:w="0" w:type="dxa"/>
            <w:bottom w:w="0" w:type="dxa"/>
          </w:tblCellMar>
        </w:tblPrEx>
        <w:trPr>
          <w:cantSplit/>
          <w:tblHeader/>
        </w:trPr>
        <w:tc>
          <w:tcPr>
            <w:tcW w:w="2300" w:type="dxa"/>
            <w:shd w:val="clear" w:color="auto" w:fill="1F3864"/>
            <w:tcMar>
              <w:top w:w="70" w:type="dxa"/>
              <w:left w:w="110" w:type="dxa"/>
              <w:bottom w:w="70" w:type="dxa"/>
              <w:right w:w="110" w:type="dxa"/>
            </w:tcMar>
            <w:vAlign w:val="center"/>
          </w:tcPr>
          <w:p w14:paraId="40D129C4" w14:textId="77777777" w:rsidR="00E33D27" w:rsidRDefault="00000000">
            <w:pPr>
              <w:spacing w:before="40" w:after="40" w:line="250" w:lineRule="auto"/>
            </w:pPr>
            <w:r>
              <w:rPr>
                <w:b/>
                <w:bCs/>
                <w:color w:val="FFFFFF"/>
                <w:sz w:val="17"/>
                <w:szCs w:val="17"/>
              </w:rPr>
              <w:t>Technology</w:t>
            </w:r>
          </w:p>
        </w:tc>
        <w:tc>
          <w:tcPr>
            <w:tcW w:w="7780" w:type="dxa"/>
            <w:shd w:val="clear" w:color="auto" w:fill="1F3864"/>
            <w:tcMar>
              <w:top w:w="70" w:type="dxa"/>
              <w:left w:w="110" w:type="dxa"/>
              <w:bottom w:w="70" w:type="dxa"/>
              <w:right w:w="110" w:type="dxa"/>
            </w:tcMar>
            <w:vAlign w:val="center"/>
          </w:tcPr>
          <w:p w14:paraId="333C1F9E" w14:textId="77777777" w:rsidR="00E33D27" w:rsidRDefault="00000000">
            <w:pPr>
              <w:spacing w:before="40" w:after="40" w:line="250" w:lineRule="auto"/>
            </w:pPr>
            <w:r>
              <w:rPr>
                <w:b/>
                <w:bCs/>
                <w:color w:val="FFFFFF"/>
                <w:sz w:val="17"/>
                <w:szCs w:val="17"/>
              </w:rPr>
              <w:t>What it demonstrates about value without exclusivity</w:t>
            </w:r>
          </w:p>
        </w:tc>
      </w:tr>
      <w:tr w:rsidR="00E33D27" w14:paraId="7E90ED6C"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1F31F238" w14:textId="77777777" w:rsidR="00E33D27" w:rsidRDefault="00000000">
            <w:pPr>
              <w:spacing w:before="40" w:after="40" w:line="250" w:lineRule="auto"/>
            </w:pPr>
            <w:r>
              <w:rPr>
                <w:b/>
                <w:bCs/>
                <w:sz w:val="16"/>
                <w:szCs w:val="16"/>
              </w:rPr>
              <w:t>Linux, Apache</w:t>
            </w:r>
          </w:p>
        </w:tc>
        <w:tc>
          <w:tcPr>
            <w:tcW w:w="7780" w:type="dxa"/>
            <w:shd w:val="clear" w:color="auto" w:fill="F3F4F6"/>
            <w:tcMar>
              <w:top w:w="70" w:type="dxa"/>
              <w:left w:w="110" w:type="dxa"/>
              <w:bottom w:w="70" w:type="dxa"/>
              <w:right w:w="110" w:type="dxa"/>
            </w:tcMar>
            <w:vAlign w:val="center"/>
          </w:tcPr>
          <w:p w14:paraId="5A25FE12" w14:textId="77777777" w:rsidR="00E33D27" w:rsidRDefault="00000000">
            <w:pPr>
              <w:spacing w:before="40" w:after="40" w:line="250" w:lineRule="auto"/>
            </w:pPr>
            <w:r>
              <w:rPr>
                <w:sz w:val="16"/>
                <w:szCs w:val="16"/>
              </w:rPr>
              <w:t>Foundational infrastructure. Enormous commercial value is built on top by firms that sell support, distributions and services rather than the code</w:t>
            </w:r>
          </w:p>
        </w:tc>
      </w:tr>
      <w:tr w:rsidR="00E33D27" w14:paraId="0BF0189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18F1563A" w14:textId="77777777" w:rsidR="00E33D27" w:rsidRDefault="00000000">
            <w:pPr>
              <w:spacing w:before="40" w:after="40" w:line="250" w:lineRule="auto"/>
            </w:pPr>
            <w:r>
              <w:rPr>
                <w:b/>
                <w:bCs/>
                <w:sz w:val="16"/>
                <w:szCs w:val="16"/>
              </w:rPr>
              <w:lastRenderedPageBreak/>
              <w:t>GitHub</w:t>
            </w:r>
          </w:p>
        </w:tc>
        <w:tc>
          <w:tcPr>
            <w:tcW w:w="7780" w:type="dxa"/>
            <w:shd w:val="clear" w:color="auto" w:fill="FFFFFF"/>
            <w:tcMar>
              <w:top w:w="70" w:type="dxa"/>
              <w:left w:w="110" w:type="dxa"/>
              <w:bottom w:w="70" w:type="dxa"/>
              <w:right w:w="110" w:type="dxa"/>
            </w:tcMar>
            <w:vAlign w:val="center"/>
          </w:tcPr>
          <w:p w14:paraId="7D85AAA3" w14:textId="77777777" w:rsidR="00E33D27" w:rsidRDefault="00000000">
            <w:pPr>
              <w:spacing w:before="40" w:after="40" w:line="250" w:lineRule="auto"/>
            </w:pPr>
            <w:r>
              <w:rPr>
                <w:sz w:val="16"/>
                <w:szCs w:val="16"/>
              </w:rPr>
              <w:t>Collaboration infrastructure: the value is the network of contributors and the coordination it enables, not any single repository</w:t>
            </w:r>
          </w:p>
        </w:tc>
      </w:tr>
      <w:tr w:rsidR="00E33D27" w14:paraId="3EBC06A1"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14EB3524" w14:textId="77777777" w:rsidR="00E33D27" w:rsidRDefault="00000000">
            <w:pPr>
              <w:spacing w:before="40" w:after="40" w:line="250" w:lineRule="auto"/>
            </w:pPr>
            <w:r>
              <w:rPr>
                <w:b/>
                <w:bCs/>
                <w:sz w:val="16"/>
                <w:szCs w:val="16"/>
              </w:rPr>
              <w:t>Android and the Open Handset Alliance</w:t>
            </w:r>
          </w:p>
        </w:tc>
        <w:tc>
          <w:tcPr>
            <w:tcW w:w="7780" w:type="dxa"/>
            <w:shd w:val="clear" w:color="auto" w:fill="F3F4F6"/>
            <w:tcMar>
              <w:top w:w="70" w:type="dxa"/>
              <w:left w:w="110" w:type="dxa"/>
              <w:bottom w:w="70" w:type="dxa"/>
              <w:right w:w="110" w:type="dxa"/>
            </w:tcMar>
            <w:vAlign w:val="center"/>
          </w:tcPr>
          <w:p w14:paraId="1E625DFA" w14:textId="77777777" w:rsidR="00E33D27" w:rsidRDefault="00000000">
            <w:pPr>
              <w:spacing w:before="40" w:after="40" w:line="250" w:lineRule="auto"/>
            </w:pPr>
            <w:r>
              <w:rPr>
                <w:sz w:val="16"/>
                <w:szCs w:val="16"/>
              </w:rPr>
              <w:t>An open base that enabled an entire device industry; the sponsor monetises the surrounding services and store, not the licence</w:t>
            </w:r>
          </w:p>
        </w:tc>
      </w:tr>
      <w:tr w:rsidR="00E33D27" w14:paraId="50793066"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4E571AEA" w14:textId="77777777" w:rsidR="00E33D27" w:rsidRDefault="00000000">
            <w:pPr>
              <w:spacing w:before="40" w:after="40" w:line="250" w:lineRule="auto"/>
            </w:pPr>
            <w:r>
              <w:rPr>
                <w:b/>
                <w:bCs/>
                <w:sz w:val="16"/>
                <w:szCs w:val="16"/>
              </w:rPr>
              <w:t>Raspberry Pi</w:t>
            </w:r>
          </w:p>
        </w:tc>
        <w:tc>
          <w:tcPr>
            <w:tcW w:w="7780" w:type="dxa"/>
            <w:shd w:val="clear" w:color="auto" w:fill="FFFFFF"/>
            <w:tcMar>
              <w:top w:w="70" w:type="dxa"/>
              <w:left w:w="110" w:type="dxa"/>
              <w:bottom w:w="70" w:type="dxa"/>
              <w:right w:w="110" w:type="dxa"/>
            </w:tcMar>
            <w:vAlign w:val="center"/>
          </w:tcPr>
          <w:p w14:paraId="7EB06755" w14:textId="77777777" w:rsidR="00E33D27" w:rsidRDefault="00000000">
            <w:pPr>
              <w:spacing w:before="40" w:after="40" w:line="250" w:lineRule="auto"/>
            </w:pPr>
            <w:r>
              <w:rPr>
                <w:sz w:val="16"/>
                <w:szCs w:val="16"/>
              </w:rPr>
              <w:t>The class example with the sharpest logic: nearly every IoT innovation is prototyped on it, and although the final product ships with a customised controller, the prototype stage — and therefore the invention — depended on it. It asks nothing in return</w:t>
            </w:r>
          </w:p>
        </w:tc>
      </w:tr>
      <w:tr w:rsidR="00E33D27" w14:paraId="5FCE064C"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54429118" w14:textId="77777777" w:rsidR="00E33D27" w:rsidRDefault="00000000">
            <w:pPr>
              <w:spacing w:before="40" w:after="40" w:line="250" w:lineRule="auto"/>
            </w:pPr>
            <w:r>
              <w:rPr>
                <w:b/>
                <w:bCs/>
                <w:sz w:val="16"/>
                <w:szCs w:val="16"/>
              </w:rPr>
              <w:t>Java</w:t>
            </w:r>
          </w:p>
        </w:tc>
        <w:tc>
          <w:tcPr>
            <w:tcW w:w="7780" w:type="dxa"/>
            <w:shd w:val="clear" w:color="auto" w:fill="F3F4F6"/>
            <w:tcMar>
              <w:top w:w="70" w:type="dxa"/>
              <w:left w:w="110" w:type="dxa"/>
              <w:bottom w:w="70" w:type="dxa"/>
              <w:right w:w="110" w:type="dxa"/>
            </w:tcMar>
            <w:vAlign w:val="center"/>
          </w:tcPr>
          <w:p w14:paraId="18C52FF8" w14:textId="77777777" w:rsidR="00E33D27" w:rsidRDefault="00000000">
            <w:pPr>
              <w:spacing w:before="40" w:after="40" w:line="250" w:lineRule="auto"/>
            </w:pPr>
            <w:r>
              <w:rPr>
                <w:sz w:val="16"/>
                <w:szCs w:val="16"/>
              </w:rPr>
              <w:t>A language and platform whose ubiquity created the market for everything written in it</w:t>
            </w:r>
          </w:p>
        </w:tc>
      </w:tr>
      <w:tr w:rsidR="00E33D27" w14:paraId="75EDD953"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7DD47D34" w14:textId="77777777" w:rsidR="00E33D27" w:rsidRDefault="00000000">
            <w:pPr>
              <w:spacing w:before="40" w:after="40" w:line="250" w:lineRule="auto"/>
            </w:pPr>
            <w:r>
              <w:rPr>
                <w:b/>
                <w:bCs/>
                <w:sz w:val="16"/>
                <w:szCs w:val="16"/>
              </w:rPr>
              <w:t>Wikipedia</w:t>
            </w:r>
          </w:p>
        </w:tc>
        <w:tc>
          <w:tcPr>
            <w:tcW w:w="7780" w:type="dxa"/>
            <w:shd w:val="clear" w:color="auto" w:fill="FFFFFF"/>
            <w:tcMar>
              <w:top w:w="70" w:type="dxa"/>
              <w:left w:w="110" w:type="dxa"/>
              <w:bottom w:w="70" w:type="dxa"/>
              <w:right w:w="110" w:type="dxa"/>
            </w:tcMar>
            <w:vAlign w:val="center"/>
          </w:tcPr>
          <w:p w14:paraId="5BD42DCC" w14:textId="77777777" w:rsidR="00E33D27" w:rsidRDefault="00000000">
            <w:pPr>
              <w:spacing w:before="40" w:after="40" w:line="250" w:lineRule="auto"/>
            </w:pPr>
            <w:r>
              <w:rPr>
                <w:sz w:val="16"/>
                <w:szCs w:val="16"/>
              </w:rPr>
              <w:t>Displaced a subscription-based encyclopaedia industry almost entirely, on a volunteer and open-licence model — and did so with an unusually well-drafted governance and liability framework, which is itself the lesson</w:t>
            </w:r>
          </w:p>
        </w:tc>
      </w:tr>
      <w:tr w:rsidR="00E33D27" w14:paraId="1F13E33E"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40B74CC6" w14:textId="77777777" w:rsidR="00E33D27" w:rsidRDefault="00000000">
            <w:pPr>
              <w:spacing w:before="40" w:after="40" w:line="250" w:lineRule="auto"/>
            </w:pPr>
            <w:r>
              <w:rPr>
                <w:b/>
                <w:bCs/>
                <w:sz w:val="16"/>
                <w:szCs w:val="16"/>
              </w:rPr>
              <w:t>Human Genome Project and the Bermuda Principles</w:t>
            </w:r>
          </w:p>
        </w:tc>
        <w:tc>
          <w:tcPr>
            <w:tcW w:w="7780" w:type="dxa"/>
            <w:shd w:val="clear" w:color="auto" w:fill="F3F4F6"/>
            <w:tcMar>
              <w:top w:w="70" w:type="dxa"/>
              <w:left w:w="110" w:type="dxa"/>
              <w:bottom w:w="70" w:type="dxa"/>
              <w:right w:w="110" w:type="dxa"/>
            </w:tcMar>
            <w:vAlign w:val="center"/>
          </w:tcPr>
          <w:p w14:paraId="53091914" w14:textId="77777777" w:rsidR="00E33D27" w:rsidRDefault="00000000">
            <w:pPr>
              <w:spacing w:before="40" w:after="40" w:line="250" w:lineRule="auto"/>
            </w:pPr>
            <w:r>
              <w:rPr>
                <w:sz w:val="16"/>
                <w:szCs w:val="16"/>
              </w:rPr>
              <w:t>An attempt to enclose the sequence was contested and rejected in favour of daily public release. Open release accelerated an entire field</w:t>
            </w:r>
          </w:p>
        </w:tc>
      </w:tr>
      <w:tr w:rsidR="00E33D27" w14:paraId="299D8CBA"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5901863B" w14:textId="77777777" w:rsidR="00E33D27" w:rsidRDefault="00000000">
            <w:pPr>
              <w:spacing w:before="40" w:after="40" w:line="250" w:lineRule="auto"/>
            </w:pPr>
            <w:r>
              <w:rPr>
                <w:b/>
                <w:bCs/>
                <w:sz w:val="16"/>
                <w:szCs w:val="16"/>
              </w:rPr>
              <w:t>CSIR's Open Source Drug Discovery</w:t>
            </w:r>
          </w:p>
        </w:tc>
        <w:tc>
          <w:tcPr>
            <w:tcW w:w="7780" w:type="dxa"/>
            <w:shd w:val="clear" w:color="auto" w:fill="FFFFFF"/>
            <w:tcMar>
              <w:top w:w="70" w:type="dxa"/>
              <w:left w:w="110" w:type="dxa"/>
              <w:bottom w:w="70" w:type="dxa"/>
              <w:right w:w="110" w:type="dxa"/>
            </w:tcMar>
            <w:vAlign w:val="center"/>
          </w:tcPr>
          <w:p w14:paraId="2A8774EE" w14:textId="77777777" w:rsidR="00E33D27" w:rsidRDefault="00000000">
            <w:pPr>
              <w:spacing w:before="40" w:after="40" w:line="250" w:lineRule="auto"/>
            </w:pPr>
            <w:r>
              <w:rPr>
                <w:sz w:val="16"/>
                <w:szCs w:val="16"/>
              </w:rPr>
              <w:t>Open collaboration deployed where the market fails: diseases of the poor attract little private investment, so collective development substitutes for it</w:t>
            </w:r>
          </w:p>
        </w:tc>
      </w:tr>
      <w:tr w:rsidR="00E33D27" w14:paraId="6781627C"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1C2C933D" w14:textId="77777777" w:rsidR="00E33D27" w:rsidRDefault="00000000">
            <w:pPr>
              <w:spacing w:before="40" w:after="40" w:line="250" w:lineRule="auto"/>
            </w:pPr>
            <w:r>
              <w:rPr>
                <w:b/>
                <w:bCs/>
                <w:sz w:val="16"/>
                <w:szCs w:val="16"/>
              </w:rPr>
              <w:t>Tesla's 2014 patent pledge</w:t>
            </w:r>
          </w:p>
        </w:tc>
        <w:tc>
          <w:tcPr>
            <w:tcW w:w="7780" w:type="dxa"/>
            <w:shd w:val="clear" w:color="auto" w:fill="F3F4F6"/>
            <w:tcMar>
              <w:top w:w="70" w:type="dxa"/>
              <w:left w:w="110" w:type="dxa"/>
              <w:bottom w:w="70" w:type="dxa"/>
              <w:right w:w="110" w:type="dxa"/>
            </w:tcMar>
            <w:vAlign w:val="center"/>
          </w:tcPr>
          <w:p w14:paraId="75195290" w14:textId="77777777" w:rsidR="00E33D27" w:rsidRDefault="00000000">
            <w:pPr>
              <w:spacing w:before="40" w:after="40" w:line="250" w:lineRule="auto"/>
            </w:pPr>
            <w:r>
              <w:rPr>
                <w:sz w:val="16"/>
                <w:szCs w:val="16"/>
              </w:rPr>
              <w:t>An incumbent opening its portfolio to grow the ecosystem it depends on — charging infrastructure and supplier scale — rather than to be generous</w:t>
            </w:r>
          </w:p>
        </w:tc>
      </w:tr>
    </w:tbl>
    <w:p w14:paraId="69AC18C5" w14:textId="77777777" w:rsidR="00E33D27" w:rsidRDefault="00000000">
      <w:pPr>
        <w:spacing w:before="60" w:after="180"/>
      </w:pPr>
      <w:r>
        <w:rPr>
          <w:i/>
          <w:iCs/>
          <w:color w:val="5A6270"/>
          <w:sz w:val="16"/>
          <w:szCs w:val="16"/>
        </w:rPr>
        <w:t>Table 2.2  Non-proprietary technologies. In an answer, pair each example with the mechanism it illustrates rather than merely listing it.</w:t>
      </w:r>
    </w:p>
    <w:p w14:paraId="0A3F22B9" w14:textId="77777777" w:rsidR="00E33D27" w:rsidRDefault="00000000">
      <w:pPr>
        <w:jc w:val="both"/>
      </w:pPr>
      <w:r>
        <w:t>The licensing instruments deserve precision because they are frequently misdescribed. The Creative Commons suite is built from four elements combined into six licences: BY requires attribution; NC restricts use to non-commercial purposes; SA, share-alike, requires derivative works to carry the same licence; and ND prohibits derivatives. So a CC BY-NC-SA licence permits reuse with attribution, for non-commercial purposes, on the same terms — and, as the class noted of Indian government material, such a licence does not permit commercialisation, and failure to share alike is itself actionable. In software, the GNU General Public Licence is a copyleft licence whose reciprocity obligations propagate to derivative works, whereas permissive licences such as MIT and Apache 2.0 impose minimal conditions, Apache 2.0 additionally granting an express patent licence. The practical warning is that open source is not a single thing and must be read: freeware, permissive licences, copyleft licences and public domain dedications have materially different consequences.</w:t>
      </w:r>
    </w:p>
    <w:p w14:paraId="3323CEED" w14:textId="77777777" w:rsidR="00E33D27" w:rsidRDefault="00000000">
      <w:pPr>
        <w:pStyle w:val="Heading3"/>
        <w:keepNext/>
      </w:pPr>
      <w:r>
        <w:lastRenderedPageBreak/>
        <w:t>How openness generates value, and how firms still make money</w:t>
      </w:r>
    </w:p>
    <w:p w14:paraId="7FC62B04" w14:textId="77777777" w:rsidR="00E33D27" w:rsidRDefault="00000000">
      <w:pPr>
        <w:keepNext/>
        <w:spacing w:before="160" w:after="60" w:line="240" w:lineRule="auto"/>
        <w:jc w:val="center"/>
      </w:pPr>
      <w:r>
        <w:rPr>
          <w:noProof/>
        </w:rPr>
        <w:drawing>
          <wp:inline distT="0" distB="0" distL="0" distR="0" wp14:anchorId="599B5687" wp14:editId="37534CF7">
            <wp:extent cx="6172200" cy="3181350"/>
            <wp:effectExtent l="0" t="0" r="0" b="0"/>
            <wp:docPr id="659896480" name="Picture 65989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181350"/>
                    </a:xfrm>
                    <a:prstGeom prst="rect">
                      <a:avLst/>
                    </a:prstGeom>
                  </pic:spPr>
                </pic:pic>
              </a:graphicData>
            </a:graphic>
          </wp:inline>
        </w:drawing>
      </w:r>
    </w:p>
    <w:p w14:paraId="706D3F3F" w14:textId="77777777" w:rsidR="00E33D27" w:rsidRDefault="00000000">
      <w:pPr>
        <w:spacing w:after="220" w:line="240" w:lineRule="auto"/>
        <w:jc w:val="center"/>
      </w:pPr>
      <w:r>
        <w:rPr>
          <w:i/>
          <w:iCs/>
          <w:color w:val="5A6270"/>
          <w:sz w:val="17"/>
          <w:szCs w:val="17"/>
        </w:rPr>
        <w:t>Figure 2.6  The closed and open models, and the five mechanisms of ecosystem value.</w:t>
      </w:r>
    </w:p>
    <w:p w14:paraId="2A204B66" w14:textId="77777777" w:rsidR="00E33D27" w:rsidRDefault="00000000">
      <w:pPr>
        <w:jc w:val="both"/>
      </w:pPr>
      <w:r>
        <w:t>Five mechanisms account for the value an open ecosystem creates. Open access lowers transaction costs and entry barriers. Rapid diffusion spreads the technology across industries and developer communities. Network effects make the technology more valuable as more people use it, chiefly through interoperability. Collective innovation pools research effort and develops human capital. And complementary products — services, hardware, custom software — are created on top, typically at high margin. The consequence for a firm is that open technologies drastically reduce development time and research cost, allowing resources to be redirected to combination, adaptation and user experience; the open layer becomes foundational infrastructure on which substantial intellectual capital and commercial value are built.</w:t>
      </w:r>
    </w:p>
    <w:p w14:paraId="33F9571B" w14:textId="77777777" w:rsidR="00E33D27" w:rsidRDefault="00000000">
      <w:pPr>
        <w:jc w:val="both"/>
      </w:pPr>
      <w:r>
        <w:t>The theoretical frame is Henry Chesbrough's open innovation (2003): the purposive use of inflows and outflows of knowledge to accelerate internal innovation and to expand the markets for external use of innovation. Firms can and should use external ideas alongside internal ones, and internal and external paths to market alongside each other. This contrasts with the closed model in which successful innovation requires control and ideas originate only inside the firm. Eric von Hippel's work on user innovation and free innovation (Democratizing Innovation, 2005; Free Innovation, 2017) supplies the complementary insight that users, not manufacturers, are frequently the source of the innovation.</w:t>
      </w:r>
    </w:p>
    <w:p w14:paraId="7F8F727C" w14:textId="77777777" w:rsidR="00E33D27" w:rsidRDefault="00000000">
      <w:pPr>
        <w:jc w:val="both"/>
      </w:pPr>
      <w:r>
        <w:t>Business models without exclusivity are well established: support and subscription, dual licensing, hardware sales, data and advertising, and the sale of complementary services. Note also that the revenue model can be entirely orthogonal to the openness of the technology — an application built with open tooling can be sold on a store, and a platform whose software is open can monetise attention instead.</w:t>
      </w:r>
    </w:p>
    <w:p w14:paraId="3D27EA6B" w14:textId="77777777" w:rsidR="00E33D27" w:rsidRDefault="00000000">
      <w:pPr>
        <w:pStyle w:val="Heading3"/>
        <w:keepNext/>
      </w:pPr>
      <w:r>
        <w:t>The counter-case, and the balancing principle</w:t>
      </w:r>
    </w:p>
    <w:p w14:paraId="3F58EFF3" w14:textId="77777777" w:rsidR="00E33D27" w:rsidRDefault="00000000">
      <w:pPr>
        <w:jc w:val="both"/>
      </w:pPr>
      <w:r>
        <w:t xml:space="preserve">Openness is not costless and does not always work. Free-riding is real; appropriability is weak, which by Teece's analysis in section 2.9 means the returns flow to whoever holds the complementary assets; fragmentation and governance failure are common; and most successful open platforms in fact retain a proprietary layer. The liability </w:t>
      </w:r>
      <w:r>
        <w:lastRenderedPageBreak/>
        <w:t>question is also serious, and the class treated it with unusual care: running an open platform requires very carefully drafted policies, because an operator who cannot exclude content must still avoid being blamed for it — hence Wikipedia's dense policy architecture, and hence the importance of the Indian position that intermediaries are not liable for content posted by users.</w:t>
      </w:r>
    </w:p>
    <w:p w14:paraId="51FA1864" w14:textId="77777777" w:rsidR="00E33D27" w:rsidRDefault="00000000">
      <w:pPr>
        <w:jc w:val="both"/>
      </w:pPr>
      <w:r>
        <w:t>The balancing principle the class returned to repeatedly is the best closing line for this heading, because it explains both the exclusive and the open cases from a single premise: intellectual property exists to deliver social benefit, plus the inventor's benefit, plus technological development. Where exclusivity serves all three, exclusivity is right. Where it obstructs the first and third — as with genomic data, or a neglected disease, or an infrastructural standard — the open route serves the same objective better. Non-proprietary technology is therefore not the opposite of IP; it is a different governance setting chosen to achieve the same statutory purpose.</w:t>
      </w:r>
    </w:p>
    <w:p w14:paraId="02868960" w14:textId="77777777" w:rsidR="00E33D27" w:rsidRDefault="00000000">
      <w:pPr>
        <w:pStyle w:val="Heading2"/>
        <w:keepNext/>
      </w:pPr>
      <w:r>
        <w:t>2.5  Identifying the Objectives, Purpose and Players</w:t>
      </w:r>
    </w:p>
    <w:p w14:paraId="7E50E191" w14:textId="77777777" w:rsidR="00E33D27" w:rsidRDefault="00000000">
      <w:pPr>
        <w:jc w:val="both"/>
      </w:pPr>
      <w:r>
        <w:t>Before a policy can be written, three prior questions must be answered: what the organisation is trying to achieve with IP, why it is managing it at all, and who has a stake in the outcome. This section answers them in that order, because a policy drafted without them is a document in search of a purpose.</w:t>
      </w:r>
    </w:p>
    <w:p w14:paraId="7FEA72A2" w14:textId="77777777" w:rsidR="00E33D27" w:rsidRDefault="00000000">
      <w:pPr>
        <w:pStyle w:val="Heading3"/>
        <w:keepNext/>
      </w:pPr>
      <w:r>
        <w:t>Objectives: what IP is held for</w:t>
      </w:r>
    </w:p>
    <w:p w14:paraId="603CA477" w14:textId="77777777" w:rsidR="00E33D27" w:rsidRDefault="00000000">
      <w:pPr>
        <w:jc w:val="both"/>
      </w:pPr>
      <w:r>
        <w:t>The single most consequential requirement in corporate IP practice is the ability to say what a particular right is for, because the purpose determines how the claims are drafted and where the family is filed. A defensive right and a revenue-generating right are drafted differently even if they cover the same invention.</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600"/>
        <w:gridCol w:w="7480"/>
      </w:tblGrid>
      <w:tr w:rsidR="00E33D27" w14:paraId="7C6B68B2" w14:textId="77777777">
        <w:tblPrEx>
          <w:tblCellMar>
            <w:top w:w="0" w:type="dxa"/>
            <w:bottom w:w="0" w:type="dxa"/>
          </w:tblCellMar>
        </w:tblPrEx>
        <w:trPr>
          <w:cantSplit/>
          <w:tblHeader/>
        </w:trPr>
        <w:tc>
          <w:tcPr>
            <w:tcW w:w="2600" w:type="dxa"/>
            <w:shd w:val="clear" w:color="auto" w:fill="1F3864"/>
            <w:tcMar>
              <w:top w:w="70" w:type="dxa"/>
              <w:left w:w="110" w:type="dxa"/>
              <w:bottom w:w="70" w:type="dxa"/>
              <w:right w:w="110" w:type="dxa"/>
            </w:tcMar>
            <w:vAlign w:val="center"/>
          </w:tcPr>
          <w:p w14:paraId="117E4D90" w14:textId="77777777" w:rsidR="00E33D27" w:rsidRDefault="00000000">
            <w:pPr>
              <w:spacing w:before="40" w:after="40" w:line="250" w:lineRule="auto"/>
            </w:pPr>
            <w:r>
              <w:rPr>
                <w:b/>
                <w:bCs/>
                <w:color w:val="FFFFFF"/>
                <w:sz w:val="17"/>
                <w:szCs w:val="17"/>
              </w:rPr>
              <w:t>Objective</w:t>
            </w:r>
          </w:p>
        </w:tc>
        <w:tc>
          <w:tcPr>
            <w:tcW w:w="7480" w:type="dxa"/>
            <w:shd w:val="clear" w:color="auto" w:fill="1F3864"/>
            <w:tcMar>
              <w:top w:w="70" w:type="dxa"/>
              <w:left w:w="110" w:type="dxa"/>
              <w:bottom w:w="70" w:type="dxa"/>
              <w:right w:w="110" w:type="dxa"/>
            </w:tcMar>
            <w:vAlign w:val="center"/>
          </w:tcPr>
          <w:p w14:paraId="3572491B" w14:textId="77777777" w:rsidR="00E33D27" w:rsidRDefault="00000000">
            <w:pPr>
              <w:spacing w:before="40" w:after="40" w:line="250" w:lineRule="auto"/>
            </w:pPr>
            <w:r>
              <w:rPr>
                <w:b/>
                <w:bCs/>
                <w:color w:val="FFFFFF"/>
                <w:sz w:val="17"/>
                <w:szCs w:val="17"/>
              </w:rPr>
              <w:t>What it means in practice</w:t>
            </w:r>
          </w:p>
        </w:tc>
      </w:tr>
      <w:tr w:rsidR="00E33D27" w14:paraId="08A9DB93"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3F9C7757" w14:textId="77777777" w:rsidR="00E33D27" w:rsidRDefault="00000000">
            <w:pPr>
              <w:spacing w:before="40" w:after="40" w:line="250" w:lineRule="auto"/>
            </w:pPr>
            <w:r>
              <w:rPr>
                <w:b/>
                <w:bCs/>
                <w:sz w:val="16"/>
                <w:szCs w:val="16"/>
              </w:rPr>
              <w:t>Exclusion</w:t>
            </w:r>
          </w:p>
        </w:tc>
        <w:tc>
          <w:tcPr>
            <w:tcW w:w="7480" w:type="dxa"/>
            <w:shd w:val="clear" w:color="auto" w:fill="F3F4F6"/>
            <w:tcMar>
              <w:top w:w="70" w:type="dxa"/>
              <w:left w:w="110" w:type="dxa"/>
              <w:bottom w:w="70" w:type="dxa"/>
              <w:right w:w="110" w:type="dxa"/>
            </w:tcMar>
            <w:vAlign w:val="center"/>
          </w:tcPr>
          <w:p w14:paraId="709B160D" w14:textId="77777777" w:rsidR="00E33D27" w:rsidRDefault="00000000">
            <w:pPr>
              <w:spacing w:before="40" w:after="40" w:line="250" w:lineRule="auto"/>
            </w:pPr>
            <w:r>
              <w:rPr>
                <w:sz w:val="16"/>
                <w:szCs w:val="16"/>
              </w:rPr>
              <w:t>Stop competitors from selling a competing product; the classic use, and the one the statute is designed for</w:t>
            </w:r>
          </w:p>
        </w:tc>
      </w:tr>
      <w:tr w:rsidR="00E33D27" w14:paraId="25A6A260"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77594AC6" w14:textId="77777777" w:rsidR="00E33D27" w:rsidRDefault="00000000">
            <w:pPr>
              <w:spacing w:before="40" w:after="40" w:line="250" w:lineRule="auto"/>
            </w:pPr>
            <w:r>
              <w:rPr>
                <w:b/>
                <w:bCs/>
                <w:sz w:val="16"/>
                <w:szCs w:val="16"/>
              </w:rPr>
              <w:t>Revenue</w:t>
            </w:r>
          </w:p>
        </w:tc>
        <w:tc>
          <w:tcPr>
            <w:tcW w:w="7480" w:type="dxa"/>
            <w:shd w:val="clear" w:color="auto" w:fill="FFFFFF"/>
            <w:tcMar>
              <w:top w:w="70" w:type="dxa"/>
              <w:left w:w="110" w:type="dxa"/>
              <w:bottom w:w="70" w:type="dxa"/>
              <w:right w:w="110" w:type="dxa"/>
            </w:tcMar>
            <w:vAlign w:val="center"/>
          </w:tcPr>
          <w:p w14:paraId="37968CDC" w14:textId="77777777" w:rsidR="00E33D27" w:rsidRDefault="00000000">
            <w:pPr>
              <w:spacing w:before="40" w:after="40" w:line="250" w:lineRule="auto"/>
            </w:pPr>
            <w:r>
              <w:rPr>
                <w:sz w:val="16"/>
                <w:szCs w:val="16"/>
              </w:rPr>
              <w:t>Licence the right for royalties, or assign it for a capital sum</w:t>
            </w:r>
          </w:p>
        </w:tc>
      </w:tr>
      <w:tr w:rsidR="00E33D27" w14:paraId="30985997"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04AFF72C" w14:textId="77777777" w:rsidR="00E33D27" w:rsidRDefault="00000000">
            <w:pPr>
              <w:spacing w:before="40" w:after="40" w:line="250" w:lineRule="auto"/>
            </w:pPr>
            <w:r>
              <w:rPr>
                <w:b/>
                <w:bCs/>
                <w:sz w:val="16"/>
                <w:szCs w:val="16"/>
              </w:rPr>
              <w:t>Freedom to operate</w:t>
            </w:r>
          </w:p>
        </w:tc>
        <w:tc>
          <w:tcPr>
            <w:tcW w:w="7480" w:type="dxa"/>
            <w:shd w:val="clear" w:color="auto" w:fill="F3F4F6"/>
            <w:tcMar>
              <w:top w:w="70" w:type="dxa"/>
              <w:left w:w="110" w:type="dxa"/>
              <w:bottom w:w="70" w:type="dxa"/>
              <w:right w:w="110" w:type="dxa"/>
            </w:tcMar>
            <w:vAlign w:val="center"/>
          </w:tcPr>
          <w:p w14:paraId="6DAA1299" w14:textId="77777777" w:rsidR="00E33D27" w:rsidRDefault="00000000">
            <w:pPr>
              <w:spacing w:before="40" w:after="40" w:line="250" w:lineRule="auto"/>
            </w:pPr>
            <w:r>
              <w:rPr>
                <w:sz w:val="16"/>
                <w:szCs w:val="16"/>
              </w:rPr>
              <w:t>Hold rights so that others' rights can be neutralised by exchange rather than litigation</w:t>
            </w:r>
          </w:p>
        </w:tc>
      </w:tr>
      <w:tr w:rsidR="00E33D27" w14:paraId="5C4558C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FB1BFCF" w14:textId="77777777" w:rsidR="00E33D27" w:rsidRDefault="00000000">
            <w:pPr>
              <w:spacing w:before="40" w:after="40" w:line="250" w:lineRule="auto"/>
            </w:pPr>
            <w:r>
              <w:rPr>
                <w:b/>
                <w:bCs/>
                <w:sz w:val="16"/>
                <w:szCs w:val="16"/>
              </w:rPr>
              <w:t>Bargaining and cross-licensing currency</w:t>
            </w:r>
          </w:p>
        </w:tc>
        <w:tc>
          <w:tcPr>
            <w:tcW w:w="7480" w:type="dxa"/>
            <w:shd w:val="clear" w:color="auto" w:fill="FFFFFF"/>
            <w:tcMar>
              <w:top w:w="70" w:type="dxa"/>
              <w:left w:w="110" w:type="dxa"/>
              <w:bottom w:w="70" w:type="dxa"/>
              <w:right w:w="110" w:type="dxa"/>
            </w:tcMar>
            <w:vAlign w:val="center"/>
          </w:tcPr>
          <w:p w14:paraId="41184CC1" w14:textId="77777777" w:rsidR="00E33D27" w:rsidRDefault="00000000">
            <w:pPr>
              <w:spacing w:before="40" w:after="40" w:line="250" w:lineRule="auto"/>
            </w:pPr>
            <w:r>
              <w:rPr>
                <w:sz w:val="16"/>
                <w:szCs w:val="16"/>
              </w:rPr>
              <w:t>Hold a portfolio to trade, so that a competitor's assertion can be met with a counter-assertion and the royalties net off</w:t>
            </w:r>
          </w:p>
        </w:tc>
      </w:tr>
      <w:tr w:rsidR="00E33D27" w14:paraId="71CC8CB3"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6B6CEF17" w14:textId="77777777" w:rsidR="00E33D27" w:rsidRDefault="00000000">
            <w:pPr>
              <w:spacing w:before="40" w:after="40" w:line="250" w:lineRule="auto"/>
            </w:pPr>
            <w:r>
              <w:rPr>
                <w:b/>
                <w:bCs/>
                <w:sz w:val="16"/>
                <w:szCs w:val="16"/>
              </w:rPr>
              <w:t>Defensive publication</w:t>
            </w:r>
          </w:p>
        </w:tc>
        <w:tc>
          <w:tcPr>
            <w:tcW w:w="7480" w:type="dxa"/>
            <w:shd w:val="clear" w:color="auto" w:fill="F3F4F6"/>
            <w:tcMar>
              <w:top w:w="70" w:type="dxa"/>
              <w:left w:w="110" w:type="dxa"/>
              <w:bottom w:w="70" w:type="dxa"/>
              <w:right w:w="110" w:type="dxa"/>
            </w:tcMar>
            <w:vAlign w:val="center"/>
          </w:tcPr>
          <w:p w14:paraId="4D1D22CA" w14:textId="77777777" w:rsidR="00E33D27" w:rsidRDefault="00000000">
            <w:pPr>
              <w:spacing w:before="40" w:after="40" w:line="250" w:lineRule="auto"/>
            </w:pPr>
            <w:r>
              <w:rPr>
                <w:sz w:val="16"/>
                <w:szCs w:val="16"/>
              </w:rPr>
              <w:t>Put the teaching in the public domain so that nobody else can patent it, accepting that you will not either</w:t>
            </w:r>
          </w:p>
        </w:tc>
      </w:tr>
      <w:tr w:rsidR="00E33D27" w14:paraId="3D62562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F3EAFC1" w14:textId="77777777" w:rsidR="00E33D27" w:rsidRDefault="00000000">
            <w:pPr>
              <w:spacing w:before="40" w:after="40" w:line="250" w:lineRule="auto"/>
            </w:pPr>
            <w:r>
              <w:rPr>
                <w:b/>
                <w:bCs/>
                <w:sz w:val="16"/>
                <w:szCs w:val="16"/>
              </w:rPr>
              <w:t>Signalling and reputation</w:t>
            </w:r>
          </w:p>
        </w:tc>
        <w:tc>
          <w:tcPr>
            <w:tcW w:w="7480" w:type="dxa"/>
            <w:shd w:val="clear" w:color="auto" w:fill="FFFFFF"/>
            <w:tcMar>
              <w:top w:w="70" w:type="dxa"/>
              <w:left w:w="110" w:type="dxa"/>
              <w:bottom w:w="70" w:type="dxa"/>
              <w:right w:w="110" w:type="dxa"/>
            </w:tcMar>
            <w:vAlign w:val="center"/>
          </w:tcPr>
          <w:p w14:paraId="32E95B5A" w14:textId="77777777" w:rsidR="00E33D27" w:rsidRDefault="00000000">
            <w:pPr>
              <w:spacing w:before="40" w:after="40" w:line="250" w:lineRule="auto"/>
            </w:pPr>
            <w:r>
              <w:rPr>
                <w:sz w:val="16"/>
                <w:szCs w:val="16"/>
              </w:rPr>
              <w:t>Demonstrate technical capability to investors, partners and ranking bodies. For a university this affects rank; for a company it affects investor confidence</w:t>
            </w:r>
          </w:p>
        </w:tc>
      </w:tr>
      <w:tr w:rsidR="00E33D27" w14:paraId="603B05B5"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0090C4F5" w14:textId="77777777" w:rsidR="00E33D27" w:rsidRDefault="00000000">
            <w:pPr>
              <w:spacing w:before="40" w:after="40" w:line="250" w:lineRule="auto"/>
            </w:pPr>
            <w:r>
              <w:rPr>
                <w:b/>
                <w:bCs/>
                <w:sz w:val="16"/>
                <w:szCs w:val="16"/>
              </w:rPr>
              <w:t>Standard setting</w:t>
            </w:r>
          </w:p>
        </w:tc>
        <w:tc>
          <w:tcPr>
            <w:tcW w:w="7480" w:type="dxa"/>
            <w:shd w:val="clear" w:color="auto" w:fill="F3F4F6"/>
            <w:tcMar>
              <w:top w:w="70" w:type="dxa"/>
              <w:left w:w="110" w:type="dxa"/>
              <w:bottom w:w="70" w:type="dxa"/>
              <w:right w:w="110" w:type="dxa"/>
            </w:tcMar>
            <w:vAlign w:val="center"/>
          </w:tcPr>
          <w:p w14:paraId="4CE09EDB" w14:textId="77777777" w:rsidR="00E33D27" w:rsidRDefault="00000000">
            <w:pPr>
              <w:spacing w:before="40" w:after="40" w:line="250" w:lineRule="auto"/>
            </w:pPr>
            <w:r>
              <w:rPr>
                <w:sz w:val="16"/>
                <w:szCs w:val="16"/>
              </w:rPr>
              <w:t>Contribute technology to a standard so that every implementer requires a licence</w:t>
            </w:r>
          </w:p>
        </w:tc>
      </w:tr>
      <w:tr w:rsidR="00E33D27" w14:paraId="6192AC3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356E75D" w14:textId="77777777" w:rsidR="00E33D27" w:rsidRDefault="00000000">
            <w:pPr>
              <w:spacing w:before="40" w:after="40" w:line="250" w:lineRule="auto"/>
            </w:pPr>
            <w:r>
              <w:rPr>
                <w:b/>
                <w:bCs/>
                <w:sz w:val="16"/>
                <w:szCs w:val="16"/>
              </w:rPr>
              <w:t>Blocking</w:t>
            </w:r>
          </w:p>
        </w:tc>
        <w:tc>
          <w:tcPr>
            <w:tcW w:w="7480" w:type="dxa"/>
            <w:shd w:val="clear" w:color="auto" w:fill="FFFFFF"/>
            <w:tcMar>
              <w:top w:w="70" w:type="dxa"/>
              <w:left w:w="110" w:type="dxa"/>
              <w:bottom w:w="70" w:type="dxa"/>
              <w:right w:w="110" w:type="dxa"/>
            </w:tcMar>
            <w:vAlign w:val="center"/>
          </w:tcPr>
          <w:p w14:paraId="47F6C93B" w14:textId="77777777" w:rsidR="00E33D27" w:rsidRDefault="00000000">
            <w:pPr>
              <w:spacing w:before="40" w:after="40" w:line="250" w:lineRule="auto"/>
            </w:pPr>
            <w:r>
              <w:rPr>
                <w:sz w:val="16"/>
                <w:szCs w:val="16"/>
              </w:rPr>
              <w:t>Deny a competitor a route rather than use the route yourself</w:t>
            </w:r>
          </w:p>
        </w:tc>
      </w:tr>
      <w:tr w:rsidR="00E33D27" w14:paraId="26317FCC"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2E63E6E" w14:textId="77777777" w:rsidR="00E33D27" w:rsidRDefault="00000000">
            <w:pPr>
              <w:spacing w:before="40" w:after="40" w:line="250" w:lineRule="auto"/>
            </w:pPr>
            <w:r>
              <w:rPr>
                <w:b/>
                <w:bCs/>
                <w:sz w:val="16"/>
                <w:szCs w:val="16"/>
              </w:rPr>
              <w:t>Attracting funding</w:t>
            </w:r>
          </w:p>
        </w:tc>
        <w:tc>
          <w:tcPr>
            <w:tcW w:w="7480" w:type="dxa"/>
            <w:shd w:val="clear" w:color="auto" w:fill="F3F4F6"/>
            <w:tcMar>
              <w:top w:w="70" w:type="dxa"/>
              <w:left w:w="110" w:type="dxa"/>
              <w:bottom w:w="70" w:type="dxa"/>
              <w:right w:w="110" w:type="dxa"/>
            </w:tcMar>
            <w:vAlign w:val="center"/>
          </w:tcPr>
          <w:p w14:paraId="65F5EA7C" w14:textId="77777777" w:rsidR="00E33D27" w:rsidRDefault="00000000">
            <w:pPr>
              <w:spacing w:before="40" w:after="40" w:line="250" w:lineRule="auto"/>
            </w:pPr>
            <w:r>
              <w:rPr>
                <w:sz w:val="16"/>
                <w:szCs w:val="16"/>
              </w:rPr>
              <w:t>Convert research capability into a fundable asset; a sponsor or venture investor requires ownership clarity before committing</w:t>
            </w:r>
          </w:p>
        </w:tc>
      </w:tr>
    </w:tbl>
    <w:p w14:paraId="54008C66" w14:textId="77777777" w:rsidR="00E33D27" w:rsidRDefault="00000000">
      <w:pPr>
        <w:spacing w:before="60" w:after="180"/>
      </w:pPr>
      <w:r>
        <w:rPr>
          <w:i/>
          <w:iCs/>
          <w:color w:val="5A6270"/>
          <w:sz w:val="16"/>
          <w:szCs w:val="16"/>
        </w:rPr>
        <w:t>Table 2.3  The objectives of an IP function. Most portfolios serve several at once, and different assets within one portfolio serve different ones.</w:t>
      </w:r>
    </w:p>
    <w:p w14:paraId="34171659" w14:textId="77777777" w:rsidR="00E33D27" w:rsidRDefault="00000000">
      <w:pPr>
        <w:jc w:val="both"/>
      </w:pPr>
      <w:r>
        <w:t>The purpose behind the objectives differs by institution type, and this distinction organises section 2.7. For a corporation the purpose is wealth creation, expressed as appropriated value, with a secondary benefit in investor confidence. For a university the purpose is partly wealth and partly strategic presence: patent output affects institutional ranking and standing, and the policy determines what the institution will be known for. For a public research organisation the purpose is diffusion of the technology into national use, subject to security. All three generate IP; they are not trying to achieve the same thing with it.</w:t>
      </w:r>
    </w:p>
    <w:p w14:paraId="74C12062" w14:textId="77777777" w:rsidR="00E33D27" w:rsidRDefault="00000000">
      <w:pPr>
        <w:pStyle w:val="Heading3"/>
        <w:keepNext/>
      </w:pPr>
      <w:r>
        <w:lastRenderedPageBreak/>
        <w:t>The players</w:t>
      </w:r>
    </w:p>
    <w:p w14:paraId="30043774" w14:textId="77777777" w:rsidR="00E33D27" w:rsidRDefault="00000000">
      <w:pPr>
        <w:jc w:val="both"/>
      </w:pPr>
      <w:r>
        <w:t>A stakeholder is anyone who creates, funds, supplies, manages, uses, regulates or may own the output. The list is longer than it first appears, and the omissions are where disputes come from.</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600"/>
        <w:gridCol w:w="3700"/>
        <w:gridCol w:w="3780"/>
      </w:tblGrid>
      <w:tr w:rsidR="00E33D27" w14:paraId="5D1C8D5C" w14:textId="77777777">
        <w:tblPrEx>
          <w:tblCellMar>
            <w:top w:w="0" w:type="dxa"/>
            <w:bottom w:w="0" w:type="dxa"/>
          </w:tblCellMar>
        </w:tblPrEx>
        <w:trPr>
          <w:cantSplit/>
          <w:tblHeader/>
        </w:trPr>
        <w:tc>
          <w:tcPr>
            <w:tcW w:w="2600" w:type="dxa"/>
            <w:shd w:val="clear" w:color="auto" w:fill="1F3864"/>
            <w:tcMar>
              <w:top w:w="70" w:type="dxa"/>
              <w:left w:w="110" w:type="dxa"/>
              <w:bottom w:w="70" w:type="dxa"/>
              <w:right w:w="110" w:type="dxa"/>
            </w:tcMar>
            <w:vAlign w:val="center"/>
          </w:tcPr>
          <w:p w14:paraId="2CD02DB1" w14:textId="77777777" w:rsidR="00E33D27" w:rsidRDefault="00E33D27">
            <w:pPr>
              <w:spacing w:before="40" w:after="40" w:line="250" w:lineRule="auto"/>
            </w:pPr>
          </w:p>
        </w:tc>
        <w:tc>
          <w:tcPr>
            <w:tcW w:w="3700" w:type="dxa"/>
            <w:shd w:val="clear" w:color="auto" w:fill="1F3864"/>
            <w:tcMar>
              <w:top w:w="70" w:type="dxa"/>
              <w:left w:w="110" w:type="dxa"/>
              <w:bottom w:w="70" w:type="dxa"/>
              <w:right w:w="110" w:type="dxa"/>
            </w:tcMar>
            <w:vAlign w:val="center"/>
          </w:tcPr>
          <w:p w14:paraId="49759CE4" w14:textId="77777777" w:rsidR="00E33D27" w:rsidRDefault="00000000">
            <w:pPr>
              <w:spacing w:before="40" w:after="40" w:line="250" w:lineRule="auto"/>
            </w:pPr>
            <w:r>
              <w:rPr>
                <w:b/>
                <w:bCs/>
                <w:color w:val="FFFFFF"/>
                <w:sz w:val="17"/>
                <w:szCs w:val="17"/>
              </w:rPr>
              <w:t>Internal players</w:t>
            </w:r>
          </w:p>
        </w:tc>
        <w:tc>
          <w:tcPr>
            <w:tcW w:w="3780" w:type="dxa"/>
            <w:shd w:val="clear" w:color="auto" w:fill="1F3864"/>
            <w:tcMar>
              <w:top w:w="70" w:type="dxa"/>
              <w:left w:w="110" w:type="dxa"/>
              <w:bottom w:w="70" w:type="dxa"/>
              <w:right w:w="110" w:type="dxa"/>
            </w:tcMar>
            <w:vAlign w:val="center"/>
          </w:tcPr>
          <w:p w14:paraId="4010BC82" w14:textId="77777777" w:rsidR="00E33D27" w:rsidRDefault="00000000">
            <w:pPr>
              <w:spacing w:before="40" w:after="40" w:line="250" w:lineRule="auto"/>
            </w:pPr>
            <w:r>
              <w:rPr>
                <w:b/>
                <w:bCs/>
                <w:color w:val="FFFFFF"/>
                <w:sz w:val="17"/>
                <w:szCs w:val="17"/>
              </w:rPr>
              <w:t>External players</w:t>
            </w:r>
          </w:p>
        </w:tc>
      </w:tr>
      <w:tr w:rsidR="00E33D27" w14:paraId="1CE46289"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2B67DCDD" w14:textId="77777777" w:rsidR="00E33D27" w:rsidRDefault="00000000">
            <w:pPr>
              <w:spacing w:before="40" w:after="40" w:line="250" w:lineRule="auto"/>
            </w:pPr>
            <w:r>
              <w:rPr>
                <w:b/>
                <w:bCs/>
                <w:sz w:val="16"/>
                <w:szCs w:val="16"/>
              </w:rPr>
              <w:t>Create</w:t>
            </w:r>
          </w:p>
        </w:tc>
        <w:tc>
          <w:tcPr>
            <w:tcW w:w="3700" w:type="dxa"/>
            <w:shd w:val="clear" w:color="auto" w:fill="F3F4F6"/>
            <w:tcMar>
              <w:top w:w="70" w:type="dxa"/>
              <w:left w:w="110" w:type="dxa"/>
              <w:bottom w:w="70" w:type="dxa"/>
              <w:right w:w="110" w:type="dxa"/>
            </w:tcMar>
            <w:vAlign w:val="center"/>
          </w:tcPr>
          <w:p w14:paraId="4A90C6FA" w14:textId="77777777" w:rsidR="00E33D27" w:rsidRDefault="00000000">
            <w:pPr>
              <w:spacing w:before="40" w:after="40" w:line="250" w:lineRule="auto"/>
            </w:pPr>
            <w:r>
              <w:rPr>
                <w:sz w:val="16"/>
                <w:szCs w:val="16"/>
              </w:rPr>
              <w:t>Inventors, researchers, students, R&amp;D staff</w:t>
            </w:r>
          </w:p>
        </w:tc>
        <w:tc>
          <w:tcPr>
            <w:tcW w:w="3780" w:type="dxa"/>
            <w:shd w:val="clear" w:color="auto" w:fill="F3F4F6"/>
            <w:tcMar>
              <w:top w:w="70" w:type="dxa"/>
              <w:left w:w="110" w:type="dxa"/>
              <w:bottom w:w="70" w:type="dxa"/>
              <w:right w:w="110" w:type="dxa"/>
            </w:tcMar>
            <w:vAlign w:val="center"/>
          </w:tcPr>
          <w:p w14:paraId="2F2E439B" w14:textId="77777777" w:rsidR="00E33D27" w:rsidRDefault="00000000">
            <w:pPr>
              <w:spacing w:before="40" w:after="40" w:line="250" w:lineRule="auto"/>
            </w:pPr>
            <w:r>
              <w:rPr>
                <w:sz w:val="16"/>
                <w:szCs w:val="16"/>
              </w:rPr>
              <w:t>Collaborating institutions, consultants, users who innovate</w:t>
            </w:r>
          </w:p>
        </w:tc>
      </w:tr>
      <w:tr w:rsidR="00E33D27" w14:paraId="2B6B5EC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00A4D15A" w14:textId="77777777" w:rsidR="00E33D27" w:rsidRDefault="00000000">
            <w:pPr>
              <w:spacing w:before="40" w:after="40" w:line="250" w:lineRule="auto"/>
            </w:pPr>
            <w:r>
              <w:rPr>
                <w:b/>
                <w:bCs/>
                <w:sz w:val="16"/>
                <w:szCs w:val="16"/>
              </w:rPr>
              <w:t>Decide</w:t>
            </w:r>
          </w:p>
        </w:tc>
        <w:tc>
          <w:tcPr>
            <w:tcW w:w="3700" w:type="dxa"/>
            <w:shd w:val="clear" w:color="auto" w:fill="FFFFFF"/>
            <w:tcMar>
              <w:top w:w="70" w:type="dxa"/>
              <w:left w:w="110" w:type="dxa"/>
              <w:bottom w:w="70" w:type="dxa"/>
              <w:right w:w="110" w:type="dxa"/>
            </w:tcMar>
            <w:vAlign w:val="center"/>
          </w:tcPr>
          <w:p w14:paraId="4E002A48" w14:textId="77777777" w:rsidR="00E33D27" w:rsidRDefault="00000000">
            <w:pPr>
              <w:spacing w:before="40" w:after="40" w:line="250" w:lineRule="auto"/>
            </w:pPr>
            <w:r>
              <w:rPr>
                <w:sz w:val="16"/>
                <w:szCs w:val="16"/>
              </w:rPr>
              <w:t>Senior management and the board; the director or dean; the IP cell or technology transfer office</w:t>
            </w:r>
          </w:p>
        </w:tc>
        <w:tc>
          <w:tcPr>
            <w:tcW w:w="3780" w:type="dxa"/>
            <w:shd w:val="clear" w:color="auto" w:fill="FFFFFF"/>
            <w:tcMar>
              <w:top w:w="70" w:type="dxa"/>
              <w:left w:w="110" w:type="dxa"/>
              <w:bottom w:w="70" w:type="dxa"/>
              <w:right w:w="110" w:type="dxa"/>
            </w:tcMar>
            <w:vAlign w:val="center"/>
          </w:tcPr>
          <w:p w14:paraId="7762FC06" w14:textId="77777777" w:rsidR="00E33D27" w:rsidRDefault="00000000">
            <w:pPr>
              <w:spacing w:before="40" w:after="40" w:line="250" w:lineRule="auto"/>
            </w:pPr>
            <w:r>
              <w:rPr>
                <w:sz w:val="16"/>
                <w:szCs w:val="16"/>
              </w:rPr>
              <w:t>Sponsors and funding agencies; standard-setting organisations</w:t>
            </w:r>
          </w:p>
        </w:tc>
      </w:tr>
      <w:tr w:rsidR="00E33D27" w14:paraId="3602043C"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11ECD3B" w14:textId="77777777" w:rsidR="00E33D27" w:rsidRDefault="00000000">
            <w:pPr>
              <w:spacing w:before="40" w:after="40" w:line="250" w:lineRule="auto"/>
            </w:pPr>
            <w:r>
              <w:rPr>
                <w:b/>
                <w:bCs/>
                <w:sz w:val="16"/>
                <w:szCs w:val="16"/>
              </w:rPr>
              <w:t>Advise and process</w:t>
            </w:r>
          </w:p>
        </w:tc>
        <w:tc>
          <w:tcPr>
            <w:tcW w:w="3700" w:type="dxa"/>
            <w:shd w:val="clear" w:color="auto" w:fill="F3F4F6"/>
            <w:tcMar>
              <w:top w:w="70" w:type="dxa"/>
              <w:left w:w="110" w:type="dxa"/>
              <w:bottom w:w="70" w:type="dxa"/>
              <w:right w:w="110" w:type="dxa"/>
            </w:tcMar>
            <w:vAlign w:val="center"/>
          </w:tcPr>
          <w:p w14:paraId="25B43657" w14:textId="77777777" w:rsidR="00E33D27" w:rsidRDefault="00000000">
            <w:pPr>
              <w:spacing w:before="40" w:after="40" w:line="250" w:lineRule="auto"/>
            </w:pPr>
            <w:r>
              <w:rPr>
                <w:sz w:val="16"/>
                <w:szCs w:val="16"/>
              </w:rPr>
              <w:t>IP legal, business development, finance, product management</w:t>
            </w:r>
          </w:p>
        </w:tc>
        <w:tc>
          <w:tcPr>
            <w:tcW w:w="3780" w:type="dxa"/>
            <w:shd w:val="clear" w:color="auto" w:fill="F3F4F6"/>
            <w:tcMar>
              <w:top w:w="70" w:type="dxa"/>
              <w:left w:w="110" w:type="dxa"/>
              <w:bottom w:w="70" w:type="dxa"/>
              <w:right w:w="110" w:type="dxa"/>
            </w:tcMar>
            <w:vAlign w:val="center"/>
          </w:tcPr>
          <w:p w14:paraId="0D955C49" w14:textId="77777777" w:rsidR="00E33D27" w:rsidRDefault="00000000">
            <w:pPr>
              <w:spacing w:before="40" w:after="40" w:line="250" w:lineRule="auto"/>
            </w:pPr>
            <w:r>
              <w:rPr>
                <w:sz w:val="16"/>
                <w:szCs w:val="16"/>
              </w:rPr>
              <w:t>Patent agents and attorneys; patent offices and examiners; valuers</w:t>
            </w:r>
          </w:p>
        </w:tc>
      </w:tr>
      <w:tr w:rsidR="00E33D27" w14:paraId="632EE1F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06692F9E" w14:textId="77777777" w:rsidR="00E33D27" w:rsidRDefault="00000000">
            <w:pPr>
              <w:spacing w:before="40" w:after="40" w:line="250" w:lineRule="auto"/>
            </w:pPr>
            <w:r>
              <w:rPr>
                <w:b/>
                <w:bCs/>
                <w:sz w:val="16"/>
                <w:szCs w:val="16"/>
              </w:rPr>
              <w:t>Exploit</w:t>
            </w:r>
          </w:p>
        </w:tc>
        <w:tc>
          <w:tcPr>
            <w:tcW w:w="3700" w:type="dxa"/>
            <w:shd w:val="clear" w:color="auto" w:fill="FFFFFF"/>
            <w:tcMar>
              <w:top w:w="70" w:type="dxa"/>
              <w:left w:w="110" w:type="dxa"/>
              <w:bottom w:w="70" w:type="dxa"/>
              <w:right w:w="110" w:type="dxa"/>
            </w:tcMar>
            <w:vAlign w:val="center"/>
          </w:tcPr>
          <w:p w14:paraId="0C546E42" w14:textId="77777777" w:rsidR="00E33D27" w:rsidRDefault="00000000">
            <w:pPr>
              <w:spacing w:before="40" w:after="40" w:line="250" w:lineRule="auto"/>
            </w:pPr>
            <w:r>
              <w:rPr>
                <w:sz w:val="16"/>
                <w:szCs w:val="16"/>
              </w:rPr>
              <w:t>The product divisions that use the technology</w:t>
            </w:r>
          </w:p>
        </w:tc>
        <w:tc>
          <w:tcPr>
            <w:tcW w:w="3780" w:type="dxa"/>
            <w:shd w:val="clear" w:color="auto" w:fill="FFFFFF"/>
            <w:tcMar>
              <w:top w:w="70" w:type="dxa"/>
              <w:left w:w="110" w:type="dxa"/>
              <w:bottom w:w="70" w:type="dxa"/>
              <w:right w:w="110" w:type="dxa"/>
            </w:tcMar>
            <w:vAlign w:val="center"/>
          </w:tcPr>
          <w:p w14:paraId="1E1693C0" w14:textId="77777777" w:rsidR="00E33D27" w:rsidRDefault="00000000">
            <w:pPr>
              <w:spacing w:before="40" w:after="40" w:line="250" w:lineRule="auto"/>
            </w:pPr>
            <w:r>
              <w:rPr>
                <w:sz w:val="16"/>
                <w:szCs w:val="16"/>
              </w:rPr>
              <w:t>Licensees, assignees, incubatees and spin-outs, joint-venture partners</w:t>
            </w:r>
          </w:p>
        </w:tc>
      </w:tr>
      <w:tr w:rsidR="00E33D27" w14:paraId="22840D8A"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189EFFC5" w14:textId="77777777" w:rsidR="00E33D27" w:rsidRDefault="00000000">
            <w:pPr>
              <w:spacing w:before="40" w:after="40" w:line="250" w:lineRule="auto"/>
            </w:pPr>
            <w:r>
              <w:rPr>
                <w:b/>
                <w:bCs/>
                <w:sz w:val="16"/>
                <w:szCs w:val="16"/>
              </w:rPr>
              <w:t>Constrain</w:t>
            </w:r>
          </w:p>
        </w:tc>
        <w:tc>
          <w:tcPr>
            <w:tcW w:w="3700" w:type="dxa"/>
            <w:shd w:val="clear" w:color="auto" w:fill="F3F4F6"/>
            <w:tcMar>
              <w:top w:w="70" w:type="dxa"/>
              <w:left w:w="110" w:type="dxa"/>
              <w:bottom w:w="70" w:type="dxa"/>
              <w:right w:w="110" w:type="dxa"/>
            </w:tcMar>
            <w:vAlign w:val="center"/>
          </w:tcPr>
          <w:p w14:paraId="26C6EFE6" w14:textId="77777777" w:rsidR="00E33D27" w:rsidRDefault="00000000">
            <w:pPr>
              <w:spacing w:before="40" w:after="40" w:line="250" w:lineRule="auto"/>
            </w:pPr>
            <w:r>
              <w:rPr>
                <w:sz w:val="16"/>
                <w:szCs w:val="16"/>
              </w:rPr>
              <w:t>Compliance, ethics and conflict-of-interest committees</w:t>
            </w:r>
          </w:p>
        </w:tc>
        <w:tc>
          <w:tcPr>
            <w:tcW w:w="3780" w:type="dxa"/>
            <w:shd w:val="clear" w:color="auto" w:fill="F3F4F6"/>
            <w:tcMar>
              <w:top w:w="70" w:type="dxa"/>
              <w:left w:w="110" w:type="dxa"/>
              <w:bottom w:w="70" w:type="dxa"/>
              <w:right w:w="110" w:type="dxa"/>
            </w:tcMar>
            <w:vAlign w:val="center"/>
          </w:tcPr>
          <w:p w14:paraId="38EE2166" w14:textId="77777777" w:rsidR="00E33D27" w:rsidRDefault="00000000">
            <w:pPr>
              <w:spacing w:before="40" w:after="40" w:line="250" w:lineRule="auto"/>
            </w:pPr>
            <w:r>
              <w:rPr>
                <w:sz w:val="16"/>
                <w:szCs w:val="16"/>
              </w:rPr>
              <w:t>Competitors, regulators, courts and tribunals, government, and the public</w:t>
            </w:r>
          </w:p>
        </w:tc>
      </w:tr>
    </w:tbl>
    <w:p w14:paraId="3F08258C" w14:textId="77777777" w:rsidR="00E33D27" w:rsidRDefault="00000000">
      <w:pPr>
        <w:spacing w:before="60" w:after="180"/>
      </w:pPr>
      <w:r>
        <w:rPr>
          <w:i/>
          <w:iCs/>
          <w:color w:val="5A6270"/>
          <w:sz w:val="16"/>
          <w:szCs w:val="16"/>
        </w:rPr>
        <w:t>Table 2.4  Players in IP management, grouped by the function they perform rather than by seniority.</w:t>
      </w:r>
    </w:p>
    <w:p w14:paraId="36955177" w14:textId="77777777" w:rsidR="00E33D27" w:rsidRDefault="00000000">
      <w:pPr>
        <w:jc w:val="both"/>
      </w:pPr>
      <w:r>
        <w:t>Two standard tools structure the analysis. Mendelow's power–interest matrix (1991) classifies stakeholders by their power over the outcome and their interest in it, producing four treatments — manage closely, keep satisfied, keep informed, and monitor. The salience model of Mitchell, Agle and Wood (1997) classifies by power, legitimacy and urgency, which is useful precisely because it explains why a stakeholder with a legitimate claim but no power, such as a student inventor, is routinely ignored until a policy compels attention.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27C14FC5"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19630166" w14:textId="77777777" w:rsidR="00E33D27" w:rsidRDefault="00000000">
            <w:pPr>
              <w:spacing w:after="80"/>
            </w:pPr>
            <w:r>
              <w:rPr>
                <w:b/>
                <w:bCs/>
                <w:color w:val="8A5A10"/>
                <w:sz w:val="19"/>
                <w:szCs w:val="19"/>
              </w:rPr>
              <w:t>The worked example: who owns what comes out of a hackathon</w:t>
            </w:r>
          </w:p>
          <w:p w14:paraId="06395E41" w14:textId="77777777" w:rsidR="00E33D27" w:rsidRDefault="00000000">
            <w:pPr>
              <w:spacing w:after="70" w:line="265" w:lineRule="auto"/>
              <w:jc w:val="both"/>
            </w:pPr>
            <w:r>
              <w:rPr>
                <w:sz w:val="18"/>
                <w:szCs w:val="18"/>
              </w:rPr>
              <w:t>The players are the sponsors, often tiered as primary, secondary and gold; the giver of the problem statement, which may be a government agency or a private firm; the participants, whose teams may combine students from several institutions; and the organising institute, which contributes effort, premises and resources. The issues to be settled in advance are prize money, ownership of the problem statement, ownership of any IP created, incubation, resource utilisation, and outcome monetisation including equity.</w:t>
            </w:r>
          </w:p>
          <w:p w14:paraId="61E19FEE" w14:textId="77777777" w:rsidR="00E33D27" w:rsidRDefault="00000000">
            <w:pPr>
              <w:spacing w:after="70" w:line="265" w:lineRule="auto"/>
              <w:jc w:val="both"/>
            </w:pPr>
            <w:r>
              <w:rPr>
                <w:sz w:val="18"/>
                <w:szCs w:val="18"/>
              </w:rPr>
              <w:t>The conclusions the class reached: sponsorship is an advertising transaction and should not by itself carry ownership of participants’ IP, because a competition that claims the IP will attract nobody; the problem-statement giver may retain rights in the statement but not in the solution; an organising institute cannot claim sole proprietorship where participants come from other institutions with competing claims over their own students; and the workable settlement attaches ownership consequences to incubation rather than to entry. The Y Combinator model is the cleanest instrument — a small equity stake and no interest in the IP at all. Equity in the company, not rights in the patent, is the principle to reproduce.</w:t>
            </w:r>
          </w:p>
        </w:tc>
      </w:tr>
    </w:tbl>
    <w:p w14:paraId="3E1DF808" w14:textId="77777777" w:rsidR="00E33D27" w:rsidRDefault="00E33D27">
      <w:pPr>
        <w:spacing w:after="160"/>
      </w:pPr>
    </w:p>
    <w:p w14:paraId="1EC11EFA" w14:textId="77777777" w:rsidR="00E33D27" w:rsidRDefault="00000000">
      <w:pPr>
        <w:pStyle w:val="Heading2"/>
        <w:keepNext/>
      </w:pPr>
      <w:r>
        <w:t>2.6  Intellectual Property Policies — Top-Down and Bottom-Up Approach</w:t>
      </w:r>
    </w:p>
    <w:p w14:paraId="71CE2F04" w14:textId="77777777" w:rsidR="00E33D27" w:rsidRDefault="00000000">
      <w:pPr>
        <w:jc w:val="both"/>
      </w:pPr>
      <w:r>
        <w:t>A policy is the instrument by which the objectives and players of the previous section are converted into standing rules. This section explains what a policy is, how it differs from every neighbouring instrument, and the two ways it can be made.</w:t>
      </w:r>
    </w:p>
    <w:p w14:paraId="0DEE9043" w14:textId="77777777" w:rsidR="00E33D27" w:rsidRDefault="00000000">
      <w:pPr>
        <w:pStyle w:val="Heading3"/>
        <w:keepNext/>
      </w:pPr>
      <w:r>
        <w:t>What a policy is, and why it is required</w:t>
      </w:r>
    </w:p>
    <w:p w14:paraId="14210BB8" w14:textId="77777777" w:rsidR="00E33D27" w:rsidRDefault="00000000">
      <w:pPr>
        <w:jc w:val="both"/>
      </w:pPr>
      <w:r>
        <w:t xml:space="preserve">The most useful definition given in class was operational rather than formal: a policy is the set of guiding principles by which an organisation has already decided, in advance, how it will answer the routine and recurring challenges </w:t>
      </w:r>
      <w:r>
        <w:lastRenderedPageBreak/>
        <w:t>of governance, so that when an issue arises the answer can be given by reference to the policy rather than re-argued. On this account a policy is a labour-saving device of the most valuable kind: perhaps eighty per cent of day-to-day questions can be disposed of by saying what the policy permits or forbids, which frees judgement for the twenty per cent that is genuinely novel.</w:t>
      </w:r>
    </w:p>
    <w:p w14:paraId="52CB6038" w14:textId="77777777" w:rsidR="00E33D27" w:rsidRDefault="00000000">
      <w:pPr>
        <w:jc w:val="both"/>
      </w:pPr>
      <w:r>
        <w:t>Four reasons are conventionally given for requiring an IP policy, and they map onto the exam question “why do we require an IP policy?”. It sets out the vision and aim — in the IP context, ordinarily maximum wealth creation from the institution's intellectual assets. It maintains consistency throughout the process, so that actors and circumstances may change while the process does not. It establishes the revenue-sharing model in advance, removing the single most contentious question from case-by-case negotiation. And it defines the rights and duties of stakeholders: the inventor's duty is to disclose what has been created, and the inventor's right is a share of what it earns — duties and rights balanced within the same instrument.</w:t>
      </w:r>
    </w:p>
    <w:p w14:paraId="5F371E08" w14:textId="77777777" w:rsidR="00E33D27" w:rsidRDefault="00000000">
      <w:pPr>
        <w:jc w:val="both"/>
      </w:pPr>
      <w:r>
        <w:t>Two further purposes are worth adding. A policy communicates outward as well as inward: it projects to industry, sponsors and collaborators what the institution's position on IP is, which is why it functions almost as a prospectus. And it protects the institution's own capital, since without a policy the resources, salaries, infrastructure and environment the institution supplied are silently subsidising outcomes it has no claim to. Policy is also not confined to large organisations: anyone generating IP can have one, including an individual, and many practitioners in fact operate by a consistent personal policy.</w:t>
      </w:r>
    </w:p>
    <w:p w14:paraId="60880301" w14:textId="77777777" w:rsidR="00E33D27" w:rsidRDefault="00000000">
      <w:pPr>
        <w:pStyle w:val="Heading3"/>
        <w:keepNext/>
      </w:pPr>
      <w:r>
        <w:t>Where a policy sits among legal instruments</w:t>
      </w:r>
    </w:p>
    <w:p w14:paraId="5CE81EFE" w14:textId="77777777" w:rsidR="00E33D27" w:rsidRDefault="00000000">
      <w:pPr>
        <w:keepNext/>
        <w:spacing w:before="160" w:after="60" w:line="240" w:lineRule="auto"/>
        <w:jc w:val="center"/>
      </w:pPr>
      <w:r>
        <w:rPr>
          <w:noProof/>
        </w:rPr>
        <w:drawing>
          <wp:inline distT="0" distB="0" distL="0" distR="0" wp14:anchorId="11BC63FE" wp14:editId="0354CCF6">
            <wp:extent cx="6172200" cy="2533650"/>
            <wp:effectExtent l="0" t="0" r="0" b="0"/>
            <wp:docPr id="14506847" name="Picture 1450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2533650"/>
                    </a:xfrm>
                    <a:prstGeom prst="rect">
                      <a:avLst/>
                    </a:prstGeom>
                  </pic:spPr>
                </pic:pic>
              </a:graphicData>
            </a:graphic>
          </wp:inline>
        </w:drawing>
      </w:r>
    </w:p>
    <w:p w14:paraId="4FF9EA1D" w14:textId="77777777" w:rsidR="00E33D27" w:rsidRDefault="00000000">
      <w:pPr>
        <w:spacing w:after="220" w:line="240" w:lineRule="auto"/>
        <w:jc w:val="center"/>
      </w:pPr>
      <w:r>
        <w:rPr>
          <w:i/>
          <w:iCs/>
          <w:color w:val="5A6270"/>
          <w:sz w:val="17"/>
          <w:szCs w:val="17"/>
        </w:rPr>
        <w:t>Figure 2.7  From binding law, through administrative intent, to enforceable obligation.</w:t>
      </w:r>
    </w:p>
    <w:p w14:paraId="41972D55" w14:textId="77777777" w:rsidR="00E33D27" w:rsidRDefault="00000000">
      <w:pPr>
        <w:jc w:val="both"/>
      </w:pPr>
      <w:r>
        <w:t>A policy is not a statute and is not, by itself, enforceable. A constitution or an Act is binding law made by the competent authority. A policy is administrative intent: a guiding principle rather than a mandatory rule, which is why it is sometimes said that when the person changes, the policy changes. Guidelines may be either mandatory or advisory and typically implement policy at the operational level. An agreement records the consent of parties; and under section 2(h) of the Indian Contract Act 1872 an agreement enforceable by law is a contract, with section 10 setting out the conditions — competent parties, free consent, lawful consideration and object, and not expressly declared void.</w:t>
      </w:r>
    </w:p>
    <w:p w14:paraId="5FB2E4B4" w14:textId="77777777" w:rsidR="00E33D27" w:rsidRDefault="00000000">
      <w:pPr>
        <w:jc w:val="both"/>
      </w:pPr>
      <w:r>
        <w:t xml:space="preserve">The flow therefore runs: policy guides the agreement, and an enforceable agreement becomes a contract. This has a concrete drafting consequence that the class emphasised and that is easily reproduced in an answer: a well-constructed institutional IP policy carries its operative documents as annexures — the no-objection certificate, </w:t>
      </w:r>
      <w:r>
        <w:lastRenderedPageBreak/>
        <w:t>the assignment deed, the licence, the confidentiality undertaking, the revenue-sharing schedule — so that when a stakeholder enters into an activity governed by the policy, the template is already agreed and execution plus stamping is all that converts administrative intent into a legal obligation. Whether the policy itself is an agreement was debated in class, and the better view is that it is not: nobody signs it, it binds by virtue of membership of the institution, and it is properly characterised as governance. The subtler suggestion made in class — that a published policy functions as something close to an invitation to offer, since it states the terms on which the institution is prepared to deal — is a good observation to deploy, provided it is presented as an analogy rather than as doctrine.</w:t>
      </w:r>
    </w:p>
    <w:p w14:paraId="6CFCAA86" w14:textId="77777777" w:rsidR="00E33D27" w:rsidRDefault="00000000">
      <w:pPr>
        <w:pStyle w:val="Heading3"/>
        <w:keepNext/>
      </w:pPr>
      <w:r>
        <w:t>Top-down and bottom-up</w:t>
      </w:r>
    </w:p>
    <w:p w14:paraId="3426CE6B" w14:textId="77777777" w:rsidR="00E33D27" w:rsidRDefault="00000000">
      <w:pPr>
        <w:keepNext/>
        <w:spacing w:before="160" w:after="60" w:line="240" w:lineRule="auto"/>
        <w:jc w:val="center"/>
      </w:pPr>
      <w:r>
        <w:rPr>
          <w:noProof/>
        </w:rPr>
        <w:drawing>
          <wp:inline distT="0" distB="0" distL="0" distR="0" wp14:anchorId="6747A9FE" wp14:editId="4351710F">
            <wp:extent cx="6172200" cy="3000375"/>
            <wp:effectExtent l="0" t="0" r="0" b="0"/>
            <wp:docPr id="893878015" name="Picture 89387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00375"/>
                    </a:xfrm>
                    <a:prstGeom prst="rect">
                      <a:avLst/>
                    </a:prstGeom>
                  </pic:spPr>
                </pic:pic>
              </a:graphicData>
            </a:graphic>
          </wp:inline>
        </w:drawing>
      </w:r>
    </w:p>
    <w:p w14:paraId="4FC99C89" w14:textId="77777777" w:rsidR="00E33D27" w:rsidRDefault="00000000">
      <w:pPr>
        <w:spacing w:after="220" w:line="240" w:lineRule="auto"/>
        <w:jc w:val="center"/>
      </w:pPr>
      <w:r>
        <w:rPr>
          <w:i/>
          <w:iCs/>
          <w:color w:val="5A6270"/>
          <w:sz w:val="17"/>
          <w:szCs w:val="17"/>
        </w:rPr>
        <w:t>Figure 2.8  The two directions of policy formation.</w:t>
      </w:r>
    </w:p>
    <w:p w14:paraId="0487206B" w14:textId="77777777" w:rsidR="00E33D27" w:rsidRDefault="00000000">
      <w:pPr>
        <w:jc w:val="both"/>
      </w:pPr>
      <w:r>
        <w:t>In the top-down approach the administration decides and everyone follows. A clause is settled at headquarters after internal deliberation, a circular is issued, and implementation is immediate across every location — no ratification, no consent, no passing. This is the characteristic mode of corporations, and the class observation is that in a company policy changes weekly, whereas in a university it moves very slowly. Its merits are speed, consistency and enforceability; its risk is that stakeholders who were never heard have no ownership of the result and comply minimally.</w:t>
      </w:r>
    </w:p>
    <w:p w14:paraId="4EF36AE2" w14:textId="77777777" w:rsidR="00E33D27" w:rsidRDefault="00000000">
      <w:pPr>
        <w:jc w:val="both"/>
      </w:pPr>
      <w:r>
        <w:t>In the bottom-up approach the views of stakeholders are taken into consideration before the policy is drafted. A draft is circulated, comments are taken, it is redrafted, put back for consideration, deliberated again, and only then adopted. This is characteristic of universities and research centres, where faculty autonomy makes consent practically necessary and where the people governed by the policy are also the people who generate the asset. Its merits are legitimacy and acceptance; its costs are time and compromise.</w:t>
      </w:r>
    </w:p>
    <w:p w14:paraId="6B583AEA" w14:textId="77777777" w:rsidR="00E33D27" w:rsidRDefault="00000000">
      <w:pPr>
        <w:jc w:val="both"/>
      </w:pPr>
      <w:r>
        <w:t>The examinable refinement is that these are not institutional types but clause-level choices, and the same policy usually mixes both. Ownership and revenue-sharing clauses are consulted, because they affect the inventor's entitlement directly; confidentiality, disclosure duties and filing deadlines are imposed, because they are compliance matters on which consultation adds nothing. A hostel policy is consulted; a decision taken in an academic senate and communicated downward is not. Both mechanisms can and should coexist in one document.</w:t>
      </w:r>
    </w:p>
    <w:p w14:paraId="32D9028B" w14:textId="77777777" w:rsidR="00E33D27" w:rsidRDefault="00000000">
      <w:pPr>
        <w:pStyle w:val="Heading3"/>
        <w:keepNext/>
      </w:pPr>
      <w:r>
        <w:lastRenderedPageBreak/>
        <w:t>Versioning, and the national frame</w:t>
      </w:r>
    </w:p>
    <w:p w14:paraId="4A4358C0" w14:textId="77777777" w:rsidR="00E33D27" w:rsidRDefault="00000000">
      <w:pPr>
        <w:jc w:val="both"/>
      </w:pPr>
      <w:r>
        <w:t>A policy cannot be static. There should be versions, and the policy should change as circumstances, law, technology, funding and institutional priorities change — each case that arises teaches something that must be written back in. A policy dated 2015 that has not been revised is itself a finding about the institution's IP culture. Note that a right to regulate the policy is accordingly one of the standard clauses in the framework of the next section.</w:t>
      </w:r>
    </w:p>
    <w:p w14:paraId="14B097D1" w14:textId="77777777" w:rsidR="00E33D27" w:rsidRDefault="00000000">
      <w:pPr>
        <w:jc w:val="both"/>
      </w:pPr>
      <w:r>
        <w:t>At the national level, India's National IPR Policy 2016 — approved on 12 May 2016 after consultation with roughly three hundred stakeholders and thirty-one government departments, under the slogan Creative India; Innovative India — supplies the umbrella within which institutional policies operate. Its seven objectives are IPR awareness, outreach and promotion; generation of IPRs; a strong and effective legal and legislative framework; administration and management; commercialisation of IPR; enforcement and adjudication; and human capital development. Administration of the IP laws was consolidated under what is now DPIIT. WIPO additionally publishes a model IP policy for universities and research institutions with adaptable clauses, which is the standard drafting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43681A28"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55BCED23" w14:textId="77777777" w:rsidR="00E33D27" w:rsidRDefault="00000000">
            <w:pPr>
              <w:spacing w:after="80"/>
            </w:pPr>
            <w:r>
              <w:rPr>
                <w:b/>
                <w:bCs/>
                <w:color w:val="1F3864"/>
                <w:sz w:val="19"/>
                <w:szCs w:val="19"/>
              </w:rPr>
              <w:t>The drafting lesson worth a mark on its own</w:t>
            </w:r>
          </w:p>
          <w:p w14:paraId="4BE24B1B" w14:textId="77777777" w:rsidR="00E33D27" w:rsidRDefault="00000000">
            <w:pPr>
              <w:spacing w:after="70" w:line="265" w:lineRule="auto"/>
              <w:jc w:val="both"/>
            </w:pPr>
            <w:r>
              <w:rPr>
                <w:sz w:val="18"/>
                <w:szCs w:val="18"/>
              </w:rPr>
              <w:t>When a policy was being drafted for a national digital library, the first draft was returned with the comment that the stakeholders could not understand it. The instruction was to rewrite it in language the actual stakeholder — a librarian, a student, a researcher — could read. A policy is not the place to display mastery of language; it is an instrument that must be understood by the people it governs, because a rule nobody understands is a rule nobody follows. The corresponding liability point is the mirror image: in open or platform contexts the liability clauses must be drafted with great care, because an operator who cannot control every input must still be protected from being blamed for all of them.</w:t>
            </w:r>
          </w:p>
        </w:tc>
      </w:tr>
    </w:tbl>
    <w:p w14:paraId="0BC05816" w14:textId="77777777" w:rsidR="00E33D27" w:rsidRDefault="00E33D27">
      <w:pPr>
        <w:spacing w:after="160"/>
      </w:pPr>
    </w:p>
    <w:p w14:paraId="6CFFF884" w14:textId="77777777" w:rsidR="00E33D27" w:rsidRDefault="00000000">
      <w:pPr>
        <w:pStyle w:val="Heading2"/>
        <w:keepNext/>
      </w:pPr>
      <w:r>
        <w:t>2.7  Defining IP Policy for a Corporation, a University and Research Organisations</w:t>
      </w:r>
    </w:p>
    <w:p w14:paraId="32EDC675" w14:textId="77777777" w:rsidR="00E33D27" w:rsidRDefault="00000000">
      <w:pPr>
        <w:jc w:val="both"/>
      </w:pPr>
      <w:r>
        <w:t>This section takes the framework apart clause by clause, and then compares how the same clause is written differently by the three types of institution.</w:t>
      </w:r>
    </w:p>
    <w:p w14:paraId="66E33C8F" w14:textId="77777777" w:rsidR="00E33D27" w:rsidRDefault="00000000">
      <w:pPr>
        <w:pStyle w:val="Heading3"/>
        <w:keepNext/>
      </w:pPr>
      <w:r>
        <w:t>The standard framework</w:t>
      </w:r>
    </w:p>
    <w:p w14:paraId="369733C9" w14:textId="77777777" w:rsidR="00E33D27" w:rsidRDefault="00000000">
      <w:pPr>
        <w:jc w:val="both"/>
      </w:pPr>
      <w:r>
        <w:t>The checklist below is the one used in class and it is effectively the answer to “what points should an IP policy cover?” Learn it as a list; each item then unfolds into the detail that follows.</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700"/>
        <w:gridCol w:w="4200"/>
        <w:gridCol w:w="5180"/>
      </w:tblGrid>
      <w:tr w:rsidR="00E33D27" w14:paraId="5728F72C" w14:textId="77777777">
        <w:tblPrEx>
          <w:tblCellMar>
            <w:top w:w="0" w:type="dxa"/>
            <w:bottom w:w="0" w:type="dxa"/>
          </w:tblCellMar>
        </w:tblPrEx>
        <w:trPr>
          <w:cantSplit/>
          <w:tblHeader/>
        </w:trPr>
        <w:tc>
          <w:tcPr>
            <w:tcW w:w="700" w:type="dxa"/>
            <w:shd w:val="clear" w:color="auto" w:fill="1F3864"/>
            <w:tcMar>
              <w:top w:w="70" w:type="dxa"/>
              <w:left w:w="110" w:type="dxa"/>
              <w:bottom w:w="70" w:type="dxa"/>
              <w:right w:w="110" w:type="dxa"/>
            </w:tcMar>
            <w:vAlign w:val="center"/>
          </w:tcPr>
          <w:p w14:paraId="61AA66D5" w14:textId="77777777" w:rsidR="00E33D27" w:rsidRDefault="00000000">
            <w:pPr>
              <w:spacing w:before="40" w:after="40" w:line="250" w:lineRule="auto"/>
            </w:pPr>
            <w:r>
              <w:rPr>
                <w:b/>
                <w:bCs/>
                <w:color w:val="FFFFFF"/>
                <w:sz w:val="17"/>
                <w:szCs w:val="17"/>
              </w:rPr>
              <w:t>#</w:t>
            </w:r>
          </w:p>
        </w:tc>
        <w:tc>
          <w:tcPr>
            <w:tcW w:w="4200" w:type="dxa"/>
            <w:shd w:val="clear" w:color="auto" w:fill="1F3864"/>
            <w:tcMar>
              <w:top w:w="70" w:type="dxa"/>
              <w:left w:w="110" w:type="dxa"/>
              <w:bottom w:w="70" w:type="dxa"/>
              <w:right w:w="110" w:type="dxa"/>
            </w:tcMar>
            <w:vAlign w:val="center"/>
          </w:tcPr>
          <w:p w14:paraId="6137D7C9" w14:textId="77777777" w:rsidR="00E33D27" w:rsidRDefault="00000000">
            <w:pPr>
              <w:spacing w:before="40" w:after="40" w:line="250" w:lineRule="auto"/>
            </w:pPr>
            <w:r>
              <w:rPr>
                <w:b/>
                <w:bCs/>
                <w:color w:val="FFFFFF"/>
                <w:sz w:val="17"/>
                <w:szCs w:val="17"/>
              </w:rPr>
              <w:t>Clause</w:t>
            </w:r>
          </w:p>
        </w:tc>
        <w:tc>
          <w:tcPr>
            <w:tcW w:w="5180" w:type="dxa"/>
            <w:shd w:val="clear" w:color="auto" w:fill="1F3864"/>
            <w:tcMar>
              <w:top w:w="70" w:type="dxa"/>
              <w:left w:w="110" w:type="dxa"/>
              <w:bottom w:w="70" w:type="dxa"/>
              <w:right w:w="110" w:type="dxa"/>
            </w:tcMar>
            <w:vAlign w:val="center"/>
          </w:tcPr>
          <w:p w14:paraId="365E3521" w14:textId="77777777" w:rsidR="00E33D27" w:rsidRDefault="00000000">
            <w:pPr>
              <w:spacing w:before="40" w:after="40" w:line="250" w:lineRule="auto"/>
            </w:pPr>
            <w:r>
              <w:rPr>
                <w:b/>
                <w:bCs/>
                <w:color w:val="FFFFFF"/>
                <w:sz w:val="17"/>
                <w:szCs w:val="17"/>
              </w:rPr>
              <w:t>What it must settle</w:t>
            </w:r>
          </w:p>
        </w:tc>
      </w:tr>
      <w:tr w:rsidR="00E33D27" w14:paraId="35EDF223"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599F3810" w14:textId="77777777" w:rsidR="00E33D27" w:rsidRDefault="00000000">
            <w:pPr>
              <w:spacing w:before="40" w:after="40" w:line="250" w:lineRule="auto"/>
              <w:jc w:val="center"/>
            </w:pPr>
            <w:r>
              <w:rPr>
                <w:b/>
                <w:bCs/>
                <w:sz w:val="16"/>
                <w:szCs w:val="16"/>
              </w:rPr>
              <w:t>1</w:t>
            </w:r>
          </w:p>
        </w:tc>
        <w:tc>
          <w:tcPr>
            <w:tcW w:w="4200" w:type="dxa"/>
            <w:shd w:val="clear" w:color="auto" w:fill="F3F4F6"/>
            <w:tcMar>
              <w:top w:w="70" w:type="dxa"/>
              <w:left w:w="110" w:type="dxa"/>
              <w:bottom w:w="70" w:type="dxa"/>
              <w:right w:w="110" w:type="dxa"/>
            </w:tcMar>
            <w:vAlign w:val="center"/>
          </w:tcPr>
          <w:p w14:paraId="4C3698ED" w14:textId="77777777" w:rsidR="00E33D27" w:rsidRDefault="00000000">
            <w:pPr>
              <w:spacing w:before="40" w:after="40" w:line="250" w:lineRule="auto"/>
              <w:jc w:val="center"/>
            </w:pPr>
            <w:r>
              <w:rPr>
                <w:sz w:val="16"/>
                <w:szCs w:val="16"/>
              </w:rPr>
              <w:t>Ownership of intellectual property</w:t>
            </w:r>
          </w:p>
        </w:tc>
        <w:tc>
          <w:tcPr>
            <w:tcW w:w="5180" w:type="dxa"/>
            <w:shd w:val="clear" w:color="auto" w:fill="F3F4F6"/>
            <w:tcMar>
              <w:top w:w="70" w:type="dxa"/>
              <w:left w:w="110" w:type="dxa"/>
              <w:bottom w:w="70" w:type="dxa"/>
              <w:right w:w="110" w:type="dxa"/>
            </w:tcMar>
            <w:vAlign w:val="center"/>
          </w:tcPr>
          <w:p w14:paraId="65959124" w14:textId="77777777" w:rsidR="00E33D27" w:rsidRDefault="00000000">
            <w:pPr>
              <w:spacing w:before="40" w:after="40" w:line="250" w:lineRule="auto"/>
              <w:jc w:val="center"/>
            </w:pPr>
            <w:r>
              <w:rPr>
                <w:sz w:val="16"/>
                <w:szCs w:val="16"/>
              </w:rPr>
              <w:t>Title in every scenario — the subject of Figure 2.9 below</w:t>
            </w:r>
          </w:p>
        </w:tc>
      </w:tr>
      <w:tr w:rsidR="00E33D27" w14:paraId="02834A2F"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046EFD50" w14:textId="77777777" w:rsidR="00E33D27" w:rsidRDefault="00000000">
            <w:pPr>
              <w:spacing w:before="40" w:after="40" w:line="250" w:lineRule="auto"/>
              <w:jc w:val="center"/>
            </w:pPr>
            <w:r>
              <w:rPr>
                <w:b/>
                <w:bCs/>
                <w:sz w:val="16"/>
                <w:szCs w:val="16"/>
              </w:rPr>
              <w:t>2</w:t>
            </w:r>
          </w:p>
        </w:tc>
        <w:tc>
          <w:tcPr>
            <w:tcW w:w="4200" w:type="dxa"/>
            <w:shd w:val="clear" w:color="auto" w:fill="FFFFFF"/>
            <w:tcMar>
              <w:top w:w="70" w:type="dxa"/>
              <w:left w:w="110" w:type="dxa"/>
              <w:bottom w:w="70" w:type="dxa"/>
              <w:right w:w="110" w:type="dxa"/>
            </w:tcMar>
            <w:vAlign w:val="center"/>
          </w:tcPr>
          <w:p w14:paraId="30F89C50" w14:textId="77777777" w:rsidR="00E33D27" w:rsidRDefault="00000000">
            <w:pPr>
              <w:spacing w:before="40" w:after="40" w:line="250" w:lineRule="auto"/>
              <w:jc w:val="center"/>
            </w:pPr>
            <w:r>
              <w:rPr>
                <w:sz w:val="16"/>
                <w:szCs w:val="16"/>
              </w:rPr>
              <w:t>Disclosure policy</w:t>
            </w:r>
          </w:p>
        </w:tc>
        <w:tc>
          <w:tcPr>
            <w:tcW w:w="5180" w:type="dxa"/>
            <w:shd w:val="clear" w:color="auto" w:fill="FFFFFF"/>
            <w:tcMar>
              <w:top w:w="70" w:type="dxa"/>
              <w:left w:w="110" w:type="dxa"/>
              <w:bottom w:w="70" w:type="dxa"/>
              <w:right w:w="110" w:type="dxa"/>
            </w:tcMar>
            <w:vAlign w:val="center"/>
          </w:tcPr>
          <w:p w14:paraId="4C917005" w14:textId="77777777" w:rsidR="00E33D27" w:rsidRDefault="00000000">
            <w:pPr>
              <w:spacing w:before="40" w:after="40" w:line="250" w:lineRule="auto"/>
              <w:jc w:val="center"/>
            </w:pPr>
            <w:r>
              <w:rPr>
                <w:sz w:val="16"/>
                <w:szCs w:val="16"/>
              </w:rPr>
              <w:t>Who must report what, to whom, and how fast; separate provision for students and for inventors</w:t>
            </w:r>
          </w:p>
        </w:tc>
      </w:tr>
      <w:tr w:rsidR="00E33D27" w14:paraId="7AFE36E0"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01C1A2CD" w14:textId="77777777" w:rsidR="00E33D27" w:rsidRDefault="00000000">
            <w:pPr>
              <w:spacing w:before="40" w:after="40" w:line="250" w:lineRule="auto"/>
              <w:jc w:val="center"/>
            </w:pPr>
            <w:r>
              <w:rPr>
                <w:b/>
                <w:bCs/>
                <w:sz w:val="16"/>
                <w:szCs w:val="16"/>
              </w:rPr>
              <w:t>3</w:t>
            </w:r>
          </w:p>
        </w:tc>
        <w:tc>
          <w:tcPr>
            <w:tcW w:w="4200" w:type="dxa"/>
            <w:shd w:val="clear" w:color="auto" w:fill="F3F4F6"/>
            <w:tcMar>
              <w:top w:w="70" w:type="dxa"/>
              <w:left w:w="110" w:type="dxa"/>
              <w:bottom w:w="70" w:type="dxa"/>
              <w:right w:w="110" w:type="dxa"/>
            </w:tcMar>
            <w:vAlign w:val="center"/>
          </w:tcPr>
          <w:p w14:paraId="7C8F4F04" w14:textId="77777777" w:rsidR="00E33D27" w:rsidRDefault="00000000">
            <w:pPr>
              <w:spacing w:before="40" w:after="40" w:line="250" w:lineRule="auto"/>
              <w:jc w:val="center"/>
            </w:pPr>
            <w:r>
              <w:rPr>
                <w:sz w:val="16"/>
                <w:szCs w:val="16"/>
              </w:rPr>
              <w:t>Confidentiality and assignment of rights</w:t>
            </w:r>
          </w:p>
        </w:tc>
        <w:tc>
          <w:tcPr>
            <w:tcW w:w="5180" w:type="dxa"/>
            <w:shd w:val="clear" w:color="auto" w:fill="F3F4F6"/>
            <w:tcMar>
              <w:top w:w="70" w:type="dxa"/>
              <w:left w:w="110" w:type="dxa"/>
              <w:bottom w:w="70" w:type="dxa"/>
              <w:right w:w="110" w:type="dxa"/>
            </w:tcMar>
            <w:vAlign w:val="center"/>
          </w:tcPr>
          <w:p w14:paraId="20D7344D" w14:textId="77777777" w:rsidR="00E33D27" w:rsidRDefault="00000000">
            <w:pPr>
              <w:spacing w:before="40" w:after="40" w:line="250" w:lineRule="auto"/>
              <w:jc w:val="center"/>
            </w:pPr>
            <w:r>
              <w:rPr>
                <w:sz w:val="16"/>
                <w:szCs w:val="16"/>
              </w:rPr>
              <w:t>The duty not to publish before filing, and the mechanism by which title moves</w:t>
            </w:r>
          </w:p>
        </w:tc>
      </w:tr>
      <w:tr w:rsidR="00E33D27" w14:paraId="60D37E44"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058C2577" w14:textId="77777777" w:rsidR="00E33D27" w:rsidRDefault="00000000">
            <w:pPr>
              <w:spacing w:before="40" w:after="40" w:line="250" w:lineRule="auto"/>
              <w:jc w:val="center"/>
            </w:pPr>
            <w:r>
              <w:rPr>
                <w:b/>
                <w:bCs/>
                <w:sz w:val="16"/>
                <w:szCs w:val="16"/>
              </w:rPr>
              <w:t>4</w:t>
            </w:r>
          </w:p>
        </w:tc>
        <w:tc>
          <w:tcPr>
            <w:tcW w:w="4200" w:type="dxa"/>
            <w:shd w:val="clear" w:color="auto" w:fill="FFFFFF"/>
            <w:tcMar>
              <w:top w:w="70" w:type="dxa"/>
              <w:left w:w="110" w:type="dxa"/>
              <w:bottom w:w="70" w:type="dxa"/>
              <w:right w:w="110" w:type="dxa"/>
            </w:tcMar>
            <w:vAlign w:val="center"/>
          </w:tcPr>
          <w:p w14:paraId="6C8603E5" w14:textId="77777777" w:rsidR="00E33D27" w:rsidRDefault="00000000">
            <w:pPr>
              <w:spacing w:before="40" w:after="40" w:line="250" w:lineRule="auto"/>
              <w:jc w:val="center"/>
            </w:pPr>
            <w:r>
              <w:rPr>
                <w:sz w:val="16"/>
                <w:szCs w:val="16"/>
              </w:rPr>
              <w:t>Organisational assessment of innovations for protection</w:t>
            </w:r>
          </w:p>
        </w:tc>
        <w:tc>
          <w:tcPr>
            <w:tcW w:w="5180" w:type="dxa"/>
            <w:shd w:val="clear" w:color="auto" w:fill="FFFFFF"/>
            <w:tcMar>
              <w:top w:w="70" w:type="dxa"/>
              <w:left w:w="110" w:type="dxa"/>
              <w:bottom w:w="70" w:type="dxa"/>
              <w:right w:w="110" w:type="dxa"/>
            </w:tcMar>
            <w:vAlign w:val="center"/>
          </w:tcPr>
          <w:p w14:paraId="6C5054D6" w14:textId="77777777" w:rsidR="00E33D27" w:rsidRDefault="00000000">
            <w:pPr>
              <w:spacing w:before="40" w:after="40" w:line="250" w:lineRule="auto"/>
              <w:jc w:val="center"/>
            </w:pPr>
            <w:r>
              <w:rPr>
                <w:sz w:val="16"/>
                <w:szCs w:val="16"/>
              </w:rPr>
              <w:t>Who evaluates a disclosure, against what criteria, and within what time</w:t>
            </w:r>
          </w:p>
        </w:tc>
      </w:tr>
      <w:tr w:rsidR="00E33D27" w14:paraId="0A688EDF"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2C9FDF88" w14:textId="77777777" w:rsidR="00E33D27" w:rsidRDefault="00000000">
            <w:pPr>
              <w:spacing w:before="40" w:after="40" w:line="250" w:lineRule="auto"/>
              <w:jc w:val="center"/>
            </w:pPr>
            <w:r>
              <w:rPr>
                <w:b/>
                <w:bCs/>
                <w:sz w:val="16"/>
                <w:szCs w:val="16"/>
              </w:rPr>
              <w:t>5</w:t>
            </w:r>
          </w:p>
        </w:tc>
        <w:tc>
          <w:tcPr>
            <w:tcW w:w="4200" w:type="dxa"/>
            <w:shd w:val="clear" w:color="auto" w:fill="F3F4F6"/>
            <w:tcMar>
              <w:top w:w="70" w:type="dxa"/>
              <w:left w:w="110" w:type="dxa"/>
              <w:bottom w:w="70" w:type="dxa"/>
              <w:right w:w="110" w:type="dxa"/>
            </w:tcMar>
            <w:vAlign w:val="center"/>
          </w:tcPr>
          <w:p w14:paraId="0C4F1C4E" w14:textId="77777777" w:rsidR="00E33D27" w:rsidRDefault="00000000">
            <w:pPr>
              <w:spacing w:before="40" w:after="40" w:line="250" w:lineRule="auto"/>
              <w:jc w:val="center"/>
            </w:pPr>
            <w:r>
              <w:rPr>
                <w:sz w:val="16"/>
                <w:szCs w:val="16"/>
              </w:rPr>
              <w:t>Obtaining IPR</w:t>
            </w:r>
          </w:p>
        </w:tc>
        <w:tc>
          <w:tcPr>
            <w:tcW w:w="5180" w:type="dxa"/>
            <w:shd w:val="clear" w:color="auto" w:fill="F3F4F6"/>
            <w:tcMar>
              <w:top w:w="70" w:type="dxa"/>
              <w:left w:w="110" w:type="dxa"/>
              <w:bottom w:w="70" w:type="dxa"/>
              <w:right w:w="110" w:type="dxa"/>
            </w:tcMar>
            <w:vAlign w:val="center"/>
          </w:tcPr>
          <w:p w14:paraId="51FDA324" w14:textId="77777777" w:rsidR="00E33D27" w:rsidRDefault="00000000">
            <w:pPr>
              <w:spacing w:before="40" w:after="40" w:line="250" w:lineRule="auto"/>
              <w:jc w:val="center"/>
            </w:pPr>
            <w:r>
              <w:rPr>
                <w:sz w:val="16"/>
                <w:szCs w:val="16"/>
              </w:rPr>
              <w:t>Who decides to file, who instructs counsel, who pays</w:t>
            </w:r>
          </w:p>
        </w:tc>
      </w:tr>
      <w:tr w:rsidR="00E33D27" w14:paraId="0126466F"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683DBEFA" w14:textId="77777777" w:rsidR="00E33D27" w:rsidRDefault="00000000">
            <w:pPr>
              <w:spacing w:before="40" w:after="40" w:line="250" w:lineRule="auto"/>
              <w:jc w:val="center"/>
            </w:pPr>
            <w:r>
              <w:rPr>
                <w:b/>
                <w:bCs/>
                <w:sz w:val="16"/>
                <w:szCs w:val="16"/>
              </w:rPr>
              <w:t>6</w:t>
            </w:r>
          </w:p>
        </w:tc>
        <w:tc>
          <w:tcPr>
            <w:tcW w:w="4200" w:type="dxa"/>
            <w:shd w:val="clear" w:color="auto" w:fill="FFFFFF"/>
            <w:tcMar>
              <w:top w:w="70" w:type="dxa"/>
              <w:left w:w="110" w:type="dxa"/>
              <w:bottom w:w="70" w:type="dxa"/>
              <w:right w:w="110" w:type="dxa"/>
            </w:tcMar>
            <w:vAlign w:val="center"/>
          </w:tcPr>
          <w:p w14:paraId="23D45EFA" w14:textId="77777777" w:rsidR="00E33D27" w:rsidRDefault="00000000">
            <w:pPr>
              <w:spacing w:before="40" w:after="40" w:line="250" w:lineRule="auto"/>
              <w:jc w:val="center"/>
            </w:pPr>
            <w:r>
              <w:rPr>
                <w:sz w:val="16"/>
                <w:szCs w:val="16"/>
              </w:rPr>
              <w:t>Renewal of IP rights</w:t>
            </w:r>
          </w:p>
        </w:tc>
        <w:tc>
          <w:tcPr>
            <w:tcW w:w="5180" w:type="dxa"/>
            <w:shd w:val="clear" w:color="auto" w:fill="FFFFFF"/>
            <w:tcMar>
              <w:top w:w="70" w:type="dxa"/>
              <w:left w:w="110" w:type="dxa"/>
              <w:bottom w:w="70" w:type="dxa"/>
              <w:right w:w="110" w:type="dxa"/>
            </w:tcMar>
            <w:vAlign w:val="center"/>
          </w:tcPr>
          <w:p w14:paraId="254C74B7" w14:textId="77777777" w:rsidR="00E33D27" w:rsidRDefault="00000000">
            <w:pPr>
              <w:spacing w:before="40" w:after="40" w:line="250" w:lineRule="auto"/>
              <w:jc w:val="center"/>
            </w:pPr>
            <w:r>
              <w:rPr>
                <w:sz w:val="16"/>
                <w:szCs w:val="16"/>
              </w:rPr>
              <w:t>Who pays annuities and for how long; what happens when the institution declines to maintain</w:t>
            </w:r>
          </w:p>
        </w:tc>
      </w:tr>
      <w:tr w:rsidR="00E33D27" w14:paraId="437E5C0B"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3468BB69" w14:textId="77777777" w:rsidR="00E33D27" w:rsidRDefault="00000000">
            <w:pPr>
              <w:spacing w:before="40" w:after="40" w:line="250" w:lineRule="auto"/>
              <w:jc w:val="center"/>
            </w:pPr>
            <w:r>
              <w:rPr>
                <w:b/>
                <w:bCs/>
                <w:sz w:val="16"/>
                <w:szCs w:val="16"/>
              </w:rPr>
              <w:lastRenderedPageBreak/>
              <w:t>7</w:t>
            </w:r>
          </w:p>
        </w:tc>
        <w:tc>
          <w:tcPr>
            <w:tcW w:w="4200" w:type="dxa"/>
            <w:shd w:val="clear" w:color="auto" w:fill="F3F4F6"/>
            <w:tcMar>
              <w:top w:w="70" w:type="dxa"/>
              <w:left w:w="110" w:type="dxa"/>
              <w:bottom w:w="70" w:type="dxa"/>
              <w:right w:w="110" w:type="dxa"/>
            </w:tcMar>
            <w:vAlign w:val="center"/>
          </w:tcPr>
          <w:p w14:paraId="30EA6FA2" w14:textId="77777777" w:rsidR="00E33D27" w:rsidRDefault="00000000">
            <w:pPr>
              <w:spacing w:before="40" w:after="40" w:line="250" w:lineRule="auto"/>
              <w:jc w:val="center"/>
            </w:pPr>
            <w:r>
              <w:rPr>
                <w:sz w:val="16"/>
                <w:szCs w:val="16"/>
              </w:rPr>
              <w:t>Filing of applications in foreign countries</w:t>
            </w:r>
          </w:p>
        </w:tc>
        <w:tc>
          <w:tcPr>
            <w:tcW w:w="5180" w:type="dxa"/>
            <w:shd w:val="clear" w:color="auto" w:fill="F3F4F6"/>
            <w:tcMar>
              <w:top w:w="70" w:type="dxa"/>
              <w:left w:w="110" w:type="dxa"/>
              <w:bottom w:w="70" w:type="dxa"/>
              <w:right w:w="110" w:type="dxa"/>
            </w:tcMar>
            <w:vAlign w:val="center"/>
          </w:tcPr>
          <w:p w14:paraId="2CC95994" w14:textId="77777777" w:rsidR="00E33D27" w:rsidRDefault="00000000">
            <w:pPr>
              <w:spacing w:before="40" w:after="40" w:line="250" w:lineRule="auto"/>
              <w:jc w:val="center"/>
            </w:pPr>
            <w:r>
              <w:rPr>
                <w:sz w:val="16"/>
                <w:szCs w:val="16"/>
              </w:rPr>
              <w:t>Territory selection, and the sharing of PCT and national-phase costs</w:t>
            </w:r>
          </w:p>
        </w:tc>
      </w:tr>
      <w:tr w:rsidR="00E33D27" w14:paraId="000D2BED"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619DE8F3" w14:textId="77777777" w:rsidR="00E33D27" w:rsidRDefault="00000000">
            <w:pPr>
              <w:spacing w:before="40" w:after="40" w:line="250" w:lineRule="auto"/>
              <w:jc w:val="center"/>
            </w:pPr>
            <w:r>
              <w:rPr>
                <w:b/>
                <w:bCs/>
                <w:sz w:val="16"/>
                <w:szCs w:val="16"/>
              </w:rPr>
              <w:t>8</w:t>
            </w:r>
          </w:p>
        </w:tc>
        <w:tc>
          <w:tcPr>
            <w:tcW w:w="4200" w:type="dxa"/>
            <w:shd w:val="clear" w:color="auto" w:fill="FFFFFF"/>
            <w:tcMar>
              <w:top w:w="70" w:type="dxa"/>
              <w:left w:w="110" w:type="dxa"/>
              <w:bottom w:w="70" w:type="dxa"/>
              <w:right w:w="110" w:type="dxa"/>
            </w:tcMar>
            <w:vAlign w:val="center"/>
          </w:tcPr>
          <w:p w14:paraId="01FE976F" w14:textId="77777777" w:rsidR="00E33D27" w:rsidRDefault="00000000">
            <w:pPr>
              <w:spacing w:before="40" w:after="40" w:line="250" w:lineRule="auto"/>
              <w:jc w:val="center"/>
            </w:pPr>
            <w:r>
              <w:rPr>
                <w:sz w:val="16"/>
                <w:szCs w:val="16"/>
              </w:rPr>
              <w:t>Contracts and agreements</w:t>
            </w:r>
          </w:p>
        </w:tc>
        <w:tc>
          <w:tcPr>
            <w:tcW w:w="5180" w:type="dxa"/>
            <w:shd w:val="clear" w:color="auto" w:fill="FFFFFF"/>
            <w:tcMar>
              <w:top w:w="70" w:type="dxa"/>
              <w:left w:w="110" w:type="dxa"/>
              <w:bottom w:w="70" w:type="dxa"/>
              <w:right w:w="110" w:type="dxa"/>
            </w:tcMar>
            <w:vAlign w:val="center"/>
          </w:tcPr>
          <w:p w14:paraId="1F04390B" w14:textId="77777777" w:rsidR="00E33D27" w:rsidRDefault="00000000">
            <w:pPr>
              <w:spacing w:before="40" w:after="40" w:line="250" w:lineRule="auto"/>
              <w:jc w:val="center"/>
            </w:pPr>
            <w:r>
              <w:rPr>
                <w:sz w:val="16"/>
                <w:szCs w:val="16"/>
              </w:rPr>
              <w:t>The annexed templates and who may execute them</w:t>
            </w:r>
          </w:p>
        </w:tc>
      </w:tr>
      <w:tr w:rsidR="00E33D27" w14:paraId="72EA7D3B"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145ACDCF" w14:textId="77777777" w:rsidR="00E33D27" w:rsidRDefault="00000000">
            <w:pPr>
              <w:spacing w:before="40" w:after="40" w:line="250" w:lineRule="auto"/>
              <w:jc w:val="center"/>
            </w:pPr>
            <w:r>
              <w:rPr>
                <w:b/>
                <w:bCs/>
                <w:sz w:val="16"/>
                <w:szCs w:val="16"/>
              </w:rPr>
              <w:t>9</w:t>
            </w:r>
          </w:p>
        </w:tc>
        <w:tc>
          <w:tcPr>
            <w:tcW w:w="4200" w:type="dxa"/>
            <w:shd w:val="clear" w:color="auto" w:fill="F3F4F6"/>
            <w:tcMar>
              <w:top w:w="70" w:type="dxa"/>
              <w:left w:w="110" w:type="dxa"/>
              <w:bottom w:w="70" w:type="dxa"/>
              <w:right w:w="110" w:type="dxa"/>
            </w:tcMar>
            <w:vAlign w:val="center"/>
          </w:tcPr>
          <w:p w14:paraId="7A964634" w14:textId="77777777" w:rsidR="00E33D27" w:rsidRDefault="00000000">
            <w:pPr>
              <w:spacing w:before="40" w:after="40" w:line="250" w:lineRule="auto"/>
              <w:jc w:val="center"/>
            </w:pPr>
            <w:r>
              <w:rPr>
                <w:sz w:val="16"/>
                <w:szCs w:val="16"/>
              </w:rPr>
              <w:t>Technology transfer</w:t>
            </w:r>
          </w:p>
        </w:tc>
        <w:tc>
          <w:tcPr>
            <w:tcW w:w="5180" w:type="dxa"/>
            <w:shd w:val="clear" w:color="auto" w:fill="F3F4F6"/>
            <w:tcMar>
              <w:top w:w="70" w:type="dxa"/>
              <w:left w:w="110" w:type="dxa"/>
              <w:bottom w:w="70" w:type="dxa"/>
              <w:right w:w="110" w:type="dxa"/>
            </w:tcMar>
            <w:vAlign w:val="center"/>
          </w:tcPr>
          <w:p w14:paraId="721035BD" w14:textId="77777777" w:rsidR="00E33D27" w:rsidRDefault="00000000">
            <w:pPr>
              <w:spacing w:before="40" w:after="40" w:line="250" w:lineRule="auto"/>
              <w:jc w:val="center"/>
            </w:pPr>
            <w:r>
              <w:rPr>
                <w:sz w:val="16"/>
                <w:szCs w:val="16"/>
              </w:rPr>
              <w:t>The routes: licence, assignment, spin-out, sponsored development</w:t>
            </w:r>
          </w:p>
        </w:tc>
      </w:tr>
      <w:tr w:rsidR="00E33D27" w14:paraId="154999C9"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28D33E17" w14:textId="77777777" w:rsidR="00E33D27" w:rsidRDefault="00000000">
            <w:pPr>
              <w:spacing w:before="40" w:after="40" w:line="250" w:lineRule="auto"/>
              <w:jc w:val="center"/>
            </w:pPr>
            <w:r>
              <w:rPr>
                <w:b/>
                <w:bCs/>
                <w:sz w:val="16"/>
                <w:szCs w:val="16"/>
              </w:rPr>
              <w:t>10</w:t>
            </w:r>
          </w:p>
        </w:tc>
        <w:tc>
          <w:tcPr>
            <w:tcW w:w="4200" w:type="dxa"/>
            <w:shd w:val="clear" w:color="auto" w:fill="FFFFFF"/>
            <w:tcMar>
              <w:top w:w="70" w:type="dxa"/>
              <w:left w:w="110" w:type="dxa"/>
              <w:bottom w:w="70" w:type="dxa"/>
              <w:right w:w="110" w:type="dxa"/>
            </w:tcMar>
            <w:vAlign w:val="center"/>
          </w:tcPr>
          <w:p w14:paraId="4B01C35C" w14:textId="77777777" w:rsidR="00E33D27" w:rsidRDefault="00000000">
            <w:pPr>
              <w:spacing w:before="40" w:after="40" w:line="250" w:lineRule="auto"/>
              <w:jc w:val="center"/>
            </w:pPr>
            <w:r>
              <w:rPr>
                <w:sz w:val="16"/>
                <w:szCs w:val="16"/>
              </w:rPr>
              <w:t>Revenue sharing</w:t>
            </w:r>
          </w:p>
        </w:tc>
        <w:tc>
          <w:tcPr>
            <w:tcW w:w="5180" w:type="dxa"/>
            <w:shd w:val="clear" w:color="auto" w:fill="FFFFFF"/>
            <w:tcMar>
              <w:top w:w="70" w:type="dxa"/>
              <w:left w:w="110" w:type="dxa"/>
              <w:bottom w:w="70" w:type="dxa"/>
              <w:right w:w="110" w:type="dxa"/>
            </w:tcMar>
            <w:vAlign w:val="center"/>
          </w:tcPr>
          <w:p w14:paraId="1DB07372" w14:textId="77777777" w:rsidR="00E33D27" w:rsidRDefault="00000000">
            <w:pPr>
              <w:spacing w:before="40" w:after="40" w:line="250" w:lineRule="auto"/>
              <w:jc w:val="center"/>
            </w:pPr>
            <w:r>
              <w:rPr>
                <w:sz w:val="16"/>
                <w:szCs w:val="16"/>
              </w:rPr>
              <w:t>Model, base, disbursement, reassignment, co-creator shares</w:t>
            </w:r>
          </w:p>
        </w:tc>
      </w:tr>
      <w:tr w:rsidR="00E33D27" w14:paraId="53B6908C"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439D5E6E" w14:textId="77777777" w:rsidR="00E33D27" w:rsidRDefault="00000000">
            <w:pPr>
              <w:spacing w:before="40" w:after="40" w:line="250" w:lineRule="auto"/>
              <w:jc w:val="center"/>
            </w:pPr>
            <w:r>
              <w:rPr>
                <w:b/>
                <w:bCs/>
                <w:sz w:val="16"/>
                <w:szCs w:val="16"/>
              </w:rPr>
              <w:t>11</w:t>
            </w:r>
          </w:p>
        </w:tc>
        <w:tc>
          <w:tcPr>
            <w:tcW w:w="4200" w:type="dxa"/>
            <w:shd w:val="clear" w:color="auto" w:fill="F3F4F6"/>
            <w:tcMar>
              <w:top w:w="70" w:type="dxa"/>
              <w:left w:w="110" w:type="dxa"/>
              <w:bottom w:w="70" w:type="dxa"/>
              <w:right w:w="110" w:type="dxa"/>
            </w:tcMar>
            <w:vAlign w:val="center"/>
          </w:tcPr>
          <w:p w14:paraId="073C7476" w14:textId="77777777" w:rsidR="00E33D27" w:rsidRDefault="00000000">
            <w:pPr>
              <w:spacing w:before="40" w:after="40" w:line="250" w:lineRule="auto"/>
              <w:jc w:val="center"/>
            </w:pPr>
            <w:r>
              <w:rPr>
                <w:sz w:val="16"/>
                <w:szCs w:val="16"/>
              </w:rPr>
              <w:t>Infringement, damages, liability and indemnity insurance</w:t>
            </w:r>
          </w:p>
        </w:tc>
        <w:tc>
          <w:tcPr>
            <w:tcW w:w="5180" w:type="dxa"/>
            <w:shd w:val="clear" w:color="auto" w:fill="F3F4F6"/>
            <w:tcMar>
              <w:top w:w="70" w:type="dxa"/>
              <w:left w:w="110" w:type="dxa"/>
              <w:bottom w:w="70" w:type="dxa"/>
              <w:right w:w="110" w:type="dxa"/>
            </w:tcMar>
            <w:vAlign w:val="center"/>
          </w:tcPr>
          <w:p w14:paraId="354C85D2" w14:textId="77777777" w:rsidR="00E33D27" w:rsidRDefault="00000000">
            <w:pPr>
              <w:spacing w:before="40" w:after="40" w:line="250" w:lineRule="auto"/>
              <w:jc w:val="center"/>
            </w:pPr>
            <w:r>
              <w:rPr>
                <w:sz w:val="16"/>
                <w:szCs w:val="16"/>
              </w:rPr>
              <w:t>Who may sue, who funds it, who bears loss</w:t>
            </w:r>
          </w:p>
        </w:tc>
      </w:tr>
      <w:tr w:rsidR="00E33D27" w14:paraId="14E12022"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1DD41ABC" w14:textId="77777777" w:rsidR="00E33D27" w:rsidRDefault="00000000">
            <w:pPr>
              <w:spacing w:before="40" w:after="40" w:line="250" w:lineRule="auto"/>
              <w:jc w:val="center"/>
            </w:pPr>
            <w:r>
              <w:rPr>
                <w:b/>
                <w:bCs/>
                <w:sz w:val="16"/>
                <w:szCs w:val="16"/>
              </w:rPr>
              <w:t>12</w:t>
            </w:r>
          </w:p>
        </w:tc>
        <w:tc>
          <w:tcPr>
            <w:tcW w:w="4200" w:type="dxa"/>
            <w:shd w:val="clear" w:color="auto" w:fill="FFFFFF"/>
            <w:tcMar>
              <w:top w:w="70" w:type="dxa"/>
              <w:left w:w="110" w:type="dxa"/>
              <w:bottom w:w="70" w:type="dxa"/>
              <w:right w:w="110" w:type="dxa"/>
            </w:tcMar>
            <w:vAlign w:val="center"/>
          </w:tcPr>
          <w:p w14:paraId="6D1269E6" w14:textId="77777777" w:rsidR="00E33D27" w:rsidRDefault="00000000">
            <w:pPr>
              <w:spacing w:before="40" w:after="40" w:line="250" w:lineRule="auto"/>
              <w:jc w:val="center"/>
            </w:pPr>
            <w:r>
              <w:rPr>
                <w:sz w:val="16"/>
                <w:szCs w:val="16"/>
              </w:rPr>
              <w:t>Conflict of interest and inventorship disputes</w:t>
            </w:r>
          </w:p>
        </w:tc>
        <w:tc>
          <w:tcPr>
            <w:tcW w:w="5180" w:type="dxa"/>
            <w:shd w:val="clear" w:color="auto" w:fill="FFFFFF"/>
            <w:tcMar>
              <w:top w:w="70" w:type="dxa"/>
              <w:left w:w="110" w:type="dxa"/>
              <w:bottom w:w="70" w:type="dxa"/>
              <w:right w:w="110" w:type="dxa"/>
            </w:tcMar>
            <w:vAlign w:val="center"/>
          </w:tcPr>
          <w:p w14:paraId="767580F5" w14:textId="77777777" w:rsidR="00E33D27" w:rsidRDefault="00000000">
            <w:pPr>
              <w:spacing w:before="40" w:after="40" w:line="250" w:lineRule="auto"/>
              <w:jc w:val="center"/>
            </w:pPr>
            <w:r>
              <w:rPr>
                <w:sz w:val="16"/>
                <w:szCs w:val="16"/>
              </w:rPr>
              <w:t>Consultancy conflicts and the resolution of inventorship claims</w:t>
            </w:r>
          </w:p>
        </w:tc>
      </w:tr>
      <w:tr w:rsidR="00E33D27" w14:paraId="4C51E685"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1B9A65D6" w14:textId="77777777" w:rsidR="00E33D27" w:rsidRDefault="00000000">
            <w:pPr>
              <w:spacing w:before="40" w:after="40" w:line="250" w:lineRule="auto"/>
              <w:jc w:val="center"/>
            </w:pPr>
            <w:r>
              <w:rPr>
                <w:b/>
                <w:bCs/>
                <w:sz w:val="16"/>
                <w:szCs w:val="16"/>
              </w:rPr>
              <w:t>13</w:t>
            </w:r>
          </w:p>
        </w:tc>
        <w:tc>
          <w:tcPr>
            <w:tcW w:w="4200" w:type="dxa"/>
            <w:shd w:val="clear" w:color="auto" w:fill="F3F4F6"/>
            <w:tcMar>
              <w:top w:w="70" w:type="dxa"/>
              <w:left w:w="110" w:type="dxa"/>
              <w:bottom w:w="70" w:type="dxa"/>
              <w:right w:w="110" w:type="dxa"/>
            </w:tcMar>
            <w:vAlign w:val="center"/>
          </w:tcPr>
          <w:p w14:paraId="0D418009" w14:textId="77777777" w:rsidR="00E33D27" w:rsidRDefault="00000000">
            <w:pPr>
              <w:spacing w:before="40" w:after="40" w:line="250" w:lineRule="auto"/>
              <w:jc w:val="center"/>
            </w:pPr>
            <w:r>
              <w:rPr>
                <w:sz w:val="16"/>
                <w:szCs w:val="16"/>
              </w:rPr>
              <w:t>Dispute resolution</w:t>
            </w:r>
          </w:p>
        </w:tc>
        <w:tc>
          <w:tcPr>
            <w:tcW w:w="5180" w:type="dxa"/>
            <w:shd w:val="clear" w:color="auto" w:fill="F3F4F6"/>
            <w:tcMar>
              <w:top w:w="70" w:type="dxa"/>
              <w:left w:w="110" w:type="dxa"/>
              <w:bottom w:w="70" w:type="dxa"/>
              <w:right w:w="110" w:type="dxa"/>
            </w:tcMar>
            <w:vAlign w:val="center"/>
          </w:tcPr>
          <w:p w14:paraId="24D9A313" w14:textId="77777777" w:rsidR="00E33D27" w:rsidRDefault="00000000">
            <w:pPr>
              <w:spacing w:before="40" w:after="40" w:line="250" w:lineRule="auto"/>
              <w:jc w:val="center"/>
            </w:pPr>
            <w:r>
              <w:rPr>
                <w:sz w:val="16"/>
                <w:szCs w:val="16"/>
              </w:rPr>
              <w:t>Internal committee, mediation, arbitration or court</w:t>
            </w:r>
          </w:p>
        </w:tc>
      </w:tr>
      <w:tr w:rsidR="00E33D27" w14:paraId="2E0127B1" w14:textId="77777777">
        <w:tblPrEx>
          <w:tblCellMar>
            <w:top w:w="0" w:type="dxa"/>
            <w:bottom w:w="0" w:type="dxa"/>
          </w:tblCellMar>
        </w:tblPrEx>
        <w:trPr>
          <w:cantSplit/>
        </w:trPr>
        <w:tc>
          <w:tcPr>
            <w:tcW w:w="700" w:type="dxa"/>
            <w:shd w:val="clear" w:color="auto" w:fill="FFFFFF"/>
            <w:tcMar>
              <w:top w:w="70" w:type="dxa"/>
              <w:left w:w="110" w:type="dxa"/>
              <w:bottom w:w="70" w:type="dxa"/>
              <w:right w:w="110" w:type="dxa"/>
            </w:tcMar>
            <w:vAlign w:val="center"/>
          </w:tcPr>
          <w:p w14:paraId="7D055541" w14:textId="77777777" w:rsidR="00E33D27" w:rsidRDefault="00000000">
            <w:pPr>
              <w:spacing w:before="40" w:after="40" w:line="250" w:lineRule="auto"/>
              <w:jc w:val="center"/>
            </w:pPr>
            <w:r>
              <w:rPr>
                <w:b/>
                <w:bCs/>
                <w:sz w:val="16"/>
                <w:szCs w:val="16"/>
              </w:rPr>
              <w:t>14</w:t>
            </w:r>
          </w:p>
        </w:tc>
        <w:tc>
          <w:tcPr>
            <w:tcW w:w="4200" w:type="dxa"/>
            <w:shd w:val="clear" w:color="auto" w:fill="FFFFFF"/>
            <w:tcMar>
              <w:top w:w="70" w:type="dxa"/>
              <w:left w:w="110" w:type="dxa"/>
              <w:bottom w:w="70" w:type="dxa"/>
              <w:right w:w="110" w:type="dxa"/>
            </w:tcMar>
            <w:vAlign w:val="center"/>
          </w:tcPr>
          <w:p w14:paraId="50A48FC1" w14:textId="77777777" w:rsidR="00E33D27" w:rsidRDefault="00000000">
            <w:pPr>
              <w:spacing w:before="40" w:after="40" w:line="250" w:lineRule="auto"/>
              <w:jc w:val="center"/>
            </w:pPr>
            <w:r>
              <w:rPr>
                <w:sz w:val="16"/>
                <w:szCs w:val="16"/>
              </w:rPr>
              <w:t>Right to regulate the policy</w:t>
            </w:r>
          </w:p>
        </w:tc>
        <w:tc>
          <w:tcPr>
            <w:tcW w:w="5180" w:type="dxa"/>
            <w:shd w:val="clear" w:color="auto" w:fill="FFFFFF"/>
            <w:tcMar>
              <w:top w:w="70" w:type="dxa"/>
              <w:left w:w="110" w:type="dxa"/>
              <w:bottom w:w="70" w:type="dxa"/>
              <w:right w:w="110" w:type="dxa"/>
            </w:tcMar>
            <w:vAlign w:val="center"/>
          </w:tcPr>
          <w:p w14:paraId="542BC3BE" w14:textId="77777777" w:rsidR="00E33D27" w:rsidRDefault="00000000">
            <w:pPr>
              <w:spacing w:before="40" w:after="40" w:line="250" w:lineRule="auto"/>
              <w:jc w:val="center"/>
            </w:pPr>
            <w:r>
              <w:rPr>
                <w:sz w:val="16"/>
                <w:szCs w:val="16"/>
              </w:rPr>
              <w:t>The authority to amend, and the versioning mechanism</w:t>
            </w:r>
          </w:p>
        </w:tc>
      </w:tr>
      <w:tr w:rsidR="00E33D27" w14:paraId="4907016C" w14:textId="77777777">
        <w:tblPrEx>
          <w:tblCellMar>
            <w:top w:w="0" w:type="dxa"/>
            <w:bottom w:w="0" w:type="dxa"/>
          </w:tblCellMar>
        </w:tblPrEx>
        <w:trPr>
          <w:cantSplit/>
        </w:trPr>
        <w:tc>
          <w:tcPr>
            <w:tcW w:w="700" w:type="dxa"/>
            <w:shd w:val="clear" w:color="auto" w:fill="F3F4F6"/>
            <w:tcMar>
              <w:top w:w="70" w:type="dxa"/>
              <w:left w:w="110" w:type="dxa"/>
              <w:bottom w:w="70" w:type="dxa"/>
              <w:right w:w="110" w:type="dxa"/>
            </w:tcMar>
            <w:vAlign w:val="center"/>
          </w:tcPr>
          <w:p w14:paraId="7D5C78B4" w14:textId="77777777" w:rsidR="00E33D27" w:rsidRDefault="00000000">
            <w:pPr>
              <w:spacing w:before="40" w:after="40" w:line="250" w:lineRule="auto"/>
              <w:jc w:val="center"/>
            </w:pPr>
            <w:r>
              <w:rPr>
                <w:b/>
                <w:bCs/>
                <w:sz w:val="16"/>
                <w:szCs w:val="16"/>
              </w:rPr>
              <w:t>15</w:t>
            </w:r>
          </w:p>
        </w:tc>
        <w:tc>
          <w:tcPr>
            <w:tcW w:w="4200" w:type="dxa"/>
            <w:shd w:val="clear" w:color="auto" w:fill="F3F4F6"/>
            <w:tcMar>
              <w:top w:w="70" w:type="dxa"/>
              <w:left w:w="110" w:type="dxa"/>
              <w:bottom w:w="70" w:type="dxa"/>
              <w:right w:w="110" w:type="dxa"/>
            </w:tcMar>
            <w:vAlign w:val="center"/>
          </w:tcPr>
          <w:p w14:paraId="5F8F9590" w14:textId="77777777" w:rsidR="00E33D27" w:rsidRDefault="00000000">
            <w:pPr>
              <w:spacing w:before="40" w:after="40" w:line="250" w:lineRule="auto"/>
              <w:jc w:val="center"/>
            </w:pPr>
            <w:r>
              <w:rPr>
                <w:sz w:val="16"/>
                <w:szCs w:val="16"/>
              </w:rPr>
              <w:t>Jurisdiction</w:t>
            </w:r>
          </w:p>
        </w:tc>
        <w:tc>
          <w:tcPr>
            <w:tcW w:w="5180" w:type="dxa"/>
            <w:shd w:val="clear" w:color="auto" w:fill="F3F4F6"/>
            <w:tcMar>
              <w:top w:w="70" w:type="dxa"/>
              <w:left w:w="110" w:type="dxa"/>
              <w:bottom w:w="70" w:type="dxa"/>
              <w:right w:w="110" w:type="dxa"/>
            </w:tcMar>
            <w:vAlign w:val="center"/>
          </w:tcPr>
          <w:p w14:paraId="22699F0A" w14:textId="77777777" w:rsidR="00E33D27" w:rsidRDefault="00000000">
            <w:pPr>
              <w:spacing w:before="40" w:after="40" w:line="250" w:lineRule="auto"/>
              <w:jc w:val="center"/>
            </w:pPr>
            <w:r>
              <w:rPr>
                <w:sz w:val="16"/>
                <w:szCs w:val="16"/>
              </w:rPr>
              <w:t>The forum and governing law</w:t>
            </w:r>
          </w:p>
        </w:tc>
      </w:tr>
    </w:tbl>
    <w:p w14:paraId="2CCE6E51" w14:textId="77777777" w:rsidR="00E33D27" w:rsidRDefault="00000000">
      <w:pPr>
        <w:spacing w:before="60" w:after="180"/>
      </w:pPr>
      <w:r>
        <w:rPr>
          <w:i/>
          <w:iCs/>
          <w:color w:val="5A6270"/>
          <w:sz w:val="16"/>
          <w:szCs w:val="16"/>
        </w:rPr>
        <w:t>Table 2.5  The fifteen-point IP policy framework. Institutional policies also commonly open with objectives, definitions and applicability, and close with governance and fee schedules.</w:t>
      </w:r>
    </w:p>
    <w:p w14:paraId="066AEA5A" w14:textId="77777777" w:rsidR="00E33D27" w:rsidRDefault="00000000">
      <w:pPr>
        <w:pStyle w:val="Heading3"/>
        <w:keepNext/>
      </w:pPr>
      <w:r>
        <w:t>Clause 1: ownership, the clause everything else depends on</w:t>
      </w:r>
    </w:p>
    <w:p w14:paraId="4EAD38C4" w14:textId="77777777" w:rsidR="00E33D27" w:rsidRDefault="00000000">
      <w:pPr>
        <w:keepNext/>
        <w:spacing w:before="160" w:after="60" w:line="240" w:lineRule="auto"/>
        <w:jc w:val="center"/>
      </w:pPr>
      <w:r>
        <w:rPr>
          <w:noProof/>
        </w:rPr>
        <w:drawing>
          <wp:inline distT="0" distB="0" distL="0" distR="0" wp14:anchorId="266B19A1" wp14:editId="75C2EC68">
            <wp:extent cx="6172200" cy="3771900"/>
            <wp:effectExtent l="0" t="0" r="0" b="0"/>
            <wp:docPr id="1111086483" name="Picture 111108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2200" cy="3771900"/>
                    </a:xfrm>
                    <a:prstGeom prst="rect">
                      <a:avLst/>
                    </a:prstGeom>
                  </pic:spPr>
                </pic:pic>
              </a:graphicData>
            </a:graphic>
          </wp:inline>
        </w:drawing>
      </w:r>
    </w:p>
    <w:p w14:paraId="66678846" w14:textId="77777777" w:rsidR="00E33D27" w:rsidRDefault="00000000">
      <w:pPr>
        <w:spacing w:after="220" w:line="240" w:lineRule="auto"/>
        <w:jc w:val="center"/>
      </w:pPr>
      <w:r>
        <w:rPr>
          <w:i/>
          <w:iCs/>
          <w:color w:val="5A6270"/>
          <w:sz w:val="17"/>
          <w:szCs w:val="17"/>
        </w:rPr>
        <w:t>Figure 2.9  The ownership decision, and the scenarios a policy must name.</w:t>
      </w:r>
    </w:p>
    <w:p w14:paraId="2CE3D3CD" w14:textId="77777777" w:rsidR="00E33D27" w:rsidRDefault="00000000">
      <w:pPr>
        <w:jc w:val="both"/>
      </w:pPr>
      <w:r>
        <w:t xml:space="preserve">The ownership clause is not a single rule but a set of scenarios, and a policy that fails to name one of them creates the dispute it was written to prevent. The principal axis is the use of institutional resources: where there has been no significant use, the creator may own the output; where there has been significant use — laboratory time, instrumentation, funded staff, infrastructure — the institution owns it. Sponsored and collaborative activity is governed by the sponsoring agreement, and the residual question of what happens if the sponsor does not claim </w:t>
      </w:r>
      <w:r>
        <w:lastRenderedPageBreak/>
        <w:t>must be answered expressly, the usual answer being that title reverts to the institution. Collaboration between institute and non-institute personnel requires an allocation between the two institutions before work begins. IP generated during consultancy is a distinct case, because the consultancy agreement may allocate title and licences differently from the research policy. Unprotected IP — know-how, data, material not filed — must still be allocated, because contract and confidentiality can protect it even though no statute does.</w:t>
      </w:r>
    </w:p>
    <w:p w14:paraId="3B41284E" w14:textId="77777777" w:rsidR="00E33D27" w:rsidRDefault="00000000">
      <w:pPr>
        <w:jc w:val="both"/>
      </w:pPr>
      <w:r>
        <w:t>Beyond the classic scenarios sit the ones a modern policy is most often silent about, and the class listed them deliberately: student-created IP; theses and dissertations; examination answer scripts, which are the student's copyright; course material, books, blogs and lecture notes; software and source code; and material generated at institutional events — a technology festival, a cultural festival, a foundation-day lecture, a hackathon. Each of these is an act of authorship or invention occurring on institutional premises, and each needs an express rule.</w:t>
      </w:r>
    </w:p>
    <w:p w14:paraId="4DB40117" w14:textId="77777777" w:rsidR="00E33D27" w:rsidRDefault="00000000">
      <w:pPr>
        <w:pStyle w:val="Heading3"/>
        <w:keepNext/>
      </w:pPr>
      <w:r>
        <w:t>Clauses 2 to 9: disclosure, protection, and the cost of territory</w:t>
      </w:r>
    </w:p>
    <w:p w14:paraId="0D9AB782" w14:textId="77777777" w:rsidR="00E33D27" w:rsidRDefault="00000000">
      <w:pPr>
        <w:jc w:val="both"/>
      </w:pPr>
      <w:r>
        <w:t>Disclosure is the hinge of the whole system, because an institution cannot manage what it does not know about. The clause must state who must disclose, in what form and within what period, and it should distinguish students from employed inventors because their obligations and incentives differ. Confidentiality runs alongside it: the inventor must be barred from publishing before filing, which in an academic environment is the single most frequent cause of lost rights. Assessment follows: a disclosure is evaluated by the IP cell against patentability, freedom to operate, market relevance and cost, and a decision to file or not is taken within a defined time — with the corollary, found in good policies, that if the institution declines to protect, the rights are reassigned to the creator rather than allowed to lapse in limbo.</w:t>
      </w:r>
    </w:p>
    <w:p w14:paraId="037EBC24" w14:textId="77777777" w:rsidR="00E33D27" w:rsidRDefault="00000000">
      <w:pPr>
        <w:jc w:val="both"/>
      </w:pPr>
      <w:r>
        <w:t>Foreign filing is where the money is, and the class figures are the ones to quote. A PCT application preserves the option of entering most jurisdictions and defers the large decision; the national phase is the expensive stage, with translation, local agents and annuities. The practice at one IIT, described in class, is instructive as a model: the institute bears the cost for the first ten years, PCT costs are shared fifty-fifty between institute and inventor, and national-phase expenses are borne by the inventor — with the deliberate consequence that the inventor has a financial stake in the quality and commercial prospects of the family, which discourages vanity filings. The connected policy question, which the class raised and left open, is whether an institution that does not fund the national phase should nonetheless share revenue arising in that jurisdiction; the answer in practice is governed by the NOC or licence negotiated at the time.</w:t>
      </w:r>
    </w:p>
    <w:p w14:paraId="30045040" w14:textId="77777777" w:rsidR="00E33D27" w:rsidRDefault="00000000">
      <w:pPr>
        <w:pStyle w:val="Heading3"/>
        <w:keepNext/>
      </w:pPr>
      <w:r>
        <w:lastRenderedPageBreak/>
        <w:t>Clause 10: revenue sharing, in detail</w:t>
      </w:r>
    </w:p>
    <w:p w14:paraId="3087704E" w14:textId="77777777" w:rsidR="00E33D27" w:rsidRDefault="00000000">
      <w:pPr>
        <w:keepNext/>
        <w:spacing w:before="160" w:after="60" w:line="240" w:lineRule="auto"/>
        <w:jc w:val="center"/>
      </w:pPr>
      <w:r>
        <w:rPr>
          <w:noProof/>
        </w:rPr>
        <w:drawing>
          <wp:inline distT="0" distB="0" distL="0" distR="0" wp14:anchorId="51F45774" wp14:editId="25CBD8C8">
            <wp:extent cx="6172200" cy="3219450"/>
            <wp:effectExtent l="0" t="0" r="0" b="0"/>
            <wp:docPr id="809125384" name="Picture 80912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72200" cy="3219450"/>
                    </a:xfrm>
                    <a:prstGeom prst="rect">
                      <a:avLst/>
                    </a:prstGeom>
                  </pic:spPr>
                </pic:pic>
              </a:graphicData>
            </a:graphic>
          </wp:inline>
        </w:drawing>
      </w:r>
    </w:p>
    <w:p w14:paraId="56EC3DFF" w14:textId="77777777" w:rsidR="00E33D27" w:rsidRDefault="00000000">
      <w:pPr>
        <w:spacing w:after="220" w:line="240" w:lineRule="auto"/>
        <w:jc w:val="center"/>
      </w:pPr>
      <w:r>
        <w:rPr>
          <w:i/>
          <w:iCs/>
          <w:color w:val="5A6270"/>
          <w:sz w:val="17"/>
          <w:szCs w:val="17"/>
        </w:rPr>
        <w:t>Figure 2.10  The models, the hybrid schedule, and the two routes for a spin-out.</w:t>
      </w:r>
    </w:p>
    <w:p w14:paraId="40133B6D" w14:textId="77777777" w:rsidR="00E33D27" w:rsidRDefault="00000000">
      <w:pPr>
        <w:jc w:val="both"/>
      </w:pPr>
      <w:r>
        <w:t>Revenue sharing is the clause stakeholders read first. The models in general use divide net profit between inventor and institution in ratios of 70:30, 60:40 or 50:50. Two refinements matter. The first is the base: policies specify a percentage of net profit, meaning that the costs incurred in creating and maintaining the right — professional fees, official fees, annuities — are deducted before the split, which is why the distinction between net and gross is worth a mark. The second is that the ratio need not be constant. A hybrid model changes across the life of the patent — for instance the first ten years on one model, the next five on another and the last five on a third — reflecting the changing balance of risk and contribution over time. A progressive model varies the share with the level of income, tilting toward the inventor as revenue rises.</w:t>
      </w:r>
    </w:p>
    <w:p w14:paraId="3CDB8BA1" w14:textId="77777777" w:rsidR="00E33D27" w:rsidRDefault="00000000">
      <w:pPr>
        <w:jc w:val="both"/>
      </w:pPr>
      <w:r>
        <w:t>The clause must also survive the inventor's departure and death. Good policies provide expressly that the entitlement continues after graduation, retirement or resignation in respect of revenue arising from IP created during the period of eligibility — the class drafted precisely such a sentence — and that on the inventor's death it passes to heirs. The mechanism is the general law rather than the policy: the patentee's rights vest in the applicant, whose legal representatives may act and take benefit, and devolution is governed by the applicable succession law, which in India differs by personal law and by whether the marriage was under the Special Marriage Act. In copyright the problem is unavoidable because the term runs beyond the author's life, so a will or testamentary instrument should clarify allocation. The policy's correct role is to state that the entitlement passes to legal representatives and heirs as the law of the land provides — it cannot go further.</w:t>
      </w:r>
    </w:p>
    <w:p w14:paraId="4D8880D2" w14:textId="77777777" w:rsidR="00E33D27" w:rsidRDefault="00000000">
      <w:pPr>
        <w:jc w:val="both"/>
      </w:pPr>
      <w:r>
        <w:t xml:space="preserve">Where the inventor forms a start-up, a second route appears. The institution grants a no-objection certificate, and in exchange takes either a revenue share or an equity stake, commonly one, one and a half, two or three per cent. The two are conceptually distinct and must not be conflated: equity is a share in the company and its whole business, whereas revenue sharing is a share in the income from the particular patent. Institutions ordinarily offer the founder the choice, and only after the NOC is issued can the start-up properly proceed. The comparison with private accelerators is instructive — a Shark Tank investor may seek fifty per cent because the investment is the </w:t>
      </w:r>
      <w:r>
        <w:lastRenderedPageBreak/>
        <w:t>business, whereas a publicly funded institute asking two per cent is deliberately not pricing the equity as a financier would.</w:t>
      </w:r>
    </w:p>
    <w:p w14:paraId="08C2D042" w14:textId="77777777" w:rsidR="00E33D27" w:rsidRDefault="00000000">
      <w:pPr>
        <w:pStyle w:val="Heading3"/>
        <w:keepNext/>
      </w:pPr>
      <w:r>
        <w:t>The three institution types compared</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100"/>
        <w:gridCol w:w="2700"/>
        <w:gridCol w:w="2700"/>
        <w:gridCol w:w="2580"/>
      </w:tblGrid>
      <w:tr w:rsidR="00E33D27" w14:paraId="2D7A30E5" w14:textId="77777777">
        <w:tblPrEx>
          <w:tblCellMar>
            <w:top w:w="0" w:type="dxa"/>
            <w:bottom w:w="0" w:type="dxa"/>
          </w:tblCellMar>
        </w:tblPrEx>
        <w:trPr>
          <w:cantSplit/>
          <w:tblHeader/>
        </w:trPr>
        <w:tc>
          <w:tcPr>
            <w:tcW w:w="2100" w:type="dxa"/>
            <w:shd w:val="clear" w:color="auto" w:fill="1F3864"/>
            <w:tcMar>
              <w:top w:w="70" w:type="dxa"/>
              <w:left w:w="110" w:type="dxa"/>
              <w:bottom w:w="70" w:type="dxa"/>
              <w:right w:w="110" w:type="dxa"/>
            </w:tcMar>
            <w:vAlign w:val="center"/>
          </w:tcPr>
          <w:p w14:paraId="34BC30E5" w14:textId="77777777" w:rsidR="00E33D27" w:rsidRDefault="00E33D27">
            <w:pPr>
              <w:spacing w:before="40" w:after="40" w:line="250" w:lineRule="auto"/>
            </w:pPr>
          </w:p>
        </w:tc>
        <w:tc>
          <w:tcPr>
            <w:tcW w:w="2700" w:type="dxa"/>
            <w:shd w:val="clear" w:color="auto" w:fill="1F3864"/>
            <w:tcMar>
              <w:top w:w="70" w:type="dxa"/>
              <w:left w:w="110" w:type="dxa"/>
              <w:bottom w:w="70" w:type="dxa"/>
              <w:right w:w="110" w:type="dxa"/>
            </w:tcMar>
            <w:vAlign w:val="center"/>
          </w:tcPr>
          <w:p w14:paraId="32AC8E85" w14:textId="77777777" w:rsidR="00E33D27" w:rsidRDefault="00000000">
            <w:pPr>
              <w:spacing w:before="40" w:after="40" w:line="250" w:lineRule="auto"/>
            </w:pPr>
            <w:r>
              <w:rPr>
                <w:b/>
                <w:bCs/>
                <w:color w:val="FFFFFF"/>
                <w:sz w:val="17"/>
                <w:szCs w:val="17"/>
              </w:rPr>
              <w:t>Corporation</w:t>
            </w:r>
          </w:p>
        </w:tc>
        <w:tc>
          <w:tcPr>
            <w:tcW w:w="2700" w:type="dxa"/>
            <w:shd w:val="clear" w:color="auto" w:fill="1F3864"/>
            <w:tcMar>
              <w:top w:w="70" w:type="dxa"/>
              <w:left w:w="110" w:type="dxa"/>
              <w:bottom w:w="70" w:type="dxa"/>
              <w:right w:w="110" w:type="dxa"/>
            </w:tcMar>
            <w:vAlign w:val="center"/>
          </w:tcPr>
          <w:p w14:paraId="20E4492D" w14:textId="77777777" w:rsidR="00E33D27" w:rsidRDefault="00000000">
            <w:pPr>
              <w:spacing w:before="40" w:after="40" w:line="250" w:lineRule="auto"/>
            </w:pPr>
            <w:r>
              <w:rPr>
                <w:b/>
                <w:bCs/>
                <w:color w:val="FFFFFF"/>
                <w:sz w:val="17"/>
                <w:szCs w:val="17"/>
              </w:rPr>
              <w:t>University</w:t>
            </w:r>
          </w:p>
        </w:tc>
        <w:tc>
          <w:tcPr>
            <w:tcW w:w="2580" w:type="dxa"/>
            <w:shd w:val="clear" w:color="auto" w:fill="1F3864"/>
            <w:tcMar>
              <w:top w:w="70" w:type="dxa"/>
              <w:left w:w="110" w:type="dxa"/>
              <w:bottom w:w="70" w:type="dxa"/>
              <w:right w:w="110" w:type="dxa"/>
            </w:tcMar>
            <w:vAlign w:val="center"/>
          </w:tcPr>
          <w:p w14:paraId="70D81A69" w14:textId="77777777" w:rsidR="00E33D27" w:rsidRDefault="00000000">
            <w:pPr>
              <w:spacing w:before="40" w:after="40" w:line="250" w:lineRule="auto"/>
            </w:pPr>
            <w:r>
              <w:rPr>
                <w:b/>
                <w:bCs/>
                <w:color w:val="FFFFFF"/>
                <w:sz w:val="17"/>
                <w:szCs w:val="17"/>
              </w:rPr>
              <w:t>Public research organisation</w:t>
            </w:r>
          </w:p>
        </w:tc>
      </w:tr>
      <w:tr w:rsidR="00E33D27" w14:paraId="6F35F3BC" w14:textId="77777777">
        <w:tblPrEx>
          <w:tblCellMar>
            <w:top w:w="0" w:type="dxa"/>
            <w:bottom w:w="0" w:type="dxa"/>
          </w:tblCellMar>
        </w:tblPrEx>
        <w:trPr>
          <w:cantSplit/>
        </w:trPr>
        <w:tc>
          <w:tcPr>
            <w:tcW w:w="2100" w:type="dxa"/>
            <w:shd w:val="clear" w:color="auto" w:fill="F3F4F6"/>
            <w:tcMar>
              <w:top w:w="70" w:type="dxa"/>
              <w:left w:w="110" w:type="dxa"/>
              <w:bottom w:w="70" w:type="dxa"/>
              <w:right w:w="110" w:type="dxa"/>
            </w:tcMar>
            <w:vAlign w:val="center"/>
          </w:tcPr>
          <w:p w14:paraId="43B299AF" w14:textId="77777777" w:rsidR="00E33D27" w:rsidRDefault="00000000">
            <w:pPr>
              <w:spacing w:before="40" w:after="40" w:line="250" w:lineRule="auto"/>
            </w:pPr>
            <w:r>
              <w:rPr>
                <w:b/>
                <w:bCs/>
                <w:sz w:val="15"/>
                <w:szCs w:val="15"/>
              </w:rPr>
              <w:t>Purpose</w:t>
            </w:r>
          </w:p>
        </w:tc>
        <w:tc>
          <w:tcPr>
            <w:tcW w:w="2700" w:type="dxa"/>
            <w:shd w:val="clear" w:color="auto" w:fill="F3F4F6"/>
            <w:tcMar>
              <w:top w:w="70" w:type="dxa"/>
              <w:left w:w="110" w:type="dxa"/>
              <w:bottom w:w="70" w:type="dxa"/>
              <w:right w:w="110" w:type="dxa"/>
            </w:tcMar>
            <w:vAlign w:val="center"/>
          </w:tcPr>
          <w:p w14:paraId="35BE95E8" w14:textId="77777777" w:rsidR="00E33D27" w:rsidRDefault="00000000">
            <w:pPr>
              <w:spacing w:before="40" w:after="40" w:line="250" w:lineRule="auto"/>
            </w:pPr>
            <w:r>
              <w:rPr>
                <w:sz w:val="15"/>
                <w:szCs w:val="15"/>
              </w:rPr>
              <w:t>Appropriated value: wealth for shareholders</w:t>
            </w:r>
          </w:p>
        </w:tc>
        <w:tc>
          <w:tcPr>
            <w:tcW w:w="2700" w:type="dxa"/>
            <w:shd w:val="clear" w:color="auto" w:fill="F3F4F6"/>
            <w:tcMar>
              <w:top w:w="70" w:type="dxa"/>
              <w:left w:w="110" w:type="dxa"/>
              <w:bottom w:w="70" w:type="dxa"/>
              <w:right w:w="110" w:type="dxa"/>
            </w:tcMar>
            <w:vAlign w:val="center"/>
          </w:tcPr>
          <w:p w14:paraId="6B89BC1F" w14:textId="77777777" w:rsidR="00E33D27" w:rsidRDefault="00000000">
            <w:pPr>
              <w:spacing w:before="40" w:after="40" w:line="250" w:lineRule="auto"/>
            </w:pPr>
            <w:r>
              <w:rPr>
                <w:sz w:val="15"/>
                <w:szCs w:val="15"/>
              </w:rPr>
              <w:t>Use of the technology plus a share of value; plus ranking and prestige</w:t>
            </w:r>
          </w:p>
        </w:tc>
        <w:tc>
          <w:tcPr>
            <w:tcW w:w="2580" w:type="dxa"/>
            <w:shd w:val="clear" w:color="auto" w:fill="F3F4F6"/>
            <w:tcMar>
              <w:top w:w="70" w:type="dxa"/>
              <w:left w:w="110" w:type="dxa"/>
              <w:bottom w:w="70" w:type="dxa"/>
              <w:right w:w="110" w:type="dxa"/>
            </w:tcMar>
            <w:vAlign w:val="center"/>
          </w:tcPr>
          <w:p w14:paraId="1E02DF1C" w14:textId="77777777" w:rsidR="00E33D27" w:rsidRDefault="00000000">
            <w:pPr>
              <w:spacing w:before="40" w:after="40" w:line="250" w:lineRule="auto"/>
            </w:pPr>
            <w:r>
              <w:rPr>
                <w:sz w:val="15"/>
                <w:szCs w:val="15"/>
              </w:rPr>
              <w:t>Diffusion into national use, subject to security</w:t>
            </w:r>
          </w:p>
        </w:tc>
      </w:tr>
      <w:tr w:rsidR="00E33D27" w14:paraId="11A98D3F"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vAlign w:val="center"/>
          </w:tcPr>
          <w:p w14:paraId="03D466D7" w14:textId="77777777" w:rsidR="00E33D27" w:rsidRDefault="00000000">
            <w:pPr>
              <w:spacing w:before="40" w:after="40" w:line="250" w:lineRule="auto"/>
            </w:pPr>
            <w:r>
              <w:rPr>
                <w:b/>
                <w:bCs/>
                <w:sz w:val="15"/>
                <w:szCs w:val="15"/>
              </w:rPr>
              <w:t>Applicant</w:t>
            </w:r>
          </w:p>
        </w:tc>
        <w:tc>
          <w:tcPr>
            <w:tcW w:w="2700" w:type="dxa"/>
            <w:shd w:val="clear" w:color="auto" w:fill="FFFFFF"/>
            <w:tcMar>
              <w:top w:w="70" w:type="dxa"/>
              <w:left w:w="110" w:type="dxa"/>
              <w:bottom w:w="70" w:type="dxa"/>
              <w:right w:w="110" w:type="dxa"/>
            </w:tcMar>
            <w:vAlign w:val="center"/>
          </w:tcPr>
          <w:p w14:paraId="0679FD2E" w14:textId="77777777" w:rsidR="00E33D27" w:rsidRDefault="00000000">
            <w:pPr>
              <w:spacing w:before="40" w:after="40" w:line="250" w:lineRule="auto"/>
            </w:pPr>
            <w:r>
              <w:rPr>
                <w:sz w:val="15"/>
                <w:szCs w:val="15"/>
              </w:rPr>
              <w:t>The company; inventors are not made applicants</w:t>
            </w:r>
          </w:p>
        </w:tc>
        <w:tc>
          <w:tcPr>
            <w:tcW w:w="2700" w:type="dxa"/>
            <w:shd w:val="clear" w:color="auto" w:fill="FFFFFF"/>
            <w:tcMar>
              <w:top w:w="70" w:type="dxa"/>
              <w:left w:w="110" w:type="dxa"/>
              <w:bottom w:w="70" w:type="dxa"/>
              <w:right w:w="110" w:type="dxa"/>
            </w:tcMar>
            <w:vAlign w:val="center"/>
          </w:tcPr>
          <w:p w14:paraId="10F29499" w14:textId="77777777" w:rsidR="00E33D27" w:rsidRDefault="00000000">
            <w:pPr>
              <w:spacing w:before="40" w:after="40" w:line="250" w:lineRule="auto"/>
            </w:pPr>
            <w:r>
              <w:rPr>
                <w:sz w:val="15"/>
                <w:szCs w:val="15"/>
              </w:rPr>
              <w:t>The institution</w:t>
            </w:r>
          </w:p>
        </w:tc>
        <w:tc>
          <w:tcPr>
            <w:tcW w:w="2580" w:type="dxa"/>
            <w:shd w:val="clear" w:color="auto" w:fill="FFFFFF"/>
            <w:tcMar>
              <w:top w:w="70" w:type="dxa"/>
              <w:left w:w="110" w:type="dxa"/>
              <w:bottom w:w="70" w:type="dxa"/>
              <w:right w:w="110" w:type="dxa"/>
            </w:tcMar>
            <w:vAlign w:val="center"/>
          </w:tcPr>
          <w:p w14:paraId="453B5E9D" w14:textId="77777777" w:rsidR="00E33D27" w:rsidRDefault="00000000">
            <w:pPr>
              <w:spacing w:before="40" w:after="40" w:line="250" w:lineRule="auto"/>
            </w:pPr>
            <w:r>
              <w:rPr>
                <w:sz w:val="15"/>
                <w:szCs w:val="15"/>
              </w:rPr>
              <w:t>The organisation</w:t>
            </w:r>
          </w:p>
        </w:tc>
      </w:tr>
      <w:tr w:rsidR="00E33D27" w14:paraId="4C91694C" w14:textId="77777777">
        <w:tblPrEx>
          <w:tblCellMar>
            <w:top w:w="0" w:type="dxa"/>
            <w:bottom w:w="0" w:type="dxa"/>
          </w:tblCellMar>
        </w:tblPrEx>
        <w:trPr>
          <w:cantSplit/>
        </w:trPr>
        <w:tc>
          <w:tcPr>
            <w:tcW w:w="2100" w:type="dxa"/>
            <w:shd w:val="clear" w:color="auto" w:fill="F3F4F6"/>
            <w:tcMar>
              <w:top w:w="70" w:type="dxa"/>
              <w:left w:w="110" w:type="dxa"/>
              <w:bottom w:w="70" w:type="dxa"/>
              <w:right w:w="110" w:type="dxa"/>
            </w:tcMar>
            <w:vAlign w:val="center"/>
          </w:tcPr>
          <w:p w14:paraId="309C660E" w14:textId="77777777" w:rsidR="00E33D27" w:rsidRDefault="00000000">
            <w:pPr>
              <w:spacing w:before="40" w:after="40" w:line="250" w:lineRule="auto"/>
            </w:pPr>
            <w:r>
              <w:rPr>
                <w:b/>
                <w:bCs/>
                <w:sz w:val="15"/>
                <w:szCs w:val="15"/>
              </w:rPr>
              <w:t>Inventor's share</w:t>
            </w:r>
          </w:p>
        </w:tc>
        <w:tc>
          <w:tcPr>
            <w:tcW w:w="2700" w:type="dxa"/>
            <w:shd w:val="clear" w:color="auto" w:fill="F3F4F6"/>
            <w:tcMar>
              <w:top w:w="70" w:type="dxa"/>
              <w:left w:w="110" w:type="dxa"/>
              <w:bottom w:w="70" w:type="dxa"/>
              <w:right w:w="110" w:type="dxa"/>
            </w:tcMar>
            <w:vAlign w:val="center"/>
          </w:tcPr>
          <w:p w14:paraId="7B03FB74" w14:textId="77777777" w:rsidR="00E33D27" w:rsidRDefault="00000000">
            <w:pPr>
              <w:spacing w:before="40" w:after="40" w:line="250" w:lineRule="auto"/>
            </w:pPr>
            <w:r>
              <w:rPr>
                <w:sz w:val="15"/>
                <w:szCs w:val="15"/>
              </w:rPr>
              <w:t>Usually no revenue share at all — honorarium, awards, bonus, foreign trips, inventor-of-the-year recognition</w:t>
            </w:r>
          </w:p>
        </w:tc>
        <w:tc>
          <w:tcPr>
            <w:tcW w:w="2700" w:type="dxa"/>
            <w:shd w:val="clear" w:color="auto" w:fill="F3F4F6"/>
            <w:tcMar>
              <w:top w:w="70" w:type="dxa"/>
              <w:left w:w="110" w:type="dxa"/>
              <w:bottom w:w="70" w:type="dxa"/>
              <w:right w:w="110" w:type="dxa"/>
            </w:tcMar>
            <w:vAlign w:val="center"/>
          </w:tcPr>
          <w:p w14:paraId="62D27F35" w14:textId="77777777" w:rsidR="00E33D27" w:rsidRDefault="00000000">
            <w:pPr>
              <w:spacing w:before="40" w:after="40" w:line="250" w:lineRule="auto"/>
            </w:pPr>
            <w:r>
              <w:rPr>
                <w:sz w:val="15"/>
                <w:szCs w:val="15"/>
              </w:rPr>
              <w:t>Substantial: commonly 70:30 net in favour of the inventor at IIT Bombay and IIT Delhi</w:t>
            </w:r>
          </w:p>
        </w:tc>
        <w:tc>
          <w:tcPr>
            <w:tcW w:w="2580" w:type="dxa"/>
            <w:shd w:val="clear" w:color="auto" w:fill="F3F4F6"/>
            <w:tcMar>
              <w:top w:w="70" w:type="dxa"/>
              <w:left w:w="110" w:type="dxa"/>
              <w:bottom w:w="70" w:type="dxa"/>
              <w:right w:w="110" w:type="dxa"/>
            </w:tcMar>
            <w:vAlign w:val="center"/>
          </w:tcPr>
          <w:p w14:paraId="40670E03" w14:textId="77777777" w:rsidR="00E33D27" w:rsidRDefault="00000000">
            <w:pPr>
              <w:spacing w:before="40" w:after="40" w:line="250" w:lineRule="auto"/>
            </w:pPr>
            <w:r>
              <w:rPr>
                <w:sz w:val="15"/>
                <w:szCs w:val="15"/>
              </w:rPr>
              <w:t>Tilted toward the organisation — commonly around 50:50 — because the scientist is paid to research full time</w:t>
            </w:r>
          </w:p>
        </w:tc>
      </w:tr>
      <w:tr w:rsidR="00E33D27" w14:paraId="3C0B569A"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vAlign w:val="center"/>
          </w:tcPr>
          <w:p w14:paraId="01816B25" w14:textId="77777777" w:rsidR="00E33D27" w:rsidRDefault="00000000">
            <w:pPr>
              <w:spacing w:before="40" w:after="40" w:line="250" w:lineRule="auto"/>
            </w:pPr>
            <w:r>
              <w:rPr>
                <w:b/>
                <w:bCs/>
                <w:sz w:val="15"/>
                <w:szCs w:val="15"/>
              </w:rPr>
              <w:t>Policy direction</w:t>
            </w:r>
          </w:p>
        </w:tc>
        <w:tc>
          <w:tcPr>
            <w:tcW w:w="2700" w:type="dxa"/>
            <w:shd w:val="clear" w:color="auto" w:fill="FFFFFF"/>
            <w:tcMar>
              <w:top w:w="70" w:type="dxa"/>
              <w:left w:w="110" w:type="dxa"/>
              <w:bottom w:w="70" w:type="dxa"/>
              <w:right w:w="110" w:type="dxa"/>
            </w:tcMar>
            <w:vAlign w:val="center"/>
          </w:tcPr>
          <w:p w14:paraId="5CF81872" w14:textId="77777777" w:rsidR="00E33D27" w:rsidRDefault="00000000">
            <w:pPr>
              <w:spacing w:before="40" w:after="40" w:line="250" w:lineRule="auto"/>
            </w:pPr>
            <w:r>
              <w:rPr>
                <w:sz w:val="15"/>
                <w:szCs w:val="15"/>
              </w:rPr>
              <w:t>Predominantly top-down; clauses change weekly</w:t>
            </w:r>
          </w:p>
        </w:tc>
        <w:tc>
          <w:tcPr>
            <w:tcW w:w="2700" w:type="dxa"/>
            <w:shd w:val="clear" w:color="auto" w:fill="FFFFFF"/>
            <w:tcMar>
              <w:top w:w="70" w:type="dxa"/>
              <w:left w:w="110" w:type="dxa"/>
              <w:bottom w:w="70" w:type="dxa"/>
              <w:right w:w="110" w:type="dxa"/>
            </w:tcMar>
            <w:vAlign w:val="center"/>
          </w:tcPr>
          <w:p w14:paraId="34CEBB7C" w14:textId="77777777" w:rsidR="00E33D27" w:rsidRDefault="00000000">
            <w:pPr>
              <w:spacing w:before="40" w:after="40" w:line="250" w:lineRule="auto"/>
            </w:pPr>
            <w:r>
              <w:rPr>
                <w:sz w:val="15"/>
                <w:szCs w:val="15"/>
              </w:rPr>
              <w:t>Predominantly bottom-up for ownership and revenue; top-down for compliance</w:t>
            </w:r>
          </w:p>
        </w:tc>
        <w:tc>
          <w:tcPr>
            <w:tcW w:w="2580" w:type="dxa"/>
            <w:shd w:val="clear" w:color="auto" w:fill="FFFFFF"/>
            <w:tcMar>
              <w:top w:w="70" w:type="dxa"/>
              <w:left w:w="110" w:type="dxa"/>
              <w:bottom w:w="70" w:type="dxa"/>
              <w:right w:w="110" w:type="dxa"/>
            </w:tcMar>
            <w:vAlign w:val="center"/>
          </w:tcPr>
          <w:p w14:paraId="79FB62D4" w14:textId="77777777" w:rsidR="00E33D27" w:rsidRDefault="00000000">
            <w:pPr>
              <w:spacing w:before="40" w:after="40" w:line="250" w:lineRule="auto"/>
            </w:pPr>
            <w:r>
              <w:rPr>
                <w:sz w:val="15"/>
                <w:szCs w:val="15"/>
              </w:rPr>
              <w:t>Mixed, with statutory and security constraints</w:t>
            </w:r>
          </w:p>
        </w:tc>
      </w:tr>
      <w:tr w:rsidR="00E33D27" w14:paraId="37F30D7B" w14:textId="77777777">
        <w:tblPrEx>
          <w:tblCellMar>
            <w:top w:w="0" w:type="dxa"/>
            <w:bottom w:w="0" w:type="dxa"/>
          </w:tblCellMar>
        </w:tblPrEx>
        <w:trPr>
          <w:cantSplit/>
        </w:trPr>
        <w:tc>
          <w:tcPr>
            <w:tcW w:w="2100" w:type="dxa"/>
            <w:shd w:val="clear" w:color="auto" w:fill="F3F4F6"/>
            <w:tcMar>
              <w:top w:w="70" w:type="dxa"/>
              <w:left w:w="110" w:type="dxa"/>
              <w:bottom w:w="70" w:type="dxa"/>
              <w:right w:w="110" w:type="dxa"/>
            </w:tcMar>
            <w:vAlign w:val="center"/>
          </w:tcPr>
          <w:p w14:paraId="1A0627E4" w14:textId="77777777" w:rsidR="00E33D27" w:rsidRDefault="00000000">
            <w:pPr>
              <w:spacing w:before="40" w:after="40" w:line="250" w:lineRule="auto"/>
            </w:pPr>
            <w:r>
              <w:rPr>
                <w:b/>
                <w:bCs/>
                <w:sz w:val="15"/>
                <w:szCs w:val="15"/>
              </w:rPr>
              <w:t>Start-ups by creators</w:t>
            </w:r>
          </w:p>
        </w:tc>
        <w:tc>
          <w:tcPr>
            <w:tcW w:w="2700" w:type="dxa"/>
            <w:shd w:val="clear" w:color="auto" w:fill="F3F4F6"/>
            <w:tcMar>
              <w:top w:w="70" w:type="dxa"/>
              <w:left w:w="110" w:type="dxa"/>
              <w:bottom w:w="70" w:type="dxa"/>
              <w:right w:w="110" w:type="dxa"/>
            </w:tcMar>
            <w:vAlign w:val="center"/>
          </w:tcPr>
          <w:p w14:paraId="7935166A" w14:textId="77777777" w:rsidR="00E33D27" w:rsidRDefault="00000000">
            <w:pPr>
              <w:spacing w:before="40" w:after="40" w:line="250" w:lineRule="auto"/>
            </w:pPr>
            <w:r>
              <w:rPr>
                <w:sz w:val="15"/>
                <w:szCs w:val="15"/>
              </w:rPr>
              <w:t>Generally barred or tightly controlled by employment terms</w:t>
            </w:r>
          </w:p>
        </w:tc>
        <w:tc>
          <w:tcPr>
            <w:tcW w:w="2700" w:type="dxa"/>
            <w:shd w:val="clear" w:color="auto" w:fill="F3F4F6"/>
            <w:tcMar>
              <w:top w:w="70" w:type="dxa"/>
              <w:left w:w="110" w:type="dxa"/>
              <w:bottom w:w="70" w:type="dxa"/>
              <w:right w:w="110" w:type="dxa"/>
            </w:tcMar>
            <w:vAlign w:val="center"/>
          </w:tcPr>
          <w:p w14:paraId="04A9D061" w14:textId="77777777" w:rsidR="00E33D27" w:rsidRDefault="00000000">
            <w:pPr>
              <w:spacing w:before="40" w:after="40" w:line="250" w:lineRule="auto"/>
            </w:pPr>
            <w:r>
              <w:rPr>
                <w:sz w:val="15"/>
                <w:szCs w:val="15"/>
              </w:rPr>
              <w:t>Permitted with an NOC, equity or revenue election</w:t>
            </w:r>
          </w:p>
        </w:tc>
        <w:tc>
          <w:tcPr>
            <w:tcW w:w="2580" w:type="dxa"/>
            <w:shd w:val="clear" w:color="auto" w:fill="F3F4F6"/>
            <w:tcMar>
              <w:top w:w="70" w:type="dxa"/>
              <w:left w:w="110" w:type="dxa"/>
              <w:bottom w:w="70" w:type="dxa"/>
              <w:right w:w="110" w:type="dxa"/>
            </w:tcMar>
            <w:vAlign w:val="center"/>
          </w:tcPr>
          <w:p w14:paraId="01ABD410" w14:textId="77777777" w:rsidR="00E33D27" w:rsidRDefault="00000000">
            <w:pPr>
              <w:spacing w:before="40" w:after="40" w:line="250" w:lineRule="auto"/>
            </w:pPr>
            <w:r>
              <w:rPr>
                <w:sz w:val="15"/>
                <w:szCs w:val="15"/>
              </w:rPr>
              <w:t>Often restricted or not permitted at all in some organisations</w:t>
            </w:r>
          </w:p>
        </w:tc>
      </w:tr>
      <w:tr w:rsidR="00E33D27" w14:paraId="30E9EBCD"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vAlign w:val="center"/>
          </w:tcPr>
          <w:p w14:paraId="0258ECD9" w14:textId="77777777" w:rsidR="00E33D27" w:rsidRDefault="00000000">
            <w:pPr>
              <w:spacing w:before="40" w:after="40" w:line="250" w:lineRule="auto"/>
            </w:pPr>
            <w:r>
              <w:rPr>
                <w:b/>
                <w:bCs/>
                <w:sz w:val="15"/>
                <w:szCs w:val="15"/>
              </w:rPr>
              <w:t>Motivation instrument</w:t>
            </w:r>
          </w:p>
        </w:tc>
        <w:tc>
          <w:tcPr>
            <w:tcW w:w="2700" w:type="dxa"/>
            <w:shd w:val="clear" w:color="auto" w:fill="FFFFFF"/>
            <w:tcMar>
              <w:top w:w="70" w:type="dxa"/>
              <w:left w:w="110" w:type="dxa"/>
              <w:bottom w:w="70" w:type="dxa"/>
              <w:right w:w="110" w:type="dxa"/>
            </w:tcMar>
            <w:vAlign w:val="center"/>
          </w:tcPr>
          <w:p w14:paraId="2882FE0D" w14:textId="77777777" w:rsidR="00E33D27" w:rsidRDefault="00000000">
            <w:pPr>
              <w:spacing w:before="40" w:after="40" w:line="250" w:lineRule="auto"/>
            </w:pPr>
            <w:r>
              <w:rPr>
                <w:sz w:val="15"/>
                <w:szCs w:val="15"/>
              </w:rPr>
              <w:t>Culture: tolerance of failure, recognition, career</w:t>
            </w:r>
          </w:p>
        </w:tc>
        <w:tc>
          <w:tcPr>
            <w:tcW w:w="2700" w:type="dxa"/>
            <w:shd w:val="clear" w:color="auto" w:fill="FFFFFF"/>
            <w:tcMar>
              <w:top w:w="70" w:type="dxa"/>
              <w:left w:w="110" w:type="dxa"/>
              <w:bottom w:w="70" w:type="dxa"/>
              <w:right w:w="110" w:type="dxa"/>
            </w:tcMar>
            <w:vAlign w:val="center"/>
          </w:tcPr>
          <w:p w14:paraId="4458FB90" w14:textId="77777777" w:rsidR="00E33D27" w:rsidRDefault="00000000">
            <w:pPr>
              <w:spacing w:before="40" w:after="40" w:line="250" w:lineRule="auto"/>
            </w:pPr>
            <w:r>
              <w:rPr>
                <w:sz w:val="15"/>
                <w:szCs w:val="15"/>
              </w:rPr>
              <w:t>Financial share plus academic credit and publication</w:t>
            </w:r>
          </w:p>
        </w:tc>
        <w:tc>
          <w:tcPr>
            <w:tcW w:w="2580" w:type="dxa"/>
            <w:shd w:val="clear" w:color="auto" w:fill="FFFFFF"/>
            <w:tcMar>
              <w:top w:w="70" w:type="dxa"/>
              <w:left w:w="110" w:type="dxa"/>
              <w:bottom w:w="70" w:type="dxa"/>
              <w:right w:w="110" w:type="dxa"/>
            </w:tcMar>
            <w:vAlign w:val="center"/>
          </w:tcPr>
          <w:p w14:paraId="24B78EB1" w14:textId="77777777" w:rsidR="00E33D27" w:rsidRDefault="00000000">
            <w:pPr>
              <w:spacing w:before="40" w:after="40" w:line="250" w:lineRule="auto"/>
            </w:pPr>
            <w:r>
              <w:rPr>
                <w:sz w:val="15"/>
                <w:szCs w:val="15"/>
              </w:rPr>
              <w:t>Recognition, promotion and national contribution</w:t>
            </w:r>
          </w:p>
        </w:tc>
      </w:tr>
    </w:tbl>
    <w:p w14:paraId="1907E69A" w14:textId="77777777" w:rsidR="00E33D27" w:rsidRDefault="00000000">
      <w:pPr>
        <w:spacing w:before="60" w:after="180"/>
      </w:pPr>
      <w:r>
        <w:rPr>
          <w:i/>
          <w:iCs/>
          <w:color w:val="5A6270"/>
          <w:sz w:val="16"/>
          <w:szCs w:val="16"/>
        </w:rPr>
        <w:t>Table 2.6  One clause, three institutions, three different answers. This table is the direct answer to the syllabus heading.</w:t>
      </w:r>
    </w:p>
    <w:p w14:paraId="5F264E3A" w14:textId="77777777" w:rsidR="00E33D27" w:rsidRDefault="00000000">
      <w:pPr>
        <w:jc w:val="both"/>
      </w:pPr>
      <w:r>
        <w:t>The corporate position on inventors deserves a sentence of explanation because it looks unfair and is not accidental. A company cannot grant inventors a revenue entitlement without creating an open-ended, unpredictable liability across tens of thousands of assets, so it substitutes recognition, honoraria, bonuses, awards and visibility — which, as the class noted, works particularly well with young inventors and costs little. Employment terms are correspondingly tight, and tighter still where trade secrets are involved, with service contracts providing that any work done in the period belongs to the company.</w:t>
      </w:r>
    </w:p>
    <w:p w14:paraId="5B93EE52" w14:textId="77777777" w:rsidR="00E33D27" w:rsidRDefault="00000000">
      <w:pPr>
        <w:pStyle w:val="Heading3"/>
        <w:keepNext/>
      </w:pPr>
      <w:r>
        <w:t>Employee inventions: the comparative frame</w:t>
      </w:r>
    </w:p>
    <w:p w14:paraId="552AA52B" w14:textId="77777777" w:rsidR="00E33D27" w:rsidRDefault="00000000">
      <w:pPr>
        <w:jc w:val="both"/>
      </w:pPr>
      <w:r>
        <w:t>Whether an institution can write the ownership clause it wants depends on the background law of employee inventions, and this differs fundamentally across jurisdictions. This is gap-filling material that the syllabus heading requires, because a policy is only as good as the statute it operates against.</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1900"/>
        <w:gridCol w:w="4100"/>
        <w:gridCol w:w="4080"/>
      </w:tblGrid>
      <w:tr w:rsidR="00E33D27" w14:paraId="654D10F6" w14:textId="77777777">
        <w:tblPrEx>
          <w:tblCellMar>
            <w:top w:w="0" w:type="dxa"/>
            <w:bottom w:w="0" w:type="dxa"/>
          </w:tblCellMar>
        </w:tblPrEx>
        <w:trPr>
          <w:cantSplit/>
          <w:tblHeader/>
        </w:trPr>
        <w:tc>
          <w:tcPr>
            <w:tcW w:w="1900" w:type="dxa"/>
            <w:shd w:val="clear" w:color="auto" w:fill="1F3864"/>
            <w:tcMar>
              <w:top w:w="70" w:type="dxa"/>
              <w:left w:w="110" w:type="dxa"/>
              <w:bottom w:w="70" w:type="dxa"/>
              <w:right w:w="110" w:type="dxa"/>
            </w:tcMar>
            <w:vAlign w:val="center"/>
          </w:tcPr>
          <w:p w14:paraId="600F333E" w14:textId="77777777" w:rsidR="00E33D27" w:rsidRDefault="00000000">
            <w:pPr>
              <w:spacing w:before="40" w:after="40" w:line="250" w:lineRule="auto"/>
            </w:pPr>
            <w:r>
              <w:rPr>
                <w:b/>
                <w:bCs/>
                <w:color w:val="FFFFFF"/>
                <w:sz w:val="17"/>
                <w:szCs w:val="17"/>
              </w:rPr>
              <w:t>Jurisdiction</w:t>
            </w:r>
          </w:p>
        </w:tc>
        <w:tc>
          <w:tcPr>
            <w:tcW w:w="4100" w:type="dxa"/>
            <w:shd w:val="clear" w:color="auto" w:fill="1F3864"/>
            <w:tcMar>
              <w:top w:w="70" w:type="dxa"/>
              <w:left w:w="110" w:type="dxa"/>
              <w:bottom w:w="70" w:type="dxa"/>
              <w:right w:w="110" w:type="dxa"/>
            </w:tcMar>
            <w:vAlign w:val="center"/>
          </w:tcPr>
          <w:p w14:paraId="422DBC72" w14:textId="77777777" w:rsidR="00E33D27" w:rsidRDefault="00000000">
            <w:pPr>
              <w:spacing w:before="40" w:after="40" w:line="250" w:lineRule="auto"/>
            </w:pPr>
            <w:r>
              <w:rPr>
                <w:b/>
                <w:bCs/>
                <w:color w:val="FFFFFF"/>
                <w:sz w:val="17"/>
                <w:szCs w:val="17"/>
              </w:rPr>
              <w:t>Default rule</w:t>
            </w:r>
          </w:p>
        </w:tc>
        <w:tc>
          <w:tcPr>
            <w:tcW w:w="4080" w:type="dxa"/>
            <w:shd w:val="clear" w:color="auto" w:fill="1F3864"/>
            <w:tcMar>
              <w:top w:w="70" w:type="dxa"/>
              <w:left w:w="110" w:type="dxa"/>
              <w:bottom w:w="70" w:type="dxa"/>
              <w:right w:w="110" w:type="dxa"/>
            </w:tcMar>
            <w:vAlign w:val="center"/>
          </w:tcPr>
          <w:p w14:paraId="6FA342F8" w14:textId="77777777" w:rsidR="00E33D27" w:rsidRDefault="00000000">
            <w:pPr>
              <w:spacing w:before="40" w:after="40" w:line="250" w:lineRule="auto"/>
            </w:pPr>
            <w:r>
              <w:rPr>
                <w:b/>
                <w:bCs/>
                <w:color w:val="FFFFFF"/>
                <w:sz w:val="17"/>
                <w:szCs w:val="17"/>
              </w:rPr>
              <w:t>Consequence for policy drafting</w:t>
            </w:r>
          </w:p>
        </w:tc>
      </w:tr>
      <w:tr w:rsidR="00E33D27" w14:paraId="029CC7C0" w14:textId="77777777">
        <w:tblPrEx>
          <w:tblCellMar>
            <w:top w:w="0" w:type="dxa"/>
            <w:bottom w:w="0" w:type="dxa"/>
          </w:tblCellMar>
        </w:tblPrEx>
        <w:trPr>
          <w:cantSplit/>
        </w:trPr>
        <w:tc>
          <w:tcPr>
            <w:tcW w:w="1900" w:type="dxa"/>
            <w:shd w:val="clear" w:color="auto" w:fill="F3F4F6"/>
            <w:tcMar>
              <w:top w:w="70" w:type="dxa"/>
              <w:left w:w="110" w:type="dxa"/>
              <w:bottom w:w="70" w:type="dxa"/>
              <w:right w:w="110" w:type="dxa"/>
            </w:tcMar>
            <w:vAlign w:val="center"/>
          </w:tcPr>
          <w:p w14:paraId="5890AAB9" w14:textId="77777777" w:rsidR="00E33D27" w:rsidRDefault="00000000">
            <w:pPr>
              <w:spacing w:before="40" w:after="40" w:line="250" w:lineRule="auto"/>
            </w:pPr>
            <w:r>
              <w:rPr>
                <w:b/>
                <w:bCs/>
                <w:sz w:val="15"/>
                <w:szCs w:val="15"/>
              </w:rPr>
              <w:t>United States</w:t>
            </w:r>
          </w:p>
        </w:tc>
        <w:tc>
          <w:tcPr>
            <w:tcW w:w="4100" w:type="dxa"/>
            <w:shd w:val="clear" w:color="auto" w:fill="F3F4F6"/>
            <w:tcMar>
              <w:top w:w="70" w:type="dxa"/>
              <w:left w:w="110" w:type="dxa"/>
              <w:bottom w:w="70" w:type="dxa"/>
              <w:right w:w="110" w:type="dxa"/>
            </w:tcMar>
            <w:vAlign w:val="center"/>
          </w:tcPr>
          <w:p w14:paraId="40F250A0" w14:textId="77777777" w:rsidR="00E33D27" w:rsidRDefault="00000000">
            <w:pPr>
              <w:spacing w:before="40" w:after="40" w:line="250" w:lineRule="auto"/>
            </w:pPr>
            <w:r>
              <w:rPr>
                <w:sz w:val="15"/>
                <w:szCs w:val="15"/>
              </w:rPr>
              <w:t>Ownership by contract: pre-invention assignment agreements. Gaps are filled by the hired-to-invent doctrine, under which an employee engaged specifically to invent must assign, and by shop rights, giving the employer a non-exclusive royalty-free licence where the employer's resources were used</w:t>
            </w:r>
          </w:p>
        </w:tc>
        <w:tc>
          <w:tcPr>
            <w:tcW w:w="4080" w:type="dxa"/>
            <w:shd w:val="clear" w:color="auto" w:fill="F3F4F6"/>
            <w:tcMar>
              <w:top w:w="70" w:type="dxa"/>
              <w:left w:w="110" w:type="dxa"/>
              <w:bottom w:w="70" w:type="dxa"/>
              <w:right w:w="110" w:type="dxa"/>
            </w:tcMar>
            <w:vAlign w:val="center"/>
          </w:tcPr>
          <w:p w14:paraId="2B0BE6AA" w14:textId="77777777" w:rsidR="00E33D27" w:rsidRDefault="00000000">
            <w:pPr>
              <w:spacing w:before="40" w:after="40" w:line="250" w:lineRule="auto"/>
            </w:pPr>
            <w:r>
              <w:rPr>
                <w:sz w:val="15"/>
                <w:szCs w:val="15"/>
              </w:rPr>
              <w:t>Low friction. The policy can simply require assignment, and the practical task is documentation and chain of title</w:t>
            </w:r>
          </w:p>
        </w:tc>
      </w:tr>
      <w:tr w:rsidR="00E33D27" w14:paraId="4D7D459A" w14:textId="77777777">
        <w:tblPrEx>
          <w:tblCellMar>
            <w:top w:w="0" w:type="dxa"/>
            <w:bottom w:w="0" w:type="dxa"/>
          </w:tblCellMar>
        </w:tblPrEx>
        <w:trPr>
          <w:cantSplit/>
        </w:trPr>
        <w:tc>
          <w:tcPr>
            <w:tcW w:w="1900" w:type="dxa"/>
            <w:shd w:val="clear" w:color="auto" w:fill="FFFFFF"/>
            <w:tcMar>
              <w:top w:w="70" w:type="dxa"/>
              <w:left w:w="110" w:type="dxa"/>
              <w:bottom w:w="70" w:type="dxa"/>
              <w:right w:w="110" w:type="dxa"/>
            </w:tcMar>
            <w:vAlign w:val="center"/>
          </w:tcPr>
          <w:p w14:paraId="53A7C8DF" w14:textId="77777777" w:rsidR="00E33D27" w:rsidRDefault="00000000">
            <w:pPr>
              <w:spacing w:before="40" w:after="40" w:line="250" w:lineRule="auto"/>
            </w:pPr>
            <w:r>
              <w:rPr>
                <w:b/>
                <w:bCs/>
                <w:sz w:val="15"/>
                <w:szCs w:val="15"/>
              </w:rPr>
              <w:t>Germany and much of the EU</w:t>
            </w:r>
          </w:p>
        </w:tc>
        <w:tc>
          <w:tcPr>
            <w:tcW w:w="4100" w:type="dxa"/>
            <w:shd w:val="clear" w:color="auto" w:fill="FFFFFF"/>
            <w:tcMar>
              <w:top w:w="70" w:type="dxa"/>
              <w:left w:w="110" w:type="dxa"/>
              <w:bottom w:w="70" w:type="dxa"/>
              <w:right w:w="110" w:type="dxa"/>
            </w:tcMar>
            <w:vAlign w:val="center"/>
          </w:tcPr>
          <w:p w14:paraId="66D1EEB9" w14:textId="77777777" w:rsidR="00E33D27" w:rsidRDefault="00000000">
            <w:pPr>
              <w:spacing w:before="40" w:after="40" w:line="250" w:lineRule="auto"/>
            </w:pPr>
            <w:r>
              <w:rPr>
                <w:sz w:val="15"/>
                <w:szCs w:val="15"/>
              </w:rPr>
              <w:t>Statutory inventor ownership initially, under the Arbeitnehmererfindungsgesetz. The employee must notify the employer; if the employer does not release the invention within four months of proper notification it is deemed claimed and rights pass automatically. The employee then has a non-waivable right to reasonable remuneration under Federal Ministry guidelines, with disputes going first to arbitration at the German Patent and Trade Mark Office</w:t>
            </w:r>
          </w:p>
        </w:tc>
        <w:tc>
          <w:tcPr>
            <w:tcW w:w="4080" w:type="dxa"/>
            <w:shd w:val="clear" w:color="auto" w:fill="FFFFFF"/>
            <w:tcMar>
              <w:top w:w="70" w:type="dxa"/>
              <w:left w:w="110" w:type="dxa"/>
              <w:bottom w:w="70" w:type="dxa"/>
              <w:right w:w="110" w:type="dxa"/>
            </w:tcMar>
            <w:vAlign w:val="center"/>
          </w:tcPr>
          <w:p w14:paraId="1EC02CA4" w14:textId="77777777" w:rsidR="00E33D27" w:rsidRDefault="00000000">
            <w:pPr>
              <w:spacing w:before="40" w:after="40" w:line="250" w:lineRule="auto"/>
            </w:pPr>
            <w:r>
              <w:rPr>
                <w:sz w:val="15"/>
                <w:szCs w:val="15"/>
              </w:rPr>
              <w:t>High procedural burden and a real royalty cost line. Section 42 gives university inventors 30% of GROSS licensing income — note gross, not net, which is markedly more generous than Indian net-profit models</w:t>
            </w:r>
          </w:p>
        </w:tc>
      </w:tr>
      <w:tr w:rsidR="00E33D27" w14:paraId="63AF49AC" w14:textId="77777777">
        <w:tblPrEx>
          <w:tblCellMar>
            <w:top w:w="0" w:type="dxa"/>
            <w:bottom w:w="0" w:type="dxa"/>
          </w:tblCellMar>
        </w:tblPrEx>
        <w:trPr>
          <w:cantSplit/>
        </w:trPr>
        <w:tc>
          <w:tcPr>
            <w:tcW w:w="1900" w:type="dxa"/>
            <w:shd w:val="clear" w:color="auto" w:fill="F3F4F6"/>
            <w:tcMar>
              <w:top w:w="70" w:type="dxa"/>
              <w:left w:w="110" w:type="dxa"/>
              <w:bottom w:w="70" w:type="dxa"/>
              <w:right w:w="110" w:type="dxa"/>
            </w:tcMar>
            <w:vAlign w:val="center"/>
          </w:tcPr>
          <w:p w14:paraId="59E3FD5C" w14:textId="77777777" w:rsidR="00E33D27" w:rsidRDefault="00000000">
            <w:pPr>
              <w:spacing w:before="40" w:after="40" w:line="250" w:lineRule="auto"/>
            </w:pPr>
            <w:r>
              <w:rPr>
                <w:b/>
                <w:bCs/>
                <w:sz w:val="15"/>
                <w:szCs w:val="15"/>
              </w:rPr>
              <w:lastRenderedPageBreak/>
              <w:t>Japan</w:t>
            </w:r>
          </w:p>
        </w:tc>
        <w:tc>
          <w:tcPr>
            <w:tcW w:w="4100" w:type="dxa"/>
            <w:shd w:val="clear" w:color="auto" w:fill="F3F4F6"/>
            <w:tcMar>
              <w:top w:w="70" w:type="dxa"/>
              <w:left w:w="110" w:type="dxa"/>
              <w:bottom w:w="70" w:type="dxa"/>
              <w:right w:w="110" w:type="dxa"/>
            </w:tcMar>
            <w:vAlign w:val="center"/>
          </w:tcPr>
          <w:p w14:paraId="1A7B9927" w14:textId="77777777" w:rsidR="00E33D27" w:rsidRDefault="00000000">
            <w:pPr>
              <w:spacing w:before="40" w:after="40" w:line="250" w:lineRule="auto"/>
            </w:pPr>
            <w:r>
              <w:rPr>
                <w:sz w:val="15"/>
                <w:szCs w:val="15"/>
              </w:rPr>
              <w:t>Article 35 of the Patent Act, litigated in the Nichia blue-LED case brought by Shuji Nakamura: the Tokyo District Court in January 2004 valued his contribution at about ¥60.4 billion and awarded the ¥20 billion claimed; the Tokyo High Court took a very different view of the patent's worth and the matter settled out of court in January 2005 for ¥843 million</w:t>
            </w:r>
          </w:p>
        </w:tc>
        <w:tc>
          <w:tcPr>
            <w:tcW w:w="4080" w:type="dxa"/>
            <w:shd w:val="clear" w:color="auto" w:fill="F3F4F6"/>
            <w:tcMar>
              <w:top w:w="70" w:type="dxa"/>
              <w:left w:w="110" w:type="dxa"/>
              <w:bottom w:w="70" w:type="dxa"/>
              <w:right w:w="110" w:type="dxa"/>
            </w:tcMar>
            <w:vAlign w:val="center"/>
          </w:tcPr>
          <w:p w14:paraId="12AF21C5" w14:textId="77777777" w:rsidR="00E33D27" w:rsidRDefault="00000000">
            <w:pPr>
              <w:spacing w:before="40" w:after="40" w:line="250" w:lineRule="auto"/>
            </w:pPr>
            <w:r>
              <w:rPr>
                <w:sz w:val="15"/>
                <w:szCs w:val="15"/>
              </w:rPr>
              <w:t>The case drove the 2004 reform of Article 35 and is the standard illustration of what happens when a corporate policy under-compensates a decisive inventor</w:t>
            </w:r>
          </w:p>
        </w:tc>
      </w:tr>
      <w:tr w:rsidR="00E33D27" w14:paraId="189A455C" w14:textId="77777777">
        <w:tblPrEx>
          <w:tblCellMar>
            <w:top w:w="0" w:type="dxa"/>
            <w:bottom w:w="0" w:type="dxa"/>
          </w:tblCellMar>
        </w:tblPrEx>
        <w:trPr>
          <w:cantSplit/>
        </w:trPr>
        <w:tc>
          <w:tcPr>
            <w:tcW w:w="1900" w:type="dxa"/>
            <w:shd w:val="clear" w:color="auto" w:fill="FFFFFF"/>
            <w:tcMar>
              <w:top w:w="70" w:type="dxa"/>
              <w:left w:w="110" w:type="dxa"/>
              <w:bottom w:w="70" w:type="dxa"/>
              <w:right w:w="110" w:type="dxa"/>
            </w:tcMar>
            <w:vAlign w:val="center"/>
          </w:tcPr>
          <w:p w14:paraId="56AA33C9" w14:textId="77777777" w:rsidR="00E33D27" w:rsidRDefault="00000000">
            <w:pPr>
              <w:spacing w:before="40" w:after="40" w:line="250" w:lineRule="auto"/>
            </w:pPr>
            <w:r>
              <w:rPr>
                <w:b/>
                <w:bCs/>
                <w:sz w:val="15"/>
                <w:szCs w:val="15"/>
              </w:rPr>
              <w:t>India</w:t>
            </w:r>
          </w:p>
        </w:tc>
        <w:tc>
          <w:tcPr>
            <w:tcW w:w="4100" w:type="dxa"/>
            <w:shd w:val="clear" w:color="auto" w:fill="FFFFFF"/>
            <w:tcMar>
              <w:top w:w="70" w:type="dxa"/>
              <w:left w:w="110" w:type="dxa"/>
              <w:bottom w:w="70" w:type="dxa"/>
              <w:right w:w="110" w:type="dxa"/>
            </w:tcMar>
            <w:vAlign w:val="center"/>
          </w:tcPr>
          <w:p w14:paraId="5A9179DD" w14:textId="77777777" w:rsidR="00E33D27" w:rsidRDefault="00000000">
            <w:pPr>
              <w:spacing w:before="40" w:after="40" w:line="250" w:lineRule="auto"/>
            </w:pPr>
            <w:r>
              <w:rPr>
                <w:sz w:val="15"/>
                <w:szCs w:val="15"/>
              </w:rPr>
              <w:t>No dedicated employee-invention statute. Ownership turns on the employment contract and common-law principles, with institutional IP policies governing the academic and public-research sectors</w:t>
            </w:r>
          </w:p>
        </w:tc>
        <w:tc>
          <w:tcPr>
            <w:tcW w:w="4080" w:type="dxa"/>
            <w:shd w:val="clear" w:color="auto" w:fill="FFFFFF"/>
            <w:tcMar>
              <w:top w:w="70" w:type="dxa"/>
              <w:left w:w="110" w:type="dxa"/>
              <w:bottom w:w="70" w:type="dxa"/>
              <w:right w:w="110" w:type="dxa"/>
            </w:tcMar>
            <w:vAlign w:val="center"/>
          </w:tcPr>
          <w:p w14:paraId="19FCF6F1" w14:textId="77777777" w:rsidR="00E33D27" w:rsidRDefault="00000000">
            <w:pPr>
              <w:spacing w:before="40" w:after="40" w:line="250" w:lineRule="auto"/>
            </w:pPr>
            <w:r>
              <w:rPr>
                <w:sz w:val="15"/>
                <w:szCs w:val="15"/>
              </w:rPr>
              <w:t>The policy is doing the work the statute does elsewhere — which is precisely why the policy's ownership and revenue clauses matter so much in the Indian context</w:t>
            </w:r>
          </w:p>
        </w:tc>
      </w:tr>
    </w:tbl>
    <w:p w14:paraId="71638AAC" w14:textId="77777777" w:rsidR="00E33D27" w:rsidRDefault="00000000">
      <w:pPr>
        <w:spacing w:before="60" w:after="180"/>
      </w:pPr>
      <w:r>
        <w:rPr>
          <w:i/>
          <w:iCs/>
          <w:color w:val="5A6270"/>
          <w:sz w:val="16"/>
          <w:szCs w:val="16"/>
        </w:rPr>
        <w:t>Table 2.7  Employee-invention regimes. In a multinational research organisation all four must be operated in parallel.</w:t>
      </w:r>
    </w:p>
    <w:p w14:paraId="12CBE7CA" w14:textId="77777777" w:rsidR="00E33D27" w:rsidRDefault="00000000">
      <w:pPr>
        <w:pStyle w:val="Heading3"/>
        <w:keepNext/>
      </w:pPr>
      <w:r>
        <w:t>The worked case, and the three instruments it turns 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C796B6F"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3387FB3D" w14:textId="77777777" w:rsidR="00E33D27" w:rsidRDefault="00000000">
            <w:pPr>
              <w:spacing w:after="80"/>
            </w:pPr>
            <w:r>
              <w:rPr>
                <w:b/>
                <w:bCs/>
                <w:color w:val="8A5A10"/>
                <w:sz w:val="19"/>
                <w:szCs w:val="19"/>
              </w:rPr>
              <w:t>Two inventors, three friends, one institute and a revenue dispute</w:t>
            </w:r>
          </w:p>
          <w:p w14:paraId="02BE1840" w14:textId="77777777" w:rsidR="00E33D27" w:rsidRDefault="00000000">
            <w:pPr>
              <w:spacing w:after="70" w:line="265" w:lineRule="auto"/>
              <w:jc w:val="both"/>
            </w:pPr>
            <w:r>
              <w:rPr>
                <w:sz w:val="18"/>
                <w:szCs w:val="18"/>
              </w:rPr>
              <w:t>The facts. Two researchers at an institute develop a technology; the institute is the applicant and they are the inventors. They leave, found a company, and employ three friends from the institute. The company files further patents and, because the five were friends, all five are named as applicants. The company succeeds, revenue arises, and the five fall out over the division. The dispute returns to the institute because the institute is the applicant on the first patent.</w:t>
            </w:r>
          </w:p>
          <w:p w14:paraId="51B4EE7F" w14:textId="77777777" w:rsidR="00E33D27" w:rsidRDefault="00000000">
            <w:pPr>
              <w:spacing w:after="70" w:line="265" w:lineRule="auto"/>
              <w:jc w:val="both"/>
            </w:pPr>
            <w:r>
              <w:rPr>
                <w:sz w:val="18"/>
                <w:szCs w:val="18"/>
              </w:rPr>
              <w:t>Separate the three questions. The institute’s patent is already answered by the policy — revenue is divided on the fixed model, typically 70:30 net. The route by which the company uses it depends on the instrument: assignment transfers ownership outright, a licence transfers only permission for a time, and an NOC is the institutional consent that precedes a start-up. The company’s own patents are the problem: because all five were named applicants, all five hold rights and each can claim.</w:t>
            </w:r>
          </w:p>
          <w:p w14:paraId="252E4E2A" w14:textId="77777777" w:rsidR="00E33D27" w:rsidRDefault="00000000">
            <w:pPr>
              <w:spacing w:after="70" w:line="265" w:lineRule="auto"/>
              <w:jc w:val="both"/>
            </w:pPr>
            <w:r>
              <w:rPr>
                <w:sz w:val="18"/>
                <w:szCs w:val="18"/>
              </w:rPr>
              <w:t>The drafting lesson, worth reproducing verbatim: where a start-up is involved, the policy must require that all rights be applied for and held in the name of the start-up as a legal person, not in the names of individuals. Employees are then inventors, bound by service contracts, and their reward is recognition and bonus rather than title. Note the distinctions the case tests — an inventor is the natural person who conceived, an applicant prosecutes, an assignee acquires title, and Form 1 requires the applicant to state whether it is the inventor and, if not, to record the assignment.</w:t>
            </w:r>
          </w:p>
        </w:tc>
      </w:tr>
    </w:tbl>
    <w:p w14:paraId="591B7AC8" w14:textId="77777777" w:rsidR="00E33D27" w:rsidRDefault="00E33D27">
      <w:pPr>
        <w:spacing w:after="160"/>
      </w:pPr>
    </w:p>
    <w:p w14:paraId="0E42356F" w14:textId="77777777" w:rsidR="00E33D27" w:rsidRDefault="00000000">
      <w:pPr>
        <w:jc w:val="both"/>
      </w:pPr>
      <w:r>
        <w:t>The remaining clauses can be dealt with briefly because they follow the same logic. On infringement, the observation from practice is that institutions are generally reluctant to litigate, so the policy should provide for the situation in which the inventor wishes to sue: the institute as applicant has locus standi, and the mechanism is that the inventor seeks permission and proceeds, with the allocation of costs and any recovery settled in advance. Indemnity insurance belongs here too. Dispute resolution should specify an internal committee before any external forum. The right to regulate the policy supports versioning. And jurisdiction should be stated expressly, because a policy operating across sponsored research, foreign filings and international licensees will otherwise generate a conflict-of-laws question at the worst possible moment.</w:t>
      </w:r>
    </w:p>
    <w:p w14:paraId="1D089095" w14:textId="77777777" w:rsidR="00E33D27" w:rsidRDefault="00000000">
      <w:pPr>
        <w:pStyle w:val="Heading2"/>
        <w:keepNext/>
      </w:pPr>
      <w:r>
        <w:t>2.8  What Happens When Rights of Trademark Owners and Domain Name Owners Collide?</w:t>
      </w:r>
    </w:p>
    <w:p w14:paraId="6C9F72E0" w14:textId="77777777" w:rsidR="00E33D27" w:rsidRDefault="00000000">
      <w:pPr>
        <w:jc w:val="both"/>
      </w:pPr>
      <w:r>
        <w:t>The syllabus places this heading immediately after policy, and the placement is deliberate: it is the concrete case study in which an IP manager must reconcile a traditional right with a technical system that was never designed to accommodate it.</w:t>
      </w:r>
    </w:p>
    <w:p w14:paraId="3C06F7E8" w14:textId="77777777" w:rsidR="00E33D27" w:rsidRDefault="00000000">
      <w:pPr>
        <w:pStyle w:val="Heading3"/>
        <w:keepNext/>
      </w:pPr>
      <w:r>
        <w:lastRenderedPageBreak/>
        <w:t>Why the collision is structural</w:t>
      </w:r>
    </w:p>
    <w:p w14:paraId="726154EC" w14:textId="77777777" w:rsidR="00E33D27" w:rsidRDefault="00000000">
      <w:pPr>
        <w:keepNext/>
        <w:spacing w:before="160" w:after="60" w:line="240" w:lineRule="auto"/>
        <w:jc w:val="center"/>
      </w:pPr>
      <w:r>
        <w:rPr>
          <w:noProof/>
        </w:rPr>
        <w:drawing>
          <wp:inline distT="0" distB="0" distL="0" distR="0" wp14:anchorId="184829C1" wp14:editId="23769453">
            <wp:extent cx="6172200" cy="3190875"/>
            <wp:effectExtent l="0" t="0" r="0" b="0"/>
            <wp:docPr id="355635418" name="Picture 35563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72200" cy="3190875"/>
                    </a:xfrm>
                    <a:prstGeom prst="rect">
                      <a:avLst/>
                    </a:prstGeom>
                  </pic:spPr>
                </pic:pic>
              </a:graphicData>
            </a:graphic>
          </wp:inline>
        </w:drawing>
      </w:r>
    </w:p>
    <w:p w14:paraId="1B03D32E" w14:textId="77777777" w:rsidR="00E33D27" w:rsidRDefault="00000000">
      <w:pPr>
        <w:spacing w:after="220" w:line="240" w:lineRule="auto"/>
        <w:jc w:val="center"/>
      </w:pPr>
      <w:r>
        <w:rPr>
          <w:i/>
          <w:iCs/>
          <w:color w:val="5A6270"/>
          <w:sz w:val="17"/>
          <w:szCs w:val="17"/>
        </w:rPr>
        <w:t>Figure 2.11  Two systems built on incompatible assumptions.</w:t>
      </w:r>
    </w:p>
    <w:p w14:paraId="7CC93F7C" w14:textId="77777777" w:rsidR="00E33D27" w:rsidRDefault="00000000">
      <w:pPr>
        <w:jc w:val="both"/>
      </w:pPr>
      <w:r>
        <w:t>A trademark identifies the source of goods or services. It is territorial — rights arise and operate within a jurisdiction — and it is class-based, so identical marks may coexist for different goods. It is acquired through registration and use, and registration is examined. A domain name identifies an internet address. It is globally accessible, absolutely exclusive in the sense that one exact string can have only one registrant in a given top-level domain anywhere in the world, and it is acquired on availability alone, first come first served, with no examination.</w:t>
      </w:r>
    </w:p>
    <w:p w14:paraId="4F956597" w14:textId="77777777" w:rsidR="00E33D27" w:rsidRDefault="00000000">
      <w:pPr>
        <w:jc w:val="both"/>
      </w:pPr>
      <w:r>
        <w:t>The collision follows mechanically: a class-based, territorial legal concept has been forced onto a global, first-come-first-served technical infrastructure. Three parties then point at the same string, and the class captured their positions exactly — the trademark owner says I have established legal rights in this name; the registrant says I registered this address first; and the internet user says I naturally associate this domain with that brand. Each statement is true, and no single instrument makes all three consistent.</w:t>
      </w:r>
    </w:p>
    <w:p w14:paraId="31674146" w14:textId="77777777" w:rsidR="00E33D27" w:rsidRDefault="00000000">
      <w:pPr>
        <w:jc w:val="both"/>
      </w:pPr>
      <w:r>
        <w:t>The architecture is worth naming. ICANN oversees the domain name system; registries operate individual top-level domains and registrars sell registrations to the public. Top-level domains divide into generic ones — .com, .net, .org, .info, .biz, and the newer expansion — and country-code ones such as .in. The abuses that arise have settled names: cybersquatting is registering a mark as a domain to profit from the owner's goodwill or to sell it back; typosquatting exploits misspellings; domain parking monetises traffic without content; and reverse domain name hijacking is the mirror-image abuse in which a trademark owner uses the dispute machinery to take a domain from a legitimate holder. The class example of the practice in its commercial form is registering the name of a growing company in another jurisdiction and then bargaining with it.</w:t>
      </w:r>
    </w:p>
    <w:p w14:paraId="613FF817" w14:textId="77777777" w:rsidR="00E33D27" w:rsidRDefault="00000000">
      <w:pPr>
        <w:pStyle w:val="Heading3"/>
        <w:keepNext/>
      </w:pPr>
      <w:r>
        <w:lastRenderedPageBreak/>
        <w:t>The UDRP</w:t>
      </w:r>
    </w:p>
    <w:p w14:paraId="6E1D6624" w14:textId="77777777" w:rsidR="00E33D27" w:rsidRDefault="00000000">
      <w:pPr>
        <w:keepNext/>
        <w:spacing w:before="160" w:after="60" w:line="240" w:lineRule="auto"/>
        <w:jc w:val="center"/>
      </w:pPr>
      <w:r>
        <w:rPr>
          <w:noProof/>
        </w:rPr>
        <w:drawing>
          <wp:inline distT="0" distB="0" distL="0" distR="0" wp14:anchorId="17250B5F" wp14:editId="0331FF7A">
            <wp:extent cx="6172200" cy="3838575"/>
            <wp:effectExtent l="0" t="0" r="0" b="0"/>
            <wp:docPr id="1704793981" name="Picture 170479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72200" cy="3838575"/>
                    </a:xfrm>
                    <a:prstGeom prst="rect">
                      <a:avLst/>
                    </a:prstGeom>
                  </pic:spPr>
                </pic:pic>
              </a:graphicData>
            </a:graphic>
          </wp:inline>
        </w:drawing>
      </w:r>
    </w:p>
    <w:p w14:paraId="78E46078" w14:textId="77777777" w:rsidR="00E33D27" w:rsidRDefault="00000000">
      <w:pPr>
        <w:spacing w:after="220" w:line="240" w:lineRule="auto"/>
        <w:jc w:val="center"/>
      </w:pPr>
      <w:r>
        <w:rPr>
          <w:i/>
          <w:iCs/>
          <w:color w:val="5A6270"/>
          <w:sz w:val="17"/>
          <w:szCs w:val="17"/>
        </w:rPr>
        <w:t>Figure 2.12  The test, the failure points and the remedies.</w:t>
      </w:r>
    </w:p>
    <w:p w14:paraId="6C55E349" w14:textId="77777777" w:rsidR="00E33D27" w:rsidRDefault="00000000">
      <w:pPr>
        <w:jc w:val="both"/>
      </w:pPr>
      <w:r>
        <w:t>The Uniform Domain Name Dispute Resolution Policy was adopted by ICANN in October 1999, with complaints accepted from 1 December 1999 and the WIPO Arbitration and Mediation Center approved as the first provider in November 1999. It is an administrative mechanism, applicable to generic top-level domains, and it exists because litigation across borders was impractical for a dispute about a string.</w:t>
      </w:r>
    </w:p>
    <w:p w14:paraId="35FD65ED" w14:textId="77777777" w:rsidR="00E33D27" w:rsidRDefault="00000000">
      <w:pPr>
        <w:jc w:val="both"/>
      </w:pPr>
      <w:r>
        <w:t>Under paragraph 4(a) the complainant must prove all three of the following. That the domain name is identical or confusingly similar to a trademark or service mark in which the complainant has rights. That the registrant has no rights or legitimate interests in respect of the domain name. And that the domain name has been registered and is being used in bad faith. Paragraph 4(b) supplies a non-exhaustive list of circumstances evidencing bad faith: acquisition primarily for the purpose of selling the registration to the mark owner for more than out-of-pocket costs; a pattern of registrations made to block mark owners; registration primarily to disrupt a competitor's business; and use to attract users for commercial gain by creating a likelihood of confusion. Paragraph 4(c) supplies the defences: bona fide use or demonstrable preparations to use before notice of the dispute; being commonly known by the name; and legitimate non-commercial or fair use.</w:t>
      </w:r>
    </w:p>
    <w:p w14:paraId="553BF90F" w14:textId="77777777" w:rsidR="00E33D27" w:rsidRDefault="00000000">
      <w:pPr>
        <w:jc w:val="both"/>
      </w:pPr>
      <w:r>
        <w:t xml:space="preserve">Two features determine most examination answers. The remedies are transfer of the registration to the complainant or cancellation of the registration, and nothing else: the UDRP provides no financial damages, so a complainant seeking compensation must go to court — in the United States under the Anticybersquatting Consumer Protection Act 1999, 15 U.S.C. §1125(d), which does provide statutory damages. And the third element is conjunctive: registered and used in bad faith, both. This is where the Indian regime diverges. The INDRP, administered by NIXI for .IN domains, is disjunctive — registered or used in bad faith — so the complainant's burden is materially lighter under .IN than under .com. Complainant success rates under the UDRP run at roughly </w:t>
      </w:r>
      <w:r>
        <w:lastRenderedPageBreak/>
        <w:t>eighty to eighty-five per cent on WIPO's published data, which itself tells you that most complaints are brought against genuine squatters rather than in contested commercial cases.</w:t>
      </w:r>
    </w:p>
    <w:p w14:paraId="78CE849F" w14:textId="77777777" w:rsidR="00E33D27" w:rsidRDefault="00000000">
      <w:pPr>
        <w:pStyle w:val="Heading3"/>
        <w:keepNext/>
      </w:pPr>
      <w:r>
        <w:t>The Indian case law</w:t>
      </w:r>
    </w:p>
    <w:p w14:paraId="25C2AF3D" w14:textId="77777777" w:rsidR="00E33D27" w:rsidRDefault="00000000">
      <w:pPr>
        <w:jc w:val="both"/>
      </w:pPr>
      <w:r>
        <w:t>India has no statute dealing expressly with domain names, and the courts have filled the gap through the common law action of passing off. Two decisions are indispensable.</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500"/>
        <w:gridCol w:w="3200"/>
        <w:gridCol w:w="4380"/>
      </w:tblGrid>
      <w:tr w:rsidR="00E33D27" w14:paraId="6D24A0C8" w14:textId="77777777">
        <w:tblPrEx>
          <w:tblCellMar>
            <w:top w:w="0" w:type="dxa"/>
            <w:bottom w:w="0" w:type="dxa"/>
          </w:tblCellMar>
        </w:tblPrEx>
        <w:trPr>
          <w:cantSplit/>
          <w:tblHeader/>
        </w:trPr>
        <w:tc>
          <w:tcPr>
            <w:tcW w:w="2500" w:type="dxa"/>
            <w:shd w:val="clear" w:color="auto" w:fill="1F3864"/>
            <w:tcMar>
              <w:top w:w="70" w:type="dxa"/>
              <w:left w:w="110" w:type="dxa"/>
              <w:bottom w:w="70" w:type="dxa"/>
              <w:right w:w="110" w:type="dxa"/>
            </w:tcMar>
            <w:vAlign w:val="center"/>
          </w:tcPr>
          <w:p w14:paraId="38C98B28" w14:textId="77777777" w:rsidR="00E33D27" w:rsidRDefault="00000000">
            <w:pPr>
              <w:spacing w:before="40" w:after="40" w:line="250" w:lineRule="auto"/>
            </w:pPr>
            <w:r>
              <w:rPr>
                <w:b/>
                <w:bCs/>
                <w:color w:val="FFFFFF"/>
                <w:sz w:val="17"/>
                <w:szCs w:val="17"/>
              </w:rPr>
              <w:t>Case</w:t>
            </w:r>
          </w:p>
        </w:tc>
        <w:tc>
          <w:tcPr>
            <w:tcW w:w="3200" w:type="dxa"/>
            <w:shd w:val="clear" w:color="auto" w:fill="1F3864"/>
            <w:tcMar>
              <w:top w:w="70" w:type="dxa"/>
              <w:left w:w="110" w:type="dxa"/>
              <w:bottom w:w="70" w:type="dxa"/>
              <w:right w:w="110" w:type="dxa"/>
            </w:tcMar>
            <w:vAlign w:val="center"/>
          </w:tcPr>
          <w:p w14:paraId="26EC48C3" w14:textId="77777777" w:rsidR="00E33D27" w:rsidRDefault="00000000">
            <w:pPr>
              <w:spacing w:before="40" w:after="40" w:line="250" w:lineRule="auto"/>
            </w:pPr>
            <w:r>
              <w:rPr>
                <w:b/>
                <w:bCs/>
                <w:color w:val="FFFFFF"/>
                <w:sz w:val="17"/>
                <w:szCs w:val="17"/>
              </w:rPr>
              <w:t>Court and year</w:t>
            </w:r>
          </w:p>
        </w:tc>
        <w:tc>
          <w:tcPr>
            <w:tcW w:w="4380" w:type="dxa"/>
            <w:shd w:val="clear" w:color="auto" w:fill="1F3864"/>
            <w:tcMar>
              <w:top w:w="70" w:type="dxa"/>
              <w:left w:w="110" w:type="dxa"/>
              <w:bottom w:w="70" w:type="dxa"/>
              <w:right w:w="110" w:type="dxa"/>
            </w:tcMar>
            <w:vAlign w:val="center"/>
          </w:tcPr>
          <w:p w14:paraId="51B02267" w14:textId="77777777" w:rsidR="00E33D27" w:rsidRDefault="00000000">
            <w:pPr>
              <w:spacing w:before="40" w:after="40" w:line="250" w:lineRule="auto"/>
            </w:pPr>
            <w:r>
              <w:rPr>
                <w:b/>
                <w:bCs/>
                <w:color w:val="FFFFFF"/>
                <w:sz w:val="17"/>
                <w:szCs w:val="17"/>
              </w:rPr>
              <w:t>Ratio</w:t>
            </w:r>
          </w:p>
        </w:tc>
      </w:tr>
      <w:tr w:rsidR="00E33D27" w14:paraId="45B7CC4B"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313910EB" w14:textId="77777777" w:rsidR="00E33D27" w:rsidRDefault="00000000">
            <w:pPr>
              <w:spacing w:before="40" w:after="40" w:line="250" w:lineRule="auto"/>
            </w:pPr>
            <w:r>
              <w:rPr>
                <w:b/>
                <w:bCs/>
                <w:sz w:val="15"/>
                <w:szCs w:val="15"/>
              </w:rPr>
              <w:t>Yahoo! Inc. v. Akash Arora, 1999 PTC (19) 201 (Del)</w:t>
            </w:r>
          </w:p>
        </w:tc>
        <w:tc>
          <w:tcPr>
            <w:tcW w:w="3200" w:type="dxa"/>
            <w:shd w:val="clear" w:color="auto" w:fill="F3F4F6"/>
            <w:tcMar>
              <w:top w:w="70" w:type="dxa"/>
              <w:left w:w="110" w:type="dxa"/>
              <w:bottom w:w="70" w:type="dxa"/>
              <w:right w:w="110" w:type="dxa"/>
            </w:tcMar>
            <w:vAlign w:val="center"/>
          </w:tcPr>
          <w:p w14:paraId="754ACF60" w14:textId="77777777" w:rsidR="00E33D27" w:rsidRDefault="00000000">
            <w:pPr>
              <w:spacing w:before="40" w:after="40" w:line="250" w:lineRule="auto"/>
            </w:pPr>
            <w:r>
              <w:rPr>
                <w:sz w:val="15"/>
                <w:szCs w:val="15"/>
              </w:rPr>
              <w:t>Delhi High Court, 19 February 1999</w:t>
            </w:r>
          </w:p>
        </w:tc>
        <w:tc>
          <w:tcPr>
            <w:tcW w:w="4380" w:type="dxa"/>
            <w:shd w:val="clear" w:color="auto" w:fill="F3F4F6"/>
            <w:tcMar>
              <w:top w:w="70" w:type="dxa"/>
              <w:left w:w="110" w:type="dxa"/>
              <w:bottom w:w="70" w:type="dxa"/>
              <w:right w:w="110" w:type="dxa"/>
            </w:tcMar>
            <w:vAlign w:val="center"/>
          </w:tcPr>
          <w:p w14:paraId="52028511" w14:textId="77777777" w:rsidR="00E33D27" w:rsidRDefault="00000000">
            <w:pPr>
              <w:spacing w:before="40" w:after="40" w:line="250" w:lineRule="auto"/>
            </w:pPr>
            <w:r>
              <w:rPr>
                <w:sz w:val="15"/>
                <w:szCs w:val="15"/>
              </w:rPr>
              <w:t>India's first cybersquatting decision. The defendant's yahooindia.com was restrained as passing off. A domain name serves as a business identifier and is entitled to the same protection against passing off as a trademark; the addition of “India” did not adequately distinguish a deceptively similar mark used for identical services</w:t>
            </w:r>
          </w:p>
        </w:tc>
      </w:tr>
      <w:tr w:rsidR="00E33D27" w14:paraId="12E241C3" w14:textId="77777777">
        <w:tblPrEx>
          <w:tblCellMar>
            <w:top w:w="0" w:type="dxa"/>
            <w:bottom w:w="0" w:type="dxa"/>
          </w:tblCellMar>
        </w:tblPrEx>
        <w:trPr>
          <w:cantSplit/>
        </w:trPr>
        <w:tc>
          <w:tcPr>
            <w:tcW w:w="2500" w:type="dxa"/>
            <w:shd w:val="clear" w:color="auto" w:fill="FFFFFF"/>
            <w:tcMar>
              <w:top w:w="70" w:type="dxa"/>
              <w:left w:w="110" w:type="dxa"/>
              <w:bottom w:w="70" w:type="dxa"/>
              <w:right w:w="110" w:type="dxa"/>
            </w:tcMar>
            <w:vAlign w:val="center"/>
          </w:tcPr>
          <w:p w14:paraId="37254166" w14:textId="77777777" w:rsidR="00E33D27" w:rsidRDefault="00000000">
            <w:pPr>
              <w:spacing w:before="40" w:after="40" w:line="250" w:lineRule="auto"/>
            </w:pPr>
            <w:r>
              <w:rPr>
                <w:b/>
                <w:bCs/>
                <w:sz w:val="15"/>
                <w:szCs w:val="15"/>
              </w:rPr>
              <w:t>Satyam Infoway Ltd. v. Sifynet Solutions Pvt. Ltd., (2004) 6 SCC 145; AIR 2004 SC 3540</w:t>
            </w:r>
          </w:p>
        </w:tc>
        <w:tc>
          <w:tcPr>
            <w:tcW w:w="3200" w:type="dxa"/>
            <w:shd w:val="clear" w:color="auto" w:fill="FFFFFF"/>
            <w:tcMar>
              <w:top w:w="70" w:type="dxa"/>
              <w:left w:w="110" w:type="dxa"/>
              <w:bottom w:w="70" w:type="dxa"/>
              <w:right w:w="110" w:type="dxa"/>
            </w:tcMar>
            <w:vAlign w:val="center"/>
          </w:tcPr>
          <w:p w14:paraId="2B4AABF7" w14:textId="77777777" w:rsidR="00E33D27" w:rsidRDefault="00000000">
            <w:pPr>
              <w:spacing w:before="40" w:after="40" w:line="250" w:lineRule="auto"/>
            </w:pPr>
            <w:r>
              <w:rPr>
                <w:sz w:val="15"/>
                <w:szCs w:val="15"/>
              </w:rPr>
              <w:t>Supreme Court of India, 6 May 2004</w:t>
            </w:r>
          </w:p>
        </w:tc>
        <w:tc>
          <w:tcPr>
            <w:tcW w:w="4380" w:type="dxa"/>
            <w:shd w:val="clear" w:color="auto" w:fill="FFFFFF"/>
            <w:tcMar>
              <w:top w:w="70" w:type="dxa"/>
              <w:left w:w="110" w:type="dxa"/>
              <w:bottom w:w="70" w:type="dxa"/>
              <w:right w:w="110" w:type="dxa"/>
            </w:tcMar>
            <w:vAlign w:val="center"/>
          </w:tcPr>
          <w:p w14:paraId="6AB3E843" w14:textId="77777777" w:rsidR="00E33D27" w:rsidRDefault="00000000">
            <w:pPr>
              <w:spacing w:before="40" w:after="40" w:line="250" w:lineRule="auto"/>
            </w:pPr>
            <w:r>
              <w:rPr>
                <w:sz w:val="15"/>
                <w:szCs w:val="15"/>
              </w:rPr>
              <w:t>The leading Indian authority. Although no Indian legislation expressly governs domain names, a domain name has the characteristics of a trademark and is protectable by an action for passing off. Domain names are global identifiers demanding exclusivity, which heightens the likelihood of confusion. The injunction against siffynet was restored on prior use, goodwill in “Sify” and deceptive similarity</w:t>
            </w:r>
          </w:p>
        </w:tc>
      </w:tr>
      <w:tr w:rsidR="00E33D27" w14:paraId="6C732C85"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0D018D24" w14:textId="77777777" w:rsidR="00E33D27" w:rsidRDefault="00000000">
            <w:pPr>
              <w:spacing w:before="40" w:after="40" w:line="250" w:lineRule="auto"/>
            </w:pPr>
            <w:r>
              <w:rPr>
                <w:b/>
                <w:bCs/>
                <w:sz w:val="15"/>
                <w:szCs w:val="15"/>
              </w:rPr>
              <w:t>Tata Sons Ltd. v. Manu Kosuri</w:t>
            </w:r>
          </w:p>
        </w:tc>
        <w:tc>
          <w:tcPr>
            <w:tcW w:w="3200" w:type="dxa"/>
            <w:shd w:val="clear" w:color="auto" w:fill="F3F4F6"/>
            <w:tcMar>
              <w:top w:w="70" w:type="dxa"/>
              <w:left w:w="110" w:type="dxa"/>
              <w:bottom w:w="70" w:type="dxa"/>
              <w:right w:w="110" w:type="dxa"/>
            </w:tcMar>
            <w:vAlign w:val="center"/>
          </w:tcPr>
          <w:p w14:paraId="0F905381" w14:textId="77777777" w:rsidR="00E33D27" w:rsidRDefault="00000000">
            <w:pPr>
              <w:spacing w:before="40" w:after="40" w:line="250" w:lineRule="auto"/>
            </w:pPr>
            <w:r>
              <w:rPr>
                <w:sz w:val="15"/>
                <w:szCs w:val="15"/>
              </w:rPr>
              <w:t>Delhi High Court</w:t>
            </w:r>
          </w:p>
        </w:tc>
        <w:tc>
          <w:tcPr>
            <w:tcW w:w="4380" w:type="dxa"/>
            <w:shd w:val="clear" w:color="auto" w:fill="F3F4F6"/>
            <w:tcMar>
              <w:top w:w="70" w:type="dxa"/>
              <w:left w:w="110" w:type="dxa"/>
              <w:bottom w:w="70" w:type="dxa"/>
              <w:right w:w="110" w:type="dxa"/>
            </w:tcMar>
            <w:vAlign w:val="center"/>
          </w:tcPr>
          <w:p w14:paraId="2EE042E6" w14:textId="77777777" w:rsidR="00E33D27" w:rsidRDefault="00000000">
            <w:pPr>
              <w:spacing w:before="40" w:after="40" w:line="250" w:lineRule="auto"/>
            </w:pPr>
            <w:r>
              <w:rPr>
                <w:sz w:val="15"/>
                <w:szCs w:val="15"/>
              </w:rPr>
              <w:t>Registration of well-known marks as domains restrained; reinforces that a famous mark cannot be appropriated as an address</w:t>
            </w:r>
          </w:p>
        </w:tc>
      </w:tr>
      <w:tr w:rsidR="00E33D27" w14:paraId="569CB6E9" w14:textId="77777777">
        <w:tblPrEx>
          <w:tblCellMar>
            <w:top w:w="0" w:type="dxa"/>
            <w:bottom w:w="0" w:type="dxa"/>
          </w:tblCellMar>
        </w:tblPrEx>
        <w:trPr>
          <w:cantSplit/>
        </w:trPr>
        <w:tc>
          <w:tcPr>
            <w:tcW w:w="2500" w:type="dxa"/>
            <w:shd w:val="clear" w:color="auto" w:fill="FFFFFF"/>
            <w:tcMar>
              <w:top w:w="70" w:type="dxa"/>
              <w:left w:w="110" w:type="dxa"/>
              <w:bottom w:w="70" w:type="dxa"/>
              <w:right w:w="110" w:type="dxa"/>
            </w:tcMar>
            <w:vAlign w:val="center"/>
          </w:tcPr>
          <w:p w14:paraId="197FE8A6" w14:textId="77777777" w:rsidR="00E33D27" w:rsidRDefault="00000000">
            <w:pPr>
              <w:spacing w:before="40" w:after="40" w:line="250" w:lineRule="auto"/>
            </w:pPr>
            <w:r>
              <w:rPr>
                <w:b/>
                <w:bCs/>
                <w:sz w:val="15"/>
                <w:szCs w:val="15"/>
              </w:rPr>
              <w:t>Rediff Communication Ltd. v. Cyberbooth</w:t>
            </w:r>
          </w:p>
        </w:tc>
        <w:tc>
          <w:tcPr>
            <w:tcW w:w="3200" w:type="dxa"/>
            <w:shd w:val="clear" w:color="auto" w:fill="FFFFFF"/>
            <w:tcMar>
              <w:top w:w="70" w:type="dxa"/>
              <w:left w:w="110" w:type="dxa"/>
              <w:bottom w:w="70" w:type="dxa"/>
              <w:right w:w="110" w:type="dxa"/>
            </w:tcMar>
            <w:vAlign w:val="center"/>
          </w:tcPr>
          <w:p w14:paraId="5B0CE55F" w14:textId="77777777" w:rsidR="00E33D27" w:rsidRDefault="00000000">
            <w:pPr>
              <w:spacing w:before="40" w:after="40" w:line="250" w:lineRule="auto"/>
            </w:pPr>
            <w:r>
              <w:rPr>
                <w:sz w:val="15"/>
                <w:szCs w:val="15"/>
              </w:rPr>
              <w:t>Bombay High Court, 2000</w:t>
            </w:r>
          </w:p>
        </w:tc>
        <w:tc>
          <w:tcPr>
            <w:tcW w:w="4380" w:type="dxa"/>
            <w:shd w:val="clear" w:color="auto" w:fill="FFFFFF"/>
            <w:tcMar>
              <w:top w:w="70" w:type="dxa"/>
              <w:left w:w="110" w:type="dxa"/>
              <w:bottom w:w="70" w:type="dxa"/>
              <w:right w:w="110" w:type="dxa"/>
            </w:tcMar>
            <w:vAlign w:val="center"/>
          </w:tcPr>
          <w:p w14:paraId="18C848C7" w14:textId="77777777" w:rsidR="00E33D27" w:rsidRDefault="00000000">
            <w:pPr>
              <w:spacing w:before="40" w:after="40" w:line="250" w:lineRule="auto"/>
            </w:pPr>
            <w:r>
              <w:rPr>
                <w:sz w:val="15"/>
                <w:szCs w:val="15"/>
              </w:rPr>
              <w:t>Internet domain names are of importance and can be a valuable corporate asset; radiff/rediff held deceptively similar</w:t>
            </w:r>
          </w:p>
        </w:tc>
      </w:tr>
      <w:tr w:rsidR="00E33D27" w14:paraId="1BEF128D" w14:textId="77777777">
        <w:tblPrEx>
          <w:tblCellMar>
            <w:top w:w="0" w:type="dxa"/>
            <w:bottom w:w="0" w:type="dxa"/>
          </w:tblCellMar>
        </w:tblPrEx>
        <w:trPr>
          <w:cantSplit/>
        </w:trPr>
        <w:tc>
          <w:tcPr>
            <w:tcW w:w="2500" w:type="dxa"/>
            <w:shd w:val="clear" w:color="auto" w:fill="F3F4F6"/>
            <w:tcMar>
              <w:top w:w="70" w:type="dxa"/>
              <w:left w:w="110" w:type="dxa"/>
              <w:bottom w:w="70" w:type="dxa"/>
              <w:right w:w="110" w:type="dxa"/>
            </w:tcMar>
            <w:vAlign w:val="center"/>
          </w:tcPr>
          <w:p w14:paraId="5521E076" w14:textId="77777777" w:rsidR="00E33D27" w:rsidRDefault="00000000">
            <w:pPr>
              <w:spacing w:before="40" w:after="40" w:line="250" w:lineRule="auto"/>
            </w:pPr>
            <w:r>
              <w:rPr>
                <w:b/>
                <w:bCs/>
                <w:sz w:val="15"/>
                <w:szCs w:val="15"/>
              </w:rPr>
              <w:t>People Interactive (I) Pvt. Ltd. v. Vivek Pahwa</w:t>
            </w:r>
          </w:p>
        </w:tc>
        <w:tc>
          <w:tcPr>
            <w:tcW w:w="3200" w:type="dxa"/>
            <w:shd w:val="clear" w:color="auto" w:fill="F3F4F6"/>
            <w:tcMar>
              <w:top w:w="70" w:type="dxa"/>
              <w:left w:w="110" w:type="dxa"/>
              <w:bottom w:w="70" w:type="dxa"/>
              <w:right w:w="110" w:type="dxa"/>
            </w:tcMar>
            <w:vAlign w:val="center"/>
          </w:tcPr>
          <w:p w14:paraId="0FACE437" w14:textId="77777777" w:rsidR="00E33D27" w:rsidRDefault="00000000">
            <w:pPr>
              <w:spacing w:before="40" w:after="40" w:line="250" w:lineRule="auto"/>
            </w:pPr>
            <w:r>
              <w:rPr>
                <w:sz w:val="15"/>
                <w:szCs w:val="15"/>
              </w:rPr>
              <w:t>Bombay High Court</w:t>
            </w:r>
          </w:p>
        </w:tc>
        <w:tc>
          <w:tcPr>
            <w:tcW w:w="4380" w:type="dxa"/>
            <w:shd w:val="clear" w:color="auto" w:fill="F3F4F6"/>
            <w:tcMar>
              <w:top w:w="70" w:type="dxa"/>
              <w:left w:w="110" w:type="dxa"/>
              <w:bottom w:w="70" w:type="dxa"/>
              <w:right w:w="110" w:type="dxa"/>
            </w:tcMar>
            <w:vAlign w:val="center"/>
          </w:tcPr>
          <w:p w14:paraId="76BBC12F" w14:textId="77777777" w:rsidR="00E33D27" w:rsidRDefault="00000000">
            <w:pPr>
              <w:spacing w:before="40" w:after="40" w:line="250" w:lineRule="auto"/>
            </w:pPr>
            <w:r>
              <w:rPr>
                <w:sz w:val="15"/>
                <w:szCs w:val="15"/>
              </w:rPr>
              <w:t>The shaadi.com litigation; addresses descriptive and generic elements in domain disputes</w:t>
            </w:r>
          </w:p>
        </w:tc>
      </w:tr>
    </w:tbl>
    <w:p w14:paraId="3DA7630B" w14:textId="77777777" w:rsidR="00E33D27" w:rsidRDefault="00000000">
      <w:pPr>
        <w:spacing w:before="60" w:after="180"/>
      </w:pPr>
      <w:r>
        <w:rPr>
          <w:i/>
          <w:iCs/>
          <w:color w:val="5A6270"/>
          <w:sz w:val="16"/>
          <w:szCs w:val="16"/>
        </w:rPr>
        <w:t>Table 2.8  The Indian authorities. Recent practice has extended to dynamic and global injunctions against rogue and mirror domains.</w:t>
      </w:r>
    </w:p>
    <w:p w14:paraId="598F8332" w14:textId="77777777" w:rsidR="00E33D27" w:rsidRDefault="00000000">
      <w:pPr>
        <w:pStyle w:val="Heading3"/>
        <w:keepNext/>
      </w:pPr>
      <w:r>
        <w:t>Trademark rights are not absolute</w:t>
      </w:r>
    </w:p>
    <w:p w14:paraId="71A90C13" w14:textId="77777777" w:rsidR="00E33D27" w:rsidRDefault="00000000">
      <w:pPr>
        <w:jc w:val="both"/>
      </w:pPr>
      <w:r>
        <w:t>A point the class made with the APPLE example, and it prevents the commonest overstatement in answers. A trademark registration does not confer a monopoly over every use of a word in every context. APPLE may simultaneously denote a technology company, a fruit seller, a restaurant, an educational brand and a business, because protection depends on distinctiveness, the specific goods or services and the likelihood of confusion. Trademark law must coexist with freedom of expression, generic linguistic meaning and non-commercial use. The compact formula is worth memorising: legal protection equals distinctiveness plus specific goods and services plus likelihood of confusion. Note too that territoriality is not wholly defeated by the internet: geographic extensions and geo-targeted notifications reintroduce territory in practice, even though the address itself is globally reachable.</w:t>
      </w:r>
    </w:p>
    <w:p w14:paraId="7D4118DA" w14:textId="77777777" w:rsidR="00E33D27" w:rsidRDefault="00000000">
      <w:pPr>
        <w:pStyle w:val="Heading3"/>
        <w:keepNext/>
      </w:pPr>
      <w:r>
        <w:t>The hard case: good-faith registration followed by commercialisation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533C8AD5"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45636F63" w14:textId="77777777" w:rsidR="00E33D27" w:rsidRDefault="00000000">
            <w:pPr>
              <w:spacing w:after="80"/>
            </w:pPr>
            <w:r>
              <w:rPr>
                <w:b/>
                <w:bCs/>
                <w:color w:val="8A5A10"/>
                <w:sz w:val="19"/>
                <w:szCs w:val="19"/>
              </w:rPr>
              <w:t>The Greenleaf problem, and how to answer it</w:t>
            </w:r>
          </w:p>
          <w:p w14:paraId="12B4FD1D" w14:textId="77777777" w:rsidR="00E33D27" w:rsidRDefault="00000000">
            <w:pPr>
              <w:spacing w:after="70" w:line="265" w:lineRule="auto"/>
              <w:jc w:val="both"/>
            </w:pPr>
            <w:r>
              <w:rPr>
                <w:sz w:val="18"/>
                <w:szCs w:val="18"/>
              </w:rPr>
              <w:t>The facts. In 2018 Rahul registers greenleaf.com for a personal gardening blog. In 2021 GreenLeaf Pvt. Ltd. obtains a registration for the trademark GREENLEAF for agricultural products. In 2024 Rahul begins selling gardening products through greenleaf.com. Who has the stronger claim? Does the 2018 registration matter? Does commercialisation in 2024 retrospectively change the bad-faith analysis?</w:t>
            </w:r>
          </w:p>
          <w:p w14:paraId="445EF456" w14:textId="77777777" w:rsidR="00E33D27" w:rsidRDefault="00000000">
            <w:pPr>
              <w:spacing w:after="70" w:line="265" w:lineRule="auto"/>
              <w:jc w:val="both"/>
            </w:pPr>
            <w:r>
              <w:rPr>
                <w:sz w:val="18"/>
                <w:szCs w:val="18"/>
              </w:rPr>
              <w:lastRenderedPageBreak/>
              <w:t>Under the UDRP the answer turns on the conjunctive requirement. Bad faith must exist at the time of registration, and in 2018 Rahul could not have contemplated a trademark that did not yet exist — so registration in bad faith cannot be made out, and subsequent bad-faith use does not generally cure its absence. This is the position confirmed in the WIPO Jurisprudential Overview 3.0, which treats the unified requirement as the settled approach and admits only narrow exceptions, such as registration in anticipation of nascent trademark rights. A minority “retroactive” or renewal-based approach exists but is not the mainstream. The complaint would therefore fail on the third element even if the first were satisfied, and Rahul would additionally have a strong paragraph 4(c) defence of bona fide use before notice of the dispute.</w:t>
            </w:r>
          </w:p>
          <w:p w14:paraId="09D066EE" w14:textId="77777777" w:rsidR="00E33D27" w:rsidRDefault="00000000">
            <w:pPr>
              <w:spacing w:after="70" w:line="265" w:lineRule="auto"/>
              <w:jc w:val="both"/>
            </w:pPr>
            <w:r>
              <w:rPr>
                <w:sz w:val="18"/>
                <w:szCs w:val="18"/>
              </w:rPr>
              <w:t>Now add the class refinements, because they are what distinguish a good answer. First, the registrant's inaction cuts against him: had he been alert he could have opposed the 2021 trademark application at publication, and he could still assert unregistered rights built through use and following. Second, the commercial-versus-personal distinction is real but not decisive — blogging is non-commercial use, yet the goodwill of the mark is still capable of being exploited once products are sold, and panels look at the whole context. Third, the registry point: a trademark search will not reveal a domain registration, so the register cannot resolve the conflict. Fourth, the evidentiary point: today a blogger with a substantial following genuinely has prior reputation, and the pattern of bloggers launching product lines makes this scenario increasingly common. Fifth, the forum point: the UDRP or INDRP cannot award damages in any event, so a party seeking compensation must sue.</w:t>
            </w:r>
          </w:p>
          <w:p w14:paraId="1B096A37" w14:textId="77777777" w:rsidR="00E33D27" w:rsidRDefault="00000000">
            <w:pPr>
              <w:spacing w:after="70" w:line="265" w:lineRule="auto"/>
              <w:jc w:val="both"/>
            </w:pPr>
            <w:r>
              <w:rPr>
                <w:sz w:val="18"/>
                <w:szCs w:val="18"/>
              </w:rPr>
              <w:t>The examination formula: the prior good-faith registrant usually wins on the conjunctive bad-faith requirement; the later trademark owner's better route is an action for passing off or infringement in court, where use, reputation and likelihood of confusion are weighed and damages are available.</w:t>
            </w:r>
          </w:p>
        </w:tc>
      </w:tr>
    </w:tbl>
    <w:p w14:paraId="54A6F8D3" w14:textId="77777777" w:rsidR="00E33D27" w:rsidRDefault="00E33D27">
      <w:pPr>
        <w:spacing w:after="160"/>
      </w:pPr>
    </w:p>
    <w:p w14:paraId="24A4A2A0" w14:textId="77777777" w:rsidR="00E33D27" w:rsidRDefault="00000000">
      <w:pPr>
        <w:jc w:val="both"/>
      </w:pPr>
      <w:r>
        <w:t>Two closing points connect this heading to the rest of the unit. First, this is an IP management problem before it is a litigation problem: when launching a product one registers the trademark and the corresponding domains together, across the relevant extensions and the markets into which expansion is contemplated, because acquiring a domain after launch is a purchase from whoever got there first. Second, the portfolio an IP manager is responsible for has expanded well beyond the four traditional rights. Domain names are no longer technical addresses but valuable intangible business assets driven by brand recognition, search visibility and customer trust, and they must be managed as core IP — along with data, software and source code, social media handles, digital identities, platform accounts and, latterly, tokenised assets.</w:t>
      </w:r>
    </w:p>
    <w:p w14:paraId="5AFFA426" w14:textId="77777777" w:rsidR="00E33D27" w:rsidRDefault="00000000">
      <w:pPr>
        <w:pStyle w:val="Heading2"/>
        <w:keepNext/>
      </w:pPr>
      <w:r>
        <w:t>2.9  Profiting from Technology Innovation and its Implications for Integration, Collaboration, Licensing and Public Policy</w:t>
      </w:r>
    </w:p>
    <w:p w14:paraId="1C491F59" w14:textId="77777777" w:rsidR="00E33D27" w:rsidRDefault="00000000">
      <w:pPr>
        <w:jc w:val="both"/>
      </w:pPr>
      <w:r>
        <w:t>This heading is the title of a specific article, and an answer that does not identify it loses the marks that matter: David J. Teece, “Profiting from Technological Innovation: Implications for Integration, Collaboration, Licensing and Public Policy”, Research Policy, volume 15, issue 6 (1986), pages 285 to 305. The four words in the syllabus heading are the four implications Teece draws, so the article supplies both the content and the structure of the answer.</w:t>
      </w:r>
    </w:p>
    <w:p w14:paraId="3C444F22" w14:textId="77777777" w:rsidR="00E33D27" w:rsidRDefault="00000000">
      <w:pPr>
        <w:pStyle w:val="Heading3"/>
        <w:keepNext/>
      </w:pPr>
      <w:r>
        <w:t>The puzzle</w:t>
      </w:r>
    </w:p>
    <w:p w14:paraId="239C8EDD" w14:textId="77777777" w:rsidR="00E33D27" w:rsidRDefault="00000000">
      <w:pPr>
        <w:jc w:val="both"/>
      </w:pPr>
      <w:r>
        <w:t>Teece begins from an uncomfortable empirical observation: innovating firms frequently fail to capture the economic returns from their innovations, while imitators, followers, customers and suppliers profit. This inverts the intuition on which the whole patent system appears to rest. His explanation is that when imitation is easy, markets do not work well, and the profits from innovation accrue to the owners of certain complementary assets rather than to the developers of the intellectual property. The managerial question is therefore not how to invent but how to be positioned so that invention pays.</w:t>
      </w:r>
    </w:p>
    <w:p w14:paraId="48218103" w14:textId="77777777" w:rsidR="00E33D27" w:rsidRDefault="00000000">
      <w:pPr>
        <w:pStyle w:val="Heading3"/>
        <w:keepNext/>
      </w:pPr>
      <w:r>
        <w:lastRenderedPageBreak/>
        <w:t>The three building blocks</w:t>
      </w:r>
    </w:p>
    <w:p w14:paraId="485F29EE" w14:textId="77777777" w:rsidR="00E33D27" w:rsidRDefault="00000000">
      <w:pPr>
        <w:keepNext/>
        <w:spacing w:before="160" w:after="60" w:line="240" w:lineRule="auto"/>
        <w:jc w:val="center"/>
      </w:pPr>
      <w:r>
        <w:rPr>
          <w:noProof/>
        </w:rPr>
        <w:drawing>
          <wp:inline distT="0" distB="0" distL="0" distR="0" wp14:anchorId="30229522" wp14:editId="39BFFA78">
            <wp:extent cx="6172200" cy="3124200"/>
            <wp:effectExtent l="0" t="0" r="0" b="0"/>
            <wp:docPr id="47029001" name="Picture 470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72200" cy="3124200"/>
                    </a:xfrm>
                    <a:prstGeom prst="rect">
                      <a:avLst/>
                    </a:prstGeom>
                  </pic:spPr>
                </pic:pic>
              </a:graphicData>
            </a:graphic>
          </wp:inline>
        </w:drawing>
      </w:r>
    </w:p>
    <w:p w14:paraId="05D86123" w14:textId="77777777" w:rsidR="00E33D27" w:rsidRDefault="00000000">
      <w:pPr>
        <w:spacing w:after="220" w:line="240" w:lineRule="auto"/>
        <w:jc w:val="center"/>
      </w:pPr>
      <w:r>
        <w:rPr>
          <w:i/>
          <w:iCs/>
          <w:color w:val="5A6270"/>
          <w:sz w:val="17"/>
          <w:szCs w:val="17"/>
        </w:rPr>
        <w:t>Figure 2.13  The three variables, and the integrate-or-contract decision they determine.</w:t>
      </w:r>
    </w:p>
    <w:p w14:paraId="59132EBD" w14:textId="77777777" w:rsidR="00E33D27" w:rsidRDefault="00000000">
      <w:pPr>
        <w:jc w:val="both"/>
      </w:pPr>
      <w:r>
        <w:t>The first block is the appropriability regime: the environment that determines an innovator's ability to capture returns. It has two determinants. One is the efficacy of legal protection — whether patents, copyrights and trade secrets are available, broad and enforceable in the relevant field. The other, which is the more original half of Teece's argument, is the nature of the technology itself: tacit knowledge, which resists codification, protects itself because it cannot easily be transferred, whereas codified knowledge travels and is therefore easily imitated. A regime is tight where both legal protection and tacitness are strong, and weak where the technology is codifiable and legal protection thin.</w:t>
      </w:r>
    </w:p>
    <w:p w14:paraId="4FF4FD3F" w14:textId="77777777" w:rsidR="00E33D27" w:rsidRDefault="00000000">
      <w:pPr>
        <w:jc w:val="both"/>
      </w:pPr>
      <w:r>
        <w:t>The second block is the dominant design paradigm, which Teece draws from Abernathy and Utterback. In the pre-paradigmatic phase there is no accepted standard and competition is over product designs themselves. Once a dominant design emerges, the industry enters the paradigmatic phase: competition shifts from design to price, scale and manufacturing efficiency, and it is at this point that complementary assets become decisive. Timing therefore interacts with position — an innovator who arrives before a dominant design has emerged has time to build capability; one who is overtaken once the standard has settled may not.</w:t>
      </w:r>
    </w:p>
    <w:p w14:paraId="04A44C02" w14:textId="77777777" w:rsidR="00E33D27" w:rsidRDefault="00000000">
      <w:pPr>
        <w:jc w:val="both"/>
      </w:pPr>
      <w:r>
        <w:t>The third block is complementary assets: everything other than the invention that is needed to deliver it to a customer — manufacturing, distribution, marketing, after-sales service, brand, complementary technologies, regulatory approval. Teece classifies them in three types, and the classification is the operative part. Generic assets are general-purpose, require no adaptation to the innovation and can be obtained on the market. Specialised assets involve unilateral dependence between the innovation and the asset. Co-specialised assets involve bilateral dependence, each being of limited value without the other — and it is co-specialisation that creates the hold-up hazard, because a contractual counterparty who controls a co-specialised asset can renegotiate at will.</w:t>
      </w:r>
    </w:p>
    <w:p w14:paraId="2E048E58" w14:textId="77777777" w:rsidR="00E33D27" w:rsidRDefault="00000000">
      <w:pPr>
        <w:pStyle w:val="Heading3"/>
        <w:keepNext/>
      </w:pPr>
      <w:r>
        <w:lastRenderedPageBreak/>
        <w:t>The decision, and who actually wins</w:t>
      </w:r>
    </w:p>
    <w:p w14:paraId="7FD5807C" w14:textId="77777777" w:rsidR="00E33D27" w:rsidRDefault="00000000">
      <w:pPr>
        <w:keepNext/>
        <w:spacing w:before="160" w:after="60" w:line="240" w:lineRule="auto"/>
        <w:jc w:val="center"/>
      </w:pPr>
      <w:r>
        <w:rPr>
          <w:noProof/>
        </w:rPr>
        <w:drawing>
          <wp:inline distT="0" distB="0" distL="0" distR="0" wp14:anchorId="14F89228" wp14:editId="1F0BC3BA">
            <wp:extent cx="6172200" cy="3457575"/>
            <wp:effectExtent l="0" t="0" r="0" b="0"/>
            <wp:docPr id="1655357462" name="Picture 165535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72200" cy="3457575"/>
                    </a:xfrm>
                    <a:prstGeom prst="rect">
                      <a:avLst/>
                    </a:prstGeom>
                  </pic:spPr>
                </pic:pic>
              </a:graphicData>
            </a:graphic>
          </wp:inline>
        </w:drawing>
      </w:r>
    </w:p>
    <w:p w14:paraId="3CAF0FEE" w14:textId="77777777" w:rsidR="00E33D27" w:rsidRDefault="00000000">
      <w:pPr>
        <w:spacing w:after="220" w:line="240" w:lineRule="auto"/>
        <w:jc w:val="center"/>
      </w:pPr>
      <w:r>
        <w:rPr>
          <w:i/>
          <w:iCs/>
          <w:color w:val="5A6270"/>
          <w:sz w:val="17"/>
          <w:szCs w:val="17"/>
        </w:rPr>
        <w:t>Figure 2.14  The framework as a grid, with the cases Teece uses to populate it.</w:t>
      </w:r>
    </w:p>
    <w:p w14:paraId="2302F31B" w14:textId="77777777" w:rsidR="00E33D27" w:rsidRDefault="00000000">
      <w:pPr>
        <w:jc w:val="both"/>
      </w:pPr>
      <w:r>
        <w:t>Putting the blocks together produces a decision rule. Where the appropriability regime is weak and the required complementary assets are specialised or co-specialised, an arms-length contract exposes the innovator to expropriation and hold-up, so the innovator should integrate — build or acquire the assets — provided it has the time and the capital and has not already been out-positioned. Where the assets are generic and available on the market, or where appropriability is strong enough that a licensee cannot expropriate the technology, contracting or licensing is the better route: it is faster, cheaper and less risky. And where appropriability is weak and the innovator lacks both time and assets, the innovator loses, and the holder of the complementary assets captures the value.</w:t>
      </w:r>
    </w:p>
    <w:p w14:paraId="43351DE3" w14:textId="77777777" w:rsidR="00E33D27" w:rsidRDefault="00000000">
      <w:pPr>
        <w:jc w:val="both"/>
      </w:pPr>
      <w:r>
        <w:t>Teece's cases populate the grid and should be deployed by name. EMI invented and first commercialised the CAT scanner — work recognised with a Nobel Prize — and exited the business within a few years, because it held none of the medical-equipment manufacturing, distribution and service assets that the product required, and General Electric and others took the market. RC Cola was first with both diet and caffeine-free colas, and Coca-Cola and Pepsi, which owned the bottling and distribution networks, captured the value. Kodak and Polaroid in instant photography illustrate the same axis from the other side. IBM opened the architecture of the personal computer and shipped over a million machines, and Intel and Microsoft, holding co-specialised assets, captured the value. G.D. Searle did the opposite and succeeded: it protected the returns on aspartame beyond patent expiry by building the NutraSweet brand, restricting contract manufacture and maintaining follow-on research, with the regulatory approval barrier reinforcing all three. Bowmar in pocket calculators, Docutel in automated teller machines and Ampex in video recording are Teece's further examples of innovators who could not hold what they had created.</w:t>
      </w:r>
    </w:p>
    <w:p w14:paraId="67C86774" w14:textId="77777777" w:rsidR="00E33D27" w:rsidRDefault="00000000">
      <w:pPr>
        <w:pStyle w:val="Heading3"/>
        <w:keepNext/>
      </w:pPr>
      <w:r>
        <w:lastRenderedPageBreak/>
        <w:t>The four implications, which are the four words in the heading</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200"/>
        <w:gridCol w:w="7880"/>
      </w:tblGrid>
      <w:tr w:rsidR="00E33D27" w14:paraId="41AED088" w14:textId="77777777">
        <w:tblPrEx>
          <w:tblCellMar>
            <w:top w:w="0" w:type="dxa"/>
            <w:bottom w:w="0" w:type="dxa"/>
          </w:tblCellMar>
        </w:tblPrEx>
        <w:trPr>
          <w:cantSplit/>
          <w:tblHeader/>
        </w:trPr>
        <w:tc>
          <w:tcPr>
            <w:tcW w:w="2200" w:type="dxa"/>
            <w:shd w:val="clear" w:color="auto" w:fill="1F3864"/>
            <w:tcMar>
              <w:top w:w="70" w:type="dxa"/>
              <w:left w:w="110" w:type="dxa"/>
              <w:bottom w:w="70" w:type="dxa"/>
              <w:right w:w="110" w:type="dxa"/>
            </w:tcMar>
            <w:vAlign w:val="center"/>
          </w:tcPr>
          <w:p w14:paraId="0E35ACC1" w14:textId="77777777" w:rsidR="00E33D27" w:rsidRDefault="00000000">
            <w:pPr>
              <w:spacing w:before="40" w:after="40" w:line="250" w:lineRule="auto"/>
            </w:pPr>
            <w:r>
              <w:rPr>
                <w:b/>
                <w:bCs/>
                <w:color w:val="FFFFFF"/>
                <w:sz w:val="17"/>
                <w:szCs w:val="17"/>
              </w:rPr>
              <w:t>Implication</w:t>
            </w:r>
          </w:p>
        </w:tc>
        <w:tc>
          <w:tcPr>
            <w:tcW w:w="7880" w:type="dxa"/>
            <w:shd w:val="clear" w:color="auto" w:fill="1F3864"/>
            <w:tcMar>
              <w:top w:w="70" w:type="dxa"/>
              <w:left w:w="110" w:type="dxa"/>
              <w:bottom w:w="70" w:type="dxa"/>
              <w:right w:w="110" w:type="dxa"/>
            </w:tcMar>
            <w:vAlign w:val="center"/>
          </w:tcPr>
          <w:p w14:paraId="3C3112E6" w14:textId="77777777" w:rsidR="00E33D27" w:rsidRDefault="00000000">
            <w:pPr>
              <w:spacing w:before="40" w:after="40" w:line="250" w:lineRule="auto"/>
            </w:pPr>
            <w:r>
              <w:rPr>
                <w:b/>
                <w:bCs/>
                <w:color w:val="FFFFFF"/>
                <w:sz w:val="17"/>
                <w:szCs w:val="17"/>
              </w:rPr>
              <w:t>What Teece concludes</w:t>
            </w:r>
          </w:p>
        </w:tc>
      </w:tr>
      <w:tr w:rsidR="00E33D27" w14:paraId="6C03FF2B" w14:textId="77777777">
        <w:tblPrEx>
          <w:tblCellMar>
            <w:top w:w="0" w:type="dxa"/>
            <w:bottom w:w="0" w:type="dxa"/>
          </w:tblCellMar>
        </w:tblPrEx>
        <w:trPr>
          <w:cantSplit/>
        </w:trPr>
        <w:tc>
          <w:tcPr>
            <w:tcW w:w="2200" w:type="dxa"/>
            <w:shd w:val="clear" w:color="auto" w:fill="F3F4F6"/>
            <w:tcMar>
              <w:top w:w="70" w:type="dxa"/>
              <w:left w:w="110" w:type="dxa"/>
              <w:bottom w:w="70" w:type="dxa"/>
              <w:right w:w="110" w:type="dxa"/>
            </w:tcMar>
            <w:vAlign w:val="center"/>
          </w:tcPr>
          <w:p w14:paraId="6A82B61D" w14:textId="77777777" w:rsidR="00E33D27" w:rsidRDefault="00000000">
            <w:pPr>
              <w:spacing w:before="40" w:after="40" w:line="250" w:lineRule="auto"/>
            </w:pPr>
            <w:r>
              <w:rPr>
                <w:b/>
                <w:bCs/>
                <w:sz w:val="16"/>
                <w:szCs w:val="16"/>
              </w:rPr>
              <w:t>Integration</w:t>
            </w:r>
          </w:p>
        </w:tc>
        <w:tc>
          <w:tcPr>
            <w:tcW w:w="7880" w:type="dxa"/>
            <w:shd w:val="clear" w:color="auto" w:fill="F3F4F6"/>
            <w:tcMar>
              <w:top w:w="70" w:type="dxa"/>
              <w:left w:w="110" w:type="dxa"/>
              <w:bottom w:w="70" w:type="dxa"/>
              <w:right w:w="110" w:type="dxa"/>
            </w:tcMar>
            <w:vAlign w:val="center"/>
          </w:tcPr>
          <w:p w14:paraId="33916608" w14:textId="77777777" w:rsidR="00E33D27" w:rsidRDefault="00000000">
            <w:pPr>
              <w:spacing w:before="40" w:after="40" w:line="250" w:lineRule="auto"/>
            </w:pPr>
            <w:r>
              <w:rPr>
                <w:sz w:val="16"/>
                <w:szCs w:val="16"/>
              </w:rPr>
              <w:t>Where appropriability is weak and the needed assets are specialised or co-specialised, integrate rather than contract — and note the corollary that large firms therefore tend to profit more from innovation than small ones, because they are more likely already to own the assets. This is also why, as Teece puts it, manufacturing often matters: an innovator without production and related capability may die even though it is the better innovator</w:t>
            </w:r>
          </w:p>
        </w:tc>
      </w:tr>
      <w:tr w:rsidR="00E33D27" w14:paraId="68E66E87"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vAlign w:val="center"/>
          </w:tcPr>
          <w:p w14:paraId="706112A6" w14:textId="77777777" w:rsidR="00E33D27" w:rsidRDefault="00000000">
            <w:pPr>
              <w:spacing w:before="40" w:after="40" w:line="250" w:lineRule="auto"/>
            </w:pPr>
            <w:r>
              <w:rPr>
                <w:b/>
                <w:bCs/>
                <w:sz w:val="16"/>
                <w:szCs w:val="16"/>
              </w:rPr>
              <w:t>Collaboration</w:t>
            </w:r>
          </w:p>
        </w:tc>
        <w:tc>
          <w:tcPr>
            <w:tcW w:w="7880" w:type="dxa"/>
            <w:shd w:val="clear" w:color="auto" w:fill="FFFFFF"/>
            <w:tcMar>
              <w:top w:w="70" w:type="dxa"/>
              <w:left w:w="110" w:type="dxa"/>
              <w:bottom w:w="70" w:type="dxa"/>
              <w:right w:w="110" w:type="dxa"/>
            </w:tcMar>
            <w:vAlign w:val="center"/>
          </w:tcPr>
          <w:p w14:paraId="57155839" w14:textId="77777777" w:rsidR="00E33D27" w:rsidRDefault="00000000">
            <w:pPr>
              <w:spacing w:before="40" w:after="40" w:line="250" w:lineRule="auto"/>
            </w:pPr>
            <w:r>
              <w:rPr>
                <w:sz w:val="16"/>
                <w:szCs w:val="16"/>
              </w:rPr>
              <w:t>Collaboration is the middle route where integration is too slow or too costly. It must be structured against the hold-up hazard: the more co-specialised the partner's asset, the more the agreement must do the work that ownership would otherwise do — exclusivity, field-of-use limits, improvement and grant-back terms, diligence obligations and termination rights</w:t>
            </w:r>
          </w:p>
        </w:tc>
      </w:tr>
      <w:tr w:rsidR="00E33D27" w14:paraId="49E99B13" w14:textId="77777777">
        <w:tblPrEx>
          <w:tblCellMar>
            <w:top w:w="0" w:type="dxa"/>
            <w:bottom w:w="0" w:type="dxa"/>
          </w:tblCellMar>
        </w:tblPrEx>
        <w:trPr>
          <w:cantSplit/>
        </w:trPr>
        <w:tc>
          <w:tcPr>
            <w:tcW w:w="2200" w:type="dxa"/>
            <w:shd w:val="clear" w:color="auto" w:fill="F3F4F6"/>
            <w:tcMar>
              <w:top w:w="70" w:type="dxa"/>
              <w:left w:w="110" w:type="dxa"/>
              <w:bottom w:w="70" w:type="dxa"/>
              <w:right w:w="110" w:type="dxa"/>
            </w:tcMar>
            <w:vAlign w:val="center"/>
          </w:tcPr>
          <w:p w14:paraId="6B2B197E" w14:textId="77777777" w:rsidR="00E33D27" w:rsidRDefault="00000000">
            <w:pPr>
              <w:spacing w:before="40" w:after="40" w:line="250" w:lineRule="auto"/>
            </w:pPr>
            <w:r>
              <w:rPr>
                <w:b/>
                <w:bCs/>
                <w:sz w:val="16"/>
                <w:szCs w:val="16"/>
              </w:rPr>
              <w:t>Licensing</w:t>
            </w:r>
          </w:p>
        </w:tc>
        <w:tc>
          <w:tcPr>
            <w:tcW w:w="7880" w:type="dxa"/>
            <w:shd w:val="clear" w:color="auto" w:fill="F3F4F6"/>
            <w:tcMar>
              <w:top w:w="70" w:type="dxa"/>
              <w:left w:w="110" w:type="dxa"/>
              <w:bottom w:w="70" w:type="dxa"/>
              <w:right w:w="110" w:type="dxa"/>
            </w:tcMar>
            <w:vAlign w:val="center"/>
          </w:tcPr>
          <w:p w14:paraId="6F7DD88D" w14:textId="77777777" w:rsidR="00E33D27" w:rsidRDefault="00000000">
            <w:pPr>
              <w:spacing w:before="40" w:after="40" w:line="250" w:lineRule="auto"/>
            </w:pPr>
            <w:r>
              <w:rPr>
                <w:sz w:val="16"/>
                <w:szCs w:val="16"/>
              </w:rPr>
              <w:t>Licensing is the profit-maximising route when appropriability is strong, so that the licensee cannot expropriate the technology, and when the licensor lacks the complementary assets and cannot efficiently acquire them. It destroys value when appropriability is weak, because the disclosure required to make the licence work equips the licensee to become a competitor</w:t>
            </w:r>
          </w:p>
        </w:tc>
      </w:tr>
      <w:tr w:rsidR="00E33D27" w14:paraId="0F46B115"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vAlign w:val="center"/>
          </w:tcPr>
          <w:p w14:paraId="21EEF980" w14:textId="77777777" w:rsidR="00E33D27" w:rsidRDefault="00000000">
            <w:pPr>
              <w:spacing w:before="40" w:after="40" w:line="250" w:lineRule="auto"/>
            </w:pPr>
            <w:r>
              <w:rPr>
                <w:b/>
                <w:bCs/>
                <w:sz w:val="16"/>
                <w:szCs w:val="16"/>
              </w:rPr>
              <w:t>Public policy</w:t>
            </w:r>
          </w:p>
        </w:tc>
        <w:tc>
          <w:tcPr>
            <w:tcW w:w="7880" w:type="dxa"/>
            <w:shd w:val="clear" w:color="auto" w:fill="FFFFFF"/>
            <w:tcMar>
              <w:top w:w="70" w:type="dxa"/>
              <w:left w:w="110" w:type="dxa"/>
              <w:bottom w:w="70" w:type="dxa"/>
              <w:right w:w="110" w:type="dxa"/>
            </w:tcMar>
            <w:vAlign w:val="center"/>
          </w:tcPr>
          <w:p w14:paraId="67E675EB" w14:textId="77777777" w:rsidR="00E33D27" w:rsidRDefault="00000000">
            <w:pPr>
              <w:spacing w:before="40" w:after="40" w:line="250" w:lineRule="auto"/>
            </w:pPr>
            <w:r>
              <w:rPr>
                <w:sz w:val="16"/>
                <w:szCs w:val="16"/>
              </w:rPr>
              <w:t>If the returns from innovation flow to holders of complementary assets, then policies that weaken a nation's manufacturing and commercialisation capability weaken its ability to profit from its own inventions, whatever its research strength. It also bears on antitrust treatment of vertical integration and of collaboration, since both may be efficient responses to weak appropriability rather than attempts to restrain competition</w:t>
            </w:r>
          </w:p>
        </w:tc>
      </w:tr>
    </w:tbl>
    <w:p w14:paraId="26043E02" w14:textId="77777777" w:rsidR="00E33D27" w:rsidRDefault="00000000">
      <w:pPr>
        <w:spacing w:before="60" w:after="180"/>
      </w:pPr>
      <w:r>
        <w:rPr>
          <w:i/>
          <w:iCs/>
          <w:color w:val="5A6270"/>
          <w:sz w:val="16"/>
          <w:szCs w:val="16"/>
        </w:rPr>
        <w:t>Table 2.9  Structure your answer to this heading on these four rows; they are literally the words in the syllabus title.</w:t>
      </w:r>
    </w:p>
    <w:p w14:paraId="0BCBA23B" w14:textId="77777777" w:rsidR="00E33D27" w:rsidRDefault="00000000">
      <w:pPr>
        <w:pStyle w:val="Heading3"/>
        <w:keepNext/>
      </w:pPr>
      <w:r>
        <w:t>The update, and the connections to the rest of the course</w:t>
      </w:r>
    </w:p>
    <w:p w14:paraId="1E1B5A32" w14:textId="77777777" w:rsidR="00E33D27" w:rsidRDefault="00000000">
      <w:pPr>
        <w:jc w:val="both"/>
      </w:pPr>
      <w:r>
        <w:t>Teece revisited the framework in a 2006 retrospective and extended it in “Profiting from Innovation in the Digital Economy”, Research Policy (2018), where the variables are applied to platforms, ecosystems, enabling technologies, installed-base and standards effects, and dynamic capabilities. His conclusion is that the original variables — appropriability, complementary assets and technologies, standards and timing — are more relevant than ever in an environment where a firm offers a platform to which complementors add value, because the complementors are the complementary assets and the platform owner's problem is exactly the one the 1986 article analysed.</w:t>
      </w:r>
    </w:p>
    <w:p w14:paraId="1A6002D0" w14:textId="77777777" w:rsidR="00E33D27" w:rsidRDefault="00000000">
      <w:pPr>
        <w:jc w:val="both"/>
      </w:pPr>
      <w:r>
        <w:t>Two connections complete the unit. First, Granstrand's treatment of technology exploitation maps directly onto Teece's decision: the exploitation routes form a ladder from full integration through internal exploitation, the creation of innovative firms, joint ventures and technology selling, down to outright divestment, and the survey evidence is that internal exploitation dominates everywhere, which is Teece's integration prescription observed in the field. Second, the four ways of creating competitive advantage — run-in, being first to market so that lead time is itself a temporary monopoly; lock-in, raising the customer's cost of switching; lock-out, raising the imitator's cost of imitation, which is what a patent does; and squeeze-out, defeating existing rivals through superior production or marketing — are the mechanisms by which the position Teece describes is actually held. The survey finding worth quoting is that firms consistently rated locking competitors out as more important than locking customers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013223A"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7058A673" w14:textId="77777777" w:rsidR="00E33D27" w:rsidRDefault="00000000">
            <w:pPr>
              <w:spacing w:after="80"/>
            </w:pPr>
            <w:r>
              <w:rPr>
                <w:b/>
                <w:bCs/>
                <w:color w:val="1F3864"/>
                <w:sz w:val="19"/>
                <w:szCs w:val="19"/>
              </w:rPr>
              <w:t>The sentence that should close any answer on this heading</w:t>
            </w:r>
          </w:p>
          <w:p w14:paraId="13F66F29" w14:textId="77777777" w:rsidR="00E33D27" w:rsidRDefault="00000000">
            <w:pPr>
              <w:spacing w:after="70" w:line="265" w:lineRule="auto"/>
              <w:jc w:val="both"/>
            </w:pPr>
            <w:r>
              <w:rPr>
                <w:sz w:val="18"/>
                <w:szCs w:val="18"/>
              </w:rPr>
              <w:t>Commercial success does not guarantee economic success. An innovator may win the market and still fail to earn a sufficient return on the investment that produced the innovation. That is the whole point of Teece's article, and it is the reason a course on IP management exists at all: the right is necessary but never sufficient, and what converts a right into a return is the position the holder occupies relative to everything else the customer needs.</w:t>
            </w:r>
          </w:p>
        </w:tc>
      </w:tr>
    </w:tbl>
    <w:p w14:paraId="2914FCF7" w14:textId="77777777" w:rsidR="00E33D27" w:rsidRDefault="00E33D27">
      <w:pPr>
        <w:spacing w:after="160"/>
      </w:pPr>
    </w:p>
    <w:p w14:paraId="253946CE" w14:textId="77777777" w:rsidR="00E33D27" w:rsidRDefault="00000000">
      <w:pPr>
        <w:pStyle w:val="Heading1"/>
        <w:pageBreakBefore/>
        <w:pBdr>
          <w:bottom w:val="single" w:sz="10" w:space="6" w:color="1F3864"/>
        </w:pBdr>
      </w:pPr>
      <w:r>
        <w:lastRenderedPageBreak/>
        <w:t>3  IP Commercialization — Why the Asset Has Value</w:t>
      </w:r>
    </w:p>
    <w:p w14:paraId="215E13B8" w14:textId="77777777" w:rsidR="00E33D27" w:rsidRDefault="00000000">
      <w:pPr>
        <w:spacing w:after="200"/>
        <w:jc w:val="both"/>
      </w:pPr>
      <w:r>
        <w:rPr>
          <w:i/>
          <w:iCs/>
        </w:rPr>
        <w:t>Chapters 3 to 5 cover the applied unit. The syllabus lists IP Commercialization as unit 8 and specifies “Licensing Models”; in class it was delivered as a guest session on IP commercialization in the corporate world. Chapters 1 and 2 established what IP is, what intellectual capital is, and how policy allocates and prices it; what follows is the machinery by which a protected right is actually converted into revenue, freedom to operate or bargaining power — the direct continuation of the pipeline at Figure 2.2.</w:t>
      </w:r>
    </w:p>
    <w:p w14:paraId="31274D3D" w14:textId="77777777" w:rsidR="00E33D27" w:rsidRDefault="00000000">
      <w:pPr>
        <w:jc w:val="both"/>
      </w:pPr>
      <w:r>
        <w:t>One idea governs the whole topic. Intellectual property is not valuable because it exists; it is valuable because of what somebody can do with it. A patent left in a drawer costs a maintenance fee every year and earns nothing. IP commercialization is the set of activities — technical, commercial, legal and organizational — that converts a protected piece of knowledge into revenue, market position, freedom to operate or bargaining power. Protection is the means; commercialization is the point.</w:t>
      </w:r>
    </w:p>
    <w:p w14:paraId="4BCAFD5E" w14:textId="77777777" w:rsidR="00E33D27" w:rsidRDefault="00000000">
      <w:pPr>
        <w:pStyle w:val="Heading2"/>
        <w:keepNext/>
      </w:pPr>
      <w:r>
        <w:t>3.1  The accelerating pace of patenting</w:t>
      </w:r>
    </w:p>
    <w:p w14:paraId="4566E1AE" w14:textId="77777777" w:rsidR="00E33D27" w:rsidRDefault="00000000">
      <w:pPr>
        <w:jc w:val="both"/>
      </w:pPr>
      <w:r>
        <w:t>The system has compressed dramatically. The first million U.S. utility patents took 121 years to accumulate; the eleventh million took three.</w:t>
      </w:r>
    </w:p>
    <w:p w14:paraId="16ECA495" w14:textId="77777777" w:rsidR="00E33D27" w:rsidRDefault="00000000">
      <w:pPr>
        <w:keepNext/>
        <w:spacing w:before="160" w:after="60" w:line="240" w:lineRule="auto"/>
        <w:jc w:val="center"/>
      </w:pPr>
      <w:r>
        <w:rPr>
          <w:noProof/>
        </w:rPr>
        <w:drawing>
          <wp:inline distT="0" distB="0" distL="0" distR="0" wp14:anchorId="21607D14" wp14:editId="0DAB3F30">
            <wp:extent cx="6172200" cy="2609850"/>
            <wp:effectExtent l="0" t="0" r="0" b="0"/>
            <wp:docPr id="1143374647" name="Picture 114337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72200" cy="2609850"/>
                    </a:xfrm>
                    <a:prstGeom prst="rect">
                      <a:avLst/>
                    </a:prstGeom>
                  </pic:spPr>
                </pic:pic>
              </a:graphicData>
            </a:graphic>
          </wp:inline>
        </w:drawing>
      </w:r>
    </w:p>
    <w:p w14:paraId="0F72AFD7" w14:textId="77777777" w:rsidR="00E33D27" w:rsidRDefault="00000000">
      <w:pPr>
        <w:spacing w:after="220" w:line="240" w:lineRule="auto"/>
        <w:jc w:val="center"/>
      </w:pPr>
      <w:r>
        <w:rPr>
          <w:i/>
          <w:iCs/>
          <w:color w:val="5A6270"/>
          <w:sz w:val="17"/>
          <w:szCs w:val="17"/>
        </w:rPr>
        <w:t>Figure 3.1  Years taken to reach each successive million U.S. utility patents. Source: USPTO patent milestone records.</w:t>
      </w:r>
    </w:p>
    <w:p w14:paraId="3DD07810" w14:textId="77777777" w:rsidR="00E33D27" w:rsidRDefault="00000000">
      <w:pPr>
        <w:pStyle w:val="ListParagraph"/>
        <w:numPr>
          <w:ilvl w:val="0"/>
          <w:numId w:val="2"/>
        </w:numPr>
        <w:spacing w:after="70" w:line="272" w:lineRule="auto"/>
      </w:pPr>
      <w:r>
        <w:t>Patent 10,000,000 issued on 19 June 2018 to Raytheon, for a coherent laser radar system; patent 11,000,000 followed on 11 May 2021, for a prosthetic heart valve device.</w:t>
      </w:r>
    </w:p>
    <w:p w14:paraId="019AD70E" w14:textId="77777777" w:rsidR="00E33D27" w:rsidRDefault="00000000">
      <w:pPr>
        <w:pStyle w:val="ListParagraph"/>
        <w:numPr>
          <w:ilvl w:val="0"/>
          <w:numId w:val="2"/>
        </w:numPr>
        <w:spacing w:after="70" w:line="272" w:lineRule="auto"/>
      </w:pPr>
      <w:r>
        <w:t>Annual U.S. grants rose from roughly 70,000 in 1976 to about 374,000 in 2024.</w:t>
      </w:r>
    </w:p>
    <w:p w14:paraId="2C38F460" w14:textId="77777777" w:rsidR="00E33D27" w:rsidRDefault="00000000">
      <w:pPr>
        <w:pStyle w:val="ListParagraph"/>
        <w:numPr>
          <w:ilvl w:val="0"/>
          <w:numId w:val="2"/>
        </w:numPr>
        <w:spacing w:after="70" w:line="272" w:lineRule="auto"/>
      </w:pPr>
      <w:r>
        <w:t>Worldwide filings passed 3.5 million for the first time in 2023, led by China at 1.64 million and the United States at 518,364.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995103B"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2003DAE0" w14:textId="77777777" w:rsidR="00E33D27" w:rsidRDefault="00000000">
            <w:pPr>
              <w:spacing w:after="80"/>
            </w:pPr>
            <w:r>
              <w:rPr>
                <w:b/>
                <w:bCs/>
                <w:color w:val="1F3864"/>
                <w:sz w:val="19"/>
                <w:szCs w:val="19"/>
              </w:rPr>
              <w:t>Research note — the current figures</w:t>
            </w:r>
          </w:p>
          <w:p w14:paraId="4EF073BE" w14:textId="77777777" w:rsidR="00E33D27" w:rsidRDefault="00000000">
            <w:pPr>
              <w:spacing w:after="70" w:line="265" w:lineRule="auto"/>
              <w:jc w:val="both"/>
            </w:pPr>
            <w:r>
              <w:rPr>
                <w:sz w:val="18"/>
                <w:szCs w:val="18"/>
              </w:rPr>
              <w:t xml:space="preserve">WIPO’s World Intellectual Property Indicators 2025 puts global patent filings in 2024 at a record 3.7 million, up 4.9% on 2023 and the fastest growth since 2018. China’s office received about 1.8 million applications, roughly 49% of the world total; by origin China led, followed by the United States (501,831) and Japan (419,132). Patents in force worldwide stood at approximately 18.6 million. Read the trend commercially: rising volume means more prior art, so the room for a broad core </w:t>
            </w:r>
            <w:r>
              <w:rPr>
                <w:sz w:val="18"/>
                <w:szCs w:val="18"/>
              </w:rPr>
              <w:lastRenderedPageBreak/>
              <w:t>claim narrows every year; more overlapping rights on any complex product, which makes freedom-to-operate analysis and cross-licensing unavoidable; and more competition for the same licensees, which lowers the price of an average patent while raising the price of a genuinely blocking one.</w:t>
            </w:r>
          </w:p>
        </w:tc>
      </w:tr>
    </w:tbl>
    <w:p w14:paraId="669CA59C" w14:textId="77777777" w:rsidR="00E33D27" w:rsidRDefault="00E33D27">
      <w:pPr>
        <w:spacing w:after="160"/>
      </w:pPr>
    </w:p>
    <w:p w14:paraId="228A4D61" w14:textId="77777777" w:rsidR="00E33D27" w:rsidRDefault="00000000">
      <w:pPr>
        <w:pStyle w:val="Heading2"/>
        <w:keepNext/>
      </w:pPr>
      <w:r>
        <w:t>3.2  Do patents show up in the share price?</w:t>
      </w:r>
    </w:p>
    <w:p w14:paraId="2EC757CF" w14:textId="77777777" w:rsidR="00E33D27" w:rsidRDefault="00000000">
      <w:pPr>
        <w:jc w:val="both"/>
      </w:pPr>
      <w:r>
        <w:t>If IP were commercially irrelevant, capital markets would not pay for it. They do — but the evidence says they price patent quality, not patent count.</w:t>
      </w:r>
    </w:p>
    <w:p w14:paraId="3080644F" w14:textId="77777777" w:rsidR="00E33D27" w:rsidRDefault="00000000">
      <w:pPr>
        <w:jc w:val="both"/>
      </w:pPr>
      <w:r>
        <w:t>The macro evidence was given in Chapter 1: intangible assets rose from about 17 per cent of S&amp;P 500 market value in 1975 to over 90 per cent by 2020 (Figure 3.8). What that series does not reveal is whether the market pays for the number of rights a firm holds or for their quality. The answer is the second, and the study that establishes it is the one below.</w:t>
      </w:r>
    </w:p>
    <w:p w14:paraId="489508CF" w14:textId="77777777" w:rsidR="00E33D27" w:rsidRDefault="00000000">
      <w:pPr>
        <w:pStyle w:val="Heading3"/>
        <w:keepNext/>
      </w:pPr>
      <w:r>
        <w:t>The canonical finding: Hall, Jaffe and Trajtenberg</w:t>
      </w:r>
    </w:p>
    <w:p w14:paraId="187FCC70" w14:textId="77777777" w:rsidR="00E33D27" w:rsidRDefault="00000000">
      <w:pPr>
        <w:jc w:val="both"/>
      </w:pPr>
      <w:r>
        <w:t>Hall, Jaffe and Trajtenberg estimate Tobin’s q equations for U.S. firms over 1963–1995 using three ratios: R&amp;D to assets, patents to R&amp;D, and citations to patents.</w:t>
      </w:r>
    </w:p>
    <w:p w14:paraId="79D292FD" w14:textId="77777777" w:rsidR="00E33D27" w:rsidRDefault="00000000">
      <w:pPr>
        <w:pStyle w:val="ListParagraph"/>
        <w:numPr>
          <w:ilvl w:val="0"/>
          <w:numId w:val="2"/>
        </w:numPr>
        <w:spacing w:after="70" w:line="272" w:lineRule="auto"/>
      </w:pPr>
      <w:r>
        <w:t>Each of the three ratios significantly affects market value — the market prices research input, patent output and patent quality separately.</w:t>
      </w:r>
    </w:p>
    <w:p w14:paraId="1E5DFDDB" w14:textId="77777777" w:rsidR="00E33D27" w:rsidRDefault="00000000">
      <w:pPr>
        <w:pStyle w:val="ListParagraph"/>
        <w:numPr>
          <w:ilvl w:val="0"/>
          <w:numId w:val="2"/>
        </w:numPr>
        <w:spacing w:after="70" w:line="272" w:lineRule="auto"/>
      </w:pPr>
      <w:r>
        <w:t>An extra citation per patent adds roughly 3% to market value; firms averaging twenty or more citations per patent command something like a 54% premium.</w:t>
      </w:r>
    </w:p>
    <w:p w14:paraId="16E07D79" w14:textId="77777777" w:rsidR="00E33D27" w:rsidRDefault="00000000">
      <w:pPr>
        <w:pStyle w:val="ListParagraph"/>
        <w:numPr>
          <w:ilvl w:val="0"/>
          <w:numId w:val="2"/>
        </w:numPr>
        <w:spacing w:after="70" w:line="272" w:lineRule="auto"/>
      </w:pPr>
      <w:r>
        <w:t>The effect is strongest in drugs and weakest in computers and communications: industry-specific, not universal.</w:t>
      </w:r>
    </w:p>
    <w:p w14:paraId="3D3A464D" w14:textId="77777777" w:rsidR="00E33D27" w:rsidRDefault="00000000">
      <w:pPr>
        <w:pStyle w:val="ListParagraph"/>
        <w:numPr>
          <w:ilvl w:val="0"/>
          <w:numId w:val="2"/>
        </w:numPr>
        <w:spacing w:after="70" w:line="272" w:lineRule="auto"/>
      </w:pPr>
      <w:r>
        <w:t>Unpredictable citations matter more than the predictable component — the market has already priced what it could forecast, so only genuine surprise moves valuation.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315E05CE"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7FA7CC6A" w14:textId="77777777" w:rsidR="00E33D27" w:rsidRDefault="00000000">
            <w:pPr>
              <w:spacing w:after="80"/>
            </w:pPr>
            <w:r>
              <w:rPr>
                <w:b/>
                <w:bCs/>
                <w:color w:val="8A5A10"/>
                <w:sz w:val="19"/>
                <w:szCs w:val="19"/>
              </w:rPr>
              <w:t>The caveat that governs everything downstream</w:t>
            </w:r>
          </w:p>
          <w:p w14:paraId="6359F38B" w14:textId="77777777" w:rsidR="00E33D27" w:rsidRDefault="00000000">
            <w:pPr>
              <w:spacing w:after="70" w:line="265" w:lineRule="auto"/>
              <w:jc w:val="both"/>
            </w:pPr>
            <w:r>
              <w:rPr>
                <w:sz w:val="18"/>
                <w:szCs w:val="18"/>
              </w:rPr>
              <w:t>Patent value is extremely skewed, approximately log-normal, with a small share of patents carrying most of the value. A raw count of active patents is a poor proxy for portfolio worth: the market rewards the tail, not the total.</w:t>
            </w:r>
          </w:p>
          <w:p w14:paraId="0CE11136" w14:textId="77777777" w:rsidR="00E33D27" w:rsidRDefault="00000000">
            <w:pPr>
              <w:spacing w:after="70" w:line="265" w:lineRule="auto"/>
              <w:jc w:val="both"/>
            </w:pPr>
            <w:r>
              <w:rPr>
                <w:sz w:val="18"/>
                <w:szCs w:val="18"/>
              </w:rPr>
              <w:t>Three consequences follow. Portfolio pruning creates value rather than merely saving cost, because dropping the long tail of unused families releases maintenance fees without losing much worth. Measuring an IP department by filings per year rewards the wrong behaviour. And when you value a portfolio you are valuing a handful of assets plus an option on the rest — which is why average royalty rates are a weak guide to any particular deal.</w:t>
            </w:r>
          </w:p>
        </w:tc>
      </w:tr>
    </w:tbl>
    <w:p w14:paraId="7F118AB8" w14:textId="77777777" w:rsidR="00E33D27" w:rsidRDefault="00E33D27">
      <w:pPr>
        <w:spacing w:after="160"/>
      </w:pPr>
    </w:p>
    <w:p w14:paraId="5F03C1B5" w14:textId="77777777" w:rsidR="00E33D27" w:rsidRDefault="00000000">
      <w:pPr>
        <w:pStyle w:val="Heading3"/>
        <w:keepNext/>
      </w:pPr>
      <w:r>
        <w:t>What the exclusivity actually buys</w:t>
      </w:r>
    </w:p>
    <w:p w14:paraId="2E2B292D" w14:textId="77777777" w:rsidR="00E33D27" w:rsidRDefault="00000000">
      <w:pPr>
        <w:jc w:val="both"/>
      </w:pPr>
      <w:r>
        <w:t>It is worth being precise about the commercial mechanism the market is pricing. A patent does not create demand; it creates a temporary monopoly. There are four ways to do that, and only one of them is what a patent does.</w:t>
      </w:r>
    </w:p>
    <w:p w14:paraId="48D776D1" w14:textId="77777777" w:rsidR="00E33D27" w:rsidRDefault="00000000">
      <w:pPr>
        <w:keepNext/>
        <w:spacing w:before="160" w:after="60" w:line="240" w:lineRule="auto"/>
        <w:jc w:val="center"/>
      </w:pPr>
      <w:r>
        <w:rPr>
          <w:noProof/>
        </w:rPr>
        <w:lastRenderedPageBreak/>
        <w:drawing>
          <wp:inline distT="0" distB="0" distL="0" distR="0" wp14:anchorId="7DA3BC85" wp14:editId="0D844157">
            <wp:extent cx="6172200" cy="3629025"/>
            <wp:effectExtent l="0" t="0" r="0" b="0"/>
            <wp:docPr id="1736823096" name="Picture 173682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72200" cy="3629025"/>
                    </a:xfrm>
                    <a:prstGeom prst="rect">
                      <a:avLst/>
                    </a:prstGeom>
                  </pic:spPr>
                </pic:pic>
              </a:graphicData>
            </a:graphic>
          </wp:inline>
        </w:drawing>
      </w:r>
    </w:p>
    <w:p w14:paraId="0CF6171B" w14:textId="77777777" w:rsidR="00E33D27" w:rsidRDefault="00000000">
      <w:pPr>
        <w:spacing w:after="220" w:line="240" w:lineRule="auto"/>
        <w:jc w:val="center"/>
      </w:pPr>
      <w:r>
        <w:rPr>
          <w:i/>
          <w:iCs/>
          <w:color w:val="5A6270"/>
          <w:sz w:val="17"/>
          <w:szCs w:val="17"/>
        </w:rPr>
        <w:t>Figure 3.2  Four routes to a temporary monopoly. Book explanation, used here to show what a patent contributes and what it does not.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4AA7348C"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57E11EDB" w14:textId="77777777" w:rsidR="00E33D27" w:rsidRDefault="00000000">
            <w:pPr>
              <w:spacing w:after="80"/>
            </w:pPr>
            <w:r>
              <w:rPr>
                <w:b/>
                <w:bCs/>
                <w:color w:val="1F3864"/>
                <w:sz w:val="19"/>
                <w:szCs w:val="19"/>
              </w:rPr>
              <w:t>Evidence from the book — patents versus marketing and production</w:t>
            </w:r>
          </w:p>
          <w:p w14:paraId="72698C4D" w14:textId="77777777" w:rsidR="00E33D27" w:rsidRDefault="00000000">
            <w:pPr>
              <w:spacing w:after="70" w:line="265" w:lineRule="auto"/>
              <w:jc w:val="both"/>
            </w:pPr>
            <w:r>
              <w:rPr>
                <w:sz w:val="18"/>
                <w:szCs w:val="18"/>
              </w:rPr>
              <w:t>Chapter 6 surveyed 24 large Japanese corporations on how important each means is for commercializing new product technologies, and compared the answers with Swedish and U.S. data (0 = no importance, 4 = major importance).</w:t>
            </w:r>
          </w:p>
          <w:p w14:paraId="56385085" w14:textId="77777777" w:rsidR="00E33D27" w:rsidRDefault="00000000">
            <w:pPr>
              <w:spacing w:after="70" w:line="265" w:lineRule="auto"/>
              <w:jc w:val="both"/>
            </w:pPr>
            <w:r>
              <w:rPr>
                <w:b/>
                <w:bCs/>
              </w:rPr>
              <w:t>Taking out patents to deter imitators: Japan 3.3, Sweden 1.9, USA 2.0.  ·  Creating superior marketing: Japan 2.7, Sweden 3.0, USA 3.1.  ·  Exercising secrecy: Japan 2.4, Sweden 2.0, USA 1.7.  ·  Creating switching costs at the user end: Japan 1.9, Sweden 1.7.</w:t>
            </w:r>
          </w:p>
          <w:p w14:paraId="4975E38B" w14:textId="77777777" w:rsidR="00E33D27" w:rsidRDefault="00000000">
            <w:pPr>
              <w:spacing w:after="70" w:line="265" w:lineRule="auto"/>
              <w:jc w:val="both"/>
            </w:pPr>
            <w:r>
              <w:rPr>
                <w:sz w:val="18"/>
                <w:szCs w:val="18"/>
              </w:rPr>
              <w:t>Three readings matter. Patents ranked highest in Japan but close to the bottom in Sweden and the USA — it is the means on which the three countries differ most, so the claim “patents are how you capture returns” is a strategic choice and not a law of nature. Marketing ranked highest in the West. And locking customers in ranked lowest everywhere, so locking competitors out through patents was consistently judged the more important lever. Within Japan, patenting ranked highest in chemicals (3.89) and electricals (3.40) but only third in mechanicals (2.60), where production cost reduction and process secrecy led instead — a reminder that the right instrument depends on whether your invention is visible in the product.</w:t>
            </w:r>
          </w:p>
        </w:tc>
      </w:tr>
    </w:tbl>
    <w:p w14:paraId="0B97ABAA" w14:textId="77777777" w:rsidR="00E33D27" w:rsidRDefault="00E33D27">
      <w:pPr>
        <w:spacing w:after="160"/>
      </w:pPr>
    </w:p>
    <w:p w14:paraId="54A15333" w14:textId="77777777" w:rsidR="00E33D27" w:rsidRDefault="00000000">
      <w:pPr>
        <w:pStyle w:val="Heading1"/>
        <w:pageBreakBefore/>
        <w:pBdr>
          <w:bottom w:val="single" w:sz="10" w:space="6" w:color="1F3864"/>
        </w:pBdr>
      </w:pPr>
      <w:r>
        <w:lastRenderedPageBreak/>
        <w:t>4  IP Commercialization in the Corporate World</w:t>
      </w:r>
    </w:p>
    <w:p w14:paraId="4C01BF71" w14:textId="77777777" w:rsidR="00E33D27" w:rsidRDefault="00000000">
      <w:pPr>
        <w:spacing w:after="200"/>
        <w:jc w:val="both"/>
      </w:pPr>
      <w:r>
        <w:rPr>
          <w:i/>
          <w:iCs/>
        </w:rPr>
        <w:t>The guest session by Dr Osman Ahmed, taken slide by slide. It answers the practical question: inside a company, what has to be true for IP to generate money, and what are the actual mechanisms by which it does so.</w:t>
      </w:r>
    </w:p>
    <w:p w14:paraId="7A1A2BD0" w14:textId="77777777" w:rsidR="00E33D27" w:rsidRDefault="00000000">
      <w:pPr>
        <w:pStyle w:val="Heading2"/>
        <w:keepNext/>
      </w:pPr>
      <w:r>
        <w:t>4.1  The innovation ecosystem: where IP sits in the corporate loop</w:t>
      </w:r>
    </w:p>
    <w:p w14:paraId="590FBBA1" w14:textId="77777777" w:rsidR="00E33D27" w:rsidRDefault="00000000">
      <w:pPr>
        <w:jc w:val="both"/>
      </w:pPr>
      <w:r>
        <w:t>Corporate IP commercialization is not a standalone activity. It is one loop inside a closed circulation of capital and knowledge whose declared goal is to create corporate wealth of two kinds at once — intellectual wealth and financial capital — with IP as the mechanism of conversion between them.</w:t>
      </w:r>
    </w:p>
    <w:p w14:paraId="4B9DED13" w14:textId="77777777" w:rsidR="00E33D27" w:rsidRDefault="00000000">
      <w:pPr>
        <w:keepNext/>
        <w:spacing w:before="160" w:after="60" w:line="240" w:lineRule="auto"/>
        <w:jc w:val="center"/>
      </w:pPr>
      <w:r>
        <w:rPr>
          <w:noProof/>
        </w:rPr>
        <w:drawing>
          <wp:inline distT="0" distB="0" distL="0" distR="0" wp14:anchorId="25CB665F" wp14:editId="07231418">
            <wp:extent cx="6172200" cy="4362450"/>
            <wp:effectExtent l="0" t="0" r="0" b="0"/>
            <wp:docPr id="710045317" name="Picture 71004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72200" cy="4362450"/>
                    </a:xfrm>
                    <a:prstGeom prst="rect">
                      <a:avLst/>
                    </a:prstGeom>
                  </pic:spPr>
                </pic:pic>
              </a:graphicData>
            </a:graphic>
          </wp:inline>
        </w:drawing>
      </w:r>
    </w:p>
    <w:p w14:paraId="049CC6BA" w14:textId="77777777" w:rsidR="00E33D27" w:rsidRDefault="00000000">
      <w:pPr>
        <w:spacing w:after="220" w:line="240" w:lineRule="auto"/>
        <w:jc w:val="center"/>
      </w:pPr>
      <w:r>
        <w:rPr>
          <w:i/>
          <w:iCs/>
          <w:color w:val="5A6270"/>
          <w:sz w:val="17"/>
          <w:szCs w:val="17"/>
        </w:rPr>
        <w:t>Figure 4.1  The corporate innovation ecosystem and its legal gates.</w:t>
      </w:r>
    </w:p>
    <w:p w14:paraId="0D80725D" w14:textId="77777777" w:rsidR="00E33D27" w:rsidRDefault="00000000">
      <w:pPr>
        <w:jc w:val="both"/>
      </w:pPr>
      <w:r>
        <w:t>Trace the loop. Company capital funds research and inventions. Research feeds development and commercialization, which produces products, services, processes and licensing opportunities. These generate capital and growth, which flows back into company capital, and also outward into external collaboration and open innovation, and into IP acquisition and cross-licensing, which re-enter the firm as inputs to the next cycle. Down the right-hand side runs IP generation, fed both by research (inventions not yet in a product) and by the product business itself (improvements, process and application inventions). IP generation is not a terminus: it returns to the cycle as licensing revenue, as defensive strength and as bargaining currency.</w:t>
      </w:r>
    </w:p>
    <w:p w14:paraId="13B01462" w14:textId="77777777" w:rsidR="00E33D27" w:rsidRDefault="00000000">
      <w:pPr>
        <w:jc w:val="both"/>
      </w:pPr>
      <w:r>
        <w:t xml:space="preserve">The diamonds marked “Legal” are the instructive part. Every transfer of value in the loop passes through a legal gate: who owns the invention, is the company free to operate, what is filed and when, and what the contract with </w:t>
      </w:r>
      <w:r>
        <w:lastRenderedPageBreak/>
        <w:t>the partner or licensee actually says. Where those gates are missing or late, value leaks — through inventions that can no longer be claimed because they were published first, through collaborations whose background and foreground IP were never separated, and through products found to infringe after the launch budget is spent.</w:t>
      </w:r>
    </w:p>
    <w:p w14:paraId="650AA8B9" w14:textId="77777777" w:rsidR="00E33D27" w:rsidRDefault="00000000">
      <w:pPr>
        <w:pStyle w:val="Heading2"/>
        <w:keepNext/>
      </w:pPr>
      <w:r>
        <w:t>4.2  The seven requirements for robust corporate IP commercialization</w:t>
      </w:r>
    </w:p>
    <w:p w14:paraId="64F7B917" w14:textId="77777777" w:rsidR="00E33D27" w:rsidRDefault="00000000">
      <w:pPr>
        <w:jc w:val="both"/>
      </w:pPr>
      <w:r>
        <w:t>The session sets out a process, not a formula. Each requirement is a failure mode when absent.</w:t>
      </w:r>
    </w:p>
    <w:p w14:paraId="0E84992D" w14:textId="77777777" w:rsidR="00E33D27" w:rsidRDefault="00000000">
      <w:pPr>
        <w:pStyle w:val="ListParagraph"/>
        <w:numPr>
          <w:ilvl w:val="0"/>
          <w:numId w:val="3"/>
        </w:numPr>
        <w:spacing w:after="70" w:line="272" w:lineRule="auto"/>
      </w:pPr>
      <w:r>
        <w:rPr>
          <w:b/>
          <w:bCs/>
        </w:rPr>
        <w:t xml:space="preserve">Management’s commitment to innovation and IP creation. </w:t>
      </w:r>
      <w:r>
        <w:t>IP spend is discretionary, long-dated and easy to cut. Without a standing commitment at the top, filing budgets and inventor awards are the first casualties of a bad quarter, and the damage appears years later when there is nothing to license and nothing to trade.</w:t>
      </w:r>
    </w:p>
    <w:p w14:paraId="0FF50374" w14:textId="77777777" w:rsidR="00E33D27" w:rsidRDefault="00000000">
      <w:pPr>
        <w:pStyle w:val="ListParagraph"/>
        <w:numPr>
          <w:ilvl w:val="0"/>
          <w:numId w:val="3"/>
        </w:numPr>
        <w:spacing w:after="70" w:line="272" w:lineRule="auto"/>
      </w:pPr>
      <w:r>
        <w:rPr>
          <w:b/>
          <w:bCs/>
        </w:rPr>
        <w:t xml:space="preserve">Strategy implementation — efficient and timely execution. </w:t>
      </w:r>
      <w:r>
        <w:t>In IP, timing is substantive: a filing made after a conference presentation may be void, and one made before the invention is properly described may be worthless. Execution speed is part of the asset’s quality.</w:t>
      </w:r>
    </w:p>
    <w:p w14:paraId="45924425" w14:textId="77777777" w:rsidR="00E33D27" w:rsidRDefault="00000000">
      <w:pPr>
        <w:pStyle w:val="ListParagraph"/>
        <w:numPr>
          <w:ilvl w:val="0"/>
          <w:numId w:val="3"/>
        </w:numPr>
        <w:spacing w:after="70" w:line="272" w:lineRule="auto"/>
      </w:pPr>
      <w:r>
        <w:rPr>
          <w:b/>
          <w:bCs/>
        </w:rPr>
        <w:t xml:space="preserve">Sound identification and assessment of the right opportunity, at the right time, for the right reason. </w:t>
      </w:r>
      <w:r>
        <w:t>Three separate tests. The right opportunity means the invention is protectable and commercially relevant. The right time means market and technology are both ready. The right reason means you can say what the patent is for — exclusion, revenue, trading stock or reputation — because the reason determines how the claims are drafted and where the family is filed.</w:t>
      </w:r>
    </w:p>
    <w:p w14:paraId="174D1277" w14:textId="77777777" w:rsidR="00E33D27" w:rsidRDefault="00000000">
      <w:pPr>
        <w:pStyle w:val="ListParagraph"/>
        <w:numPr>
          <w:ilvl w:val="0"/>
          <w:numId w:val="3"/>
        </w:numPr>
        <w:spacing w:after="70" w:line="272" w:lineRule="auto"/>
      </w:pPr>
      <w:r>
        <w:rPr>
          <w:b/>
          <w:bCs/>
        </w:rPr>
        <w:t xml:space="preserve">Select and create the right value propositions for the right market. </w:t>
      </w:r>
      <w:r>
        <w:t>One technology supports different propositions in different markets, and each proposition implies different claims and a different licensee. Value propositions are created, not discovered.</w:t>
      </w:r>
    </w:p>
    <w:p w14:paraId="02CA1C9A" w14:textId="77777777" w:rsidR="00E33D27" w:rsidRDefault="00000000">
      <w:pPr>
        <w:pStyle w:val="ListParagraph"/>
        <w:numPr>
          <w:ilvl w:val="0"/>
          <w:numId w:val="3"/>
        </w:numPr>
        <w:spacing w:after="70" w:line="272" w:lineRule="auto"/>
      </w:pPr>
      <w:r>
        <w:rPr>
          <w:b/>
          <w:bCs/>
        </w:rPr>
        <w:t xml:space="preserve">Talented and motivated resources. </w:t>
      </w:r>
      <w:r>
        <w:t>The session invokes Steve Jobs’s pirates-and-navy line: it is better to be a pirate than to join the navy. New technology needs people willing to work outside the established process, protected by management from the process they are circumventing — but eventually the pirates must work with the navy, because the navy owns manufacturing, distribution and quality.</w:t>
      </w:r>
    </w:p>
    <w:p w14:paraId="1EB7EA5B" w14:textId="77777777" w:rsidR="00E33D27" w:rsidRDefault="00000000">
      <w:pPr>
        <w:pStyle w:val="ListParagraph"/>
        <w:numPr>
          <w:ilvl w:val="0"/>
          <w:numId w:val="3"/>
        </w:numPr>
        <w:spacing w:after="70" w:line="272" w:lineRule="auto"/>
      </w:pPr>
      <w:r>
        <w:rPr>
          <w:b/>
          <w:bCs/>
        </w:rPr>
        <w:t xml:space="preserve">Open collaboration. </w:t>
      </w:r>
      <w:r>
        <w:t>No single firm owns all the complementary assets a new technology needs, so collaboration is an economic necessity. IP is what makes it safe: background and foreground IP defined in advance, field-of-use boundaries, and publication and confidentiality rules.</w:t>
      </w:r>
    </w:p>
    <w:p w14:paraId="10A6778F" w14:textId="77777777" w:rsidR="00E33D27" w:rsidRDefault="00000000">
      <w:pPr>
        <w:pStyle w:val="ListParagraph"/>
        <w:numPr>
          <w:ilvl w:val="0"/>
          <w:numId w:val="3"/>
        </w:numPr>
        <w:spacing w:after="70" w:line="272" w:lineRule="auto"/>
      </w:pPr>
      <w:r>
        <w:rPr>
          <w:b/>
          <w:bCs/>
        </w:rPr>
        <w:t xml:space="preserve">A symbiotic and synergistic relationship between IP legal and R&amp;I / R&amp;D. </w:t>
      </w:r>
      <w:r>
        <w:t>The requirement the session draws as a diagram, and the one most often missing.</w:t>
      </w:r>
    </w:p>
    <w:p w14:paraId="5D4572E7" w14:textId="77777777" w:rsidR="00E33D27" w:rsidRDefault="00000000">
      <w:pPr>
        <w:keepNext/>
        <w:spacing w:before="160" w:after="60" w:line="240" w:lineRule="auto"/>
        <w:jc w:val="center"/>
      </w:pPr>
      <w:r>
        <w:rPr>
          <w:noProof/>
        </w:rPr>
        <w:lastRenderedPageBreak/>
        <w:drawing>
          <wp:inline distT="0" distB="0" distL="0" distR="0" wp14:anchorId="67C69E6E" wp14:editId="49B8C744">
            <wp:extent cx="6172200" cy="3448050"/>
            <wp:effectExtent l="0" t="0" r="0" b="0"/>
            <wp:docPr id="79703571" name="Picture 7970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72200" cy="3448050"/>
                    </a:xfrm>
                    <a:prstGeom prst="rect">
                      <a:avLst/>
                    </a:prstGeom>
                  </pic:spPr>
                </pic:pic>
              </a:graphicData>
            </a:graphic>
          </wp:inline>
        </w:drawing>
      </w:r>
    </w:p>
    <w:p w14:paraId="4C55EC79" w14:textId="77777777" w:rsidR="00E33D27" w:rsidRDefault="00000000">
      <w:pPr>
        <w:spacing w:after="220" w:line="240" w:lineRule="auto"/>
        <w:jc w:val="center"/>
      </w:pPr>
      <w:r>
        <w:rPr>
          <w:i/>
          <w:iCs/>
          <w:color w:val="5A6270"/>
          <w:sz w:val="17"/>
          <w:szCs w:val="17"/>
        </w:rPr>
        <w:t>Figure 4.2  Symbiotic and synergistic: the technical functions on one side, IP legal on the other.</w:t>
      </w:r>
    </w:p>
    <w:p w14:paraId="175DAEA8" w14:textId="77777777" w:rsidR="00E33D27" w:rsidRDefault="00000000">
      <w:pPr>
        <w:jc w:val="both"/>
      </w:pPr>
      <w:r>
        <w:t>Symbiotic means neither function can achieve its purpose alone: engineers cannot create a defensible asset without claim strategy, and lawyers cannot draft a valuable claim without knowing what the technology does and where the market is going. Synergistic means that together they produce more than the sum. The engineer who understands claim structure invents around competitors deliberately and designs inventions whose infringement can be detected; the attorney who understands the product roadmap files a core claim broad enough to cover products that do not exist yet. In practice the relationship is built with routine mechanisms — invention-review boards with both functions present, IP training for engineers, patent-landscape briefings into R&amp;D planning, and attorneys embedded in product teams rather than summoned at the 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C1BB24D"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00022E90" w14:textId="77777777" w:rsidR="00E33D27" w:rsidRDefault="00000000">
            <w:pPr>
              <w:spacing w:after="80"/>
            </w:pPr>
            <w:r>
              <w:rPr>
                <w:b/>
                <w:bCs/>
                <w:color w:val="1F3864"/>
                <w:sz w:val="19"/>
                <w:szCs w:val="19"/>
              </w:rPr>
              <w:t>Evidence from the book — why requirements 4, 6 and 7 matter more than they look</w:t>
            </w:r>
          </w:p>
          <w:p w14:paraId="6EC10162" w14:textId="77777777" w:rsidR="00E33D27" w:rsidRDefault="00000000">
            <w:pPr>
              <w:spacing w:after="70" w:line="265" w:lineRule="auto"/>
              <w:jc w:val="both"/>
            </w:pPr>
            <w:r>
              <w:rPr>
                <w:sz w:val="18"/>
                <w:szCs w:val="18"/>
              </w:rPr>
              <w:t>Chapter 6 asked the same 24 corporations what actually limits their ability to profit from innovation (0–4 scale, total across all firms):</w:t>
            </w:r>
          </w:p>
          <w:p w14:paraId="7D5EF9D8" w14:textId="77777777" w:rsidR="00E33D27" w:rsidRDefault="00000000">
            <w:pPr>
              <w:spacing w:after="70" w:line="265" w:lineRule="auto"/>
              <w:jc w:val="both"/>
            </w:pPr>
            <w:r>
              <w:rPr>
                <w:b/>
                <w:bCs/>
              </w:rPr>
              <w:t>High cost or limited access to the technology needed 2.62  ·  High costs or difficulties in marketing 2.57  ·  Problems getting a product into production in a timely way 2.48  ·  Inability to prevent other firms copying the technology 2.48  ·  High cost or limited access to capital 2.20  ·  Lack of competent suppliers 1.80.</w:t>
            </w:r>
          </w:p>
          <w:p w14:paraId="3FA3DB2A" w14:textId="77777777" w:rsidR="00E33D27" w:rsidRDefault="00000000">
            <w:pPr>
              <w:spacing w:after="70" w:line="265" w:lineRule="auto"/>
              <w:jc w:val="both"/>
            </w:pPr>
            <w:r>
              <w:rPr>
                <w:sz w:val="18"/>
                <w:szCs w:val="18"/>
              </w:rPr>
              <w:t>Copying is not the biggest obstacle. Access to technology, timely production and marketing cost all rank at or above it. A patent therefore addresses one limitation out of six — and not the largest. This is the empirical case for requirements 4, 6 and 7: an IP strategy detached from manufacturing ramp-up, market access and technology sourcing solves a second-order problem at first-order cost. It also points to the patent’s second job, which addresses the top-ranked limitation directly: patents can be used to obtain access to technology you need, through cross-licensing (Section 4.6).</w:t>
            </w:r>
          </w:p>
        </w:tc>
      </w:tr>
    </w:tbl>
    <w:p w14:paraId="1D93F7DC" w14:textId="77777777" w:rsidR="00E33D27" w:rsidRDefault="00E33D2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0F43540"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50987C20" w14:textId="77777777" w:rsidR="00E33D27" w:rsidRDefault="00000000">
            <w:pPr>
              <w:spacing w:after="80"/>
            </w:pPr>
            <w:r>
              <w:rPr>
                <w:b/>
                <w:bCs/>
                <w:color w:val="1F3864"/>
                <w:sz w:val="19"/>
                <w:szCs w:val="19"/>
              </w:rPr>
              <w:t>Evidence from the book — how firms actually exploit technology</w:t>
            </w:r>
          </w:p>
          <w:p w14:paraId="04DEC33A" w14:textId="77777777" w:rsidR="00E33D27" w:rsidRDefault="00000000">
            <w:pPr>
              <w:spacing w:after="70" w:line="265" w:lineRule="auto"/>
              <w:jc w:val="both"/>
            </w:pPr>
            <w:r>
              <w:rPr>
                <w:sz w:val="18"/>
                <w:szCs w:val="18"/>
              </w:rPr>
              <w:lastRenderedPageBreak/>
              <w:t>Asked how they commercialize their technological capabilities, the same firms ranked the options as follows (0–4, total across firms), arranged from full organizational integration down to arm's-length dealing:</w:t>
            </w:r>
          </w:p>
        </w:tc>
      </w:tr>
    </w:tbl>
    <w:p w14:paraId="63ABC665" w14:textId="77777777" w:rsidR="00E33D27" w:rsidRDefault="00E33D27">
      <w:pPr>
        <w:spacing w:after="160"/>
      </w:pP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3000"/>
        <w:gridCol w:w="1300"/>
        <w:gridCol w:w="5780"/>
      </w:tblGrid>
      <w:tr w:rsidR="00E33D27" w14:paraId="156491E2" w14:textId="77777777">
        <w:tblPrEx>
          <w:tblCellMar>
            <w:top w:w="0" w:type="dxa"/>
            <w:bottom w:w="0" w:type="dxa"/>
          </w:tblCellMar>
        </w:tblPrEx>
        <w:trPr>
          <w:cantSplit/>
          <w:tblHeader/>
        </w:trPr>
        <w:tc>
          <w:tcPr>
            <w:tcW w:w="3000" w:type="dxa"/>
            <w:shd w:val="clear" w:color="auto" w:fill="1F3864"/>
            <w:tcMar>
              <w:top w:w="70" w:type="dxa"/>
              <w:left w:w="110" w:type="dxa"/>
              <w:bottom w:w="70" w:type="dxa"/>
              <w:right w:w="110" w:type="dxa"/>
            </w:tcMar>
            <w:vAlign w:val="center"/>
          </w:tcPr>
          <w:p w14:paraId="4FE6EB21" w14:textId="77777777" w:rsidR="00E33D27" w:rsidRDefault="00000000">
            <w:pPr>
              <w:spacing w:before="40" w:after="40" w:line="250" w:lineRule="auto"/>
            </w:pPr>
            <w:r>
              <w:rPr>
                <w:b/>
                <w:bCs/>
                <w:color w:val="FFFFFF"/>
                <w:sz w:val="17"/>
                <w:szCs w:val="17"/>
              </w:rPr>
              <w:t>Route</w:t>
            </w:r>
          </w:p>
        </w:tc>
        <w:tc>
          <w:tcPr>
            <w:tcW w:w="1300" w:type="dxa"/>
            <w:shd w:val="clear" w:color="auto" w:fill="1F3864"/>
            <w:tcMar>
              <w:top w:w="70" w:type="dxa"/>
              <w:left w:w="110" w:type="dxa"/>
              <w:bottom w:w="70" w:type="dxa"/>
              <w:right w:w="110" w:type="dxa"/>
            </w:tcMar>
            <w:vAlign w:val="center"/>
          </w:tcPr>
          <w:p w14:paraId="68D7340B" w14:textId="77777777" w:rsidR="00E33D27" w:rsidRDefault="00000000">
            <w:pPr>
              <w:spacing w:before="40" w:after="40" w:line="250" w:lineRule="auto"/>
            </w:pPr>
            <w:r>
              <w:rPr>
                <w:b/>
                <w:bCs/>
                <w:color w:val="FFFFFF"/>
                <w:sz w:val="17"/>
                <w:szCs w:val="17"/>
              </w:rPr>
              <w:t>Score</w:t>
            </w:r>
          </w:p>
        </w:tc>
        <w:tc>
          <w:tcPr>
            <w:tcW w:w="5780" w:type="dxa"/>
            <w:shd w:val="clear" w:color="auto" w:fill="1F3864"/>
            <w:tcMar>
              <w:top w:w="70" w:type="dxa"/>
              <w:left w:w="110" w:type="dxa"/>
              <w:bottom w:w="70" w:type="dxa"/>
              <w:right w:w="110" w:type="dxa"/>
            </w:tcMar>
            <w:vAlign w:val="center"/>
          </w:tcPr>
          <w:p w14:paraId="22F468C8" w14:textId="77777777" w:rsidR="00E33D27" w:rsidRDefault="00000000">
            <w:pPr>
              <w:spacing w:before="40" w:after="40" w:line="250" w:lineRule="auto"/>
            </w:pPr>
            <w:r>
              <w:rPr>
                <w:b/>
                <w:bCs/>
                <w:color w:val="FFFFFF"/>
                <w:sz w:val="17"/>
                <w:szCs w:val="17"/>
              </w:rPr>
              <w:t>What the number tells you</w:t>
            </w:r>
          </w:p>
        </w:tc>
      </w:tr>
      <w:tr w:rsidR="00E33D27" w14:paraId="0EBEC9F3" w14:textId="77777777">
        <w:tblPrEx>
          <w:tblCellMar>
            <w:top w:w="0" w:type="dxa"/>
            <w:bottom w:w="0" w:type="dxa"/>
          </w:tblCellMar>
        </w:tblPrEx>
        <w:trPr>
          <w:cantSplit/>
        </w:trPr>
        <w:tc>
          <w:tcPr>
            <w:tcW w:w="3000" w:type="dxa"/>
            <w:shd w:val="clear" w:color="auto" w:fill="F3F4F6"/>
            <w:tcMar>
              <w:top w:w="70" w:type="dxa"/>
              <w:left w:w="110" w:type="dxa"/>
              <w:bottom w:w="70" w:type="dxa"/>
              <w:right w:w="110" w:type="dxa"/>
            </w:tcMar>
            <w:vAlign w:val="center"/>
          </w:tcPr>
          <w:p w14:paraId="4E3D3AAE" w14:textId="77777777" w:rsidR="00E33D27" w:rsidRDefault="00000000">
            <w:pPr>
              <w:spacing w:before="40" w:after="40" w:line="250" w:lineRule="auto"/>
            </w:pPr>
            <w:r>
              <w:rPr>
                <w:b/>
                <w:bCs/>
                <w:sz w:val="16"/>
                <w:szCs w:val="16"/>
              </w:rPr>
              <w:t>Internal exploitation</w:t>
            </w:r>
          </w:p>
        </w:tc>
        <w:tc>
          <w:tcPr>
            <w:tcW w:w="1300" w:type="dxa"/>
            <w:shd w:val="clear" w:color="auto" w:fill="F3F4F6"/>
            <w:tcMar>
              <w:top w:w="70" w:type="dxa"/>
              <w:left w:w="110" w:type="dxa"/>
              <w:bottom w:w="70" w:type="dxa"/>
              <w:right w:w="110" w:type="dxa"/>
            </w:tcMar>
            <w:vAlign w:val="center"/>
          </w:tcPr>
          <w:p w14:paraId="1E010C2A" w14:textId="77777777" w:rsidR="00E33D27" w:rsidRDefault="00000000">
            <w:pPr>
              <w:spacing w:before="40" w:after="40" w:line="250" w:lineRule="auto"/>
              <w:jc w:val="center"/>
            </w:pPr>
            <w:r>
              <w:rPr>
                <w:sz w:val="16"/>
                <w:szCs w:val="16"/>
              </w:rPr>
              <w:t>3.75</w:t>
            </w:r>
          </w:p>
        </w:tc>
        <w:tc>
          <w:tcPr>
            <w:tcW w:w="5780" w:type="dxa"/>
            <w:shd w:val="clear" w:color="auto" w:fill="F3F4F6"/>
            <w:tcMar>
              <w:top w:w="70" w:type="dxa"/>
              <w:left w:w="110" w:type="dxa"/>
              <w:bottom w:w="70" w:type="dxa"/>
              <w:right w:w="110" w:type="dxa"/>
            </w:tcMar>
            <w:vAlign w:val="center"/>
          </w:tcPr>
          <w:p w14:paraId="293C70C4" w14:textId="77777777" w:rsidR="00E33D27" w:rsidRDefault="00000000">
            <w:pPr>
              <w:spacing w:before="40" w:after="40" w:line="250" w:lineRule="auto"/>
              <w:jc w:val="center"/>
            </w:pPr>
            <w:r>
              <w:rPr>
                <w:sz w:val="16"/>
                <w:szCs w:val="16"/>
              </w:rPr>
              <w:t>Making and selling it yourself dominates everywhere, and did not grow between 1987 and 1992. The default route is still to use the technology, not to trade it</w:t>
            </w:r>
          </w:p>
        </w:tc>
      </w:tr>
      <w:tr w:rsidR="00E33D27" w14:paraId="6A16DB8B"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48563257" w14:textId="77777777" w:rsidR="00E33D27" w:rsidRDefault="00000000">
            <w:pPr>
              <w:spacing w:before="40" w:after="40" w:line="250" w:lineRule="auto"/>
            </w:pPr>
            <w:r>
              <w:rPr>
                <w:b/>
                <w:bCs/>
                <w:sz w:val="16"/>
                <w:szCs w:val="16"/>
              </w:rPr>
              <w:t>Joint ventures</w:t>
            </w:r>
          </w:p>
        </w:tc>
        <w:tc>
          <w:tcPr>
            <w:tcW w:w="1300" w:type="dxa"/>
            <w:shd w:val="clear" w:color="auto" w:fill="FFFFFF"/>
            <w:tcMar>
              <w:top w:w="70" w:type="dxa"/>
              <w:left w:w="110" w:type="dxa"/>
              <w:bottom w:w="70" w:type="dxa"/>
              <w:right w:w="110" w:type="dxa"/>
            </w:tcMar>
            <w:vAlign w:val="center"/>
          </w:tcPr>
          <w:p w14:paraId="2DD5FCE3" w14:textId="77777777" w:rsidR="00E33D27" w:rsidRDefault="00000000">
            <w:pPr>
              <w:spacing w:before="40" w:after="40" w:line="250" w:lineRule="auto"/>
              <w:jc w:val="center"/>
            </w:pPr>
            <w:r>
              <w:rPr>
                <w:sz w:val="16"/>
                <w:szCs w:val="16"/>
              </w:rPr>
              <w:t>2.50</w:t>
            </w:r>
          </w:p>
        </w:tc>
        <w:tc>
          <w:tcPr>
            <w:tcW w:w="5780" w:type="dxa"/>
            <w:shd w:val="clear" w:color="auto" w:fill="FFFFFF"/>
            <w:tcMar>
              <w:top w:w="70" w:type="dxa"/>
              <w:left w:w="110" w:type="dxa"/>
              <w:bottom w:w="70" w:type="dxa"/>
              <w:right w:w="110" w:type="dxa"/>
            </w:tcMar>
            <w:vAlign w:val="center"/>
          </w:tcPr>
          <w:p w14:paraId="05535CAC" w14:textId="77777777" w:rsidR="00E33D27" w:rsidRDefault="00000000">
            <w:pPr>
              <w:spacing w:before="40" w:after="40" w:line="250" w:lineRule="auto"/>
              <w:jc w:val="center"/>
            </w:pPr>
            <w:r>
              <w:rPr>
                <w:sz w:val="16"/>
                <w:szCs w:val="16"/>
              </w:rPr>
              <w:t>Quasi-integrated forms grew fastest in importance — the practical expression of “open collaboration”</w:t>
            </w:r>
          </w:p>
        </w:tc>
      </w:tr>
      <w:tr w:rsidR="00E33D27" w14:paraId="23F7163F" w14:textId="77777777">
        <w:tblPrEx>
          <w:tblCellMar>
            <w:top w:w="0" w:type="dxa"/>
            <w:bottom w:w="0" w:type="dxa"/>
          </w:tblCellMar>
        </w:tblPrEx>
        <w:trPr>
          <w:cantSplit/>
        </w:trPr>
        <w:tc>
          <w:tcPr>
            <w:tcW w:w="3000" w:type="dxa"/>
            <w:shd w:val="clear" w:color="auto" w:fill="F3F4F6"/>
            <w:tcMar>
              <w:top w:w="70" w:type="dxa"/>
              <w:left w:w="110" w:type="dxa"/>
              <w:bottom w:w="70" w:type="dxa"/>
              <w:right w:w="110" w:type="dxa"/>
            </w:tcMar>
            <w:vAlign w:val="center"/>
          </w:tcPr>
          <w:p w14:paraId="09F15205" w14:textId="77777777" w:rsidR="00E33D27" w:rsidRDefault="00000000">
            <w:pPr>
              <w:spacing w:before="40" w:after="40" w:line="250" w:lineRule="auto"/>
            </w:pPr>
            <w:r>
              <w:rPr>
                <w:b/>
                <w:bCs/>
                <w:sz w:val="16"/>
                <w:szCs w:val="16"/>
              </w:rPr>
              <w:t>Technology selling (licensing out, contract R&amp;D, engineering services)</w:t>
            </w:r>
          </w:p>
        </w:tc>
        <w:tc>
          <w:tcPr>
            <w:tcW w:w="1300" w:type="dxa"/>
            <w:shd w:val="clear" w:color="auto" w:fill="F3F4F6"/>
            <w:tcMar>
              <w:top w:w="70" w:type="dxa"/>
              <w:left w:w="110" w:type="dxa"/>
              <w:bottom w:w="70" w:type="dxa"/>
              <w:right w:w="110" w:type="dxa"/>
            </w:tcMar>
            <w:vAlign w:val="center"/>
          </w:tcPr>
          <w:p w14:paraId="09E43A39" w14:textId="77777777" w:rsidR="00E33D27" w:rsidRDefault="00000000">
            <w:pPr>
              <w:spacing w:before="40" w:after="40" w:line="250" w:lineRule="auto"/>
              <w:jc w:val="center"/>
            </w:pPr>
            <w:r>
              <w:rPr>
                <w:sz w:val="16"/>
                <w:szCs w:val="16"/>
              </w:rPr>
              <w:t>2.25</w:t>
            </w:r>
          </w:p>
        </w:tc>
        <w:tc>
          <w:tcPr>
            <w:tcW w:w="5780" w:type="dxa"/>
            <w:shd w:val="clear" w:color="auto" w:fill="F3F4F6"/>
            <w:tcMar>
              <w:top w:w="70" w:type="dxa"/>
              <w:left w:w="110" w:type="dxa"/>
              <w:bottom w:w="70" w:type="dxa"/>
              <w:right w:w="110" w:type="dxa"/>
            </w:tcMar>
            <w:vAlign w:val="center"/>
          </w:tcPr>
          <w:p w14:paraId="139A5D39" w14:textId="77777777" w:rsidR="00E33D27" w:rsidRDefault="00000000">
            <w:pPr>
              <w:spacing w:before="40" w:after="40" w:line="250" w:lineRule="auto"/>
              <w:jc w:val="center"/>
            </w:pPr>
            <w:r>
              <w:rPr>
                <w:sz w:val="16"/>
                <w:szCs w:val="16"/>
              </w:rPr>
              <w:t>Growing, and fastest in mechanical firms (growth ratio 1.90) where patents matter least</w:t>
            </w:r>
          </w:p>
        </w:tc>
      </w:tr>
      <w:tr w:rsidR="00E33D27" w14:paraId="7A8E2E3C"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591D2DC0" w14:textId="77777777" w:rsidR="00E33D27" w:rsidRDefault="00000000">
            <w:pPr>
              <w:spacing w:before="40" w:after="40" w:line="250" w:lineRule="auto"/>
            </w:pPr>
            <w:r>
              <w:rPr>
                <w:b/>
                <w:bCs/>
                <w:sz w:val="16"/>
                <w:szCs w:val="16"/>
              </w:rPr>
              <w:t>Creation of innovative firms</w:t>
            </w:r>
          </w:p>
        </w:tc>
        <w:tc>
          <w:tcPr>
            <w:tcW w:w="1300" w:type="dxa"/>
            <w:shd w:val="clear" w:color="auto" w:fill="FFFFFF"/>
            <w:tcMar>
              <w:top w:w="70" w:type="dxa"/>
              <w:left w:w="110" w:type="dxa"/>
              <w:bottom w:w="70" w:type="dxa"/>
              <w:right w:w="110" w:type="dxa"/>
            </w:tcMar>
            <w:vAlign w:val="center"/>
          </w:tcPr>
          <w:p w14:paraId="4F7107CD" w14:textId="77777777" w:rsidR="00E33D27" w:rsidRDefault="00000000">
            <w:pPr>
              <w:spacing w:before="40" w:after="40" w:line="250" w:lineRule="auto"/>
              <w:jc w:val="center"/>
            </w:pPr>
            <w:r>
              <w:rPr>
                <w:sz w:val="16"/>
                <w:szCs w:val="16"/>
              </w:rPr>
              <w:t>2.09</w:t>
            </w:r>
          </w:p>
        </w:tc>
        <w:tc>
          <w:tcPr>
            <w:tcW w:w="5780" w:type="dxa"/>
            <w:shd w:val="clear" w:color="auto" w:fill="FFFFFF"/>
            <w:tcMar>
              <w:top w:w="70" w:type="dxa"/>
              <w:left w:w="110" w:type="dxa"/>
              <w:bottom w:w="70" w:type="dxa"/>
              <w:right w:w="110" w:type="dxa"/>
            </w:tcMar>
            <w:vAlign w:val="center"/>
          </w:tcPr>
          <w:p w14:paraId="3E451046" w14:textId="77777777" w:rsidR="00E33D27" w:rsidRDefault="00000000">
            <w:pPr>
              <w:spacing w:before="40" w:after="40" w:line="250" w:lineRule="auto"/>
              <w:jc w:val="center"/>
            </w:pPr>
            <w:r>
              <w:rPr>
                <w:sz w:val="16"/>
                <w:szCs w:val="16"/>
              </w:rPr>
              <w:t>Used for technologies falling outside existing business areas, or radical ones that an entrenched division would smother</w:t>
            </w:r>
          </w:p>
        </w:tc>
      </w:tr>
      <w:tr w:rsidR="00E33D27" w14:paraId="3A03C83D" w14:textId="77777777">
        <w:tblPrEx>
          <w:tblCellMar>
            <w:top w:w="0" w:type="dxa"/>
            <w:bottom w:w="0" w:type="dxa"/>
          </w:tblCellMar>
        </w:tblPrEx>
        <w:trPr>
          <w:cantSplit/>
        </w:trPr>
        <w:tc>
          <w:tcPr>
            <w:tcW w:w="3000" w:type="dxa"/>
            <w:shd w:val="clear" w:color="auto" w:fill="F3F4F6"/>
            <w:tcMar>
              <w:top w:w="70" w:type="dxa"/>
              <w:left w:w="110" w:type="dxa"/>
              <w:bottom w:w="70" w:type="dxa"/>
              <w:right w:w="110" w:type="dxa"/>
            </w:tcMar>
            <w:vAlign w:val="center"/>
          </w:tcPr>
          <w:p w14:paraId="3B90A7B6" w14:textId="77777777" w:rsidR="00E33D27" w:rsidRDefault="00000000">
            <w:pPr>
              <w:spacing w:before="40" w:after="40" w:line="250" w:lineRule="auto"/>
            </w:pPr>
            <w:r>
              <w:rPr>
                <w:b/>
                <w:bCs/>
                <w:sz w:val="16"/>
                <w:szCs w:val="16"/>
              </w:rPr>
              <w:t>Divestment</w:t>
            </w:r>
          </w:p>
        </w:tc>
        <w:tc>
          <w:tcPr>
            <w:tcW w:w="1300" w:type="dxa"/>
            <w:shd w:val="clear" w:color="auto" w:fill="F3F4F6"/>
            <w:tcMar>
              <w:top w:w="70" w:type="dxa"/>
              <w:left w:w="110" w:type="dxa"/>
              <w:bottom w:w="70" w:type="dxa"/>
              <w:right w:w="110" w:type="dxa"/>
            </w:tcMar>
            <w:vAlign w:val="center"/>
          </w:tcPr>
          <w:p w14:paraId="377ECAF5" w14:textId="77777777" w:rsidR="00E33D27" w:rsidRDefault="00000000">
            <w:pPr>
              <w:spacing w:before="40" w:after="40" w:line="250" w:lineRule="auto"/>
              <w:jc w:val="center"/>
            </w:pPr>
            <w:r>
              <w:rPr>
                <w:sz w:val="16"/>
                <w:szCs w:val="16"/>
              </w:rPr>
              <w:t>0.59</w:t>
            </w:r>
          </w:p>
        </w:tc>
        <w:tc>
          <w:tcPr>
            <w:tcW w:w="5780" w:type="dxa"/>
            <w:shd w:val="clear" w:color="auto" w:fill="F3F4F6"/>
            <w:tcMar>
              <w:top w:w="70" w:type="dxa"/>
              <w:left w:w="110" w:type="dxa"/>
              <w:bottom w:w="70" w:type="dxa"/>
              <w:right w:w="110" w:type="dxa"/>
            </w:tcMar>
            <w:vAlign w:val="center"/>
          </w:tcPr>
          <w:p w14:paraId="163CEAAE" w14:textId="77777777" w:rsidR="00E33D27" w:rsidRDefault="00000000">
            <w:pPr>
              <w:spacing w:before="40" w:after="40" w:line="250" w:lineRule="auto"/>
              <w:jc w:val="center"/>
            </w:pPr>
            <w:r>
              <w:rPr>
                <w:sz w:val="16"/>
                <w:szCs w:val="16"/>
              </w:rPr>
              <w:t>Dismissed across industries. Firms very rarely sell the asset outright</w:t>
            </w:r>
          </w:p>
        </w:tc>
      </w:tr>
      <w:tr w:rsidR="00E33D27" w14:paraId="4964EA2C"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3E259A63" w14:textId="77777777" w:rsidR="00E33D27" w:rsidRDefault="00000000">
            <w:pPr>
              <w:spacing w:before="40" w:after="40" w:line="250" w:lineRule="auto"/>
            </w:pPr>
            <w:r>
              <w:rPr>
                <w:b/>
                <w:bCs/>
                <w:sz w:val="16"/>
                <w:szCs w:val="16"/>
              </w:rPr>
              <w:t>Uncommercialized technology (a problem, not a route)</w:t>
            </w:r>
          </w:p>
        </w:tc>
        <w:tc>
          <w:tcPr>
            <w:tcW w:w="1300" w:type="dxa"/>
            <w:shd w:val="clear" w:color="auto" w:fill="FFFFFF"/>
            <w:tcMar>
              <w:top w:w="70" w:type="dxa"/>
              <w:left w:w="110" w:type="dxa"/>
              <w:bottom w:w="70" w:type="dxa"/>
              <w:right w:w="110" w:type="dxa"/>
            </w:tcMar>
            <w:vAlign w:val="center"/>
          </w:tcPr>
          <w:p w14:paraId="43A093B8" w14:textId="77777777" w:rsidR="00E33D27" w:rsidRDefault="00000000">
            <w:pPr>
              <w:spacing w:before="40" w:after="40" w:line="250" w:lineRule="auto"/>
              <w:jc w:val="center"/>
            </w:pPr>
            <w:r>
              <w:rPr>
                <w:sz w:val="16"/>
                <w:szCs w:val="16"/>
              </w:rPr>
              <w:t>2.14</w:t>
            </w:r>
          </w:p>
        </w:tc>
        <w:tc>
          <w:tcPr>
            <w:tcW w:w="5780" w:type="dxa"/>
            <w:shd w:val="clear" w:color="auto" w:fill="FFFFFF"/>
            <w:tcMar>
              <w:top w:w="70" w:type="dxa"/>
              <w:left w:w="110" w:type="dxa"/>
              <w:bottom w:w="70" w:type="dxa"/>
              <w:right w:w="110" w:type="dxa"/>
            </w:tcMar>
            <w:vAlign w:val="center"/>
          </w:tcPr>
          <w:p w14:paraId="024FC5D3" w14:textId="77777777" w:rsidR="00E33D27" w:rsidRDefault="00000000">
            <w:pPr>
              <w:spacing w:before="40" w:after="40" w:line="250" w:lineRule="auto"/>
              <w:jc w:val="center"/>
            </w:pPr>
            <w:r>
              <w:rPr>
                <w:sz w:val="16"/>
                <w:szCs w:val="16"/>
              </w:rPr>
              <w:t>Significant and growing — technology paid for and never used</w:t>
            </w:r>
          </w:p>
        </w:tc>
      </w:tr>
      <w:tr w:rsidR="00E33D27" w14:paraId="5D3414C2" w14:textId="77777777">
        <w:tblPrEx>
          <w:tblCellMar>
            <w:top w:w="0" w:type="dxa"/>
            <w:bottom w:w="0" w:type="dxa"/>
          </w:tblCellMar>
        </w:tblPrEx>
        <w:trPr>
          <w:cantSplit/>
        </w:trPr>
        <w:tc>
          <w:tcPr>
            <w:tcW w:w="3000" w:type="dxa"/>
            <w:shd w:val="clear" w:color="auto" w:fill="F3F4F6"/>
            <w:tcMar>
              <w:top w:w="70" w:type="dxa"/>
              <w:left w:w="110" w:type="dxa"/>
              <w:bottom w:w="70" w:type="dxa"/>
              <w:right w:w="110" w:type="dxa"/>
            </w:tcMar>
            <w:vAlign w:val="center"/>
          </w:tcPr>
          <w:p w14:paraId="3F786E82" w14:textId="77777777" w:rsidR="00E33D27" w:rsidRDefault="00000000">
            <w:pPr>
              <w:spacing w:before="40" w:after="40" w:line="250" w:lineRule="auto"/>
            </w:pPr>
            <w:r>
              <w:rPr>
                <w:b/>
                <w:bCs/>
                <w:sz w:val="16"/>
                <w:szCs w:val="16"/>
              </w:rPr>
              <w:t>Loss and leakage of proprietary technology (likewise)</w:t>
            </w:r>
          </w:p>
        </w:tc>
        <w:tc>
          <w:tcPr>
            <w:tcW w:w="1300" w:type="dxa"/>
            <w:shd w:val="clear" w:color="auto" w:fill="F3F4F6"/>
            <w:tcMar>
              <w:top w:w="70" w:type="dxa"/>
              <w:left w:w="110" w:type="dxa"/>
              <w:bottom w:w="70" w:type="dxa"/>
              <w:right w:w="110" w:type="dxa"/>
            </w:tcMar>
            <w:vAlign w:val="center"/>
          </w:tcPr>
          <w:p w14:paraId="0A343783" w14:textId="77777777" w:rsidR="00E33D27" w:rsidRDefault="00000000">
            <w:pPr>
              <w:spacing w:before="40" w:after="40" w:line="250" w:lineRule="auto"/>
              <w:jc w:val="center"/>
            </w:pPr>
            <w:r>
              <w:rPr>
                <w:sz w:val="16"/>
                <w:szCs w:val="16"/>
              </w:rPr>
              <w:t>2.42</w:t>
            </w:r>
          </w:p>
        </w:tc>
        <w:tc>
          <w:tcPr>
            <w:tcW w:w="5780" w:type="dxa"/>
            <w:shd w:val="clear" w:color="auto" w:fill="F3F4F6"/>
            <w:tcMar>
              <w:top w:w="70" w:type="dxa"/>
              <w:left w:w="110" w:type="dxa"/>
              <w:bottom w:w="70" w:type="dxa"/>
              <w:right w:w="110" w:type="dxa"/>
            </w:tcMar>
            <w:vAlign w:val="center"/>
          </w:tcPr>
          <w:p w14:paraId="10425E9B" w14:textId="77777777" w:rsidR="00E33D27" w:rsidRDefault="00000000">
            <w:pPr>
              <w:spacing w:before="40" w:after="40" w:line="250" w:lineRule="auto"/>
              <w:jc w:val="center"/>
            </w:pPr>
            <w:r>
              <w:rPr>
                <w:sz w:val="16"/>
                <w:szCs w:val="16"/>
              </w:rPr>
              <w:t>Roughly the same magnitude as deliberate technology selling: firms were losing about as much technology as they were selling</w:t>
            </w:r>
          </w:p>
        </w:tc>
      </w:tr>
    </w:tbl>
    <w:p w14:paraId="320D3603" w14:textId="77777777" w:rsidR="00E33D27" w:rsidRDefault="00000000">
      <w:pPr>
        <w:spacing w:before="60" w:after="180"/>
      </w:pPr>
      <w:r>
        <w:rPr>
          <w:i/>
          <w:iCs/>
          <w:color w:val="5A6270"/>
          <w:sz w:val="16"/>
          <w:szCs w:val="16"/>
        </w:rPr>
        <w:t>Table 4.1  Routes for exploiting technology, with the two silent losses. Book evidence, used here to show what “commercialization” looks like in aggregate before any single deal is negotiated.</w:t>
      </w:r>
    </w:p>
    <w:p w14:paraId="3FDDDB45" w14:textId="77777777" w:rsidR="00E33D27" w:rsidRDefault="00000000">
      <w:pPr>
        <w:jc w:val="both"/>
      </w:pPr>
      <w:r>
        <w:t>The last two rows deserve a moment. Uncommercialized technology arises from lags, serendipity, exploratory R&amp;D or simply unsuccessful R&amp;D; leakage arises from weak confidentiality, leaky suppliers and departing staff. The chapter also cites evidence that 43% of R&amp;D projects are not technically successful, 35% of the technically successful ones are never commercialized, and 26% of those commercialized are not economically successful — so roughly a quarter of projects end in economic success. That is the arithmetic behind requirement 1: tolerance of failure is a technical requirement of the system, and reducing leakage or shortening the lag to commercialization is as valuable as inventing more, because it acts on inventions already paid for.</w:t>
      </w:r>
    </w:p>
    <w:p w14:paraId="3D31B92A" w14:textId="77777777" w:rsidR="00E33D27" w:rsidRDefault="00000000">
      <w:pPr>
        <w:pStyle w:val="Heading2"/>
        <w:keepNext/>
      </w:pPr>
      <w:r>
        <w:t>4.3  What really drives invention? Inventor motivation and the ownership rule</w:t>
      </w:r>
    </w:p>
    <w:p w14:paraId="37994498" w14:textId="77777777" w:rsidR="00E33D27" w:rsidRDefault="00000000">
      <w:pPr>
        <w:jc w:val="both"/>
      </w:pPr>
      <w:r>
        <w:t>Commercialization begins with an invention, and inventions come from people who must be motivated to make them and to report them. Two legal traditions produce two very different management problems.</w:t>
      </w:r>
    </w:p>
    <w:p w14:paraId="0DE947E0" w14:textId="77777777" w:rsidR="00E33D27" w:rsidRDefault="00000000">
      <w:pPr>
        <w:pStyle w:val="Heading3"/>
        <w:keepNext/>
      </w:pPr>
      <w:r>
        <w:t>The United States</w:t>
      </w:r>
    </w:p>
    <w:p w14:paraId="497708E2" w14:textId="77777777" w:rsidR="00E33D27" w:rsidRDefault="00000000">
      <w:pPr>
        <w:pStyle w:val="ListParagraph"/>
        <w:numPr>
          <w:ilvl w:val="0"/>
          <w:numId w:val="2"/>
        </w:numPr>
        <w:spacing w:after="70" w:line="272" w:lineRule="auto"/>
      </w:pPr>
      <w:r>
        <w:t>IP belongs to the company and not to the inventors — usually as a term of the employment contract.</w:t>
      </w:r>
    </w:p>
    <w:p w14:paraId="769C9BE4" w14:textId="77777777" w:rsidR="00E33D27" w:rsidRDefault="00000000">
      <w:pPr>
        <w:pStyle w:val="ListParagraph"/>
        <w:numPr>
          <w:ilvl w:val="0"/>
          <w:numId w:val="2"/>
        </w:numPr>
        <w:spacing w:after="70" w:line="272" w:lineRule="auto"/>
      </w:pPr>
      <w:r>
        <w:t>The employee should disclose the invention and assign it to the company.</w:t>
      </w:r>
    </w:p>
    <w:p w14:paraId="71157934" w14:textId="77777777" w:rsidR="00E33D27" w:rsidRDefault="00000000">
      <w:pPr>
        <w:pStyle w:val="ListParagraph"/>
        <w:numPr>
          <w:ilvl w:val="0"/>
          <w:numId w:val="2"/>
        </w:numPr>
        <w:spacing w:after="70" w:line="272" w:lineRule="auto"/>
      </w:pPr>
      <w:r>
        <w:t>Inventors typically receive a small honorarium plus awards, recognition and other goodies — symbolic rather than economic compensation.</w:t>
      </w:r>
    </w:p>
    <w:p w14:paraId="5FD7B800" w14:textId="77777777" w:rsidR="00E33D27" w:rsidRDefault="00000000">
      <w:pPr>
        <w:pStyle w:val="ListParagraph"/>
        <w:numPr>
          <w:ilvl w:val="0"/>
          <w:numId w:val="2"/>
        </w:numPr>
        <w:spacing w:after="70" w:line="272" w:lineRule="auto"/>
      </w:pPr>
      <w:r>
        <w:t>The company creates and cultivates an open environment that accepts failures as a learning experience.</w:t>
      </w:r>
    </w:p>
    <w:p w14:paraId="71BAB86E" w14:textId="77777777" w:rsidR="00E33D27" w:rsidRDefault="00000000">
      <w:pPr>
        <w:pStyle w:val="ListParagraph"/>
        <w:numPr>
          <w:ilvl w:val="0"/>
          <w:numId w:val="2"/>
        </w:numPr>
        <w:spacing w:after="70" w:line="272" w:lineRule="auto"/>
      </w:pPr>
      <w:r>
        <w:t>That environment motivates employees to be passionate about invention — and the passion, not the payment, is what drives invention.</w:t>
      </w:r>
    </w:p>
    <w:p w14:paraId="23424B66" w14:textId="77777777" w:rsidR="00E33D27" w:rsidRDefault="00000000">
      <w:pPr>
        <w:pStyle w:val="Heading3"/>
        <w:keepNext/>
      </w:pPr>
      <w:r>
        <w:lastRenderedPageBreak/>
        <w:t>Germany and other EU countries</w:t>
      </w:r>
    </w:p>
    <w:p w14:paraId="41535036" w14:textId="77777777" w:rsidR="00E33D27" w:rsidRDefault="00000000">
      <w:pPr>
        <w:pStyle w:val="ListParagraph"/>
        <w:numPr>
          <w:ilvl w:val="0"/>
          <w:numId w:val="2"/>
        </w:numPr>
        <w:spacing w:after="70" w:line="272" w:lineRule="auto"/>
      </w:pPr>
      <w:r>
        <w:t>IP belongs to the inventor and not to the company — again as part of the employment framework.</w:t>
      </w:r>
    </w:p>
    <w:p w14:paraId="3438FE63" w14:textId="77777777" w:rsidR="00E33D27" w:rsidRDefault="00000000">
      <w:pPr>
        <w:pStyle w:val="ListParagraph"/>
        <w:numPr>
          <w:ilvl w:val="0"/>
          <w:numId w:val="2"/>
        </w:numPr>
        <w:spacing w:after="70" w:line="272" w:lineRule="auto"/>
      </w:pPr>
      <w:r>
        <w:t>Inventors assign the IP to the company, but only after negotiating terms and conditions under government rules and guidelines.</w:t>
      </w:r>
    </w:p>
    <w:p w14:paraId="0983DC7B" w14:textId="77777777" w:rsidR="00E33D27" w:rsidRDefault="00000000">
      <w:pPr>
        <w:pStyle w:val="ListParagraph"/>
        <w:numPr>
          <w:ilvl w:val="0"/>
          <w:numId w:val="2"/>
        </w:numPr>
        <w:spacing w:after="70" w:line="272" w:lineRule="auto"/>
      </w:pPr>
      <w:r>
        <w:t>There is usually a term limit on the assignment. After it, the inventor may assign the invention to an external entity under government rules designed to reward the inventor while compensating the company and safeguarding its interests.</w:t>
      </w:r>
    </w:p>
    <w:p w14:paraId="22AE1D39" w14:textId="77777777" w:rsidR="00E33D27" w:rsidRDefault="00000000">
      <w:pPr>
        <w:pStyle w:val="ListParagraph"/>
        <w:numPr>
          <w:ilvl w:val="0"/>
          <w:numId w:val="2"/>
        </w:numPr>
        <w:spacing w:after="70" w:line="272" w:lineRule="auto"/>
      </w:pPr>
      <w:r>
        <w:t>The open environment, the culture and the passion are all big challenges in this system.</w:t>
      </w:r>
    </w:p>
    <w:p w14:paraId="0CA3D293" w14:textId="77777777" w:rsidR="00E33D27" w:rsidRDefault="00000000">
      <w:pPr>
        <w:jc w:val="both"/>
      </w:pPr>
      <w:r>
        <w:t>How the German rule actually works, and how the two regimes compare clause by clause, is set out at Table 2.7 in Chapter 2 and is not repeated here. The short version: rights in a service invention vest initially in the employee inventor; the employer must claim within four months of proper notification or the invention is deemed claimed; and the employee then has a non-waivable statutory right to reasonable remuneration under the Federal Ministry guidelines, with disputes going first to arbitration at the German Patent and Trade Mark Office. So European companies do end up owning inventions. Ownership is simply conditional, procedural and priced — which is why European IP departments run formal invention-disclosure systems as a legal necessity rather than good practice.</w:t>
      </w:r>
    </w:p>
    <w:p w14:paraId="03D21418" w14:textId="77777777" w:rsidR="00E33D27" w:rsidRDefault="00000000">
      <w:pPr>
        <w:pStyle w:val="Heading2"/>
        <w:keepNext/>
      </w:pPr>
      <w:r>
        <w:t>4.4  Use case: corporate IP commercialization in practice (Micro-IoT, 2004)</w:t>
      </w:r>
    </w:p>
    <w:p w14:paraId="2D598329" w14:textId="77777777" w:rsidR="00E33D27" w:rsidRDefault="00000000">
      <w:pPr>
        <w:jc w:val="both"/>
      </w:pPr>
      <w:r>
        <w:t>In 2004 a new technology was born: Micro-IoT — microsystems on a chip. Its technical content was the convergence of four capabilities within a single silicon layer: sensing, micro-processing, wireless communication and efficient power management. Its commercial content was different and more important: super affordability, ease of installation, commissioning and operation; the data it generated, driving digitalization and the fourth industrial revolution; and global partnership and collaboration as the means of reaching market.</w:t>
      </w:r>
    </w:p>
    <w:p w14:paraId="5E097656" w14:textId="77777777" w:rsidR="00E33D27" w:rsidRDefault="00000000">
      <w:pPr>
        <w:keepNext/>
        <w:spacing w:before="160" w:after="60" w:line="240" w:lineRule="auto"/>
        <w:jc w:val="center"/>
      </w:pPr>
      <w:r>
        <w:rPr>
          <w:noProof/>
        </w:rPr>
        <w:drawing>
          <wp:inline distT="0" distB="0" distL="0" distR="0" wp14:anchorId="50C1455B" wp14:editId="218EA31B">
            <wp:extent cx="6172200" cy="3324225"/>
            <wp:effectExtent l="0" t="0" r="0" b="0"/>
            <wp:docPr id="90998139" name="Picture 9099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72200" cy="3324225"/>
                    </a:xfrm>
                    <a:prstGeom prst="rect">
                      <a:avLst/>
                    </a:prstGeom>
                  </pic:spPr>
                </pic:pic>
              </a:graphicData>
            </a:graphic>
          </wp:inline>
        </w:drawing>
      </w:r>
    </w:p>
    <w:p w14:paraId="2C0DB528" w14:textId="77777777" w:rsidR="00E33D27" w:rsidRDefault="00000000">
      <w:pPr>
        <w:spacing w:after="220" w:line="240" w:lineRule="auto"/>
        <w:jc w:val="center"/>
      </w:pPr>
      <w:r>
        <w:rPr>
          <w:i/>
          <w:iCs/>
          <w:color w:val="5A6270"/>
          <w:sz w:val="17"/>
          <w:szCs w:val="17"/>
        </w:rPr>
        <w:t>Figure 4.3  The Micro-IoT value chain — a technology assembled across firms and a university.</w:t>
      </w:r>
    </w:p>
    <w:p w14:paraId="24EB994C" w14:textId="77777777" w:rsidR="00E33D27" w:rsidRDefault="00000000">
      <w:pPr>
        <w:jc w:val="both"/>
      </w:pPr>
      <w:r>
        <w:t xml:space="preserve">Read the chain as an assembly of complementary assets. Sensing came from Siemens Corporate Technology. Integration and manufacturing came from semiconductor partners — Micronas, with Olympus, Infineon, </w:t>
      </w:r>
      <w:r>
        <w:lastRenderedPageBreak/>
        <w:t>Freescale and Analog Devices. The first application was animal cage monitoring; the customer was the University of Florida’s health system. Research, prototyping and development sat with Siemens CT together with Siemens Building Technologies, and commercialization sat with Siemens BT.</w:t>
      </w:r>
    </w:p>
    <w:p w14:paraId="7D64C34F" w14:textId="77777777" w:rsidR="00E33D27" w:rsidRDefault="00000000">
      <w:pPr>
        <w:jc w:val="both"/>
      </w:pPr>
      <w:r>
        <w:t>Three lessons carry forward. The technology is generic — the same convergence serves buildings, health, industry and mobility — which is exactly the condition under which portfolio thinking pays off, and the subject of the next section. No single participant held all the complementary assets, so the collaboration was architecture rather than goodwill, and the IP boundaries between participants had to be drawn before the work began. And the first application was small and unglamorous: a reference application with a real customer is what converts a technology into a product, with the large markets arriving afterwards.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30E11BC8"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1DA5B193" w14:textId="77777777" w:rsidR="00E33D27" w:rsidRDefault="00000000">
            <w:pPr>
              <w:spacing w:after="80"/>
            </w:pPr>
            <w:r>
              <w:rPr>
                <w:b/>
                <w:bCs/>
                <w:color w:val="1F3864"/>
                <w:sz w:val="19"/>
                <w:szCs w:val="19"/>
              </w:rPr>
              <w:t>Evidence from the book — why one generic technology is worth so much</w:t>
            </w:r>
          </w:p>
          <w:p w14:paraId="789A2240" w14:textId="77777777" w:rsidR="00E33D27" w:rsidRDefault="00000000">
            <w:pPr>
              <w:spacing w:after="70" w:line="265" w:lineRule="auto"/>
              <w:jc w:val="both"/>
            </w:pPr>
            <w:r>
              <w:rPr>
                <w:sz w:val="18"/>
                <w:szCs w:val="18"/>
              </w:rPr>
              <w:t>Chapter 6 gives the economics of exactly this situation under the heading of technological economies of scale, scope and speed.</w:t>
            </w:r>
          </w:p>
          <w:p w14:paraId="4C20E6E3" w14:textId="77777777" w:rsidR="00E33D27" w:rsidRDefault="00000000">
            <w:pPr>
              <w:spacing w:after="70" w:line="265" w:lineRule="auto"/>
              <w:jc w:val="both"/>
            </w:pPr>
            <w:r>
              <w:rPr>
                <w:b/>
                <w:bCs/>
              </w:rPr>
              <w:t xml:space="preserve">Scale: </w:t>
            </w:r>
            <w:r>
              <w:t>technical competence is built at considerable fixed cost but has low variable cost when applied across applications. As with any body of knowledge, the cost of a technology barely depends on the scale of its use, so the same technology can be carried into several products — sometimes with a considerable adaptation cost, more often a minor one. This is true of generic technologies by definition.</w:t>
            </w:r>
          </w:p>
          <w:p w14:paraId="25467333" w14:textId="77777777" w:rsidR="00E33D27" w:rsidRDefault="00000000">
            <w:pPr>
              <w:spacing w:after="70" w:line="265" w:lineRule="auto"/>
              <w:jc w:val="both"/>
            </w:pPr>
            <w:r>
              <w:rPr>
                <w:b/>
                <w:bCs/>
              </w:rPr>
              <w:t xml:space="preserve">Scope: </w:t>
            </w:r>
            <w:r>
              <w:t>where a new technology is complementary to existing ones, synergies arise from cross-fertilization — though integrating more technologies also raises R&amp;D cost, because it requires more coordination and communication. Scope is not free.</w:t>
            </w:r>
          </w:p>
          <w:p w14:paraId="1ABE321D" w14:textId="77777777" w:rsidR="00E33D27" w:rsidRDefault="00000000">
            <w:pPr>
              <w:spacing w:after="70" w:line="265" w:lineRule="auto"/>
              <w:jc w:val="both"/>
            </w:pPr>
            <w:r>
              <w:rPr>
                <w:b/>
                <w:bCs/>
              </w:rPr>
              <w:t xml:space="preserve">Speed: </w:t>
            </w:r>
            <w:r>
              <w:t>a firm whose technology base already contains what a new product needs can incorporate it faster by transferring it internally than by acquiring it afresh.</w:t>
            </w:r>
          </w:p>
          <w:p w14:paraId="0D953A0F" w14:textId="77777777" w:rsidR="00E33D27" w:rsidRDefault="00000000">
            <w:pPr>
              <w:spacing w:after="70" w:line="265" w:lineRule="auto"/>
              <w:jc w:val="both"/>
            </w:pPr>
            <w:r>
              <w:rPr>
                <w:sz w:val="18"/>
                <w:szCs w:val="18"/>
              </w:rPr>
              <w:t>Firms in the study named such technologies explicitly — NEC called them trunk technologies; others speak of generic, pervasive, core or general-purpose technologies. The commercialization implication is the one Dr Ahmed’s next slide draws: if a technology is generic, the asset to build is not a patent but a portfolio shaped around it.</w:t>
            </w:r>
          </w:p>
        </w:tc>
      </w:tr>
    </w:tbl>
    <w:p w14:paraId="46F38253" w14:textId="77777777" w:rsidR="00E33D27" w:rsidRDefault="00E33D27">
      <w:pPr>
        <w:spacing w:after="160"/>
      </w:pPr>
    </w:p>
    <w:p w14:paraId="06DB8C9D" w14:textId="77777777" w:rsidR="00E33D27" w:rsidRDefault="00000000">
      <w:pPr>
        <w:pStyle w:val="Heading2"/>
        <w:keepNext/>
      </w:pPr>
      <w:r>
        <w:t>4.5  IP commercialization strategy: building the portfolio around a core claim</w:t>
      </w:r>
    </w:p>
    <w:p w14:paraId="2FAE0A13" w14:textId="77777777" w:rsidR="00E33D27" w:rsidRDefault="00000000">
      <w:pPr>
        <w:jc w:val="both"/>
      </w:pPr>
      <w:r>
        <w:t>The strategic question is not “should we patent this?” but “what shape should the portfolio have?” The session’s answer is a claim architecture.</w:t>
      </w:r>
    </w:p>
    <w:p w14:paraId="42C546BB" w14:textId="77777777" w:rsidR="00E33D27" w:rsidRDefault="00000000">
      <w:pPr>
        <w:keepNext/>
        <w:spacing w:before="160" w:after="60" w:line="240" w:lineRule="auto"/>
        <w:jc w:val="center"/>
      </w:pPr>
      <w:r>
        <w:rPr>
          <w:noProof/>
        </w:rPr>
        <w:lastRenderedPageBreak/>
        <w:drawing>
          <wp:inline distT="0" distB="0" distL="0" distR="0" wp14:anchorId="7813FDA0" wp14:editId="31F5D385">
            <wp:extent cx="6172200" cy="4048125"/>
            <wp:effectExtent l="0" t="0" r="0" b="0"/>
            <wp:docPr id="1982748844" name="Picture 19827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72200" cy="4048125"/>
                    </a:xfrm>
                    <a:prstGeom prst="rect">
                      <a:avLst/>
                    </a:prstGeom>
                  </pic:spPr>
                </pic:pic>
              </a:graphicData>
            </a:graphic>
          </wp:inline>
        </w:drawing>
      </w:r>
    </w:p>
    <w:p w14:paraId="253746E2" w14:textId="77777777" w:rsidR="00E33D27" w:rsidRDefault="00000000">
      <w:pPr>
        <w:spacing w:after="220" w:line="240" w:lineRule="auto"/>
        <w:jc w:val="center"/>
      </w:pPr>
      <w:r>
        <w:rPr>
          <w:i/>
          <w:iCs/>
          <w:color w:val="5A6270"/>
          <w:sz w:val="17"/>
          <w:szCs w:val="17"/>
        </w:rPr>
        <w:t>Figure 4.4  Core claim, dependent claims, and the two directions of portfolio growth.</w:t>
      </w:r>
    </w:p>
    <w:p w14:paraId="54A70280" w14:textId="77777777" w:rsidR="00E33D27" w:rsidRDefault="00000000">
      <w:pPr>
        <w:pStyle w:val="ListParagraph"/>
        <w:numPr>
          <w:ilvl w:val="0"/>
          <w:numId w:val="2"/>
        </w:numPr>
        <w:spacing w:after="70" w:line="272" w:lineRule="auto"/>
      </w:pPr>
      <w:r>
        <w:rPr>
          <w:b/>
          <w:bCs/>
        </w:rPr>
        <w:t xml:space="preserve">Core IP: </w:t>
      </w:r>
      <w:r>
        <w:t>develop a powerful, broad, independent claim on the overall concept and on the convergence of the four functionalities. This is the asset that cannot be designed around, and the one that gets litigated, licensed and traded.</w:t>
      </w:r>
    </w:p>
    <w:p w14:paraId="2617BD65" w14:textId="77777777" w:rsidR="00E33D27" w:rsidRDefault="00000000">
      <w:pPr>
        <w:pStyle w:val="ListParagraph"/>
        <w:numPr>
          <w:ilvl w:val="0"/>
          <w:numId w:val="2"/>
        </w:numPr>
        <w:spacing w:after="70" w:line="272" w:lineRule="auto"/>
      </w:pPr>
      <w:r>
        <w:rPr>
          <w:b/>
          <w:bCs/>
        </w:rPr>
        <w:t xml:space="preserve">Applications are dependent claims. </w:t>
      </w:r>
      <w:r>
        <w:t>Each specific use — a building sensor, a medical monitor, an industrial node — is claimed in dependence on the core concept.</w:t>
      </w:r>
    </w:p>
    <w:p w14:paraId="77C99DCF" w14:textId="77777777" w:rsidR="00E33D27" w:rsidRDefault="00000000">
      <w:pPr>
        <w:pStyle w:val="ListParagraph"/>
        <w:numPr>
          <w:ilvl w:val="0"/>
          <w:numId w:val="2"/>
        </w:numPr>
        <w:spacing w:after="70" w:line="272" w:lineRule="auto"/>
      </w:pPr>
      <w:r>
        <w:rPr>
          <w:b/>
          <w:bCs/>
        </w:rPr>
        <w:t xml:space="preserve">Applications vary from market to market, </w:t>
      </w:r>
      <w:r>
        <w:t>so the dependent-claim layer is drafted market by market rather than once.</w:t>
      </w:r>
    </w:p>
    <w:p w14:paraId="0CB81167" w14:textId="77777777" w:rsidR="00E33D27" w:rsidRDefault="00000000">
      <w:pPr>
        <w:pStyle w:val="ListParagraph"/>
        <w:numPr>
          <w:ilvl w:val="0"/>
          <w:numId w:val="2"/>
        </w:numPr>
        <w:spacing w:after="70" w:line="272" w:lineRule="auto"/>
      </w:pPr>
      <w:r>
        <w:rPr>
          <w:b/>
          <w:bCs/>
        </w:rPr>
        <w:t xml:space="preserve">Expand the portfolio by: </w:t>
      </w:r>
      <w:r>
        <w:t>keeping the core claim alive; adding dependent claims on specific applications for specific markets; developing the concept of the specific sensing suite each application needs; implementing the strategy vertically within one market, such as buildings; and developing patents horizontally across different markets.</w:t>
      </w:r>
    </w:p>
    <w:p w14:paraId="0C8051FF" w14:textId="77777777" w:rsidR="00E33D27" w:rsidRDefault="00000000">
      <w:pPr>
        <w:jc w:val="both"/>
      </w:pPr>
      <w:r>
        <w:t>The vertical–horizontal distinction is the operative idea. Vertical deepening inside one market makes a competitor’s entry expensive: to sell a competing building sensor they must avoid not only the core claim but a dense layer of application claims. Horizontal spreading multiplies the number of licensees who need the same core, which raises both the portfolio’s licensing value and its usefulness as cross-licensing currency.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453178C0"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31D6523E" w14:textId="77777777" w:rsidR="00E33D27" w:rsidRDefault="00000000">
            <w:pPr>
              <w:spacing w:after="80"/>
            </w:pPr>
            <w:r>
              <w:rPr>
                <w:b/>
                <w:bCs/>
                <w:color w:val="1F3864"/>
                <w:sz w:val="19"/>
                <w:szCs w:val="19"/>
              </w:rPr>
              <w:t>Evidence from the book — why the architecture is necessary, not merely tidy</w:t>
            </w:r>
          </w:p>
          <w:p w14:paraId="061DED9E" w14:textId="77777777" w:rsidR="00E33D27" w:rsidRDefault="00000000">
            <w:pPr>
              <w:spacing w:after="70" w:line="265" w:lineRule="auto"/>
              <w:jc w:val="both"/>
            </w:pPr>
            <w:r>
              <w:rPr>
                <w:sz w:val="18"/>
                <w:szCs w:val="18"/>
              </w:rPr>
              <w:t>Asked how far each statement described the limitations of patents as protection for their technology (0 = not true, 4 = very true), the surveyed firms answered:</w:t>
            </w:r>
          </w:p>
        </w:tc>
      </w:tr>
    </w:tbl>
    <w:p w14:paraId="15F239FD" w14:textId="77777777" w:rsidR="00E33D27" w:rsidRDefault="00E33D27">
      <w:pPr>
        <w:spacing w:after="160"/>
      </w:pP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6000"/>
        <w:gridCol w:w="1600"/>
        <w:gridCol w:w="2480"/>
      </w:tblGrid>
      <w:tr w:rsidR="00E33D27" w14:paraId="39EC5DC9" w14:textId="77777777">
        <w:tblPrEx>
          <w:tblCellMar>
            <w:top w:w="0" w:type="dxa"/>
            <w:bottom w:w="0" w:type="dxa"/>
          </w:tblCellMar>
        </w:tblPrEx>
        <w:trPr>
          <w:cantSplit/>
          <w:tblHeader/>
        </w:trPr>
        <w:tc>
          <w:tcPr>
            <w:tcW w:w="6000" w:type="dxa"/>
            <w:shd w:val="clear" w:color="auto" w:fill="1F3864"/>
            <w:tcMar>
              <w:top w:w="70" w:type="dxa"/>
              <w:left w:w="110" w:type="dxa"/>
              <w:bottom w:w="70" w:type="dxa"/>
              <w:right w:w="110" w:type="dxa"/>
            </w:tcMar>
            <w:vAlign w:val="center"/>
          </w:tcPr>
          <w:p w14:paraId="08A76965" w14:textId="77777777" w:rsidR="00E33D27" w:rsidRDefault="00000000">
            <w:pPr>
              <w:spacing w:before="40" w:after="40" w:line="250" w:lineRule="auto"/>
            </w:pPr>
            <w:r>
              <w:rPr>
                <w:b/>
                <w:bCs/>
                <w:color w:val="FFFFFF"/>
                <w:sz w:val="17"/>
                <w:szCs w:val="17"/>
              </w:rPr>
              <w:lastRenderedPageBreak/>
              <w:t>Limitation of patents</w:t>
            </w:r>
          </w:p>
        </w:tc>
        <w:tc>
          <w:tcPr>
            <w:tcW w:w="1600" w:type="dxa"/>
            <w:shd w:val="clear" w:color="auto" w:fill="1F3864"/>
            <w:tcMar>
              <w:top w:w="70" w:type="dxa"/>
              <w:left w:w="110" w:type="dxa"/>
              <w:bottom w:w="70" w:type="dxa"/>
              <w:right w:w="110" w:type="dxa"/>
            </w:tcMar>
            <w:vAlign w:val="center"/>
          </w:tcPr>
          <w:p w14:paraId="1982E9F0" w14:textId="77777777" w:rsidR="00E33D27" w:rsidRDefault="00000000">
            <w:pPr>
              <w:spacing w:before="40" w:after="40" w:line="250" w:lineRule="auto"/>
            </w:pPr>
            <w:r>
              <w:rPr>
                <w:b/>
                <w:bCs/>
                <w:color w:val="FFFFFF"/>
                <w:sz w:val="17"/>
                <w:szCs w:val="17"/>
              </w:rPr>
              <w:t>Score</w:t>
            </w:r>
          </w:p>
        </w:tc>
        <w:tc>
          <w:tcPr>
            <w:tcW w:w="2480" w:type="dxa"/>
            <w:shd w:val="clear" w:color="auto" w:fill="1F3864"/>
            <w:tcMar>
              <w:top w:w="70" w:type="dxa"/>
              <w:left w:w="110" w:type="dxa"/>
              <w:bottom w:w="70" w:type="dxa"/>
              <w:right w:w="110" w:type="dxa"/>
            </w:tcMar>
            <w:vAlign w:val="center"/>
          </w:tcPr>
          <w:p w14:paraId="4E55500A" w14:textId="77777777" w:rsidR="00E33D27" w:rsidRDefault="00000000">
            <w:pPr>
              <w:spacing w:before="40" w:after="40" w:line="250" w:lineRule="auto"/>
            </w:pPr>
            <w:r>
              <w:rPr>
                <w:b/>
                <w:bCs/>
                <w:color w:val="FFFFFF"/>
                <w:sz w:val="17"/>
                <w:szCs w:val="17"/>
              </w:rPr>
              <w:t>Rank</w:t>
            </w:r>
          </w:p>
        </w:tc>
      </w:tr>
      <w:tr w:rsidR="00E33D27" w14:paraId="4262DBEB" w14:textId="77777777">
        <w:tblPrEx>
          <w:tblCellMar>
            <w:top w:w="0" w:type="dxa"/>
            <w:bottom w:w="0" w:type="dxa"/>
          </w:tblCellMar>
        </w:tblPrEx>
        <w:trPr>
          <w:cantSplit/>
        </w:trPr>
        <w:tc>
          <w:tcPr>
            <w:tcW w:w="6000" w:type="dxa"/>
            <w:shd w:val="clear" w:color="auto" w:fill="F3F4F6"/>
            <w:tcMar>
              <w:top w:w="70" w:type="dxa"/>
              <w:left w:w="110" w:type="dxa"/>
              <w:bottom w:w="70" w:type="dxa"/>
              <w:right w:w="110" w:type="dxa"/>
            </w:tcMar>
            <w:vAlign w:val="center"/>
          </w:tcPr>
          <w:p w14:paraId="3BD6ACCE" w14:textId="77777777" w:rsidR="00E33D27" w:rsidRDefault="00000000">
            <w:pPr>
              <w:spacing w:before="40" w:after="40" w:line="250" w:lineRule="auto"/>
            </w:pPr>
            <w:r>
              <w:rPr>
                <w:b/>
                <w:bCs/>
                <w:sz w:val="16"/>
                <w:szCs w:val="16"/>
              </w:rPr>
              <w:t>Competitors can legally circumvent patent rights or invent ways around them</w:t>
            </w:r>
          </w:p>
        </w:tc>
        <w:tc>
          <w:tcPr>
            <w:tcW w:w="1600" w:type="dxa"/>
            <w:shd w:val="clear" w:color="auto" w:fill="F3F4F6"/>
            <w:tcMar>
              <w:top w:w="70" w:type="dxa"/>
              <w:left w:w="110" w:type="dxa"/>
              <w:bottom w:w="70" w:type="dxa"/>
              <w:right w:w="110" w:type="dxa"/>
            </w:tcMar>
            <w:vAlign w:val="center"/>
          </w:tcPr>
          <w:p w14:paraId="35B02AEF" w14:textId="77777777" w:rsidR="00E33D27" w:rsidRDefault="00000000">
            <w:pPr>
              <w:spacing w:before="40" w:after="40" w:line="250" w:lineRule="auto"/>
              <w:jc w:val="center"/>
            </w:pPr>
            <w:r>
              <w:rPr>
                <w:sz w:val="16"/>
                <w:szCs w:val="16"/>
              </w:rPr>
              <w:t>2.58</w:t>
            </w:r>
          </w:p>
        </w:tc>
        <w:tc>
          <w:tcPr>
            <w:tcW w:w="2480" w:type="dxa"/>
            <w:shd w:val="clear" w:color="auto" w:fill="F3F4F6"/>
            <w:tcMar>
              <w:top w:w="70" w:type="dxa"/>
              <w:left w:w="110" w:type="dxa"/>
              <w:bottom w:w="70" w:type="dxa"/>
              <w:right w:w="110" w:type="dxa"/>
            </w:tcMar>
            <w:vAlign w:val="center"/>
          </w:tcPr>
          <w:p w14:paraId="426BF355" w14:textId="77777777" w:rsidR="00E33D27" w:rsidRDefault="00000000">
            <w:pPr>
              <w:spacing w:before="40" w:after="40" w:line="250" w:lineRule="auto"/>
              <w:jc w:val="center"/>
            </w:pPr>
            <w:r>
              <w:rPr>
                <w:sz w:val="16"/>
                <w:szCs w:val="16"/>
              </w:rPr>
              <w:t>highest</w:t>
            </w:r>
          </w:p>
        </w:tc>
      </w:tr>
      <w:tr w:rsidR="00E33D27" w14:paraId="4E2C290F"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659BB09E" w14:textId="77777777" w:rsidR="00E33D27" w:rsidRDefault="00000000">
            <w:pPr>
              <w:spacing w:before="40" w:after="40" w:line="250" w:lineRule="auto"/>
            </w:pPr>
            <w:r>
              <w:rPr>
                <w:b/>
                <w:bCs/>
                <w:sz w:val="16"/>
                <w:szCs w:val="16"/>
              </w:rPr>
              <w:t>Firms engage in cross-licensing with competitors</w:t>
            </w:r>
          </w:p>
        </w:tc>
        <w:tc>
          <w:tcPr>
            <w:tcW w:w="1600" w:type="dxa"/>
            <w:shd w:val="clear" w:color="auto" w:fill="FFFFFF"/>
            <w:tcMar>
              <w:top w:w="70" w:type="dxa"/>
              <w:left w:w="110" w:type="dxa"/>
              <w:bottom w:w="70" w:type="dxa"/>
              <w:right w:w="110" w:type="dxa"/>
            </w:tcMar>
            <w:vAlign w:val="center"/>
          </w:tcPr>
          <w:p w14:paraId="20D38CF8" w14:textId="77777777" w:rsidR="00E33D27" w:rsidRDefault="00000000">
            <w:pPr>
              <w:spacing w:before="40" w:after="40" w:line="250" w:lineRule="auto"/>
              <w:jc w:val="center"/>
            </w:pPr>
            <w:r>
              <w:rPr>
                <w:sz w:val="16"/>
                <w:szCs w:val="16"/>
              </w:rPr>
              <w:t>2.04</w:t>
            </w:r>
          </w:p>
        </w:tc>
        <w:tc>
          <w:tcPr>
            <w:tcW w:w="2480" w:type="dxa"/>
            <w:shd w:val="clear" w:color="auto" w:fill="FFFFFF"/>
            <w:tcMar>
              <w:top w:w="70" w:type="dxa"/>
              <w:left w:w="110" w:type="dxa"/>
              <w:bottom w:w="70" w:type="dxa"/>
              <w:right w:w="110" w:type="dxa"/>
            </w:tcMar>
            <w:vAlign w:val="center"/>
          </w:tcPr>
          <w:p w14:paraId="6ED3CB53" w14:textId="77777777" w:rsidR="00E33D27" w:rsidRDefault="00E33D27">
            <w:pPr>
              <w:spacing w:before="40" w:after="40" w:line="250" w:lineRule="auto"/>
              <w:jc w:val="center"/>
            </w:pPr>
          </w:p>
        </w:tc>
      </w:tr>
      <w:tr w:rsidR="00E33D27" w14:paraId="30DA3A33" w14:textId="77777777">
        <w:tblPrEx>
          <w:tblCellMar>
            <w:top w:w="0" w:type="dxa"/>
            <w:bottom w:w="0" w:type="dxa"/>
          </w:tblCellMar>
        </w:tblPrEx>
        <w:trPr>
          <w:cantSplit/>
        </w:trPr>
        <w:tc>
          <w:tcPr>
            <w:tcW w:w="6000" w:type="dxa"/>
            <w:shd w:val="clear" w:color="auto" w:fill="F3F4F6"/>
            <w:tcMar>
              <w:top w:w="70" w:type="dxa"/>
              <w:left w:w="110" w:type="dxa"/>
              <w:bottom w:w="70" w:type="dxa"/>
              <w:right w:w="110" w:type="dxa"/>
            </w:tcMar>
            <w:vAlign w:val="center"/>
          </w:tcPr>
          <w:p w14:paraId="0F3012AC" w14:textId="77777777" w:rsidR="00E33D27" w:rsidRDefault="00000000">
            <w:pPr>
              <w:spacing w:before="40" w:after="40" w:line="250" w:lineRule="auto"/>
            </w:pPr>
            <w:r>
              <w:rPr>
                <w:b/>
                <w:bCs/>
                <w:sz w:val="16"/>
                <w:szCs w:val="16"/>
              </w:rPr>
              <w:t>Technological development is so rapid that patents become irrelevant</w:t>
            </w:r>
          </w:p>
        </w:tc>
        <w:tc>
          <w:tcPr>
            <w:tcW w:w="1600" w:type="dxa"/>
            <w:shd w:val="clear" w:color="auto" w:fill="F3F4F6"/>
            <w:tcMar>
              <w:top w:w="70" w:type="dxa"/>
              <w:left w:w="110" w:type="dxa"/>
              <w:bottom w:w="70" w:type="dxa"/>
              <w:right w:w="110" w:type="dxa"/>
            </w:tcMar>
            <w:vAlign w:val="center"/>
          </w:tcPr>
          <w:p w14:paraId="42490B61" w14:textId="77777777" w:rsidR="00E33D27" w:rsidRDefault="00000000">
            <w:pPr>
              <w:spacing w:before="40" w:after="40" w:line="250" w:lineRule="auto"/>
              <w:jc w:val="center"/>
            </w:pPr>
            <w:r>
              <w:rPr>
                <w:sz w:val="16"/>
                <w:szCs w:val="16"/>
              </w:rPr>
              <w:t>1.96</w:t>
            </w:r>
          </w:p>
        </w:tc>
        <w:tc>
          <w:tcPr>
            <w:tcW w:w="2480" w:type="dxa"/>
            <w:shd w:val="clear" w:color="auto" w:fill="F3F4F6"/>
            <w:tcMar>
              <w:top w:w="70" w:type="dxa"/>
              <w:left w:w="110" w:type="dxa"/>
              <w:bottom w:w="70" w:type="dxa"/>
              <w:right w:w="110" w:type="dxa"/>
            </w:tcMar>
            <w:vAlign w:val="center"/>
          </w:tcPr>
          <w:p w14:paraId="0746593D" w14:textId="77777777" w:rsidR="00E33D27" w:rsidRDefault="00E33D27">
            <w:pPr>
              <w:spacing w:before="40" w:after="40" w:line="250" w:lineRule="auto"/>
              <w:jc w:val="center"/>
            </w:pPr>
          </w:p>
        </w:tc>
      </w:tr>
      <w:tr w:rsidR="00E33D27" w14:paraId="28009A90"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3EF7837B" w14:textId="77777777" w:rsidR="00E33D27" w:rsidRDefault="00000000">
            <w:pPr>
              <w:spacing w:before="40" w:after="40" w:line="250" w:lineRule="auto"/>
            </w:pPr>
            <w:r>
              <w:rPr>
                <w:b/>
                <w:bCs/>
                <w:sz w:val="16"/>
                <w:szCs w:val="16"/>
              </w:rPr>
              <w:t>Patents are probably not valid if contested</w:t>
            </w:r>
          </w:p>
        </w:tc>
        <w:tc>
          <w:tcPr>
            <w:tcW w:w="1600" w:type="dxa"/>
            <w:shd w:val="clear" w:color="auto" w:fill="FFFFFF"/>
            <w:tcMar>
              <w:top w:w="70" w:type="dxa"/>
              <w:left w:w="110" w:type="dxa"/>
              <w:bottom w:w="70" w:type="dxa"/>
              <w:right w:w="110" w:type="dxa"/>
            </w:tcMar>
            <w:vAlign w:val="center"/>
          </w:tcPr>
          <w:p w14:paraId="387BCE11" w14:textId="77777777" w:rsidR="00E33D27" w:rsidRDefault="00000000">
            <w:pPr>
              <w:spacing w:before="40" w:after="40" w:line="250" w:lineRule="auto"/>
              <w:jc w:val="center"/>
            </w:pPr>
            <w:r>
              <w:rPr>
                <w:sz w:val="16"/>
                <w:szCs w:val="16"/>
              </w:rPr>
              <w:t>1.75</w:t>
            </w:r>
          </w:p>
        </w:tc>
        <w:tc>
          <w:tcPr>
            <w:tcW w:w="2480" w:type="dxa"/>
            <w:shd w:val="clear" w:color="auto" w:fill="FFFFFF"/>
            <w:tcMar>
              <w:top w:w="70" w:type="dxa"/>
              <w:left w:w="110" w:type="dxa"/>
              <w:bottom w:w="70" w:type="dxa"/>
              <w:right w:w="110" w:type="dxa"/>
            </w:tcMar>
            <w:vAlign w:val="center"/>
          </w:tcPr>
          <w:p w14:paraId="009D277D" w14:textId="77777777" w:rsidR="00E33D27" w:rsidRDefault="00E33D27">
            <w:pPr>
              <w:spacing w:before="40" w:after="40" w:line="250" w:lineRule="auto"/>
              <w:jc w:val="center"/>
            </w:pPr>
          </w:p>
        </w:tc>
      </w:tr>
      <w:tr w:rsidR="00E33D27" w14:paraId="577AE6A0" w14:textId="77777777">
        <w:tblPrEx>
          <w:tblCellMar>
            <w:top w:w="0" w:type="dxa"/>
            <w:bottom w:w="0" w:type="dxa"/>
          </w:tblCellMar>
        </w:tblPrEx>
        <w:trPr>
          <w:cantSplit/>
        </w:trPr>
        <w:tc>
          <w:tcPr>
            <w:tcW w:w="6000" w:type="dxa"/>
            <w:shd w:val="clear" w:color="auto" w:fill="F3F4F6"/>
            <w:tcMar>
              <w:top w:w="70" w:type="dxa"/>
              <w:left w:w="110" w:type="dxa"/>
              <w:bottom w:w="70" w:type="dxa"/>
              <w:right w:w="110" w:type="dxa"/>
            </w:tcMar>
            <w:vAlign w:val="center"/>
          </w:tcPr>
          <w:p w14:paraId="3A3649F9" w14:textId="77777777" w:rsidR="00E33D27" w:rsidRDefault="00000000">
            <w:pPr>
              <w:spacing w:before="40" w:after="40" w:line="250" w:lineRule="auto"/>
            </w:pPr>
            <w:r>
              <w:rPr>
                <w:b/>
                <w:bCs/>
                <w:sz w:val="16"/>
                <w:szCs w:val="16"/>
              </w:rPr>
              <w:t>Patent proceedings require a firm to disclose too much information</w:t>
            </w:r>
          </w:p>
        </w:tc>
        <w:tc>
          <w:tcPr>
            <w:tcW w:w="1600" w:type="dxa"/>
            <w:shd w:val="clear" w:color="auto" w:fill="F3F4F6"/>
            <w:tcMar>
              <w:top w:w="70" w:type="dxa"/>
              <w:left w:w="110" w:type="dxa"/>
              <w:bottom w:w="70" w:type="dxa"/>
              <w:right w:w="110" w:type="dxa"/>
            </w:tcMar>
            <w:vAlign w:val="center"/>
          </w:tcPr>
          <w:p w14:paraId="4FC0BB9F" w14:textId="77777777" w:rsidR="00E33D27" w:rsidRDefault="00000000">
            <w:pPr>
              <w:spacing w:before="40" w:after="40" w:line="250" w:lineRule="auto"/>
              <w:jc w:val="center"/>
            </w:pPr>
            <w:r>
              <w:rPr>
                <w:sz w:val="16"/>
                <w:szCs w:val="16"/>
              </w:rPr>
              <w:t>1.71</w:t>
            </w:r>
          </w:p>
        </w:tc>
        <w:tc>
          <w:tcPr>
            <w:tcW w:w="2480" w:type="dxa"/>
            <w:shd w:val="clear" w:color="auto" w:fill="F3F4F6"/>
            <w:tcMar>
              <w:top w:w="70" w:type="dxa"/>
              <w:left w:w="110" w:type="dxa"/>
              <w:bottom w:w="70" w:type="dxa"/>
              <w:right w:w="110" w:type="dxa"/>
            </w:tcMar>
            <w:vAlign w:val="center"/>
          </w:tcPr>
          <w:p w14:paraId="2FEAA2F9" w14:textId="77777777" w:rsidR="00E33D27" w:rsidRDefault="00E33D27">
            <w:pPr>
              <w:spacing w:before="40" w:after="40" w:line="250" w:lineRule="auto"/>
              <w:jc w:val="center"/>
            </w:pPr>
          </w:p>
        </w:tc>
      </w:tr>
      <w:tr w:rsidR="00E33D27" w14:paraId="19303EA0"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20EE5C7F" w14:textId="77777777" w:rsidR="00E33D27" w:rsidRDefault="00000000">
            <w:pPr>
              <w:spacing w:before="40" w:after="40" w:line="250" w:lineRule="auto"/>
            </w:pPr>
            <w:r>
              <w:rPr>
                <w:b/>
                <w:bCs/>
                <w:sz w:val="16"/>
                <w:szCs w:val="16"/>
              </w:rPr>
              <w:t>New processes are not patentable</w:t>
            </w:r>
          </w:p>
        </w:tc>
        <w:tc>
          <w:tcPr>
            <w:tcW w:w="1600" w:type="dxa"/>
            <w:shd w:val="clear" w:color="auto" w:fill="FFFFFF"/>
            <w:tcMar>
              <w:top w:w="70" w:type="dxa"/>
              <w:left w:w="110" w:type="dxa"/>
              <w:bottom w:w="70" w:type="dxa"/>
              <w:right w:w="110" w:type="dxa"/>
            </w:tcMar>
            <w:vAlign w:val="center"/>
          </w:tcPr>
          <w:p w14:paraId="735F3BD7" w14:textId="77777777" w:rsidR="00E33D27" w:rsidRDefault="00000000">
            <w:pPr>
              <w:spacing w:before="40" w:after="40" w:line="250" w:lineRule="auto"/>
              <w:jc w:val="center"/>
            </w:pPr>
            <w:r>
              <w:rPr>
                <w:sz w:val="16"/>
                <w:szCs w:val="16"/>
              </w:rPr>
              <w:t>1.52</w:t>
            </w:r>
          </w:p>
        </w:tc>
        <w:tc>
          <w:tcPr>
            <w:tcW w:w="2480" w:type="dxa"/>
            <w:shd w:val="clear" w:color="auto" w:fill="FFFFFF"/>
            <w:tcMar>
              <w:top w:w="70" w:type="dxa"/>
              <w:left w:w="110" w:type="dxa"/>
              <w:bottom w:w="70" w:type="dxa"/>
              <w:right w:w="110" w:type="dxa"/>
            </w:tcMar>
            <w:vAlign w:val="center"/>
          </w:tcPr>
          <w:p w14:paraId="2787A0CA" w14:textId="77777777" w:rsidR="00E33D27" w:rsidRDefault="00E33D27">
            <w:pPr>
              <w:spacing w:before="40" w:after="40" w:line="250" w:lineRule="auto"/>
              <w:jc w:val="center"/>
            </w:pPr>
          </w:p>
        </w:tc>
      </w:tr>
      <w:tr w:rsidR="00E33D27" w14:paraId="40C40027" w14:textId="77777777">
        <w:tblPrEx>
          <w:tblCellMar>
            <w:top w:w="0" w:type="dxa"/>
            <w:bottom w:w="0" w:type="dxa"/>
          </w:tblCellMar>
        </w:tblPrEx>
        <w:trPr>
          <w:cantSplit/>
        </w:trPr>
        <w:tc>
          <w:tcPr>
            <w:tcW w:w="6000" w:type="dxa"/>
            <w:shd w:val="clear" w:color="auto" w:fill="F3F4F6"/>
            <w:tcMar>
              <w:top w:w="70" w:type="dxa"/>
              <w:left w:w="110" w:type="dxa"/>
              <w:bottom w:w="70" w:type="dxa"/>
              <w:right w:w="110" w:type="dxa"/>
            </w:tcMar>
            <w:vAlign w:val="center"/>
          </w:tcPr>
          <w:p w14:paraId="6ADF4069" w14:textId="77777777" w:rsidR="00E33D27" w:rsidRDefault="00000000">
            <w:pPr>
              <w:spacing w:before="40" w:after="40" w:line="250" w:lineRule="auto"/>
            </w:pPr>
            <w:r>
              <w:rPr>
                <w:b/>
                <w:bCs/>
                <w:sz w:val="16"/>
                <w:szCs w:val="16"/>
              </w:rPr>
              <w:t>New products are not patentable</w:t>
            </w:r>
          </w:p>
        </w:tc>
        <w:tc>
          <w:tcPr>
            <w:tcW w:w="1600" w:type="dxa"/>
            <w:shd w:val="clear" w:color="auto" w:fill="F3F4F6"/>
            <w:tcMar>
              <w:top w:w="70" w:type="dxa"/>
              <w:left w:w="110" w:type="dxa"/>
              <w:bottom w:w="70" w:type="dxa"/>
              <w:right w:w="110" w:type="dxa"/>
            </w:tcMar>
            <w:vAlign w:val="center"/>
          </w:tcPr>
          <w:p w14:paraId="11B6F681" w14:textId="77777777" w:rsidR="00E33D27" w:rsidRDefault="00000000">
            <w:pPr>
              <w:spacing w:before="40" w:after="40" w:line="250" w:lineRule="auto"/>
              <w:jc w:val="center"/>
            </w:pPr>
            <w:r>
              <w:rPr>
                <w:sz w:val="16"/>
                <w:szCs w:val="16"/>
              </w:rPr>
              <w:t>1.38</w:t>
            </w:r>
          </w:p>
        </w:tc>
        <w:tc>
          <w:tcPr>
            <w:tcW w:w="2480" w:type="dxa"/>
            <w:shd w:val="clear" w:color="auto" w:fill="F3F4F6"/>
            <w:tcMar>
              <w:top w:w="70" w:type="dxa"/>
              <w:left w:w="110" w:type="dxa"/>
              <w:bottom w:w="70" w:type="dxa"/>
              <w:right w:w="110" w:type="dxa"/>
            </w:tcMar>
            <w:vAlign w:val="center"/>
          </w:tcPr>
          <w:p w14:paraId="331B7E2B" w14:textId="77777777" w:rsidR="00E33D27" w:rsidRDefault="00E33D27">
            <w:pPr>
              <w:spacing w:before="40" w:after="40" w:line="250" w:lineRule="auto"/>
              <w:jc w:val="center"/>
            </w:pPr>
          </w:p>
        </w:tc>
      </w:tr>
      <w:tr w:rsidR="00E33D27" w14:paraId="620AB3CB"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3A46AB6A" w14:textId="77777777" w:rsidR="00E33D27" w:rsidRDefault="00000000">
            <w:pPr>
              <w:spacing w:before="40" w:after="40" w:line="250" w:lineRule="auto"/>
            </w:pPr>
            <w:r>
              <w:rPr>
                <w:b/>
                <w:bCs/>
                <w:sz w:val="16"/>
                <w:szCs w:val="16"/>
              </w:rPr>
              <w:t>Firms do not try to enforce their patent rights</w:t>
            </w:r>
          </w:p>
        </w:tc>
        <w:tc>
          <w:tcPr>
            <w:tcW w:w="1600" w:type="dxa"/>
            <w:shd w:val="clear" w:color="auto" w:fill="FFFFFF"/>
            <w:tcMar>
              <w:top w:w="70" w:type="dxa"/>
              <w:left w:w="110" w:type="dxa"/>
              <w:bottom w:w="70" w:type="dxa"/>
              <w:right w:w="110" w:type="dxa"/>
            </w:tcMar>
            <w:vAlign w:val="center"/>
          </w:tcPr>
          <w:p w14:paraId="442AD3C7" w14:textId="77777777" w:rsidR="00E33D27" w:rsidRDefault="00000000">
            <w:pPr>
              <w:spacing w:before="40" w:after="40" w:line="250" w:lineRule="auto"/>
              <w:jc w:val="center"/>
            </w:pPr>
            <w:r>
              <w:rPr>
                <w:sz w:val="16"/>
                <w:szCs w:val="16"/>
              </w:rPr>
              <w:t>1.13</w:t>
            </w:r>
          </w:p>
        </w:tc>
        <w:tc>
          <w:tcPr>
            <w:tcW w:w="2480" w:type="dxa"/>
            <w:shd w:val="clear" w:color="auto" w:fill="FFFFFF"/>
            <w:tcMar>
              <w:top w:w="70" w:type="dxa"/>
              <w:left w:w="110" w:type="dxa"/>
              <w:bottom w:w="70" w:type="dxa"/>
              <w:right w:w="110" w:type="dxa"/>
            </w:tcMar>
            <w:vAlign w:val="center"/>
          </w:tcPr>
          <w:p w14:paraId="3A0B6411" w14:textId="77777777" w:rsidR="00E33D27" w:rsidRDefault="00E33D27">
            <w:pPr>
              <w:spacing w:before="40" w:after="40" w:line="250" w:lineRule="auto"/>
              <w:jc w:val="center"/>
            </w:pPr>
          </w:p>
        </w:tc>
      </w:tr>
      <w:tr w:rsidR="00E33D27" w14:paraId="7847F455" w14:textId="77777777">
        <w:tblPrEx>
          <w:tblCellMar>
            <w:top w:w="0" w:type="dxa"/>
            <w:bottom w:w="0" w:type="dxa"/>
          </w:tblCellMar>
        </w:tblPrEx>
        <w:trPr>
          <w:cantSplit/>
        </w:trPr>
        <w:tc>
          <w:tcPr>
            <w:tcW w:w="6000" w:type="dxa"/>
            <w:shd w:val="clear" w:color="auto" w:fill="F3F4F6"/>
            <w:tcMar>
              <w:top w:w="70" w:type="dxa"/>
              <w:left w:w="110" w:type="dxa"/>
              <w:bottom w:w="70" w:type="dxa"/>
              <w:right w:w="110" w:type="dxa"/>
            </w:tcMar>
            <w:vAlign w:val="center"/>
          </w:tcPr>
          <w:p w14:paraId="4FA067DC" w14:textId="77777777" w:rsidR="00E33D27" w:rsidRDefault="00000000">
            <w:pPr>
              <w:spacing w:before="40" w:after="40" w:line="250" w:lineRule="auto"/>
            </w:pPr>
            <w:r>
              <w:rPr>
                <w:b/>
                <w:bCs/>
                <w:sz w:val="16"/>
                <w:szCs w:val="16"/>
              </w:rPr>
              <w:t>Compulsory licensing can be imposed by courts or regulators</w:t>
            </w:r>
          </w:p>
        </w:tc>
        <w:tc>
          <w:tcPr>
            <w:tcW w:w="1600" w:type="dxa"/>
            <w:shd w:val="clear" w:color="auto" w:fill="F3F4F6"/>
            <w:tcMar>
              <w:top w:w="70" w:type="dxa"/>
              <w:left w:w="110" w:type="dxa"/>
              <w:bottom w:w="70" w:type="dxa"/>
              <w:right w:w="110" w:type="dxa"/>
            </w:tcMar>
            <w:vAlign w:val="center"/>
          </w:tcPr>
          <w:p w14:paraId="57BD3917" w14:textId="77777777" w:rsidR="00E33D27" w:rsidRDefault="00000000">
            <w:pPr>
              <w:spacing w:before="40" w:after="40" w:line="250" w:lineRule="auto"/>
              <w:jc w:val="center"/>
            </w:pPr>
            <w:r>
              <w:rPr>
                <w:sz w:val="16"/>
                <w:szCs w:val="16"/>
              </w:rPr>
              <w:t>1.00</w:t>
            </w:r>
          </w:p>
        </w:tc>
        <w:tc>
          <w:tcPr>
            <w:tcW w:w="2480" w:type="dxa"/>
            <w:shd w:val="clear" w:color="auto" w:fill="F3F4F6"/>
            <w:tcMar>
              <w:top w:w="70" w:type="dxa"/>
              <w:left w:w="110" w:type="dxa"/>
              <w:bottom w:w="70" w:type="dxa"/>
              <w:right w:w="110" w:type="dxa"/>
            </w:tcMar>
            <w:vAlign w:val="center"/>
          </w:tcPr>
          <w:p w14:paraId="1143FCDA" w14:textId="77777777" w:rsidR="00E33D27" w:rsidRDefault="00000000">
            <w:pPr>
              <w:spacing w:before="40" w:after="40" w:line="250" w:lineRule="auto"/>
              <w:jc w:val="center"/>
            </w:pPr>
            <w:r>
              <w:rPr>
                <w:sz w:val="16"/>
                <w:szCs w:val="16"/>
              </w:rPr>
              <w:t>lowest</w:t>
            </w:r>
          </w:p>
        </w:tc>
      </w:tr>
    </w:tbl>
    <w:p w14:paraId="7B756978" w14:textId="77777777" w:rsidR="00E33D27" w:rsidRDefault="00000000">
      <w:pPr>
        <w:spacing w:before="60" w:after="180"/>
      </w:pPr>
      <w:r>
        <w:rPr>
          <w:i/>
          <w:iCs/>
          <w:color w:val="5A6270"/>
          <w:sz w:val="16"/>
          <w:szCs w:val="16"/>
        </w:rPr>
        <w:t>Table 4.3  In every industry the main limitation of a patent is invent-around. Scores are totals across the 24 firms.</w:t>
      </w:r>
    </w:p>
    <w:p w14:paraId="625C25E4" w14:textId="77777777" w:rsidR="00E33D27" w:rsidRDefault="00000000">
      <w:pPr>
        <w:jc w:val="both"/>
      </w:pPr>
      <w:r>
        <w:t>In every industry the main limitation of patents is their inability to prevent competitors from finding a substitute invention — from inventing around. Note also that this limitation scores about the same as the inability to prevent copying in the previous section’s table, even though preventing copying is precisely what patents are for. Preventing or aggravating inventing-around through the broad scope of a patent therefore becomes critical, which is what the chapter says Japanese firms became renowned for under two names: blanketing, covering a technical area so densely that any route through it infringes something, and fencing, filing around a core invention to block the substitute solutions a rival would otherwise use. A single right can be circumvented; a field of rights cannot be circumvented economically. That is the same architecture the session recommends — broad core claim, dense application layer, deepened vertically and spread horizontally — arrived at from the opposite direction.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2248F744" w14:textId="77777777">
        <w:tblPrEx>
          <w:tblCellMar>
            <w:top w:w="0" w:type="dxa"/>
            <w:bottom w:w="0" w:type="dxa"/>
          </w:tblCellMar>
        </w:tblPrEx>
        <w:tc>
          <w:tcPr>
            <w:tcW w:w="10080" w:type="dxa"/>
            <w:tcBorders>
              <w:top w:val="single" w:sz="4" w:space="0" w:color="2F6B4F"/>
              <w:left w:val="single" w:sz="18" w:space="0" w:color="2F6B4F"/>
              <w:bottom w:val="single" w:sz="4" w:space="0" w:color="2F6B4F"/>
              <w:right w:val="single" w:sz="4" w:space="0" w:color="2F6B4F"/>
            </w:tcBorders>
            <w:shd w:val="clear" w:color="auto" w:fill="E8F1EB"/>
            <w:tcMar>
              <w:top w:w="150" w:type="dxa"/>
              <w:left w:w="200" w:type="dxa"/>
              <w:bottom w:w="150" w:type="dxa"/>
              <w:right w:w="200" w:type="dxa"/>
            </w:tcMar>
          </w:tcPr>
          <w:p w14:paraId="04267B11" w14:textId="77777777" w:rsidR="00E33D27" w:rsidRDefault="00000000">
            <w:pPr>
              <w:spacing w:after="80"/>
            </w:pPr>
            <w:r>
              <w:rPr>
                <w:b/>
                <w:bCs/>
                <w:color w:val="2F6B4F"/>
                <w:sz w:val="19"/>
                <w:szCs w:val="19"/>
              </w:rPr>
              <w:t>A note on the alternative: secrecy</w:t>
            </w:r>
          </w:p>
          <w:p w14:paraId="534BE97B" w14:textId="77777777" w:rsidR="00E33D27" w:rsidRDefault="00000000">
            <w:pPr>
              <w:spacing w:after="70" w:line="265" w:lineRule="auto"/>
              <w:jc w:val="both"/>
            </w:pPr>
            <w:r>
              <w:rPr>
                <w:sz w:val="18"/>
                <w:szCs w:val="18"/>
              </w:rPr>
              <w:t>Where an invention is not visible in the finished product and cannot be inferred from it, secrecy is a genuine option rather than a failure to file. But the book documents a squeeze on it: cheaper and more powerful reverse engineering (for example, chemical analysis that traces minute quantities in a product and lets the process be inferred) cuts both ways. The innovator’s secrecy barrier is penetrated more easily, so secrecy protects less; and the imitator’s barrier is also penetrated, so infringement becomes detectable and patents become more enforceable. Both effects raise the propensity to patent. The exception in the data was mechanical engineering, where process know-how still hides inside the factory and process secrecy scored highest.</w:t>
            </w:r>
          </w:p>
        </w:tc>
      </w:tr>
    </w:tbl>
    <w:p w14:paraId="6442AE8A" w14:textId="77777777" w:rsidR="00E33D27" w:rsidRDefault="00E33D27">
      <w:pPr>
        <w:spacing w:after="160"/>
      </w:pPr>
    </w:p>
    <w:p w14:paraId="6D2EBEDE" w14:textId="77777777" w:rsidR="00E33D27" w:rsidRDefault="00000000">
      <w:pPr>
        <w:pStyle w:val="Heading2"/>
        <w:keepNext/>
      </w:pPr>
      <w:r>
        <w:t>4.6  Cross-licensing: converting conflict into freedom to operate</w:t>
      </w:r>
    </w:p>
    <w:p w14:paraId="355D4994" w14:textId="77777777" w:rsidR="00E33D27" w:rsidRDefault="00000000">
      <w:pPr>
        <w:jc w:val="both"/>
      </w:pPr>
      <w:r>
        <w:t>Cross-licensing is the mechanism by which two firms that each block the other stop paying lawyers and start selling products. The session’s use case is deliberately ordinary, because the pattern is ordinary.</w:t>
      </w:r>
    </w:p>
    <w:p w14:paraId="56DC8137" w14:textId="77777777" w:rsidR="00E33D27" w:rsidRDefault="00000000">
      <w:pPr>
        <w:keepNext/>
        <w:spacing w:before="160" w:after="60" w:line="240" w:lineRule="auto"/>
        <w:jc w:val="center"/>
      </w:pPr>
      <w:r>
        <w:rPr>
          <w:noProof/>
        </w:rPr>
        <w:lastRenderedPageBreak/>
        <w:drawing>
          <wp:inline distT="0" distB="0" distL="0" distR="0" wp14:anchorId="3EC05A7A" wp14:editId="745BC6E5">
            <wp:extent cx="6172200" cy="3743325"/>
            <wp:effectExtent l="0" t="0" r="0" b="0"/>
            <wp:docPr id="1358498462" name="Picture 135849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72200" cy="3743325"/>
                    </a:xfrm>
                    <a:prstGeom prst="rect">
                      <a:avLst/>
                    </a:prstGeom>
                  </pic:spPr>
                </pic:pic>
              </a:graphicData>
            </a:graphic>
          </wp:inline>
        </w:drawing>
      </w:r>
    </w:p>
    <w:p w14:paraId="6455FBA3" w14:textId="77777777" w:rsidR="00E33D27" w:rsidRDefault="00000000">
      <w:pPr>
        <w:spacing w:after="220" w:line="240" w:lineRule="auto"/>
        <w:jc w:val="center"/>
      </w:pPr>
      <w:r>
        <w:rPr>
          <w:i/>
          <w:iCs/>
          <w:color w:val="5A6270"/>
          <w:sz w:val="17"/>
          <w:szCs w:val="17"/>
        </w:rPr>
        <w:t>Figure 4.5  From litigation to cross-licence, and from single patents to bundles.</w:t>
      </w:r>
    </w:p>
    <w:p w14:paraId="51A38231" w14:textId="77777777" w:rsidR="00E33D27" w:rsidRDefault="00000000">
      <w:pPr>
        <w:jc w:val="both"/>
      </w:pPr>
      <w:r>
        <w:t>Company A obtains US Patent X. Company B sues A, alleging that A’s activity violates B’s Product V position. Litigation continues for more than three years. Later it is found that X can in fact enhance V, and that B’s Patent U can benefit A’s Product Y. A and B therefore cross-license: X for V, and U for Y. Both products improve and the litigation ends. Nothing about the patents changed; what changed was the recognition that each side valued the other’s right more than it valued the fight.</w:t>
      </w:r>
    </w:p>
    <w:p w14:paraId="08C673D0" w14:textId="77777777" w:rsidR="00E33D27" w:rsidRDefault="00000000">
      <w:pPr>
        <w:jc w:val="both"/>
      </w:pPr>
      <w:r>
        <w:t>The second panel generalizes this into portfolio practice. Company A bundles its patents X1 through Xn and cross-licenses different bundles to different counterparties: X1, X5 and X9 to Company B; X4, X3 and X9 to Company C; X6, X5 and X1 to Company D. The bundles differ because those companies serve different markets and sectors and therefore need different subsets. Note that the same patent appears in several bundles — non-exclusive licensing lets one asset be sold many times, which is the closest thing to free money in the subject.</w:t>
      </w:r>
    </w:p>
    <w:p w14:paraId="40559627" w14:textId="77777777" w:rsidR="00E33D27" w:rsidRDefault="00000000">
      <w:pPr>
        <w:keepNext/>
        <w:spacing w:before="60" w:after="80"/>
      </w:pPr>
      <w:r>
        <w:rPr>
          <w:b/>
          <w:bCs/>
          <w:color w:val="1F3864"/>
          <w:sz w:val="18"/>
          <w:szCs w:val="18"/>
        </w:rPr>
        <w:t>Why a firm cross-licenses rather than litigating or refusing</w:t>
      </w:r>
    </w:p>
    <w:p w14:paraId="2E6E3AB9" w14:textId="77777777" w:rsidR="00E33D27" w:rsidRDefault="00000000">
      <w:pPr>
        <w:pStyle w:val="ListParagraph"/>
        <w:numPr>
          <w:ilvl w:val="0"/>
          <w:numId w:val="2"/>
        </w:numPr>
        <w:spacing w:after="70" w:line="272" w:lineRule="auto"/>
      </w:pPr>
      <w:r>
        <w:t>Freedom to operate: in a multi-technology product somebody else always holds a relevant right, and a cross-licence buys the ability to ship.</w:t>
      </w:r>
    </w:p>
    <w:p w14:paraId="55CF9BE7" w14:textId="77777777" w:rsidR="00E33D27" w:rsidRDefault="00000000">
      <w:pPr>
        <w:pStyle w:val="ListParagraph"/>
        <w:numPr>
          <w:ilvl w:val="0"/>
          <w:numId w:val="2"/>
        </w:numPr>
        <w:spacing w:after="70" w:line="272" w:lineRule="auto"/>
      </w:pPr>
      <w:r>
        <w:t>Cost and time: three years of litigation consumes management attention and produces no product.</w:t>
      </w:r>
    </w:p>
    <w:p w14:paraId="189CDED0" w14:textId="77777777" w:rsidR="00E33D27" w:rsidRDefault="00000000">
      <w:pPr>
        <w:pStyle w:val="ListParagraph"/>
        <w:numPr>
          <w:ilvl w:val="0"/>
          <w:numId w:val="2"/>
        </w:numPr>
        <w:spacing w:after="70" w:line="272" w:lineRule="auto"/>
      </w:pPr>
      <w:r>
        <w:t>Royalty netting: payments offset each other and only the imbalance moves in cash, so a strong portfolio converts directly into a lower net royalty bill.</w:t>
      </w:r>
    </w:p>
    <w:p w14:paraId="551C88A2" w14:textId="77777777" w:rsidR="00E33D27" w:rsidRDefault="00000000">
      <w:pPr>
        <w:pStyle w:val="ListParagraph"/>
        <w:numPr>
          <w:ilvl w:val="0"/>
          <w:numId w:val="2"/>
        </w:numPr>
        <w:spacing w:after="70" w:line="272" w:lineRule="auto"/>
      </w:pPr>
      <w:r>
        <w:t>Design freedom for engineers, who can then optimise the product rather than the claim chart.</w:t>
      </w:r>
    </w:p>
    <w:p w14:paraId="42B29C19" w14:textId="77777777" w:rsidR="00E33D27" w:rsidRDefault="00000000">
      <w:pPr>
        <w:pStyle w:val="ListParagraph"/>
        <w:numPr>
          <w:ilvl w:val="0"/>
          <w:numId w:val="2"/>
        </w:numPr>
        <w:spacing w:after="70" w:line="272" w:lineRule="auto"/>
      </w:pPr>
      <w:r>
        <w:t>Option value: a portfolio held for trading is worth keeping even if it is never asserted — which is why defensive portfolios are rational.</w:t>
      </w:r>
    </w:p>
    <w:p w14:paraId="591B3E7A" w14:textId="77777777" w:rsidR="00E33D27" w:rsidRDefault="00000000">
      <w:pPr>
        <w:pStyle w:val="Heading3"/>
        <w:keepNext/>
      </w:pPr>
      <w:r>
        <w:lastRenderedPageBreak/>
        <w:t>Huawei: cross-licensing at scale</w:t>
      </w:r>
    </w:p>
    <w:p w14:paraId="0538AE88" w14:textId="77777777" w:rsidR="00E33D27" w:rsidRDefault="00000000">
      <w:pPr>
        <w:jc w:val="both"/>
      </w:pPr>
      <w:r>
        <w:t>Huawei states the philosophy plainly: respecting and protecting intellectual property is the foundation of innovation, and while promoting its own growth the company also licenses to other industry players to promote shared success. Over the past twenty years it has conducted extensive cross-licensing negotiations with key patent holders in the ICT industry and has entered into more than 260 patent licence agreements with major global ICT companies across Europe, the United States, Japan and South Korea. Long-term investment in innovation, backed by respect for intellectual property, is presented as the driving force behind its business success and the cornerstone of its vision of a fully connected, intelligent world.</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520"/>
        <w:gridCol w:w="2520"/>
        <w:gridCol w:w="2520"/>
        <w:gridCol w:w="2520"/>
      </w:tblGrid>
      <w:tr w:rsidR="00E33D27" w14:paraId="0D1FF603" w14:textId="77777777">
        <w:tblPrEx>
          <w:tblCellMar>
            <w:top w:w="0" w:type="dxa"/>
            <w:bottom w:w="0" w:type="dxa"/>
          </w:tblCellMar>
        </w:tblPrEx>
        <w:trPr>
          <w:cantSplit/>
          <w:tblHeader/>
        </w:trPr>
        <w:tc>
          <w:tcPr>
            <w:tcW w:w="2520" w:type="dxa"/>
            <w:shd w:val="clear" w:color="auto" w:fill="1F3864"/>
            <w:tcMar>
              <w:top w:w="70" w:type="dxa"/>
              <w:left w:w="110" w:type="dxa"/>
              <w:bottom w:w="70" w:type="dxa"/>
              <w:right w:w="110" w:type="dxa"/>
            </w:tcMar>
            <w:vAlign w:val="center"/>
          </w:tcPr>
          <w:p w14:paraId="6A8C5392" w14:textId="77777777" w:rsidR="00E33D27" w:rsidRDefault="00000000">
            <w:pPr>
              <w:spacing w:before="40" w:after="40" w:line="250" w:lineRule="auto"/>
              <w:jc w:val="center"/>
            </w:pPr>
            <w:r>
              <w:rPr>
                <w:b/>
                <w:bCs/>
                <w:color w:val="FFFFFF"/>
                <w:sz w:val="22"/>
                <w:szCs w:val="22"/>
              </w:rPr>
              <w:t>CNY 1.38 trillion</w:t>
            </w:r>
          </w:p>
        </w:tc>
        <w:tc>
          <w:tcPr>
            <w:tcW w:w="2520" w:type="dxa"/>
            <w:shd w:val="clear" w:color="auto" w:fill="1F3864"/>
            <w:tcMar>
              <w:top w:w="70" w:type="dxa"/>
              <w:left w:w="110" w:type="dxa"/>
              <w:bottom w:w="70" w:type="dxa"/>
              <w:right w:w="110" w:type="dxa"/>
            </w:tcMar>
            <w:vAlign w:val="center"/>
          </w:tcPr>
          <w:p w14:paraId="246F02C6" w14:textId="77777777" w:rsidR="00E33D27" w:rsidRDefault="00000000">
            <w:pPr>
              <w:spacing w:before="40" w:after="40" w:line="250" w:lineRule="auto"/>
              <w:jc w:val="center"/>
            </w:pPr>
            <w:r>
              <w:rPr>
                <w:b/>
                <w:bCs/>
                <w:color w:val="FFFFFF"/>
                <w:sz w:val="22"/>
                <w:szCs w:val="22"/>
              </w:rPr>
              <w:t>21.8%</w:t>
            </w:r>
          </w:p>
        </w:tc>
        <w:tc>
          <w:tcPr>
            <w:tcW w:w="2520" w:type="dxa"/>
            <w:shd w:val="clear" w:color="auto" w:fill="1F3864"/>
            <w:tcMar>
              <w:top w:w="70" w:type="dxa"/>
              <w:left w:w="110" w:type="dxa"/>
              <w:bottom w:w="70" w:type="dxa"/>
              <w:right w:w="110" w:type="dxa"/>
            </w:tcMar>
            <w:vAlign w:val="center"/>
          </w:tcPr>
          <w:p w14:paraId="51CA2DA3" w14:textId="77777777" w:rsidR="00E33D27" w:rsidRDefault="00000000">
            <w:pPr>
              <w:spacing w:before="40" w:after="40" w:line="250" w:lineRule="auto"/>
              <w:jc w:val="center"/>
            </w:pPr>
            <w:r>
              <w:rPr>
                <w:b/>
                <w:bCs/>
                <w:color w:val="FFFFFF"/>
                <w:sz w:val="22"/>
                <w:szCs w:val="22"/>
              </w:rPr>
              <w:t>7,000+</w:t>
            </w:r>
          </w:p>
        </w:tc>
        <w:tc>
          <w:tcPr>
            <w:tcW w:w="2520" w:type="dxa"/>
            <w:shd w:val="clear" w:color="auto" w:fill="1F3864"/>
            <w:tcMar>
              <w:top w:w="70" w:type="dxa"/>
              <w:left w:w="110" w:type="dxa"/>
              <w:bottom w:w="70" w:type="dxa"/>
              <w:right w:w="110" w:type="dxa"/>
            </w:tcMar>
            <w:vAlign w:val="center"/>
          </w:tcPr>
          <w:p w14:paraId="54459989" w14:textId="77777777" w:rsidR="00E33D27" w:rsidRDefault="00000000">
            <w:pPr>
              <w:spacing w:before="40" w:after="40" w:line="250" w:lineRule="auto"/>
              <w:jc w:val="center"/>
            </w:pPr>
            <w:r>
              <w:rPr>
                <w:b/>
                <w:bCs/>
                <w:color w:val="FFFFFF"/>
                <w:sz w:val="22"/>
                <w:szCs w:val="22"/>
              </w:rPr>
              <w:t>165,000+</w:t>
            </w:r>
          </w:p>
        </w:tc>
      </w:tr>
      <w:tr w:rsidR="00E33D27" w14:paraId="73E3BC2C" w14:textId="77777777">
        <w:tblPrEx>
          <w:tblCellMar>
            <w:top w:w="0" w:type="dxa"/>
            <w:bottom w:w="0" w:type="dxa"/>
          </w:tblCellMar>
        </w:tblPrEx>
        <w:trPr>
          <w:cantSplit/>
        </w:trPr>
        <w:tc>
          <w:tcPr>
            <w:tcW w:w="2520" w:type="dxa"/>
            <w:shd w:val="clear" w:color="auto" w:fill="F3F4F6"/>
            <w:tcMar>
              <w:top w:w="70" w:type="dxa"/>
              <w:left w:w="110" w:type="dxa"/>
              <w:bottom w:w="70" w:type="dxa"/>
              <w:right w:w="110" w:type="dxa"/>
            </w:tcMar>
            <w:vAlign w:val="center"/>
          </w:tcPr>
          <w:p w14:paraId="1E2D9161" w14:textId="77777777" w:rsidR="00E33D27" w:rsidRDefault="00000000">
            <w:pPr>
              <w:spacing w:before="40" w:after="40" w:line="250" w:lineRule="auto"/>
              <w:jc w:val="center"/>
            </w:pPr>
            <w:r>
              <w:rPr>
                <w:sz w:val="16"/>
                <w:szCs w:val="16"/>
              </w:rPr>
              <w:t>Total R&amp;D investment over the last decade</w:t>
            </w:r>
          </w:p>
        </w:tc>
        <w:tc>
          <w:tcPr>
            <w:tcW w:w="2520" w:type="dxa"/>
            <w:shd w:val="clear" w:color="auto" w:fill="F3F4F6"/>
            <w:tcMar>
              <w:top w:w="70" w:type="dxa"/>
              <w:left w:w="110" w:type="dxa"/>
              <w:bottom w:w="70" w:type="dxa"/>
              <w:right w:w="110" w:type="dxa"/>
            </w:tcMar>
            <w:vAlign w:val="center"/>
          </w:tcPr>
          <w:p w14:paraId="552F0A3B" w14:textId="77777777" w:rsidR="00E33D27" w:rsidRDefault="00000000">
            <w:pPr>
              <w:spacing w:before="40" w:after="40" w:line="250" w:lineRule="auto"/>
              <w:jc w:val="center"/>
            </w:pPr>
            <w:r>
              <w:rPr>
                <w:sz w:val="16"/>
                <w:szCs w:val="16"/>
              </w:rPr>
              <w:t>R&amp;D as a share of total revenue in 2025 (CNY 192.3 billion)</w:t>
            </w:r>
          </w:p>
        </w:tc>
        <w:tc>
          <w:tcPr>
            <w:tcW w:w="2520" w:type="dxa"/>
            <w:shd w:val="clear" w:color="auto" w:fill="F3F4F6"/>
            <w:tcMar>
              <w:top w:w="70" w:type="dxa"/>
              <w:left w:w="110" w:type="dxa"/>
              <w:bottom w:w="70" w:type="dxa"/>
              <w:right w:w="110" w:type="dxa"/>
            </w:tcMar>
            <w:vAlign w:val="center"/>
          </w:tcPr>
          <w:p w14:paraId="08A86B07" w14:textId="77777777" w:rsidR="00E33D27" w:rsidRDefault="00000000">
            <w:pPr>
              <w:spacing w:before="40" w:after="40" w:line="250" w:lineRule="auto"/>
              <w:jc w:val="center"/>
            </w:pPr>
            <w:r>
              <w:rPr>
                <w:sz w:val="16"/>
                <w:szCs w:val="16"/>
              </w:rPr>
              <w:t>Standards contributions submitted in 2025 in connectivity, computing, smart devices, IAS and other domains</w:t>
            </w:r>
          </w:p>
        </w:tc>
        <w:tc>
          <w:tcPr>
            <w:tcW w:w="2520" w:type="dxa"/>
            <w:shd w:val="clear" w:color="auto" w:fill="F3F4F6"/>
            <w:tcMar>
              <w:top w:w="70" w:type="dxa"/>
              <w:left w:w="110" w:type="dxa"/>
              <w:bottom w:w="70" w:type="dxa"/>
              <w:right w:w="110" w:type="dxa"/>
            </w:tcMar>
            <w:vAlign w:val="center"/>
          </w:tcPr>
          <w:p w14:paraId="401EAD1B" w14:textId="77777777" w:rsidR="00E33D27" w:rsidRDefault="00000000">
            <w:pPr>
              <w:spacing w:before="40" w:after="40" w:line="250" w:lineRule="auto"/>
              <w:jc w:val="center"/>
            </w:pPr>
            <w:r>
              <w:rPr>
                <w:sz w:val="16"/>
                <w:szCs w:val="16"/>
              </w:rPr>
              <w:t>Active patents held at the end of 2025</w:t>
            </w:r>
          </w:p>
        </w:tc>
      </w:tr>
    </w:tbl>
    <w:p w14:paraId="02B6DC40" w14:textId="77777777" w:rsidR="00E33D27" w:rsidRDefault="00000000">
      <w:pPr>
        <w:spacing w:before="60" w:after="180"/>
      </w:pPr>
      <w:r>
        <w:rPr>
          <w:i/>
          <w:iCs/>
          <w:color w:val="5A6270"/>
          <w:sz w:val="16"/>
          <w:szCs w:val="16"/>
        </w:rPr>
        <w:t>Table 4.4  Huawei by the numbers: enormous R&amp;D input, a very large portfolio, and heavy standards participation — the three preconditions for cross-licensing from strength.</w:t>
      </w:r>
    </w:p>
    <w:p w14:paraId="3C2C24E5" w14:textId="77777777" w:rsidR="00E33D27" w:rsidRDefault="00000000">
      <w:pPr>
        <w:jc w:val="both"/>
      </w:pPr>
      <w:r>
        <w:t>The third column explains the other two. A firm that contributes thousands of proposals to technical standards will inevitably hold patents essential to those standards; a firm holding standard-essential patents can obtain licences from everyone who implements the standard; and a firm that also manufactures at scale needs licences running in both directions. Standards, patents and cross-licensing are one subject rather than three. In modern practice the link is formalised: standards bodies require participants to disclose patents they believe essential to a draft standard and to commit in advance to licensing them on fair, reasonable and non-discriminatory (FRAND) terms, and patent pools let an implementer take one licence instead of hundreds.</w:t>
      </w:r>
    </w:p>
    <w:p w14:paraId="04902E07" w14:textId="77777777" w:rsidR="00E33D27" w:rsidRDefault="00000000">
      <w:pPr>
        <w:pStyle w:val="Heading2"/>
        <w:keepNext/>
      </w:pPr>
      <w:r>
        <w:t>4.7  Licensing: the most common route and the hardest to negotiate</w:t>
      </w:r>
    </w:p>
    <w:p w14:paraId="2A427BF1" w14:textId="77777777" w:rsidR="00E33D27" w:rsidRDefault="00000000">
      <w:pPr>
        <w:jc w:val="both"/>
      </w:pPr>
      <w:r>
        <w:t>Licensing is perhaps the most common approach to generating IP value, and perhaps the most complex issue to negotiate between buyer and seller. The reason is structural: the buyer wants to minimise the value and the seller wants to maximise it, and unlike a commodity there is no market price to appeal to. Agreeing the valuation of the IP — and getting both parties to accept the same number — is therefore fundamental, and it is the gate through which every other term passes.</w:t>
      </w:r>
    </w:p>
    <w:p w14:paraId="53998545" w14:textId="77777777" w:rsidR="00E33D27" w:rsidRDefault="00000000">
      <w:pPr>
        <w:keepNext/>
        <w:spacing w:before="160" w:after="60" w:line="240" w:lineRule="auto"/>
        <w:jc w:val="center"/>
      </w:pPr>
      <w:r>
        <w:rPr>
          <w:noProof/>
        </w:rPr>
        <w:lastRenderedPageBreak/>
        <w:drawing>
          <wp:inline distT="0" distB="0" distL="0" distR="0" wp14:anchorId="7FEA3174" wp14:editId="56782F7E">
            <wp:extent cx="6172200" cy="3219450"/>
            <wp:effectExtent l="0" t="0" r="0" b="0"/>
            <wp:docPr id="1020030043" name="Picture 102003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72200" cy="3219450"/>
                    </a:xfrm>
                    <a:prstGeom prst="rect">
                      <a:avLst/>
                    </a:prstGeom>
                  </pic:spPr>
                </pic:pic>
              </a:graphicData>
            </a:graphic>
          </wp:inline>
        </w:drawing>
      </w:r>
    </w:p>
    <w:p w14:paraId="439A9529" w14:textId="77777777" w:rsidR="00E33D27" w:rsidRDefault="00000000">
      <w:pPr>
        <w:spacing w:after="220" w:line="240" w:lineRule="auto"/>
        <w:jc w:val="center"/>
      </w:pPr>
      <w:r>
        <w:rPr>
          <w:i/>
          <w:iCs/>
          <w:color w:val="5A6270"/>
          <w:sz w:val="17"/>
          <w:szCs w:val="17"/>
        </w:rPr>
        <w:t>Figure 4.6  The negotiation architecture recommended in the session: two justified limits, then a zone of agreement.</w:t>
      </w:r>
    </w:p>
    <w:p w14:paraId="1C5931B8" w14:textId="77777777" w:rsidR="00E33D27" w:rsidRDefault="00000000">
      <w:pPr>
        <w:jc w:val="both"/>
      </w:pPr>
      <w:r>
        <w:t>The approach that often works is a disciplined exchange of justified limits. The seller sets an expectation as the upper limit of the IP’s value and states good reasons behind it. The buyer then sets an expectation for the offer, uses it as the lower limit, and provides clear justifications. What makes this work is not the numbers but the justifications: once both sides must argue, the conversation moves from posturing to evidence — comparable deals, the cost of independent development, the size of the market the IP unlocks, the remaining development risk, the availability of substitutes.</w:t>
      </w:r>
    </w:p>
    <w:p w14:paraId="24D521EF" w14:textId="77777777" w:rsidR="00E33D27" w:rsidRDefault="00000000">
      <w:pPr>
        <w:jc w:val="both"/>
      </w:pPr>
      <w:r>
        <w:t>It is a best practice to form a team on each side comprising business experts, legal professionals, and engineers and inventors. Each is there for a reason. The business people own the commercial case and the budget; the lawyers own risk allocation, warranties and enforceability; the engineers and inventors are the only people who can say what the technology actually does, what it does not do, and what it would cost a competitor to do without it. A negotiation run by lawyers alone converges on a low-risk agreement with no upside; run by business people alone it produces commitments that cannot be performed.</w:t>
      </w:r>
    </w:p>
    <w:p w14:paraId="1F83893F" w14:textId="77777777" w:rsidR="00E33D27" w:rsidRDefault="00000000">
      <w:pPr>
        <w:pStyle w:val="Heading3"/>
        <w:keepNext/>
      </w:pPr>
      <w:r>
        <w:t>Corporate versus academic licensing, USA and EU</w:t>
      </w:r>
    </w:p>
    <w:p w14:paraId="1434EAF0" w14:textId="77777777" w:rsidR="00E33D27" w:rsidRDefault="00000000">
      <w:pPr>
        <w:jc w:val="both"/>
      </w:pPr>
      <w:r>
        <w:t>In the USA, the process of licensing in the corporate world is not too different from the academic world as far as value assessment goes. The process may differ because of compliance and government regulations as well as other regulatory and boundary requirements — federal funding conditions, export controls, government march-in and government-use rights on federally funded inventions, and institutional conflict-of-interest rules. In the EU, by contrast, the process of licensing and the expectations in the academic world are quite different from those in the corporate world: the ownership regime in Section 4.3 makes the inventor a party with statutory rights rather than simply an employee, and institutional practice and national guidelines shape what a university may agree to.</w:t>
      </w:r>
    </w:p>
    <w:p w14:paraId="4D25C3BE" w14:textId="77777777" w:rsidR="00E33D27" w:rsidRDefault="00000000">
      <w:pPr>
        <w:keepNext/>
        <w:spacing w:before="60" w:after="80"/>
      </w:pPr>
      <w:r>
        <w:rPr>
          <w:b/>
          <w:bCs/>
          <w:color w:val="1F3864"/>
          <w:sz w:val="18"/>
          <w:szCs w:val="18"/>
        </w:rPr>
        <w:t>What is actually being negotiated</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300"/>
        <w:gridCol w:w="4000"/>
        <w:gridCol w:w="3780"/>
      </w:tblGrid>
      <w:tr w:rsidR="00E33D27" w14:paraId="1851C924" w14:textId="77777777">
        <w:tblPrEx>
          <w:tblCellMar>
            <w:top w:w="0" w:type="dxa"/>
            <w:bottom w:w="0" w:type="dxa"/>
          </w:tblCellMar>
        </w:tblPrEx>
        <w:trPr>
          <w:cantSplit/>
          <w:tblHeader/>
        </w:trPr>
        <w:tc>
          <w:tcPr>
            <w:tcW w:w="2300" w:type="dxa"/>
            <w:shd w:val="clear" w:color="auto" w:fill="1F3864"/>
            <w:tcMar>
              <w:top w:w="70" w:type="dxa"/>
              <w:left w:w="110" w:type="dxa"/>
              <w:bottom w:w="70" w:type="dxa"/>
              <w:right w:w="110" w:type="dxa"/>
            </w:tcMar>
            <w:vAlign w:val="center"/>
          </w:tcPr>
          <w:p w14:paraId="3CD31F99" w14:textId="77777777" w:rsidR="00E33D27" w:rsidRDefault="00000000">
            <w:pPr>
              <w:spacing w:before="40" w:after="40" w:line="250" w:lineRule="auto"/>
            </w:pPr>
            <w:r>
              <w:rPr>
                <w:b/>
                <w:bCs/>
                <w:color w:val="FFFFFF"/>
                <w:sz w:val="17"/>
                <w:szCs w:val="17"/>
              </w:rPr>
              <w:t>Term</w:t>
            </w:r>
          </w:p>
        </w:tc>
        <w:tc>
          <w:tcPr>
            <w:tcW w:w="4000" w:type="dxa"/>
            <w:shd w:val="clear" w:color="auto" w:fill="1F3864"/>
            <w:tcMar>
              <w:top w:w="70" w:type="dxa"/>
              <w:left w:w="110" w:type="dxa"/>
              <w:bottom w:w="70" w:type="dxa"/>
              <w:right w:w="110" w:type="dxa"/>
            </w:tcMar>
            <w:vAlign w:val="center"/>
          </w:tcPr>
          <w:p w14:paraId="0A7006AE" w14:textId="77777777" w:rsidR="00E33D27" w:rsidRDefault="00000000">
            <w:pPr>
              <w:spacing w:before="40" w:after="40" w:line="250" w:lineRule="auto"/>
            </w:pPr>
            <w:r>
              <w:rPr>
                <w:b/>
                <w:bCs/>
                <w:color w:val="FFFFFF"/>
                <w:sz w:val="17"/>
                <w:szCs w:val="17"/>
              </w:rPr>
              <w:t>What it does</w:t>
            </w:r>
          </w:p>
        </w:tc>
        <w:tc>
          <w:tcPr>
            <w:tcW w:w="3780" w:type="dxa"/>
            <w:shd w:val="clear" w:color="auto" w:fill="1F3864"/>
            <w:tcMar>
              <w:top w:w="70" w:type="dxa"/>
              <w:left w:w="110" w:type="dxa"/>
              <w:bottom w:w="70" w:type="dxa"/>
              <w:right w:w="110" w:type="dxa"/>
            </w:tcMar>
            <w:vAlign w:val="center"/>
          </w:tcPr>
          <w:p w14:paraId="06BCE960" w14:textId="77777777" w:rsidR="00E33D27" w:rsidRDefault="00000000">
            <w:pPr>
              <w:spacing w:before="40" w:after="40" w:line="250" w:lineRule="auto"/>
            </w:pPr>
            <w:r>
              <w:rPr>
                <w:b/>
                <w:bCs/>
                <w:color w:val="FFFFFF"/>
                <w:sz w:val="17"/>
                <w:szCs w:val="17"/>
              </w:rPr>
              <w:t>Where the value moves</w:t>
            </w:r>
          </w:p>
        </w:tc>
      </w:tr>
      <w:tr w:rsidR="00E33D27" w14:paraId="294A4512"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149E2593" w14:textId="77777777" w:rsidR="00E33D27" w:rsidRDefault="00000000">
            <w:pPr>
              <w:spacing w:before="40" w:after="40" w:line="250" w:lineRule="auto"/>
            </w:pPr>
            <w:r>
              <w:rPr>
                <w:b/>
                <w:bCs/>
                <w:sz w:val="16"/>
                <w:szCs w:val="16"/>
              </w:rPr>
              <w:t>Grant and exclusivity</w:t>
            </w:r>
          </w:p>
        </w:tc>
        <w:tc>
          <w:tcPr>
            <w:tcW w:w="4000" w:type="dxa"/>
            <w:shd w:val="clear" w:color="auto" w:fill="F3F4F6"/>
            <w:tcMar>
              <w:top w:w="70" w:type="dxa"/>
              <w:left w:w="110" w:type="dxa"/>
              <w:bottom w:w="70" w:type="dxa"/>
              <w:right w:w="110" w:type="dxa"/>
            </w:tcMar>
            <w:vAlign w:val="center"/>
          </w:tcPr>
          <w:p w14:paraId="1214346C" w14:textId="77777777" w:rsidR="00E33D27" w:rsidRDefault="00000000">
            <w:pPr>
              <w:spacing w:before="40" w:after="40" w:line="250" w:lineRule="auto"/>
            </w:pPr>
            <w:r>
              <w:rPr>
                <w:sz w:val="16"/>
                <w:szCs w:val="16"/>
              </w:rPr>
              <w:t>Exclusive, sole or non-exclusive; defines the licensed rights</w:t>
            </w:r>
          </w:p>
        </w:tc>
        <w:tc>
          <w:tcPr>
            <w:tcW w:w="3780" w:type="dxa"/>
            <w:shd w:val="clear" w:color="auto" w:fill="F3F4F6"/>
            <w:tcMar>
              <w:top w:w="70" w:type="dxa"/>
              <w:left w:w="110" w:type="dxa"/>
              <w:bottom w:w="70" w:type="dxa"/>
              <w:right w:w="110" w:type="dxa"/>
            </w:tcMar>
            <w:vAlign w:val="center"/>
          </w:tcPr>
          <w:p w14:paraId="2C2BD9AB" w14:textId="77777777" w:rsidR="00E33D27" w:rsidRDefault="00000000">
            <w:pPr>
              <w:spacing w:before="40" w:after="40" w:line="250" w:lineRule="auto"/>
            </w:pPr>
            <w:r>
              <w:rPr>
                <w:sz w:val="16"/>
                <w:szCs w:val="16"/>
              </w:rPr>
              <w:t>Exclusivity commands a premium but concentrates risk in one licensee's performance</w:t>
            </w:r>
          </w:p>
        </w:tc>
      </w:tr>
      <w:tr w:rsidR="00E33D27" w14:paraId="3A94B2D4"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2148961D" w14:textId="77777777" w:rsidR="00E33D27" w:rsidRDefault="00000000">
            <w:pPr>
              <w:spacing w:before="40" w:after="40" w:line="250" w:lineRule="auto"/>
            </w:pPr>
            <w:r>
              <w:rPr>
                <w:b/>
                <w:bCs/>
                <w:sz w:val="16"/>
                <w:szCs w:val="16"/>
              </w:rPr>
              <w:lastRenderedPageBreak/>
              <w:t>Field of use and territory</w:t>
            </w:r>
          </w:p>
        </w:tc>
        <w:tc>
          <w:tcPr>
            <w:tcW w:w="4000" w:type="dxa"/>
            <w:shd w:val="clear" w:color="auto" w:fill="FFFFFF"/>
            <w:tcMar>
              <w:top w:w="70" w:type="dxa"/>
              <w:left w:w="110" w:type="dxa"/>
              <w:bottom w:w="70" w:type="dxa"/>
              <w:right w:w="110" w:type="dxa"/>
            </w:tcMar>
            <w:vAlign w:val="center"/>
          </w:tcPr>
          <w:p w14:paraId="78B39074" w14:textId="77777777" w:rsidR="00E33D27" w:rsidRDefault="00000000">
            <w:pPr>
              <w:spacing w:before="40" w:after="40" w:line="250" w:lineRule="auto"/>
            </w:pPr>
            <w:r>
              <w:rPr>
                <w:sz w:val="16"/>
                <w:szCs w:val="16"/>
              </w:rPr>
              <w:t>Limits the licence to defined applications and countries</w:t>
            </w:r>
          </w:p>
        </w:tc>
        <w:tc>
          <w:tcPr>
            <w:tcW w:w="3780" w:type="dxa"/>
            <w:shd w:val="clear" w:color="auto" w:fill="FFFFFF"/>
            <w:tcMar>
              <w:top w:w="70" w:type="dxa"/>
              <w:left w:w="110" w:type="dxa"/>
              <w:bottom w:w="70" w:type="dxa"/>
              <w:right w:w="110" w:type="dxa"/>
            </w:tcMar>
            <w:vAlign w:val="center"/>
          </w:tcPr>
          <w:p w14:paraId="1BB99BA4" w14:textId="77777777" w:rsidR="00E33D27" w:rsidRDefault="00000000">
            <w:pPr>
              <w:spacing w:before="40" w:after="40" w:line="250" w:lineRule="auto"/>
            </w:pPr>
            <w:r>
              <w:rPr>
                <w:sz w:val="16"/>
                <w:szCs w:val="16"/>
              </w:rPr>
              <w:t>Lets the same IP be licensed many times without conflict</w:t>
            </w:r>
          </w:p>
        </w:tc>
      </w:tr>
      <w:tr w:rsidR="00E33D27" w14:paraId="46085FB1"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759D3718" w14:textId="77777777" w:rsidR="00E33D27" w:rsidRDefault="00000000">
            <w:pPr>
              <w:spacing w:before="40" w:after="40" w:line="250" w:lineRule="auto"/>
            </w:pPr>
            <w:r>
              <w:rPr>
                <w:b/>
                <w:bCs/>
                <w:sz w:val="16"/>
                <w:szCs w:val="16"/>
              </w:rPr>
              <w:t>Financial structure</w:t>
            </w:r>
          </w:p>
        </w:tc>
        <w:tc>
          <w:tcPr>
            <w:tcW w:w="4000" w:type="dxa"/>
            <w:shd w:val="clear" w:color="auto" w:fill="F3F4F6"/>
            <w:tcMar>
              <w:top w:w="70" w:type="dxa"/>
              <w:left w:w="110" w:type="dxa"/>
              <w:bottom w:w="70" w:type="dxa"/>
              <w:right w:w="110" w:type="dxa"/>
            </w:tcMar>
            <w:vAlign w:val="center"/>
          </w:tcPr>
          <w:p w14:paraId="2B5789E2" w14:textId="77777777" w:rsidR="00E33D27" w:rsidRDefault="00000000">
            <w:pPr>
              <w:spacing w:before="40" w:after="40" w:line="250" w:lineRule="auto"/>
            </w:pPr>
            <w:r>
              <w:rPr>
                <w:sz w:val="16"/>
                <w:szCs w:val="16"/>
              </w:rPr>
              <w:t>Upfront fee, milestones, running royalty, minimum annual royalties, equity</w:t>
            </w:r>
          </w:p>
        </w:tc>
        <w:tc>
          <w:tcPr>
            <w:tcW w:w="3780" w:type="dxa"/>
            <w:shd w:val="clear" w:color="auto" w:fill="F3F4F6"/>
            <w:tcMar>
              <w:top w:w="70" w:type="dxa"/>
              <w:left w:w="110" w:type="dxa"/>
              <w:bottom w:w="70" w:type="dxa"/>
              <w:right w:w="110" w:type="dxa"/>
            </w:tcMar>
            <w:vAlign w:val="center"/>
          </w:tcPr>
          <w:p w14:paraId="585167CF" w14:textId="77777777" w:rsidR="00E33D27" w:rsidRDefault="00000000">
            <w:pPr>
              <w:spacing w:before="40" w:after="40" w:line="250" w:lineRule="auto"/>
            </w:pPr>
            <w:r>
              <w:rPr>
                <w:sz w:val="16"/>
                <w:szCs w:val="16"/>
              </w:rPr>
              <w:t>Upfronts price certainty; milestones share risk; minimums stop a licensee sitting on the right</w:t>
            </w:r>
          </w:p>
        </w:tc>
      </w:tr>
      <w:tr w:rsidR="00E33D27" w14:paraId="54B5E880"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4A4BEDEE" w14:textId="77777777" w:rsidR="00E33D27" w:rsidRDefault="00000000">
            <w:pPr>
              <w:spacing w:before="40" w:after="40" w:line="250" w:lineRule="auto"/>
            </w:pPr>
            <w:r>
              <w:rPr>
                <w:b/>
                <w:bCs/>
                <w:sz w:val="16"/>
                <w:szCs w:val="16"/>
              </w:rPr>
              <w:t>Royalty base and rate</w:t>
            </w:r>
          </w:p>
        </w:tc>
        <w:tc>
          <w:tcPr>
            <w:tcW w:w="4000" w:type="dxa"/>
            <w:shd w:val="clear" w:color="auto" w:fill="FFFFFF"/>
            <w:tcMar>
              <w:top w:w="70" w:type="dxa"/>
              <w:left w:w="110" w:type="dxa"/>
              <w:bottom w:w="70" w:type="dxa"/>
              <w:right w:w="110" w:type="dxa"/>
            </w:tcMar>
            <w:vAlign w:val="center"/>
          </w:tcPr>
          <w:p w14:paraId="5DF39B20" w14:textId="77777777" w:rsidR="00E33D27" w:rsidRDefault="00000000">
            <w:pPr>
              <w:spacing w:before="40" w:after="40" w:line="250" w:lineRule="auto"/>
            </w:pPr>
            <w:r>
              <w:rPr>
                <w:sz w:val="16"/>
                <w:szCs w:val="16"/>
              </w:rPr>
              <w:t>The denominator the percentage applies to</w:t>
            </w:r>
          </w:p>
        </w:tc>
        <w:tc>
          <w:tcPr>
            <w:tcW w:w="3780" w:type="dxa"/>
            <w:shd w:val="clear" w:color="auto" w:fill="FFFFFF"/>
            <w:tcMar>
              <w:top w:w="70" w:type="dxa"/>
              <w:left w:w="110" w:type="dxa"/>
              <w:bottom w:w="70" w:type="dxa"/>
              <w:right w:w="110" w:type="dxa"/>
            </w:tcMar>
            <w:vAlign w:val="center"/>
          </w:tcPr>
          <w:p w14:paraId="65930865" w14:textId="77777777" w:rsidR="00E33D27" w:rsidRDefault="00000000">
            <w:pPr>
              <w:spacing w:before="40" w:after="40" w:line="250" w:lineRule="auto"/>
            </w:pPr>
            <w:r>
              <w:rPr>
                <w:sz w:val="16"/>
                <w:szCs w:val="16"/>
              </w:rPr>
              <w:t>The base matters as much as the rate — see Section 4.8</w:t>
            </w:r>
          </w:p>
        </w:tc>
      </w:tr>
      <w:tr w:rsidR="00E33D27" w14:paraId="6C133049"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61A56039" w14:textId="77777777" w:rsidR="00E33D27" w:rsidRDefault="00000000">
            <w:pPr>
              <w:spacing w:before="40" w:after="40" w:line="250" w:lineRule="auto"/>
            </w:pPr>
            <w:r>
              <w:rPr>
                <w:b/>
                <w:bCs/>
                <w:sz w:val="16"/>
                <w:szCs w:val="16"/>
              </w:rPr>
              <w:t>Diligence obligations</w:t>
            </w:r>
          </w:p>
        </w:tc>
        <w:tc>
          <w:tcPr>
            <w:tcW w:w="4000" w:type="dxa"/>
            <w:shd w:val="clear" w:color="auto" w:fill="F3F4F6"/>
            <w:tcMar>
              <w:top w:w="70" w:type="dxa"/>
              <w:left w:w="110" w:type="dxa"/>
              <w:bottom w:w="70" w:type="dxa"/>
              <w:right w:w="110" w:type="dxa"/>
            </w:tcMar>
            <w:vAlign w:val="center"/>
          </w:tcPr>
          <w:p w14:paraId="20694FDD" w14:textId="77777777" w:rsidR="00E33D27" w:rsidRDefault="00000000">
            <w:pPr>
              <w:spacing w:before="40" w:after="40" w:line="250" w:lineRule="auto"/>
            </w:pPr>
            <w:r>
              <w:rPr>
                <w:sz w:val="16"/>
                <w:szCs w:val="16"/>
              </w:rPr>
              <w:t>Milestones the licensee must actually meet</w:t>
            </w:r>
          </w:p>
        </w:tc>
        <w:tc>
          <w:tcPr>
            <w:tcW w:w="3780" w:type="dxa"/>
            <w:shd w:val="clear" w:color="auto" w:fill="F3F4F6"/>
            <w:tcMar>
              <w:top w:w="70" w:type="dxa"/>
              <w:left w:w="110" w:type="dxa"/>
              <w:bottom w:w="70" w:type="dxa"/>
              <w:right w:w="110" w:type="dxa"/>
            </w:tcMar>
            <w:vAlign w:val="center"/>
          </w:tcPr>
          <w:p w14:paraId="03298D02" w14:textId="77777777" w:rsidR="00E33D27" w:rsidRDefault="00000000">
            <w:pPr>
              <w:spacing w:before="40" w:after="40" w:line="250" w:lineRule="auto"/>
            </w:pPr>
            <w:r>
              <w:rPr>
                <w:sz w:val="16"/>
                <w:szCs w:val="16"/>
              </w:rPr>
              <w:t>The licensor's protection against a licence used to shelve a rival technology</w:t>
            </w:r>
          </w:p>
        </w:tc>
      </w:tr>
      <w:tr w:rsidR="00E33D27" w14:paraId="6236CDA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vAlign w:val="center"/>
          </w:tcPr>
          <w:p w14:paraId="373040F5" w14:textId="77777777" w:rsidR="00E33D27" w:rsidRDefault="00000000">
            <w:pPr>
              <w:spacing w:before="40" w:after="40" w:line="250" w:lineRule="auto"/>
            </w:pPr>
            <w:r>
              <w:rPr>
                <w:b/>
                <w:bCs/>
                <w:sz w:val="16"/>
                <w:szCs w:val="16"/>
              </w:rPr>
              <w:t>Reporting and audit</w:t>
            </w:r>
          </w:p>
        </w:tc>
        <w:tc>
          <w:tcPr>
            <w:tcW w:w="4000" w:type="dxa"/>
            <w:shd w:val="clear" w:color="auto" w:fill="FFFFFF"/>
            <w:tcMar>
              <w:top w:w="70" w:type="dxa"/>
              <w:left w:w="110" w:type="dxa"/>
              <w:bottom w:w="70" w:type="dxa"/>
              <w:right w:w="110" w:type="dxa"/>
            </w:tcMar>
            <w:vAlign w:val="center"/>
          </w:tcPr>
          <w:p w14:paraId="5138B8B7" w14:textId="77777777" w:rsidR="00E33D27" w:rsidRDefault="00000000">
            <w:pPr>
              <w:spacing w:before="40" w:after="40" w:line="250" w:lineRule="auto"/>
            </w:pPr>
            <w:r>
              <w:rPr>
                <w:sz w:val="16"/>
                <w:szCs w:val="16"/>
              </w:rPr>
              <w:t>Statements, records, audit rights, interest on shortfalls</w:t>
            </w:r>
          </w:p>
        </w:tc>
        <w:tc>
          <w:tcPr>
            <w:tcW w:w="3780" w:type="dxa"/>
            <w:shd w:val="clear" w:color="auto" w:fill="FFFFFF"/>
            <w:tcMar>
              <w:top w:w="70" w:type="dxa"/>
              <w:left w:w="110" w:type="dxa"/>
              <w:bottom w:w="70" w:type="dxa"/>
              <w:right w:w="110" w:type="dxa"/>
            </w:tcMar>
            <w:vAlign w:val="center"/>
          </w:tcPr>
          <w:p w14:paraId="081329CA" w14:textId="77777777" w:rsidR="00E33D27" w:rsidRDefault="00000000">
            <w:pPr>
              <w:spacing w:before="40" w:after="40" w:line="250" w:lineRule="auto"/>
            </w:pPr>
            <w:r>
              <w:rPr>
                <w:sz w:val="16"/>
                <w:szCs w:val="16"/>
              </w:rPr>
              <w:t>Unauditable royalties are uncollectable royalties</w:t>
            </w:r>
          </w:p>
        </w:tc>
      </w:tr>
      <w:tr w:rsidR="00E33D27" w14:paraId="14301B7A" w14:textId="77777777">
        <w:tblPrEx>
          <w:tblCellMar>
            <w:top w:w="0" w:type="dxa"/>
            <w:bottom w:w="0" w:type="dxa"/>
          </w:tblCellMar>
        </w:tblPrEx>
        <w:trPr>
          <w:cantSplit/>
        </w:trPr>
        <w:tc>
          <w:tcPr>
            <w:tcW w:w="2300" w:type="dxa"/>
            <w:shd w:val="clear" w:color="auto" w:fill="F3F4F6"/>
            <w:tcMar>
              <w:top w:w="70" w:type="dxa"/>
              <w:left w:w="110" w:type="dxa"/>
              <w:bottom w:w="70" w:type="dxa"/>
              <w:right w:w="110" w:type="dxa"/>
            </w:tcMar>
            <w:vAlign w:val="center"/>
          </w:tcPr>
          <w:p w14:paraId="6B7D2E87" w14:textId="77777777" w:rsidR="00E33D27" w:rsidRDefault="00000000">
            <w:pPr>
              <w:spacing w:before="40" w:after="40" w:line="250" w:lineRule="auto"/>
            </w:pPr>
            <w:r>
              <w:rPr>
                <w:b/>
                <w:bCs/>
                <w:sz w:val="16"/>
                <w:szCs w:val="16"/>
              </w:rPr>
              <w:t>Term and termination</w:t>
            </w:r>
          </w:p>
        </w:tc>
        <w:tc>
          <w:tcPr>
            <w:tcW w:w="4000" w:type="dxa"/>
            <w:shd w:val="clear" w:color="auto" w:fill="F3F4F6"/>
            <w:tcMar>
              <w:top w:w="70" w:type="dxa"/>
              <w:left w:w="110" w:type="dxa"/>
              <w:bottom w:w="70" w:type="dxa"/>
              <w:right w:w="110" w:type="dxa"/>
            </w:tcMar>
            <w:vAlign w:val="center"/>
          </w:tcPr>
          <w:p w14:paraId="3C6ED23A" w14:textId="77777777" w:rsidR="00E33D27" w:rsidRDefault="00000000">
            <w:pPr>
              <w:spacing w:before="40" w:after="40" w:line="250" w:lineRule="auto"/>
            </w:pPr>
            <w:r>
              <w:rPr>
                <w:sz w:val="16"/>
                <w:szCs w:val="16"/>
              </w:rPr>
              <w:t>Duration, breach, insolvency, change of control, reversion</w:t>
            </w:r>
          </w:p>
        </w:tc>
        <w:tc>
          <w:tcPr>
            <w:tcW w:w="3780" w:type="dxa"/>
            <w:shd w:val="clear" w:color="auto" w:fill="F3F4F6"/>
            <w:tcMar>
              <w:top w:w="70" w:type="dxa"/>
              <w:left w:w="110" w:type="dxa"/>
              <w:bottom w:w="70" w:type="dxa"/>
              <w:right w:w="110" w:type="dxa"/>
            </w:tcMar>
            <w:vAlign w:val="center"/>
          </w:tcPr>
          <w:p w14:paraId="0283C52E" w14:textId="77777777" w:rsidR="00E33D27" w:rsidRDefault="00000000">
            <w:pPr>
              <w:spacing w:before="40" w:after="40" w:line="250" w:lineRule="auto"/>
            </w:pPr>
            <w:r>
              <w:rPr>
                <w:sz w:val="16"/>
                <w:szCs w:val="16"/>
              </w:rPr>
              <w:t>Reversion is how a licensor recovers a stalled technology</w:t>
            </w:r>
          </w:p>
        </w:tc>
      </w:tr>
    </w:tbl>
    <w:p w14:paraId="149ADFC8" w14:textId="77777777" w:rsidR="00E33D27" w:rsidRDefault="00000000">
      <w:pPr>
        <w:spacing w:before="60" w:after="180"/>
      </w:pPr>
      <w:r>
        <w:rPr>
          <w:i/>
          <w:iCs/>
          <w:color w:val="5A6270"/>
          <w:sz w:val="16"/>
          <w:szCs w:val="16"/>
        </w:rPr>
        <w:t>Table 4.5  A licence is a bundle of decisions, not a price. Added to support the session's negotiation advice, which presupposes this structure.</w:t>
      </w:r>
    </w:p>
    <w:p w14:paraId="1487B893" w14:textId="77777777" w:rsidR="00E33D27" w:rsidRDefault="00000000">
      <w:pPr>
        <w:pStyle w:val="Heading2"/>
        <w:keepNext/>
      </w:pPr>
      <w:r>
        <w:t>4.8  Setting the number: the licensing-revenue thumb rule</w:t>
      </w:r>
    </w:p>
    <w:p w14:paraId="35C0ACBB" w14:textId="77777777" w:rsidR="00E33D27" w:rsidRDefault="00000000">
      <w:pPr>
        <w:jc w:val="both"/>
      </w:pPr>
      <w:r>
        <w:t>There is no magic formula, and every situation is different. But where the IP is associated with a product, a rule of thumb can be applied.</w:t>
      </w:r>
    </w:p>
    <w:p w14:paraId="3BAF46CB" w14:textId="77777777" w:rsidR="00E33D27" w:rsidRDefault="00000000">
      <w:pPr>
        <w:keepNext/>
        <w:spacing w:before="160" w:after="60" w:line="240" w:lineRule="auto"/>
        <w:jc w:val="center"/>
      </w:pPr>
      <w:r>
        <w:rPr>
          <w:noProof/>
        </w:rPr>
        <w:drawing>
          <wp:inline distT="0" distB="0" distL="0" distR="0" wp14:anchorId="5BC2D475" wp14:editId="5C5D649E">
            <wp:extent cx="6172200" cy="2752725"/>
            <wp:effectExtent l="0" t="0" r="0" b="0"/>
            <wp:docPr id="415845690" name="Picture 41584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72200" cy="2752725"/>
                    </a:xfrm>
                    <a:prstGeom prst="rect">
                      <a:avLst/>
                    </a:prstGeom>
                  </pic:spPr>
                </pic:pic>
              </a:graphicData>
            </a:graphic>
          </wp:inline>
        </w:drawing>
      </w:r>
    </w:p>
    <w:p w14:paraId="4E3BB0D0" w14:textId="77777777" w:rsidR="00E33D27" w:rsidRDefault="00000000">
      <w:pPr>
        <w:spacing w:after="220" w:line="240" w:lineRule="auto"/>
        <w:jc w:val="center"/>
      </w:pPr>
      <w:r>
        <w:rPr>
          <w:i/>
          <w:iCs/>
          <w:color w:val="5A6270"/>
          <w:sz w:val="17"/>
          <w:szCs w:val="17"/>
        </w:rPr>
        <w:t>Figure 4.7  The thumb rule, term by term.</w:t>
      </w:r>
    </w:p>
    <w:p w14:paraId="62FAF7F3" w14:textId="77777777" w:rsidR="00E33D27" w:rsidRDefault="00000000">
      <w:pPr>
        <w:jc w:val="both"/>
      </w:pPr>
      <w:r>
        <w:t>Annual licensing revenue equals the negotiated rate multiplied by the annual cost of the products after the factory, with the rate constrained to a band. ALR is the annual licensing revenue. LR is a negotiated percentage — the only genuinely negotiated variable in the expression. The lower limit of LR typically varies between 1 and 3, and the upper limit typically varies between 3 and 7. AAFC is the annual cost of products after the factory.</w:t>
      </w:r>
    </w:p>
    <w:p w14:paraId="5106FDB1" w14:textId="77777777" w:rsidR="00E33D27" w:rsidRDefault="00000000">
      <w:pPr>
        <w:jc w:val="both"/>
      </w:pPr>
      <w:r>
        <w:t>The choice of AAFC as the base is the sophisticated part of the rule and the part most often missed. AAFC is easy to track and to audit, and it deliberately does not add shipment cost or profit margin because of their variability. Freight moves with fuel and logistics markets; margins move with pricing strategy, discounting, channel mix and currency — none of which has anything to do with the licensed invention. Anchoring a royalty to a volatile base produces annual disputes; anchoring it to an auditable cost figure produces payments.</w:t>
      </w:r>
    </w:p>
    <w:p w14:paraId="143F5608" w14:textId="77777777" w:rsidR="00E33D27" w:rsidRDefault="00000000">
      <w:pPr>
        <w:keepNext/>
        <w:spacing w:before="60" w:after="80"/>
      </w:pPr>
      <w:r>
        <w:rPr>
          <w:b/>
          <w:bCs/>
          <w:color w:val="1F3864"/>
          <w:sz w:val="18"/>
          <w:szCs w:val="18"/>
        </w:rPr>
        <w:lastRenderedPageBreak/>
        <w:t>Worked example</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3400"/>
        <w:gridCol w:w="3340"/>
        <w:gridCol w:w="3340"/>
      </w:tblGrid>
      <w:tr w:rsidR="00E33D27" w14:paraId="28FD348F" w14:textId="77777777">
        <w:tblPrEx>
          <w:tblCellMar>
            <w:top w:w="0" w:type="dxa"/>
            <w:bottom w:w="0" w:type="dxa"/>
          </w:tblCellMar>
        </w:tblPrEx>
        <w:trPr>
          <w:cantSplit/>
          <w:tblHeader/>
        </w:trPr>
        <w:tc>
          <w:tcPr>
            <w:tcW w:w="3400" w:type="dxa"/>
            <w:shd w:val="clear" w:color="auto" w:fill="1F3864"/>
            <w:tcMar>
              <w:top w:w="70" w:type="dxa"/>
              <w:left w:w="110" w:type="dxa"/>
              <w:bottom w:w="70" w:type="dxa"/>
              <w:right w:w="110" w:type="dxa"/>
            </w:tcMar>
            <w:vAlign w:val="center"/>
          </w:tcPr>
          <w:p w14:paraId="5CD42581" w14:textId="77777777" w:rsidR="00E33D27" w:rsidRDefault="00000000">
            <w:pPr>
              <w:spacing w:before="40" w:after="40" w:line="250" w:lineRule="auto"/>
            </w:pPr>
            <w:r>
              <w:rPr>
                <w:b/>
                <w:bCs/>
                <w:color w:val="FFFFFF"/>
                <w:sz w:val="17"/>
                <w:szCs w:val="17"/>
              </w:rPr>
              <w:t>Input</w:t>
            </w:r>
          </w:p>
        </w:tc>
        <w:tc>
          <w:tcPr>
            <w:tcW w:w="3340" w:type="dxa"/>
            <w:shd w:val="clear" w:color="auto" w:fill="1F3864"/>
            <w:tcMar>
              <w:top w:w="70" w:type="dxa"/>
              <w:left w:w="110" w:type="dxa"/>
              <w:bottom w:w="70" w:type="dxa"/>
              <w:right w:w="110" w:type="dxa"/>
            </w:tcMar>
            <w:vAlign w:val="center"/>
          </w:tcPr>
          <w:p w14:paraId="51AFB355" w14:textId="77777777" w:rsidR="00E33D27" w:rsidRDefault="00000000">
            <w:pPr>
              <w:spacing w:before="40" w:after="40" w:line="250" w:lineRule="auto"/>
            </w:pPr>
            <w:r>
              <w:rPr>
                <w:b/>
                <w:bCs/>
                <w:color w:val="FFFFFF"/>
                <w:sz w:val="17"/>
                <w:szCs w:val="17"/>
              </w:rPr>
              <w:t>Conservative case</w:t>
            </w:r>
          </w:p>
        </w:tc>
        <w:tc>
          <w:tcPr>
            <w:tcW w:w="3340" w:type="dxa"/>
            <w:shd w:val="clear" w:color="auto" w:fill="1F3864"/>
            <w:tcMar>
              <w:top w:w="70" w:type="dxa"/>
              <w:left w:w="110" w:type="dxa"/>
              <w:bottom w:w="70" w:type="dxa"/>
              <w:right w:w="110" w:type="dxa"/>
            </w:tcMar>
            <w:vAlign w:val="center"/>
          </w:tcPr>
          <w:p w14:paraId="5C7FAC2D" w14:textId="77777777" w:rsidR="00E33D27" w:rsidRDefault="00000000">
            <w:pPr>
              <w:spacing w:before="40" w:after="40" w:line="250" w:lineRule="auto"/>
            </w:pPr>
            <w:r>
              <w:rPr>
                <w:b/>
                <w:bCs/>
                <w:color w:val="FFFFFF"/>
                <w:sz w:val="17"/>
                <w:szCs w:val="17"/>
              </w:rPr>
              <w:t>Aggressive case</w:t>
            </w:r>
          </w:p>
        </w:tc>
      </w:tr>
      <w:tr w:rsidR="00E33D27" w14:paraId="377C894B" w14:textId="77777777">
        <w:tblPrEx>
          <w:tblCellMar>
            <w:top w:w="0" w:type="dxa"/>
            <w:bottom w:w="0" w:type="dxa"/>
          </w:tblCellMar>
        </w:tblPrEx>
        <w:trPr>
          <w:cantSplit/>
        </w:trPr>
        <w:tc>
          <w:tcPr>
            <w:tcW w:w="3400" w:type="dxa"/>
            <w:shd w:val="clear" w:color="auto" w:fill="F3F4F6"/>
            <w:tcMar>
              <w:top w:w="70" w:type="dxa"/>
              <w:left w:w="110" w:type="dxa"/>
              <w:bottom w:w="70" w:type="dxa"/>
              <w:right w:w="110" w:type="dxa"/>
            </w:tcMar>
            <w:vAlign w:val="center"/>
          </w:tcPr>
          <w:p w14:paraId="14D60F3E" w14:textId="77777777" w:rsidR="00E33D27" w:rsidRDefault="00000000">
            <w:pPr>
              <w:spacing w:before="40" w:after="40" w:line="250" w:lineRule="auto"/>
            </w:pPr>
            <w:r>
              <w:rPr>
                <w:b/>
                <w:bCs/>
                <w:sz w:val="17"/>
                <w:szCs w:val="17"/>
              </w:rPr>
              <w:t>Units sold per year</w:t>
            </w:r>
          </w:p>
        </w:tc>
        <w:tc>
          <w:tcPr>
            <w:tcW w:w="3340" w:type="dxa"/>
            <w:shd w:val="clear" w:color="auto" w:fill="F3F4F6"/>
            <w:tcMar>
              <w:top w:w="70" w:type="dxa"/>
              <w:left w:w="110" w:type="dxa"/>
              <w:bottom w:w="70" w:type="dxa"/>
              <w:right w:w="110" w:type="dxa"/>
            </w:tcMar>
            <w:vAlign w:val="center"/>
          </w:tcPr>
          <w:p w14:paraId="73138753" w14:textId="77777777" w:rsidR="00E33D27" w:rsidRDefault="00000000">
            <w:pPr>
              <w:spacing w:before="40" w:after="40" w:line="250" w:lineRule="auto"/>
              <w:jc w:val="center"/>
            </w:pPr>
            <w:r>
              <w:rPr>
                <w:sz w:val="17"/>
                <w:szCs w:val="17"/>
              </w:rPr>
              <w:t>400,000</w:t>
            </w:r>
          </w:p>
        </w:tc>
        <w:tc>
          <w:tcPr>
            <w:tcW w:w="3340" w:type="dxa"/>
            <w:shd w:val="clear" w:color="auto" w:fill="F3F4F6"/>
            <w:tcMar>
              <w:top w:w="70" w:type="dxa"/>
              <w:left w:w="110" w:type="dxa"/>
              <w:bottom w:w="70" w:type="dxa"/>
              <w:right w:w="110" w:type="dxa"/>
            </w:tcMar>
            <w:vAlign w:val="center"/>
          </w:tcPr>
          <w:p w14:paraId="4F3B7822" w14:textId="77777777" w:rsidR="00E33D27" w:rsidRDefault="00000000">
            <w:pPr>
              <w:spacing w:before="40" w:after="40" w:line="250" w:lineRule="auto"/>
              <w:jc w:val="center"/>
            </w:pPr>
            <w:r>
              <w:rPr>
                <w:sz w:val="17"/>
                <w:szCs w:val="17"/>
              </w:rPr>
              <w:t>400,000</w:t>
            </w:r>
          </w:p>
        </w:tc>
      </w:tr>
      <w:tr w:rsidR="00E33D27" w14:paraId="2FB0BF46"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vAlign w:val="center"/>
          </w:tcPr>
          <w:p w14:paraId="3FABCD06" w14:textId="77777777" w:rsidR="00E33D27" w:rsidRDefault="00000000">
            <w:pPr>
              <w:spacing w:before="40" w:after="40" w:line="250" w:lineRule="auto"/>
            </w:pPr>
            <w:r>
              <w:rPr>
                <w:b/>
                <w:bCs/>
                <w:sz w:val="17"/>
                <w:szCs w:val="17"/>
              </w:rPr>
              <w:t>Ex-factory cost per unit</w:t>
            </w:r>
          </w:p>
        </w:tc>
        <w:tc>
          <w:tcPr>
            <w:tcW w:w="3340" w:type="dxa"/>
            <w:shd w:val="clear" w:color="auto" w:fill="FFFFFF"/>
            <w:tcMar>
              <w:top w:w="70" w:type="dxa"/>
              <w:left w:w="110" w:type="dxa"/>
              <w:bottom w:w="70" w:type="dxa"/>
              <w:right w:w="110" w:type="dxa"/>
            </w:tcMar>
            <w:vAlign w:val="center"/>
          </w:tcPr>
          <w:p w14:paraId="3CE543A9" w14:textId="77777777" w:rsidR="00E33D27" w:rsidRDefault="00000000">
            <w:pPr>
              <w:spacing w:before="40" w:after="40" w:line="250" w:lineRule="auto"/>
              <w:jc w:val="center"/>
            </w:pPr>
            <w:r>
              <w:rPr>
                <w:sz w:val="17"/>
                <w:szCs w:val="17"/>
              </w:rPr>
              <w:t>USD 25</w:t>
            </w:r>
          </w:p>
        </w:tc>
        <w:tc>
          <w:tcPr>
            <w:tcW w:w="3340" w:type="dxa"/>
            <w:shd w:val="clear" w:color="auto" w:fill="FFFFFF"/>
            <w:tcMar>
              <w:top w:w="70" w:type="dxa"/>
              <w:left w:w="110" w:type="dxa"/>
              <w:bottom w:w="70" w:type="dxa"/>
              <w:right w:w="110" w:type="dxa"/>
            </w:tcMar>
            <w:vAlign w:val="center"/>
          </w:tcPr>
          <w:p w14:paraId="42617420" w14:textId="77777777" w:rsidR="00E33D27" w:rsidRDefault="00000000">
            <w:pPr>
              <w:spacing w:before="40" w:after="40" w:line="250" w:lineRule="auto"/>
              <w:jc w:val="center"/>
            </w:pPr>
            <w:r>
              <w:rPr>
                <w:sz w:val="17"/>
                <w:szCs w:val="17"/>
              </w:rPr>
              <w:t>USD 25</w:t>
            </w:r>
          </w:p>
        </w:tc>
      </w:tr>
      <w:tr w:rsidR="00E33D27" w14:paraId="3DA53FAB" w14:textId="77777777">
        <w:tblPrEx>
          <w:tblCellMar>
            <w:top w:w="0" w:type="dxa"/>
            <w:bottom w:w="0" w:type="dxa"/>
          </w:tblCellMar>
        </w:tblPrEx>
        <w:trPr>
          <w:cantSplit/>
        </w:trPr>
        <w:tc>
          <w:tcPr>
            <w:tcW w:w="3400" w:type="dxa"/>
            <w:shd w:val="clear" w:color="auto" w:fill="F3F4F6"/>
            <w:tcMar>
              <w:top w:w="70" w:type="dxa"/>
              <w:left w:w="110" w:type="dxa"/>
              <w:bottom w:w="70" w:type="dxa"/>
              <w:right w:w="110" w:type="dxa"/>
            </w:tcMar>
            <w:vAlign w:val="center"/>
          </w:tcPr>
          <w:p w14:paraId="2AA6BD7E" w14:textId="77777777" w:rsidR="00E33D27" w:rsidRDefault="00000000">
            <w:pPr>
              <w:spacing w:before="40" w:after="40" w:line="250" w:lineRule="auto"/>
            </w:pPr>
            <w:r>
              <w:rPr>
                <w:b/>
                <w:bCs/>
                <w:sz w:val="17"/>
                <w:szCs w:val="17"/>
              </w:rPr>
              <w:t>AAFC (annual cost after factory)</w:t>
            </w:r>
          </w:p>
        </w:tc>
        <w:tc>
          <w:tcPr>
            <w:tcW w:w="3340" w:type="dxa"/>
            <w:shd w:val="clear" w:color="auto" w:fill="F3F4F6"/>
            <w:tcMar>
              <w:top w:w="70" w:type="dxa"/>
              <w:left w:w="110" w:type="dxa"/>
              <w:bottom w:w="70" w:type="dxa"/>
              <w:right w:w="110" w:type="dxa"/>
            </w:tcMar>
            <w:vAlign w:val="center"/>
          </w:tcPr>
          <w:p w14:paraId="59C0552D" w14:textId="77777777" w:rsidR="00E33D27" w:rsidRDefault="00000000">
            <w:pPr>
              <w:spacing w:before="40" w:after="40" w:line="250" w:lineRule="auto"/>
              <w:jc w:val="center"/>
            </w:pPr>
            <w:r>
              <w:rPr>
                <w:sz w:val="17"/>
                <w:szCs w:val="17"/>
              </w:rPr>
              <w:t>USD 10,000,000</w:t>
            </w:r>
          </w:p>
        </w:tc>
        <w:tc>
          <w:tcPr>
            <w:tcW w:w="3340" w:type="dxa"/>
            <w:shd w:val="clear" w:color="auto" w:fill="F3F4F6"/>
            <w:tcMar>
              <w:top w:w="70" w:type="dxa"/>
              <w:left w:w="110" w:type="dxa"/>
              <w:bottom w:w="70" w:type="dxa"/>
              <w:right w:w="110" w:type="dxa"/>
            </w:tcMar>
            <w:vAlign w:val="center"/>
          </w:tcPr>
          <w:p w14:paraId="42908759" w14:textId="77777777" w:rsidR="00E33D27" w:rsidRDefault="00000000">
            <w:pPr>
              <w:spacing w:before="40" w:after="40" w:line="250" w:lineRule="auto"/>
              <w:jc w:val="center"/>
            </w:pPr>
            <w:r>
              <w:rPr>
                <w:sz w:val="17"/>
                <w:szCs w:val="17"/>
              </w:rPr>
              <w:t>USD 10,000,000</w:t>
            </w:r>
          </w:p>
        </w:tc>
      </w:tr>
      <w:tr w:rsidR="00E33D27" w14:paraId="183ACBC3"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vAlign w:val="center"/>
          </w:tcPr>
          <w:p w14:paraId="078850E7" w14:textId="77777777" w:rsidR="00E33D27" w:rsidRDefault="00000000">
            <w:pPr>
              <w:spacing w:before="40" w:after="40" w:line="250" w:lineRule="auto"/>
            </w:pPr>
            <w:r>
              <w:rPr>
                <w:b/>
                <w:bCs/>
                <w:sz w:val="17"/>
                <w:szCs w:val="17"/>
              </w:rPr>
              <w:t>Negotiated LR</w:t>
            </w:r>
          </w:p>
        </w:tc>
        <w:tc>
          <w:tcPr>
            <w:tcW w:w="3340" w:type="dxa"/>
            <w:shd w:val="clear" w:color="auto" w:fill="FFFFFF"/>
            <w:tcMar>
              <w:top w:w="70" w:type="dxa"/>
              <w:left w:w="110" w:type="dxa"/>
              <w:bottom w:w="70" w:type="dxa"/>
              <w:right w:w="110" w:type="dxa"/>
            </w:tcMar>
            <w:vAlign w:val="center"/>
          </w:tcPr>
          <w:p w14:paraId="13944FDD" w14:textId="77777777" w:rsidR="00E33D27" w:rsidRDefault="00000000">
            <w:pPr>
              <w:spacing w:before="40" w:after="40" w:line="250" w:lineRule="auto"/>
              <w:jc w:val="center"/>
            </w:pPr>
            <w:r>
              <w:rPr>
                <w:sz w:val="17"/>
                <w:szCs w:val="17"/>
              </w:rPr>
              <w:t>1.5% (near the lower band)</w:t>
            </w:r>
          </w:p>
        </w:tc>
        <w:tc>
          <w:tcPr>
            <w:tcW w:w="3340" w:type="dxa"/>
            <w:shd w:val="clear" w:color="auto" w:fill="FFFFFF"/>
            <w:tcMar>
              <w:top w:w="70" w:type="dxa"/>
              <w:left w:w="110" w:type="dxa"/>
              <w:bottom w:w="70" w:type="dxa"/>
              <w:right w:w="110" w:type="dxa"/>
            </w:tcMar>
            <w:vAlign w:val="center"/>
          </w:tcPr>
          <w:p w14:paraId="3BC88FA0" w14:textId="77777777" w:rsidR="00E33D27" w:rsidRDefault="00000000">
            <w:pPr>
              <w:spacing w:before="40" w:after="40" w:line="250" w:lineRule="auto"/>
              <w:jc w:val="center"/>
            </w:pPr>
            <w:r>
              <w:rPr>
                <w:sz w:val="17"/>
                <w:szCs w:val="17"/>
              </w:rPr>
              <w:t>6% (near the upper band)</w:t>
            </w:r>
          </w:p>
        </w:tc>
      </w:tr>
      <w:tr w:rsidR="00E33D27" w14:paraId="38F3F6F7" w14:textId="77777777">
        <w:tblPrEx>
          <w:tblCellMar>
            <w:top w:w="0" w:type="dxa"/>
            <w:bottom w:w="0" w:type="dxa"/>
          </w:tblCellMar>
        </w:tblPrEx>
        <w:trPr>
          <w:cantSplit/>
        </w:trPr>
        <w:tc>
          <w:tcPr>
            <w:tcW w:w="3400" w:type="dxa"/>
            <w:shd w:val="clear" w:color="auto" w:fill="F3F4F6"/>
            <w:tcMar>
              <w:top w:w="70" w:type="dxa"/>
              <w:left w:w="110" w:type="dxa"/>
              <w:bottom w:w="70" w:type="dxa"/>
              <w:right w:w="110" w:type="dxa"/>
            </w:tcMar>
            <w:vAlign w:val="center"/>
          </w:tcPr>
          <w:p w14:paraId="22A7BB21" w14:textId="77777777" w:rsidR="00E33D27" w:rsidRDefault="00000000">
            <w:pPr>
              <w:spacing w:before="40" w:after="40" w:line="250" w:lineRule="auto"/>
            </w:pPr>
            <w:r>
              <w:rPr>
                <w:b/>
                <w:bCs/>
                <w:sz w:val="17"/>
                <w:szCs w:val="17"/>
              </w:rPr>
              <w:t>ALR — annual licensing revenue</w:t>
            </w:r>
          </w:p>
        </w:tc>
        <w:tc>
          <w:tcPr>
            <w:tcW w:w="3340" w:type="dxa"/>
            <w:shd w:val="clear" w:color="auto" w:fill="F3F4F6"/>
            <w:tcMar>
              <w:top w:w="70" w:type="dxa"/>
              <w:left w:w="110" w:type="dxa"/>
              <w:bottom w:w="70" w:type="dxa"/>
              <w:right w:w="110" w:type="dxa"/>
            </w:tcMar>
            <w:vAlign w:val="center"/>
          </w:tcPr>
          <w:p w14:paraId="17C298D0" w14:textId="77777777" w:rsidR="00E33D27" w:rsidRDefault="00000000">
            <w:pPr>
              <w:spacing w:before="40" w:after="40" w:line="250" w:lineRule="auto"/>
              <w:jc w:val="center"/>
            </w:pPr>
            <w:r>
              <w:rPr>
                <w:sz w:val="17"/>
                <w:szCs w:val="17"/>
              </w:rPr>
              <w:t>USD 150,000</w:t>
            </w:r>
          </w:p>
        </w:tc>
        <w:tc>
          <w:tcPr>
            <w:tcW w:w="3340" w:type="dxa"/>
            <w:shd w:val="clear" w:color="auto" w:fill="F3F4F6"/>
            <w:tcMar>
              <w:top w:w="70" w:type="dxa"/>
              <w:left w:w="110" w:type="dxa"/>
              <w:bottom w:w="70" w:type="dxa"/>
              <w:right w:w="110" w:type="dxa"/>
            </w:tcMar>
            <w:vAlign w:val="center"/>
          </w:tcPr>
          <w:p w14:paraId="1F6D2367" w14:textId="77777777" w:rsidR="00E33D27" w:rsidRDefault="00000000">
            <w:pPr>
              <w:spacing w:before="40" w:after="40" w:line="250" w:lineRule="auto"/>
              <w:jc w:val="center"/>
            </w:pPr>
            <w:r>
              <w:rPr>
                <w:sz w:val="17"/>
                <w:szCs w:val="17"/>
              </w:rPr>
              <w:t>USD 600,000</w:t>
            </w:r>
          </w:p>
        </w:tc>
      </w:tr>
    </w:tbl>
    <w:p w14:paraId="025645B0" w14:textId="77777777" w:rsidR="00E33D27" w:rsidRDefault="00000000">
      <w:pPr>
        <w:spacing w:before="60" w:after="180"/>
      </w:pPr>
      <w:r>
        <w:rPr>
          <w:i/>
          <w:iCs/>
          <w:color w:val="5A6270"/>
          <w:sz w:val="16"/>
          <w:szCs w:val="16"/>
        </w:rPr>
        <w:t>Table 4.6  Same product, same base; a fourfold difference in revenue driven entirely by where LR lands in the band. This is why the justification exchange in Section 4.7 is worth doing properly.</w:t>
      </w:r>
    </w:p>
    <w:p w14:paraId="42BC3041" w14:textId="77777777" w:rsidR="00E33D27" w:rsidRDefault="00000000">
      <w:pPr>
        <w:pStyle w:val="Heading1"/>
        <w:pageBreakBefore/>
        <w:pBdr>
          <w:bottom w:val="single" w:sz="10" w:space="6" w:color="1F3864"/>
        </w:pBdr>
      </w:pPr>
      <w:r>
        <w:lastRenderedPageBreak/>
        <w:t>5  Academic and Public-Sector Commercialization</w:t>
      </w:r>
    </w:p>
    <w:p w14:paraId="4893F3C0" w14:textId="77777777" w:rsidR="00E33D27" w:rsidRDefault="00000000">
      <w:pPr>
        <w:spacing w:after="200"/>
        <w:jc w:val="both"/>
      </w:pPr>
      <w:r>
        <w:rPr>
          <w:i/>
          <w:iCs/>
        </w:rPr>
        <w:t>Universities and public research organisations produce inventions but do not manufacture. Everything they commercialize must travel through somebody else, which makes the legal foundation, the filing sequence and valuation the whole of their practice.</w:t>
      </w:r>
    </w:p>
    <w:p w14:paraId="6EFAD7D3" w14:textId="77777777" w:rsidR="00E33D27" w:rsidRDefault="00000000">
      <w:pPr>
        <w:pStyle w:val="Heading2"/>
        <w:keepNext/>
      </w:pPr>
      <w:r>
        <w:t>5.1  The legal foundation: the Bayh–Dole Act of 1980</w:t>
      </w:r>
    </w:p>
    <w:p w14:paraId="2836BA02" w14:textId="77777777" w:rsidR="00E33D27" w:rsidRDefault="00000000">
      <w:pPr>
        <w:jc w:val="both"/>
      </w:pPr>
      <w:r>
        <w:t>Enacted as Public Law 96-517 and codified at 35 U.S.C. §§ 200–212, the Act was Congress’s response to the poor commercialization record of federally funded technology.</w:t>
      </w:r>
    </w:p>
    <w:p w14:paraId="568A980C" w14:textId="77777777" w:rsidR="00E33D27" w:rsidRDefault="00000000">
      <w:pPr>
        <w:pStyle w:val="ListParagraph"/>
        <w:numPr>
          <w:ilvl w:val="0"/>
          <w:numId w:val="2"/>
        </w:numPr>
        <w:spacing w:after="70" w:line="272" w:lineRule="auto"/>
      </w:pPr>
      <w:r>
        <w:t>It awards title to inventions made with federal support to the contractor, where that contractor is a small business, a university or another nonprofit institution.</w:t>
      </w:r>
    </w:p>
    <w:p w14:paraId="1DF7DC7A" w14:textId="77777777" w:rsidR="00E33D27" w:rsidRDefault="00000000">
      <w:pPr>
        <w:pStyle w:val="ListParagraph"/>
        <w:numPr>
          <w:ilvl w:val="0"/>
          <w:numId w:val="2"/>
        </w:numPr>
        <w:spacing w:after="70" w:line="272" w:lineRule="auto"/>
      </w:pPr>
      <w:r>
        <w:t>A subsequent presidential memorandum extended the same policy to all federal government contractors, creating a uniform national rule.</w:t>
      </w:r>
    </w:p>
    <w:p w14:paraId="48D1FF2C" w14:textId="77777777" w:rsidR="00E33D27" w:rsidRDefault="00000000">
      <w:pPr>
        <w:pStyle w:val="ListParagraph"/>
        <w:numPr>
          <w:ilvl w:val="0"/>
          <w:numId w:val="2"/>
        </w:numPr>
        <w:spacing w:after="70" w:line="272" w:lineRule="auto"/>
      </w:pPr>
      <w:r>
        <w:t>The contractor may therefore obtain and own a patent — which supplies the exclusivity a private partner needs to justify development investment.</w:t>
      </w:r>
    </w:p>
    <w:p w14:paraId="3B37266F" w14:textId="77777777" w:rsidR="00E33D27" w:rsidRDefault="00000000">
      <w:pPr>
        <w:pStyle w:val="ListParagraph"/>
        <w:numPr>
          <w:ilvl w:val="0"/>
          <w:numId w:val="2"/>
        </w:numPr>
        <w:spacing w:after="70" w:line="272" w:lineRule="auto"/>
      </w:pPr>
      <w:r>
        <w:t>Prior to the Act there was no uniform patent policy across funding agencies, and the default rule vested ownership in the government itself.</w:t>
      </w:r>
    </w:p>
    <w:p w14:paraId="4DCA35EF" w14:textId="77777777" w:rsidR="00E33D27" w:rsidRDefault="00000000">
      <w:pPr>
        <w:jc w:val="both"/>
      </w:pPr>
      <w:r>
        <w:t>The mechanism deserves a sentence of interpretation, because the Act is often described as a subsidy and is not one. Before 1980, federally funded inventions generally stayed with the government, which licensed them non-exclusively or not at all. A company asked to invest tens of millions in developing a technology that any competitor could equally license had no reason to do so, and the result was a large stock of unused government-owned patents. Bayh–Dole did not create money; it created assignable, exclusive rights, and thereby created a counterparty that could be negotiated with. The general lesson: exclusivity is less a reward for the inventor than an instrument for attracting the downstream investment without which nothing reaches a patient or a customer.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332E7AD"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6183E1D9" w14:textId="77777777" w:rsidR="00E33D27" w:rsidRDefault="00000000">
            <w:pPr>
              <w:spacing w:after="80"/>
            </w:pPr>
            <w:r>
              <w:rPr>
                <w:b/>
                <w:bCs/>
                <w:color w:val="1F3864"/>
                <w:sz w:val="19"/>
                <w:szCs w:val="19"/>
              </w:rPr>
              <w:t>Seminar question — and how to answer it</w:t>
            </w:r>
          </w:p>
          <w:p w14:paraId="1B7C1B60" w14:textId="77777777" w:rsidR="00E33D27" w:rsidRDefault="00000000">
            <w:pPr>
              <w:spacing w:after="70" w:line="265" w:lineRule="auto"/>
              <w:jc w:val="both"/>
            </w:pPr>
            <w:r>
              <w:rPr>
                <w:sz w:val="18"/>
                <w:szCs w:val="18"/>
              </w:rPr>
              <w:t>Is the Act’s success best measured by licensing income, by products delivered, or by the counterfactual rate of non-commercialization it displaced? A good answer refuses the first and takes the third seriously. Licensing income is the weakest measure: dominated by a handful of blockbuster molecules, highly skewed, and it rewards extracting cash rather than getting technology used. Products delivered is better, because it measures the public purpose in the constitutional clause, but it under-counts platform technologies, research tools and know-how transferred through people. The counterfactual is analytically correct and hardest to observe: how many of these technologies would have reached the market anyway through publication, consulting or faculty start-ups? The honest position is that Bayh–Dole demonstrably created an institutional apparatus — technology transfer offices, a licensing profession, a norm of university patenting — and that its marginal effect on outcomes remains contested.</w:t>
            </w:r>
          </w:p>
        </w:tc>
      </w:tr>
    </w:tbl>
    <w:p w14:paraId="52EE9B5B" w14:textId="77777777" w:rsidR="00E33D27" w:rsidRDefault="00E33D27">
      <w:pPr>
        <w:spacing w:after="160"/>
      </w:pPr>
    </w:p>
    <w:p w14:paraId="26CAE527" w14:textId="77777777" w:rsidR="00E33D27" w:rsidRDefault="00000000">
      <w:pPr>
        <w:pStyle w:val="Heading2"/>
        <w:keepNext/>
      </w:pPr>
      <w:r>
        <w:t>5.2  The system in aggregate</w:t>
      </w:r>
    </w:p>
    <w:p w14:paraId="50C5D3A5" w14:textId="77777777" w:rsidR="00E33D27" w:rsidRDefault="00000000">
      <w:pPr>
        <w:jc w:val="both"/>
      </w:pPr>
      <w:r>
        <w:t>United States academic technology transfer is a measurable, benchmarked activity. The AUTM Licensing Activity Survey has tracked it annually for more than thirty years, with figures self-reported by participating institutions.</w:t>
      </w:r>
    </w:p>
    <w:p w14:paraId="50554FE9" w14:textId="77777777" w:rsidR="00E33D27" w:rsidRDefault="00000000">
      <w:pPr>
        <w:keepNext/>
        <w:spacing w:before="160" w:after="60" w:line="240" w:lineRule="auto"/>
        <w:jc w:val="center"/>
      </w:pPr>
      <w:r>
        <w:rPr>
          <w:noProof/>
        </w:rPr>
        <w:lastRenderedPageBreak/>
        <w:drawing>
          <wp:inline distT="0" distB="0" distL="0" distR="0" wp14:anchorId="05E9F29E" wp14:editId="7B0D5C7B">
            <wp:extent cx="6172200" cy="3009900"/>
            <wp:effectExtent l="0" t="0" r="0" b="0"/>
            <wp:docPr id="41401158" name="Picture 4140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72200" cy="3009900"/>
                    </a:xfrm>
                    <a:prstGeom prst="rect">
                      <a:avLst/>
                    </a:prstGeom>
                  </pic:spPr>
                </pic:pic>
              </a:graphicData>
            </a:graphic>
          </wp:inline>
        </w:drawing>
      </w:r>
    </w:p>
    <w:p w14:paraId="73E777DB" w14:textId="77777777" w:rsidR="00E33D27" w:rsidRDefault="00000000">
      <w:pPr>
        <w:spacing w:after="220" w:line="240" w:lineRule="auto"/>
        <w:jc w:val="center"/>
      </w:pPr>
      <w:r>
        <w:rPr>
          <w:i/>
          <w:iCs/>
          <w:color w:val="5A6270"/>
          <w:sz w:val="17"/>
          <w:szCs w:val="17"/>
        </w:rPr>
        <w:t>Figure 5.1  The academic commercialization funnel, 2023 reporting year. Source: AUTM 2023 U.S. Licensing Activity Survey.</w:t>
      </w:r>
    </w:p>
    <w:p w14:paraId="11EE0113" w14:textId="77777777" w:rsidR="00E33D27" w:rsidRDefault="00000000">
      <w:pPr>
        <w:jc w:val="both"/>
      </w:pPr>
      <w:r>
        <w:t>Two readings are worth carrying. The optimistic one: a hundred billion dollars of research produced over seven hundred new products and billions of dollars of licence income in a single year, plus thousands of operating start-ups. The sober one: USD 3.6 billion of licence income against USD 104 billion of research spend is a ratio of about 3.5%, and income fell from its 2022 peak of USD 3.8 billion. Academic licensing is not a revenue strategy for a university; it is a public-mission strategy with a revenue by-product, and institutions that run it as a profit centre tend to over-price early-stage licences and lose the deal. Note also the funnel shape: the same survey reports roughly 3,000 patent licences executed, so disclosures outnumber licences by about eight to one.</w:t>
      </w:r>
    </w:p>
    <w:p w14:paraId="72ABFAC2" w14:textId="77777777" w:rsidR="00E33D27" w:rsidRDefault="00000000">
      <w:pPr>
        <w:pStyle w:val="Heading2"/>
        <w:keepNext/>
      </w:pPr>
      <w:r>
        <w:t>5.3  Patent strategy I: the filing sequence</w:t>
      </w:r>
    </w:p>
    <w:p w14:paraId="4ABFE1E8" w14:textId="77777777" w:rsidR="00E33D27" w:rsidRDefault="00000000">
      <w:pPr>
        <w:jc w:val="both"/>
      </w:pPr>
      <w:r>
        <w:t>A university cannot afford to file everywhere on everything, and it usually does not yet know who the licensee will be. The standard filing sequence exists to buy time and defer cost while keeping the priority date.</w:t>
      </w:r>
    </w:p>
    <w:p w14:paraId="3E4A5DD1" w14:textId="77777777" w:rsidR="00E33D27" w:rsidRDefault="00000000">
      <w:pPr>
        <w:keepNext/>
        <w:spacing w:before="160" w:after="60" w:line="240" w:lineRule="auto"/>
        <w:jc w:val="center"/>
      </w:pPr>
      <w:r>
        <w:rPr>
          <w:noProof/>
        </w:rPr>
        <w:lastRenderedPageBreak/>
        <w:drawing>
          <wp:inline distT="0" distB="0" distL="0" distR="0" wp14:anchorId="4AA1C6A8" wp14:editId="3B4EEB21">
            <wp:extent cx="6172200" cy="2838450"/>
            <wp:effectExtent l="0" t="0" r="0" b="0"/>
            <wp:docPr id="1189624555" name="Picture 118962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72200" cy="2838450"/>
                    </a:xfrm>
                    <a:prstGeom prst="rect">
                      <a:avLst/>
                    </a:prstGeom>
                  </pic:spPr>
                </pic:pic>
              </a:graphicData>
            </a:graphic>
          </wp:inline>
        </w:drawing>
      </w:r>
    </w:p>
    <w:p w14:paraId="45FE0147" w14:textId="77777777" w:rsidR="00E33D27" w:rsidRDefault="00000000">
      <w:pPr>
        <w:spacing w:after="220" w:line="240" w:lineRule="auto"/>
        <w:jc w:val="center"/>
      </w:pPr>
      <w:r>
        <w:rPr>
          <w:i/>
          <w:iCs/>
          <w:color w:val="5A6270"/>
          <w:sz w:val="17"/>
          <w:szCs w:val="17"/>
        </w:rPr>
        <w:t>Figure 5.2  Provisional, PCT, national phase — a staged option on territory.</w:t>
      </w:r>
    </w:p>
    <w:p w14:paraId="3C83DF47" w14:textId="77777777" w:rsidR="00E33D27" w:rsidRDefault="00000000">
      <w:pPr>
        <w:pStyle w:val="ListParagraph"/>
        <w:numPr>
          <w:ilvl w:val="0"/>
          <w:numId w:val="2"/>
        </w:numPr>
        <w:spacing w:after="70" w:line="272" w:lineRule="auto"/>
      </w:pPr>
      <w:r>
        <w:rPr>
          <w:b/>
          <w:bCs/>
        </w:rPr>
        <w:t xml:space="preserve">Provisional application. </w:t>
      </w:r>
      <w:r>
        <w:t>Establishes a priority date at modest cost. Twelve months to convert; it is not examined and never issues. Its written description must support what is later claimed.</w:t>
      </w:r>
    </w:p>
    <w:p w14:paraId="2A198282" w14:textId="77777777" w:rsidR="00E33D27" w:rsidRDefault="00000000">
      <w:pPr>
        <w:pStyle w:val="ListParagraph"/>
        <w:numPr>
          <w:ilvl w:val="0"/>
          <w:numId w:val="2"/>
        </w:numPr>
        <w:spacing w:after="70" w:line="272" w:lineRule="auto"/>
      </w:pPr>
      <w:r>
        <w:rPr>
          <w:b/>
          <w:bCs/>
        </w:rPr>
        <w:t xml:space="preserve">PCT application. </w:t>
      </w:r>
      <w:r>
        <w:t>Preserves the option to enter the national phase in most jurisdictions, defers the large cost decision by roughly eighteen months, and buys time to find a licensee before committing to territory.</w:t>
      </w:r>
    </w:p>
    <w:p w14:paraId="2FB0754B" w14:textId="77777777" w:rsidR="00E33D27" w:rsidRDefault="00000000">
      <w:pPr>
        <w:pStyle w:val="ListParagraph"/>
        <w:numPr>
          <w:ilvl w:val="0"/>
          <w:numId w:val="2"/>
        </w:numPr>
        <w:spacing w:after="70" w:line="272" w:lineRule="auto"/>
      </w:pPr>
      <w:r>
        <w:rPr>
          <w:b/>
          <w:bCs/>
        </w:rPr>
        <w:t xml:space="preserve">National phase. </w:t>
      </w:r>
      <w:r>
        <w:t>The expensive stage — translation, local agents and maintenance fees. Territory should follow the licensee’s actual market, and unlicensed families are pruned here.</w:t>
      </w:r>
    </w:p>
    <w:p w14:paraId="1F907D57" w14:textId="77777777" w:rsidR="00E33D27" w:rsidRDefault="00000000">
      <w:pPr>
        <w:jc w:val="both"/>
      </w:pPr>
      <w:r>
        <w:t>Notice what the sequence really is: a series of options, each bought for less than the sum it defers. The provisional buys a year for a filing fee; the PCT buys another eighteen months for one international filing; the national phase is where money becomes irreversible. That is the point at which a commercial question must be answered rather than postponed — who will sell this, and in which countries? Filing broadly to look impressive is the most common and most expensive mistake in academic IP management, and pruning is not a failure but the designed use of the last gate.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7204FC00" w14:textId="77777777">
        <w:tblPrEx>
          <w:tblCellMar>
            <w:top w:w="0" w:type="dxa"/>
            <w:bottom w:w="0" w:type="dxa"/>
          </w:tblCellMar>
        </w:tblPrEx>
        <w:tc>
          <w:tcPr>
            <w:tcW w:w="10080" w:type="dxa"/>
            <w:tcBorders>
              <w:top w:val="single" w:sz="4" w:space="0" w:color="8A5A10"/>
              <w:left w:val="single" w:sz="18" w:space="0" w:color="8A5A10"/>
              <w:bottom w:val="single" w:sz="4" w:space="0" w:color="8A5A10"/>
              <w:right w:val="single" w:sz="4" w:space="0" w:color="8A5A10"/>
            </w:tcBorders>
            <w:shd w:val="clear" w:color="auto" w:fill="F7F1E3"/>
            <w:tcMar>
              <w:top w:w="150" w:type="dxa"/>
              <w:left w:w="200" w:type="dxa"/>
              <w:bottom w:w="150" w:type="dxa"/>
              <w:right w:w="200" w:type="dxa"/>
            </w:tcMar>
          </w:tcPr>
          <w:p w14:paraId="052523D6" w14:textId="77777777" w:rsidR="00E33D27" w:rsidRDefault="00000000">
            <w:pPr>
              <w:spacing w:after="80"/>
            </w:pPr>
            <w:r>
              <w:rPr>
                <w:b/>
                <w:bCs/>
                <w:color w:val="8A5A10"/>
                <w:sz w:val="19"/>
                <w:szCs w:val="19"/>
              </w:rPr>
              <w:t>The cautionary case: CRISPR-Cas9</w:t>
            </w:r>
          </w:p>
          <w:p w14:paraId="7CDC892D" w14:textId="77777777" w:rsidR="00E33D27" w:rsidRDefault="00000000">
            <w:pPr>
              <w:spacing w:after="70" w:line="265" w:lineRule="auto"/>
              <w:jc w:val="both"/>
            </w:pPr>
            <w:r>
              <w:rPr>
                <w:sz w:val="18"/>
                <w:szCs w:val="18"/>
              </w:rPr>
              <w:t>In the CRISPR-Cas9 interference the Federal Circuit agreed that the University of California’s earliest provisional application lacked adequate written description. A priority date is only as good as the disclosure that supports it — a provisional drafted thinly to save money can forfeit the very date it was filed to secure.</w:t>
            </w:r>
          </w:p>
          <w:p w14:paraId="33878BA5" w14:textId="77777777" w:rsidR="00E33D27" w:rsidRDefault="00000000">
            <w:pPr>
              <w:spacing w:after="70" w:line="265" w:lineRule="auto"/>
              <w:jc w:val="both"/>
            </w:pPr>
            <w:r>
              <w:rPr>
                <w:sz w:val="18"/>
                <w:szCs w:val="18"/>
              </w:rPr>
              <w:t>Research note, for accuracy: the decision is Regents of the University of California v. Broad Institute, Inc. (Fed. Cir., 12 May 2025). The court affirmed the written-description holding — UC’s first two provisionals, of May and October 2012, did not adequately describe the conditions for using single-guide CRISPR-Cas9 in eukaryotic cells, so UC was accorded priority only from its third provisional of January 2013. On the separate question of conception the court vacated and remanded, holding that the Board erred by conflating conception with reduction to practice and by requiring the inventors to know their invention would work. The priority dispute is therefore still unresolved. The lesson on provisionals stands, and gains a second edge: in unpredictable technologies, filing early with a thin disclosure and filing later with a full one are both risky, and the drafting effort at the provisional stage decides which risk you are running.</w:t>
            </w:r>
          </w:p>
        </w:tc>
      </w:tr>
    </w:tbl>
    <w:p w14:paraId="44447BA5" w14:textId="77777777" w:rsidR="00E33D27" w:rsidRDefault="00E33D27">
      <w:pPr>
        <w:spacing w:after="160"/>
      </w:pPr>
    </w:p>
    <w:p w14:paraId="1248354C" w14:textId="77777777" w:rsidR="00E33D27" w:rsidRDefault="00000000">
      <w:pPr>
        <w:pStyle w:val="Heading2"/>
        <w:keepNext/>
      </w:pPr>
      <w:r>
        <w:lastRenderedPageBreak/>
        <w:t>5.4  Valuation: heuristics, rules of thumb, and their limits</w:t>
      </w:r>
    </w:p>
    <w:p w14:paraId="77315B9B" w14:textId="77777777" w:rsidR="00E33D27" w:rsidRDefault="00000000">
      <w:pPr>
        <w:jc w:val="both"/>
      </w:pPr>
      <w:r>
        <w:t>Two families of method dominate practice, and the deck presents them as a deliberate contrast: one quick and negotiable, one rigorous and hard to argue with.</w:t>
      </w:r>
    </w:p>
    <w:p w14:paraId="3B942F96" w14:textId="77777777" w:rsidR="00E33D27" w:rsidRDefault="00000000">
      <w:pPr>
        <w:keepNext/>
        <w:spacing w:before="60" w:after="80"/>
      </w:pPr>
      <w:r>
        <w:rPr>
          <w:b/>
          <w:bCs/>
          <w:color w:val="1F3864"/>
          <w:sz w:val="18"/>
          <w:szCs w:val="18"/>
        </w:rPr>
        <w:t>The 25% rule</w:t>
      </w:r>
    </w:p>
    <w:p w14:paraId="3EF26515" w14:textId="77777777" w:rsidR="00E33D27" w:rsidRDefault="00000000">
      <w:pPr>
        <w:pStyle w:val="ListParagraph"/>
        <w:numPr>
          <w:ilvl w:val="0"/>
          <w:numId w:val="2"/>
        </w:numPr>
        <w:spacing w:after="70" w:line="272" w:lineRule="auto"/>
      </w:pPr>
      <w:r>
        <w:t>Allocates roughly a quarter of the licensee’s expected operating profit on the product to the licensor.</w:t>
      </w:r>
    </w:p>
    <w:p w14:paraId="741CBD6D" w14:textId="77777777" w:rsidR="00E33D27" w:rsidRDefault="00000000">
      <w:pPr>
        <w:pStyle w:val="ListParagraph"/>
        <w:numPr>
          <w:ilvl w:val="0"/>
          <w:numId w:val="2"/>
        </w:numPr>
        <w:spacing w:after="70" w:line="272" w:lineRule="auto"/>
      </w:pPr>
      <w:r>
        <w:t>Attractive because it is quick, communicable, and produces a plausible opening number.</w:t>
      </w:r>
    </w:p>
    <w:p w14:paraId="0D9C06E5" w14:textId="77777777" w:rsidR="00E33D27" w:rsidRDefault="00000000">
      <w:pPr>
        <w:pStyle w:val="ListParagraph"/>
        <w:numPr>
          <w:ilvl w:val="0"/>
          <w:numId w:val="2"/>
        </w:numPr>
        <w:spacing w:after="70" w:line="272" w:lineRule="auto"/>
      </w:pPr>
      <w:r>
        <w:t>Criticised for ignoring the IP’s relative contribution to the finished product — a patent covering one component of a thousand-component system is treated the same as one covering the whole.</w:t>
      </w:r>
    </w:p>
    <w:p w14:paraId="35C14241" w14:textId="77777777" w:rsidR="00E33D27" w:rsidRDefault="00000000">
      <w:pPr>
        <w:pStyle w:val="ListParagraph"/>
        <w:numPr>
          <w:ilvl w:val="0"/>
          <w:numId w:val="2"/>
        </w:numPr>
        <w:spacing w:after="70" w:line="272" w:lineRule="auto"/>
      </w:pPr>
      <w:r>
        <w:t>Best used as a sanity check on a negotiated rate, not as the derivation of one.</w:t>
      </w:r>
    </w:p>
    <w:p w14:paraId="521780E4" w14:textId="77777777" w:rsidR="00E33D27" w:rsidRDefault="00000000">
      <w:pPr>
        <w:keepNext/>
        <w:spacing w:before="60" w:after="80"/>
      </w:pPr>
      <w:r>
        <w:rPr>
          <w:b/>
          <w:bCs/>
          <w:color w:val="1F3864"/>
          <w:sz w:val="18"/>
          <w:szCs w:val="18"/>
        </w:rPr>
        <w:t>Monte Carlo and scenario analysis</w:t>
      </w:r>
    </w:p>
    <w:p w14:paraId="6AB89D64" w14:textId="77777777" w:rsidR="00E33D27" w:rsidRDefault="00000000">
      <w:pPr>
        <w:pStyle w:val="ListParagraph"/>
        <w:numPr>
          <w:ilvl w:val="0"/>
          <w:numId w:val="2"/>
        </w:numPr>
        <w:spacing w:after="70" w:line="272" w:lineRule="auto"/>
      </w:pPr>
      <w:r>
        <w:t>Replaces single-point forecasts with distributions over adoption, price and time to market.</w:t>
      </w:r>
    </w:p>
    <w:p w14:paraId="477AFB1E" w14:textId="77777777" w:rsidR="00E33D27" w:rsidRDefault="00000000">
      <w:pPr>
        <w:pStyle w:val="ListParagraph"/>
        <w:numPr>
          <w:ilvl w:val="0"/>
          <w:numId w:val="2"/>
        </w:numPr>
        <w:spacing w:after="70" w:line="272" w:lineRule="auto"/>
      </w:pPr>
      <w:r>
        <w:t>Well suited to staged technical and regulatory risk, where failure is probabilistic rather than binary — the characteristic shape of pharmaceutical and medical-device development.</w:t>
      </w:r>
    </w:p>
    <w:p w14:paraId="5400760E" w14:textId="77777777" w:rsidR="00E33D27" w:rsidRDefault="00000000">
      <w:pPr>
        <w:pStyle w:val="ListParagraph"/>
        <w:numPr>
          <w:ilvl w:val="0"/>
          <w:numId w:val="2"/>
        </w:numPr>
        <w:spacing w:after="70" w:line="272" w:lineRule="auto"/>
      </w:pPr>
      <w:r>
        <w:t>The output is a range and a confidence level, which is honest but harder to negotiate against than a single number.</w:t>
      </w:r>
    </w:p>
    <w:p w14:paraId="30BDCDDB" w14:textId="77777777" w:rsidR="00E33D27" w:rsidRDefault="00000000">
      <w:pPr>
        <w:pStyle w:val="ListParagraph"/>
        <w:numPr>
          <w:ilvl w:val="0"/>
          <w:numId w:val="2"/>
        </w:numPr>
        <w:spacing w:after="70" w:line="272" w:lineRule="auto"/>
      </w:pPr>
      <w:r>
        <w:t>Only as good as the priors: precision is not accuracy.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6B8BD10" w14:textId="77777777">
        <w:tblPrEx>
          <w:tblCellMar>
            <w:top w:w="0" w:type="dxa"/>
            <w:bottom w:w="0" w:type="dxa"/>
          </w:tblCellMar>
        </w:tblPrEx>
        <w:tc>
          <w:tcPr>
            <w:tcW w:w="10080" w:type="dxa"/>
            <w:tcBorders>
              <w:top w:val="single" w:sz="4" w:space="0" w:color="2F6B4F"/>
              <w:left w:val="single" w:sz="18" w:space="0" w:color="2F6B4F"/>
              <w:bottom w:val="single" w:sz="4" w:space="0" w:color="2F6B4F"/>
              <w:right w:val="single" w:sz="4" w:space="0" w:color="2F6B4F"/>
            </w:tcBorders>
            <w:shd w:val="clear" w:color="auto" w:fill="E8F1EB"/>
            <w:tcMar>
              <w:top w:w="150" w:type="dxa"/>
              <w:left w:w="200" w:type="dxa"/>
              <w:bottom w:w="150" w:type="dxa"/>
              <w:right w:w="200" w:type="dxa"/>
            </w:tcMar>
          </w:tcPr>
          <w:p w14:paraId="7C8F0B12" w14:textId="77777777" w:rsidR="00E33D27" w:rsidRDefault="00000000">
            <w:pPr>
              <w:spacing w:after="80"/>
            </w:pPr>
            <w:r>
              <w:rPr>
                <w:b/>
                <w:bCs/>
                <w:color w:val="2F6B4F"/>
                <w:sz w:val="19"/>
                <w:szCs w:val="19"/>
              </w:rPr>
              <w:t>The structural point — the most examinable idea in this section</w:t>
            </w:r>
          </w:p>
          <w:p w14:paraId="16A89A71" w14:textId="77777777" w:rsidR="00E33D27" w:rsidRDefault="00000000">
            <w:pPr>
              <w:spacing w:after="70" w:line="265" w:lineRule="auto"/>
              <w:jc w:val="both"/>
            </w:pPr>
            <w:r>
              <w:rPr>
                <w:sz w:val="18"/>
                <w:szCs w:val="18"/>
              </w:rPr>
              <w:t>Valuation of university IP is rarely the valuation of an asset in isolation. What is actually being priced is a bundle: the patent family, the inventor’s continued involvement, the institution’s willingness to accept milestones instead of cash, and the licensee’s cost of capital. Deal structure and valuation are the same conversation.</w:t>
            </w:r>
          </w:p>
          <w:p w14:paraId="5D399FEA" w14:textId="77777777" w:rsidR="00E33D27" w:rsidRDefault="00000000">
            <w:pPr>
              <w:spacing w:after="70" w:line="265" w:lineRule="auto"/>
              <w:jc w:val="both"/>
            </w:pPr>
            <w:r>
              <w:rPr>
                <w:sz w:val="18"/>
                <w:szCs w:val="18"/>
              </w:rPr>
              <w:t>This is why a licensee will happily pay more in total for a structure weighted to milestones and royalties than for a smaller sum paid upfront: the upfront comes from scarce cash at the licensee’s highest cost of capital, whereas later payments come out of revenue the technology itself generates. A licensing officer who understands this can raise the total value of a deal while lowering its price.</w:t>
            </w:r>
          </w:p>
        </w:tc>
      </w:tr>
    </w:tbl>
    <w:p w14:paraId="7839B53F" w14:textId="77777777" w:rsidR="00E33D27" w:rsidRDefault="00E33D27">
      <w:pPr>
        <w:spacing w:after="160"/>
      </w:pPr>
    </w:p>
    <w:p w14:paraId="58EB390E" w14:textId="77777777" w:rsidR="00E33D27" w:rsidRDefault="00000000">
      <w:pPr>
        <w:jc w:val="both"/>
      </w:pPr>
      <w:r>
        <w:t>Underneath both heuristics sit the three classical approaches. The cost approach asks what it would cost to recreate the asset — a floor, useful mainly for early-stage or internal transfers. The market approach looks for comparable transactions, the most persuasive evidence where comparables genuinely exist. The income approach discounts the cash flows attributable to the asset, and is the only method that can reflect exclusivity, remaining patent life and market size. Rules of thumb are shortcuts through the income approach; Monte Carlo is the income approach with its uncertainty made explicit.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619550E8"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52F8C200" w14:textId="77777777" w:rsidR="00E33D27" w:rsidRDefault="00000000">
            <w:pPr>
              <w:spacing w:after="80"/>
            </w:pPr>
            <w:r>
              <w:rPr>
                <w:b/>
                <w:bCs/>
                <w:color w:val="1F3864"/>
                <w:sz w:val="19"/>
                <w:szCs w:val="19"/>
              </w:rPr>
              <w:t>Research note — a warning about the 25% rule</w:t>
            </w:r>
          </w:p>
          <w:p w14:paraId="2C3753C4" w14:textId="77777777" w:rsidR="00E33D27" w:rsidRDefault="00000000">
            <w:pPr>
              <w:spacing w:after="70" w:line="265" w:lineRule="auto"/>
              <w:jc w:val="both"/>
            </w:pPr>
            <w:r>
              <w:rPr>
                <w:sz w:val="18"/>
                <w:szCs w:val="18"/>
              </w:rPr>
              <w:t>In Uniloc USA, Inc. v. Microsoft Corp. (Fed. Cir., 4 January 2011) the U.S. Court of Appeals for the Federal Circuit held the 25% rule of thumb to be a fundamentally flawed tool, and evidence relying on it inadmissible, because the rule says nothing about the particular technology, industry or parties. The court left the Georgia-Pacific factors intact as the framework for a reasonable royalty but required any evidence to be tied to the facts of the case. The lesson generalises to every rule of thumb in this document, including ALR = LR × AAFC: a heuristic is a negotiating aid and a sanity check. It is not a valuation, and in litigation it is not even admissible.</w:t>
            </w:r>
          </w:p>
        </w:tc>
      </w:tr>
    </w:tbl>
    <w:p w14:paraId="384DB1CB" w14:textId="77777777" w:rsidR="00E33D27" w:rsidRDefault="00E33D27">
      <w:pPr>
        <w:spacing w:after="160"/>
      </w:pPr>
    </w:p>
    <w:p w14:paraId="17AA8699" w14:textId="77777777" w:rsidR="00E33D27" w:rsidRDefault="00000000">
      <w:pPr>
        <w:pStyle w:val="Heading2"/>
        <w:keepNext/>
      </w:pPr>
      <w:r>
        <w:lastRenderedPageBreak/>
        <w:t>5.5  IP commercialization in the public research sector</w:t>
      </w:r>
    </w:p>
    <w:p w14:paraId="03FA6ADC" w14:textId="77777777" w:rsidR="00E33D27" w:rsidRDefault="00000000">
      <w:pPr>
        <w:jc w:val="both"/>
      </w:pPr>
      <w:r>
        <w:t>The process is not too different from the private and academic sectors. What differs is the objective function, and therefore the terms a public body will and will not agree to. The stated priorities are:</w:t>
      </w:r>
    </w:p>
    <w:p w14:paraId="38E23424" w14:textId="77777777" w:rsidR="00E33D27" w:rsidRDefault="00000000">
      <w:pPr>
        <w:pStyle w:val="ListParagraph"/>
        <w:numPr>
          <w:ilvl w:val="0"/>
          <w:numId w:val="2"/>
        </w:numPr>
        <w:spacing w:after="70" w:line="272" w:lineRule="auto"/>
      </w:pPr>
      <w:r>
        <w:t>Accelerated market penetration — speed of deployment matters more than the size of the royalty.</w:t>
      </w:r>
    </w:p>
    <w:p w14:paraId="58F72816" w14:textId="77777777" w:rsidR="00E33D27" w:rsidRDefault="00000000">
      <w:pPr>
        <w:pStyle w:val="ListParagraph"/>
        <w:numPr>
          <w:ilvl w:val="0"/>
          <w:numId w:val="2"/>
        </w:numPr>
        <w:spacing w:after="70" w:line="272" w:lineRule="auto"/>
      </w:pPr>
      <w:r>
        <w:t>Providing some priority to SMEs, or promotion in underserved regions.</w:t>
      </w:r>
    </w:p>
    <w:p w14:paraId="1CC9BA1F" w14:textId="77777777" w:rsidR="00E33D27" w:rsidRDefault="00000000">
      <w:pPr>
        <w:pStyle w:val="ListParagraph"/>
        <w:numPr>
          <w:ilvl w:val="0"/>
          <w:numId w:val="2"/>
        </w:numPr>
        <w:spacing w:after="70" w:line="272" w:lineRule="auto"/>
      </w:pPr>
      <w:r>
        <w:t>Capacity development — building the skills and institutions that can absorb the technology.</w:t>
      </w:r>
    </w:p>
    <w:p w14:paraId="01F600D8" w14:textId="77777777" w:rsidR="00E33D27" w:rsidRDefault="00000000">
      <w:pPr>
        <w:pStyle w:val="ListParagraph"/>
        <w:numPr>
          <w:ilvl w:val="0"/>
          <w:numId w:val="2"/>
        </w:numPr>
        <w:spacing w:after="70" w:line="272" w:lineRule="auto"/>
      </w:pPr>
      <w:r>
        <w:t>National security.</w:t>
      </w:r>
    </w:p>
    <w:p w14:paraId="558B202E" w14:textId="77777777" w:rsidR="00E33D27" w:rsidRDefault="00000000">
      <w:pPr>
        <w:pStyle w:val="ListParagraph"/>
        <w:numPr>
          <w:ilvl w:val="0"/>
          <w:numId w:val="2"/>
        </w:numPr>
        <w:spacing w:after="70" w:line="272" w:lineRule="auto"/>
      </w:pPr>
      <w:r>
        <w:t>Global competitiveness.</w:t>
      </w:r>
    </w:p>
    <w:p w14:paraId="555E6A04" w14:textId="77777777" w:rsidR="00E33D27" w:rsidRDefault="00000000">
      <w:pPr>
        <w:pStyle w:val="ListParagraph"/>
        <w:numPr>
          <w:ilvl w:val="0"/>
          <w:numId w:val="2"/>
        </w:numPr>
        <w:spacing w:after="70" w:line="272" w:lineRule="auto"/>
      </w:pPr>
      <w:r>
        <w:t>Providing resiliency to national infrastructure.</w:t>
      </w:r>
    </w:p>
    <w:p w14:paraId="2215FC1D" w14:textId="77777777" w:rsidR="00E33D27" w:rsidRDefault="00000000">
      <w:pPr>
        <w:pStyle w:val="ListParagraph"/>
        <w:numPr>
          <w:ilvl w:val="0"/>
          <w:numId w:val="2"/>
        </w:numPr>
        <w:spacing w:after="70" w:line="272" w:lineRule="auto"/>
      </w:pPr>
      <w:r>
        <w:t>Preventing nefarious actors from accessing the technology and commercializing it with ill intentions.</w:t>
      </w:r>
    </w:p>
    <w:p w14:paraId="4075A426" w14:textId="77777777" w:rsidR="00E33D27" w:rsidRDefault="00000000">
      <w:pPr>
        <w:pStyle w:val="ListParagraph"/>
        <w:numPr>
          <w:ilvl w:val="0"/>
          <w:numId w:val="2"/>
        </w:numPr>
        <w:spacing w:after="70" w:line="272" w:lineRule="auto"/>
      </w:pPr>
      <w:r>
        <w:t>Creating harmonious relationships with the private sectors.</w:t>
      </w:r>
    </w:p>
    <w:p w14:paraId="7C2727CF" w14:textId="77777777" w:rsidR="00E33D27" w:rsidRDefault="00000000">
      <w:pPr>
        <w:jc w:val="both"/>
      </w:pPr>
      <w:r>
        <w:t>Read as a commercialization brief, these priorities explain a set of deal terms that would look irrational in a corporate context: non-exclusive licensing by default so that many firms can deploy quickly; field-of-use carve-outs and regional preferences for smaller domestic firms; obligations to manufacture or deploy locally; march-in and government-use rights retained; security screening of licensees and export-control conditions; and rates set below what the market would bear, because the objective is diffusion rather than income.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33D27" w14:paraId="0C29C7CC" w14:textId="77777777">
        <w:tblPrEx>
          <w:tblCellMar>
            <w:top w:w="0" w:type="dxa"/>
            <w:bottom w:w="0" w:type="dxa"/>
          </w:tblCellMar>
        </w:tblPrEx>
        <w:tc>
          <w:tcPr>
            <w:tcW w:w="10080" w:type="dxa"/>
            <w:tcBorders>
              <w:top w:val="single" w:sz="4" w:space="0" w:color="1F3864"/>
              <w:left w:val="single" w:sz="18" w:space="0" w:color="1F3864"/>
              <w:bottom w:val="single" w:sz="4" w:space="0" w:color="1F3864"/>
              <w:right w:val="single" w:sz="4" w:space="0" w:color="1F3864"/>
            </w:tcBorders>
            <w:shd w:val="clear" w:color="auto" w:fill="E9EFF8"/>
            <w:tcMar>
              <w:top w:w="150" w:type="dxa"/>
              <w:left w:w="200" w:type="dxa"/>
              <w:bottom w:w="150" w:type="dxa"/>
              <w:right w:w="200" w:type="dxa"/>
            </w:tcMar>
          </w:tcPr>
          <w:p w14:paraId="052F2085" w14:textId="77777777" w:rsidR="00E33D27" w:rsidRDefault="00000000">
            <w:pPr>
              <w:spacing w:after="80"/>
            </w:pPr>
            <w:r>
              <w:rPr>
                <w:b/>
                <w:bCs/>
                <w:color w:val="1F3864"/>
                <w:sz w:val="19"/>
                <w:szCs w:val="19"/>
              </w:rPr>
              <w:t>The comparison to remember</w:t>
            </w:r>
          </w:p>
          <w:p w14:paraId="7BFF4C94" w14:textId="77777777" w:rsidR="00E33D27" w:rsidRDefault="00000000">
            <w:pPr>
              <w:spacing w:after="70" w:line="265" w:lineRule="auto"/>
              <w:jc w:val="both"/>
            </w:pPr>
            <w:r>
              <w:rPr>
                <w:sz w:val="18"/>
                <w:szCs w:val="18"/>
              </w:rPr>
              <w:t>The corporation maximises appropriated value. The university maximises use, plus a share of the value. The public body maximises diffusion, subject to security. Each of those objectives produces a different licence from the same invention — which is why “what is this IP worth?” cannot be answered without first asking who owns it and what they are trying to achieve.</w:t>
            </w:r>
          </w:p>
        </w:tc>
      </w:tr>
    </w:tbl>
    <w:p w14:paraId="39E2A4AB" w14:textId="77777777" w:rsidR="00E33D27" w:rsidRDefault="00E33D27">
      <w:pPr>
        <w:spacing w:after="160"/>
      </w:pPr>
    </w:p>
    <w:p w14:paraId="46D3F981" w14:textId="77777777" w:rsidR="00E33D27" w:rsidRDefault="00000000">
      <w:pPr>
        <w:pStyle w:val="Heading1"/>
        <w:pageBreakBefore/>
        <w:pBdr>
          <w:bottom w:val="single" w:sz="10" w:space="6" w:color="1F3864"/>
        </w:pBdr>
      </w:pPr>
      <w:r>
        <w:lastRenderedPageBreak/>
        <w:t>6  Revision</w:t>
      </w:r>
    </w:p>
    <w:p w14:paraId="4D17AB58" w14:textId="77777777" w:rsidR="00E33D27" w:rsidRDefault="00000000">
      <w:pPr>
        <w:pStyle w:val="Heading2"/>
        <w:keepNext/>
      </w:pPr>
      <w:r>
        <w:t>6.1  The Commercialization Roadmap</w:t>
      </w:r>
    </w:p>
    <w:p w14:paraId="201534E0" w14:textId="77777777" w:rsidR="00E33D27" w:rsidRDefault="00000000">
      <w:pPr>
        <w:jc w:val="both"/>
      </w:pPr>
      <w:r>
        <w:t>Chapters 3 to 5 reduce to a single sequence of seven steps, each with its own tools and its own failure mode. If you can draw it from memory you can reconstruct almost any applied answer.</w:t>
      </w:r>
    </w:p>
    <w:p w14:paraId="689A2A0C" w14:textId="77777777" w:rsidR="00E33D27" w:rsidRDefault="00000000">
      <w:pPr>
        <w:keepNext/>
        <w:spacing w:before="160" w:after="60" w:line="240" w:lineRule="auto"/>
        <w:jc w:val="center"/>
      </w:pPr>
      <w:r>
        <w:rPr>
          <w:noProof/>
        </w:rPr>
        <w:drawing>
          <wp:inline distT="0" distB="0" distL="0" distR="0" wp14:anchorId="5D9F317F" wp14:editId="3F3AAD2E">
            <wp:extent cx="6172200" cy="4391025"/>
            <wp:effectExtent l="0" t="0" r="0" b="0"/>
            <wp:docPr id="1614540275" name="Picture 161454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72200" cy="4391025"/>
                    </a:xfrm>
                    <a:prstGeom prst="rect">
                      <a:avLst/>
                    </a:prstGeom>
                  </pic:spPr>
                </pic:pic>
              </a:graphicData>
            </a:graphic>
          </wp:inline>
        </w:drawing>
      </w:r>
    </w:p>
    <w:p w14:paraId="7D4C02CB" w14:textId="77777777" w:rsidR="00E33D27" w:rsidRDefault="00000000">
      <w:pPr>
        <w:spacing w:after="220" w:line="240" w:lineRule="auto"/>
        <w:jc w:val="center"/>
      </w:pPr>
      <w:r>
        <w:rPr>
          <w:i/>
          <w:iCs/>
          <w:color w:val="5A6270"/>
          <w:sz w:val="17"/>
          <w:szCs w:val="17"/>
        </w:rPr>
        <w:t>Figure 6.1  From invention to reinvestment.</w:t>
      </w:r>
    </w:p>
    <w:p w14:paraId="68143049" w14:textId="77777777" w:rsidR="00E33D27" w:rsidRDefault="00000000">
      <w:pPr>
        <w:pStyle w:val="Heading2"/>
        <w:keepNext/>
      </w:pPr>
      <w:r>
        <w:t>6.2  Twelve Points to Remember</w:t>
      </w:r>
    </w:p>
    <w:p w14:paraId="698D5B2D" w14:textId="77777777" w:rsidR="00E33D27" w:rsidRDefault="00000000">
      <w:pPr>
        <w:pStyle w:val="ListParagraph"/>
        <w:numPr>
          <w:ilvl w:val="0"/>
          <w:numId w:val="4"/>
        </w:numPr>
        <w:spacing w:after="70" w:line="272" w:lineRule="auto"/>
      </w:pPr>
      <w:r>
        <w:rPr>
          <w:b/>
          <w:bCs/>
        </w:rPr>
        <w:t xml:space="preserve">IP is a subset of intangible property, never the reverse, </w:t>
      </w:r>
      <w:r>
        <w:t>and it is the only subset with a dedicated protection regime; everything else falls back on general law.</w:t>
      </w:r>
    </w:p>
    <w:p w14:paraId="6EEFB472" w14:textId="77777777" w:rsidR="00E33D27" w:rsidRDefault="00000000">
      <w:pPr>
        <w:pStyle w:val="ListParagraph"/>
        <w:numPr>
          <w:ilvl w:val="0"/>
          <w:numId w:val="4"/>
        </w:numPr>
        <w:spacing w:after="70" w:line="272" w:lineRule="auto"/>
      </w:pPr>
      <w:r>
        <w:rPr>
          <w:b/>
          <w:bCs/>
        </w:rPr>
        <w:t xml:space="preserve">Protection is a means; commercialization is the point. </w:t>
      </w:r>
      <w:r>
        <w:t>An unused patent is a liability with an annual fee.</w:t>
      </w:r>
    </w:p>
    <w:p w14:paraId="7CEA7737" w14:textId="77777777" w:rsidR="00E33D27" w:rsidRDefault="00000000">
      <w:pPr>
        <w:pStyle w:val="ListParagraph"/>
        <w:numPr>
          <w:ilvl w:val="0"/>
          <w:numId w:val="4"/>
        </w:numPr>
        <w:spacing w:after="70" w:line="272" w:lineRule="auto"/>
      </w:pPr>
      <w:r>
        <w:rPr>
          <w:b/>
          <w:bCs/>
        </w:rPr>
        <w:t xml:space="preserve">A patent is a right to exclude, not a permission to work. </w:t>
      </w:r>
      <w:r>
        <w:t>Section 48 and the improved-chair example; the right to exclude and the right to practise are different questions.</w:t>
      </w:r>
    </w:p>
    <w:p w14:paraId="49EC7849" w14:textId="77777777" w:rsidR="00E33D27" w:rsidRDefault="00000000">
      <w:pPr>
        <w:pStyle w:val="ListParagraph"/>
        <w:numPr>
          <w:ilvl w:val="0"/>
          <w:numId w:val="4"/>
        </w:numPr>
        <w:spacing w:after="70" w:line="272" w:lineRule="auto"/>
      </w:pPr>
      <w:r>
        <w:rPr>
          <w:b/>
          <w:bCs/>
        </w:rPr>
        <w:t xml:space="preserve">The market prices quality, not count. </w:t>
      </w:r>
      <w:r>
        <w:t>Value is approximately lognormal; the top tenth holds 80–85% of a portfolio, which makes pruning value-creating.</w:t>
      </w:r>
    </w:p>
    <w:p w14:paraId="0FCF5360" w14:textId="77777777" w:rsidR="00E33D27" w:rsidRDefault="00000000">
      <w:pPr>
        <w:pStyle w:val="ListParagraph"/>
        <w:numPr>
          <w:ilvl w:val="0"/>
          <w:numId w:val="4"/>
        </w:numPr>
        <w:spacing w:after="70" w:line="272" w:lineRule="auto"/>
      </w:pPr>
      <w:r>
        <w:rPr>
          <w:b/>
          <w:bCs/>
        </w:rPr>
        <w:t xml:space="preserve">Ideas are non-rival and only partially excludable, </w:t>
      </w:r>
      <w:r>
        <w:t>and IP supplies the excludability — which is how growth becomes endogenous rather than a residual (Romer, 1990).</w:t>
      </w:r>
    </w:p>
    <w:p w14:paraId="1FBE4EF6" w14:textId="77777777" w:rsidR="00E33D27" w:rsidRDefault="00000000">
      <w:pPr>
        <w:pStyle w:val="ListParagraph"/>
        <w:numPr>
          <w:ilvl w:val="0"/>
          <w:numId w:val="4"/>
        </w:numPr>
        <w:spacing w:after="70" w:line="272" w:lineRule="auto"/>
      </w:pPr>
      <w:r>
        <w:rPr>
          <w:b/>
          <w:bCs/>
        </w:rPr>
        <w:lastRenderedPageBreak/>
        <w:t xml:space="preserve">Non-proprietary does not mean unowned. </w:t>
      </w:r>
      <w:r>
        <w:t>Linux and Android are owned and openly licensed; governance is a dial from exclusive to open, not a switch.</w:t>
      </w:r>
    </w:p>
    <w:p w14:paraId="62E7F8F9" w14:textId="77777777" w:rsidR="00E33D27" w:rsidRDefault="00000000">
      <w:pPr>
        <w:pStyle w:val="ListParagraph"/>
        <w:numPr>
          <w:ilvl w:val="0"/>
          <w:numId w:val="4"/>
        </w:numPr>
        <w:spacing w:after="70" w:line="272" w:lineRule="auto"/>
      </w:pPr>
      <w:r>
        <w:rPr>
          <w:b/>
          <w:bCs/>
        </w:rPr>
        <w:t xml:space="preserve">Everybody has human, structural and relational capital. </w:t>
      </w:r>
      <w:r>
        <w:t>What differentiates is the cognitive, conative and affective layer, because it decides whether the first three convert.</w:t>
      </w:r>
    </w:p>
    <w:p w14:paraId="78475ED7" w14:textId="77777777" w:rsidR="00E33D27" w:rsidRDefault="00000000">
      <w:pPr>
        <w:pStyle w:val="ListParagraph"/>
        <w:numPr>
          <w:ilvl w:val="0"/>
          <w:numId w:val="4"/>
        </w:numPr>
        <w:spacing w:after="70" w:line="272" w:lineRule="auto"/>
      </w:pPr>
      <w:r>
        <w:rPr>
          <w:b/>
          <w:bCs/>
        </w:rPr>
        <w:t xml:space="preserve">A policy is not enforceable in itself. </w:t>
      </w:r>
      <w:r>
        <w:t>It guides agreements, and an agreement enforceable by law is a contract — s.2(h) and s.10 of the Contract Act.</w:t>
      </w:r>
    </w:p>
    <w:p w14:paraId="650E5E02" w14:textId="77777777" w:rsidR="00E33D27" w:rsidRDefault="00000000">
      <w:pPr>
        <w:pStyle w:val="ListParagraph"/>
        <w:numPr>
          <w:ilvl w:val="0"/>
          <w:numId w:val="4"/>
        </w:numPr>
        <w:spacing w:after="70" w:line="272" w:lineRule="auto"/>
      </w:pPr>
      <w:r>
        <w:rPr>
          <w:b/>
          <w:bCs/>
        </w:rPr>
        <w:t xml:space="preserve">The objective function decides the licence. </w:t>
      </w:r>
      <w:r>
        <w:t>Corporations maximise appropriated value, universities maximise use plus a share, public bodies maximise diffusion subject to security.</w:t>
      </w:r>
    </w:p>
    <w:p w14:paraId="73394EF6" w14:textId="77777777" w:rsidR="00E33D27" w:rsidRDefault="00000000">
      <w:pPr>
        <w:pStyle w:val="ListParagraph"/>
        <w:numPr>
          <w:ilvl w:val="0"/>
          <w:numId w:val="4"/>
        </w:numPr>
        <w:spacing w:after="70" w:line="272" w:lineRule="auto"/>
      </w:pPr>
      <w:r>
        <w:rPr>
          <w:b/>
          <w:bCs/>
        </w:rPr>
        <w:t xml:space="preserve">The real limitation of a patent is invent-around, </w:t>
      </w:r>
      <w:r>
        <w:t>so build fields of rights rather than single rights: core claim, dependent claims, blanketing and fencing, deepened vertically and spread horizontally.</w:t>
      </w:r>
    </w:p>
    <w:p w14:paraId="78972435" w14:textId="77777777" w:rsidR="00E33D27" w:rsidRDefault="00000000">
      <w:pPr>
        <w:pStyle w:val="ListParagraph"/>
        <w:numPr>
          <w:ilvl w:val="0"/>
          <w:numId w:val="4"/>
        </w:numPr>
        <w:spacing w:after="70" w:line="272" w:lineRule="auto"/>
      </w:pPr>
      <w:r>
        <w:rPr>
          <w:b/>
          <w:bCs/>
        </w:rPr>
        <w:t xml:space="preserve">Copying is not the biggest obstacle to profiting from innovation. </w:t>
      </w:r>
      <w:r>
        <w:t>Access to technology, timely production and marketing cost all rank at or above it, so a patent solves one problem out of six.</w:t>
      </w:r>
    </w:p>
    <w:p w14:paraId="5954F45F" w14:textId="77777777" w:rsidR="00E33D27" w:rsidRDefault="00000000">
      <w:pPr>
        <w:pStyle w:val="ListParagraph"/>
        <w:numPr>
          <w:ilvl w:val="0"/>
          <w:numId w:val="4"/>
        </w:numPr>
        <w:spacing w:after="70" w:line="272" w:lineRule="auto"/>
      </w:pPr>
      <w:r>
        <w:rPr>
          <w:b/>
          <w:bCs/>
        </w:rPr>
        <w:t xml:space="preserve">Commercial success does not guarantee economic success. </w:t>
      </w:r>
      <w:r>
        <w:t>Teece’s conclusion, and the reason the discipline exists: the returns go to whoever holds the complementary assets.</w:t>
      </w:r>
    </w:p>
    <w:p w14:paraId="2B2FC8BD" w14:textId="77777777" w:rsidR="00E33D27" w:rsidRDefault="00000000">
      <w:pPr>
        <w:pStyle w:val="Heading2"/>
        <w:keepNext/>
      </w:pPr>
      <w:r>
        <w:t>6.3  Key Numbers, Dates and Authorities</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3100"/>
        <w:gridCol w:w="2200"/>
        <w:gridCol w:w="4780"/>
      </w:tblGrid>
      <w:tr w:rsidR="00E33D27" w14:paraId="77272F05" w14:textId="77777777">
        <w:tblPrEx>
          <w:tblCellMar>
            <w:top w:w="0" w:type="dxa"/>
            <w:bottom w:w="0" w:type="dxa"/>
          </w:tblCellMar>
        </w:tblPrEx>
        <w:trPr>
          <w:cantSplit/>
          <w:tblHeader/>
        </w:trPr>
        <w:tc>
          <w:tcPr>
            <w:tcW w:w="3100" w:type="dxa"/>
            <w:shd w:val="clear" w:color="auto" w:fill="1F3864"/>
            <w:tcMar>
              <w:top w:w="70" w:type="dxa"/>
              <w:left w:w="110" w:type="dxa"/>
              <w:bottom w:w="70" w:type="dxa"/>
              <w:right w:w="110" w:type="dxa"/>
            </w:tcMar>
            <w:vAlign w:val="center"/>
          </w:tcPr>
          <w:p w14:paraId="6334C789" w14:textId="77777777" w:rsidR="00E33D27" w:rsidRDefault="00000000">
            <w:pPr>
              <w:spacing w:before="40" w:after="40" w:line="250" w:lineRule="auto"/>
            </w:pPr>
            <w:r>
              <w:rPr>
                <w:b/>
                <w:bCs/>
                <w:color w:val="FFFFFF"/>
                <w:sz w:val="17"/>
                <w:szCs w:val="17"/>
              </w:rPr>
              <w:t>Item</w:t>
            </w:r>
          </w:p>
        </w:tc>
        <w:tc>
          <w:tcPr>
            <w:tcW w:w="2200" w:type="dxa"/>
            <w:shd w:val="clear" w:color="auto" w:fill="1F3864"/>
            <w:tcMar>
              <w:top w:w="70" w:type="dxa"/>
              <w:left w:w="110" w:type="dxa"/>
              <w:bottom w:w="70" w:type="dxa"/>
              <w:right w:w="110" w:type="dxa"/>
            </w:tcMar>
            <w:vAlign w:val="center"/>
          </w:tcPr>
          <w:p w14:paraId="7AD7BA8B" w14:textId="77777777" w:rsidR="00E33D27" w:rsidRDefault="00000000">
            <w:pPr>
              <w:spacing w:before="40" w:after="40" w:line="250" w:lineRule="auto"/>
            </w:pPr>
            <w:r>
              <w:rPr>
                <w:b/>
                <w:bCs/>
                <w:color w:val="FFFFFF"/>
                <w:sz w:val="17"/>
                <w:szCs w:val="17"/>
              </w:rPr>
              <w:t>Figure</w:t>
            </w:r>
          </w:p>
        </w:tc>
        <w:tc>
          <w:tcPr>
            <w:tcW w:w="4780" w:type="dxa"/>
            <w:shd w:val="clear" w:color="auto" w:fill="1F3864"/>
            <w:tcMar>
              <w:top w:w="70" w:type="dxa"/>
              <w:left w:w="110" w:type="dxa"/>
              <w:bottom w:w="70" w:type="dxa"/>
              <w:right w:w="110" w:type="dxa"/>
            </w:tcMar>
            <w:vAlign w:val="center"/>
          </w:tcPr>
          <w:p w14:paraId="411C564A" w14:textId="77777777" w:rsidR="00E33D27" w:rsidRDefault="00000000">
            <w:pPr>
              <w:spacing w:before="40" w:after="40" w:line="250" w:lineRule="auto"/>
            </w:pPr>
            <w:r>
              <w:rPr>
                <w:b/>
                <w:bCs/>
                <w:color w:val="FFFFFF"/>
                <w:sz w:val="17"/>
                <w:szCs w:val="17"/>
              </w:rPr>
              <w:t>What it is evidence of</w:t>
            </w:r>
          </w:p>
        </w:tc>
      </w:tr>
      <w:tr w:rsidR="00E33D27" w14:paraId="2DCE13FE"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3543C05D" w14:textId="77777777" w:rsidR="00E33D27" w:rsidRDefault="00000000">
            <w:pPr>
              <w:spacing w:before="40" w:after="40" w:line="250" w:lineRule="auto"/>
            </w:pPr>
            <w:r>
              <w:rPr>
                <w:b/>
                <w:bCs/>
                <w:sz w:val="15"/>
                <w:szCs w:val="15"/>
              </w:rPr>
              <w:t>Paris Convention</w:t>
            </w:r>
          </w:p>
        </w:tc>
        <w:tc>
          <w:tcPr>
            <w:tcW w:w="2200" w:type="dxa"/>
            <w:shd w:val="clear" w:color="auto" w:fill="F3F4F6"/>
            <w:tcMar>
              <w:top w:w="70" w:type="dxa"/>
              <w:left w:w="110" w:type="dxa"/>
              <w:bottom w:w="70" w:type="dxa"/>
              <w:right w:w="110" w:type="dxa"/>
            </w:tcMar>
            <w:vAlign w:val="center"/>
          </w:tcPr>
          <w:p w14:paraId="033778D8" w14:textId="77777777" w:rsidR="00E33D27" w:rsidRDefault="00000000">
            <w:pPr>
              <w:spacing w:before="40" w:after="40" w:line="250" w:lineRule="auto"/>
            </w:pPr>
            <w:r>
              <w:rPr>
                <w:sz w:val="15"/>
                <w:szCs w:val="15"/>
              </w:rPr>
              <w:t>1883</w:t>
            </w:r>
          </w:p>
        </w:tc>
        <w:tc>
          <w:tcPr>
            <w:tcW w:w="4780" w:type="dxa"/>
            <w:shd w:val="clear" w:color="auto" w:fill="F3F4F6"/>
            <w:tcMar>
              <w:top w:w="70" w:type="dxa"/>
              <w:left w:w="110" w:type="dxa"/>
              <w:bottom w:w="70" w:type="dxa"/>
              <w:right w:w="110" w:type="dxa"/>
            </w:tcMar>
            <w:vAlign w:val="center"/>
          </w:tcPr>
          <w:p w14:paraId="0223ADC5" w14:textId="77777777" w:rsidR="00E33D27" w:rsidRDefault="00000000">
            <w:pPr>
              <w:spacing w:before="40" w:after="40" w:line="250" w:lineRule="auto"/>
            </w:pPr>
            <w:r>
              <w:rPr>
                <w:sz w:val="15"/>
                <w:szCs w:val="15"/>
              </w:rPr>
              <w:t>The foundational multilateral industrial-property instrument: national treatment and right of priority</w:t>
            </w:r>
          </w:p>
        </w:tc>
      </w:tr>
      <w:tr w:rsidR="00E33D27" w14:paraId="61AB8BA7"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55E1D54E" w14:textId="77777777" w:rsidR="00E33D27" w:rsidRDefault="00000000">
            <w:pPr>
              <w:spacing w:before="40" w:after="40" w:line="250" w:lineRule="auto"/>
            </w:pPr>
            <w:r>
              <w:rPr>
                <w:b/>
                <w:bCs/>
                <w:sz w:val="15"/>
                <w:szCs w:val="15"/>
              </w:rPr>
              <w:t>Bayh–Dole; Diamond v. Chakrabarty</w:t>
            </w:r>
          </w:p>
        </w:tc>
        <w:tc>
          <w:tcPr>
            <w:tcW w:w="2200" w:type="dxa"/>
            <w:shd w:val="clear" w:color="auto" w:fill="FFFFFF"/>
            <w:tcMar>
              <w:top w:w="70" w:type="dxa"/>
              <w:left w:w="110" w:type="dxa"/>
              <w:bottom w:w="70" w:type="dxa"/>
              <w:right w:w="110" w:type="dxa"/>
            </w:tcMar>
            <w:vAlign w:val="center"/>
          </w:tcPr>
          <w:p w14:paraId="53C0E1F5" w14:textId="77777777" w:rsidR="00E33D27" w:rsidRDefault="00000000">
            <w:pPr>
              <w:spacing w:before="40" w:after="40" w:line="250" w:lineRule="auto"/>
            </w:pPr>
            <w:r>
              <w:rPr>
                <w:sz w:val="15"/>
                <w:szCs w:val="15"/>
              </w:rPr>
              <w:t>1980</w:t>
            </w:r>
          </w:p>
        </w:tc>
        <w:tc>
          <w:tcPr>
            <w:tcW w:w="4780" w:type="dxa"/>
            <w:shd w:val="clear" w:color="auto" w:fill="FFFFFF"/>
            <w:tcMar>
              <w:top w:w="70" w:type="dxa"/>
              <w:left w:w="110" w:type="dxa"/>
              <w:bottom w:w="70" w:type="dxa"/>
              <w:right w:w="110" w:type="dxa"/>
            </w:tcMar>
            <w:vAlign w:val="center"/>
          </w:tcPr>
          <w:p w14:paraId="29A95EEE" w14:textId="77777777" w:rsidR="00E33D27" w:rsidRDefault="00000000">
            <w:pPr>
              <w:spacing w:before="40" w:after="40" w:line="250" w:lineRule="auto"/>
            </w:pPr>
            <w:r>
              <w:rPr>
                <w:sz w:val="15"/>
                <w:szCs w:val="15"/>
              </w:rPr>
              <w:t>Title to federally funded inventions vests in the contractor; living engineered organisms patentable, 5–4</w:t>
            </w:r>
          </w:p>
        </w:tc>
      </w:tr>
      <w:tr w:rsidR="00E33D27" w14:paraId="00273CA5"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0D19728B" w14:textId="77777777" w:rsidR="00E33D27" w:rsidRDefault="00000000">
            <w:pPr>
              <w:spacing w:before="40" w:after="40" w:line="250" w:lineRule="auto"/>
            </w:pPr>
            <w:r>
              <w:rPr>
                <w:b/>
                <w:bCs/>
                <w:sz w:val="15"/>
                <w:szCs w:val="15"/>
              </w:rPr>
              <w:t>Court of Appeals for the Federal Circuit</w:t>
            </w:r>
          </w:p>
        </w:tc>
        <w:tc>
          <w:tcPr>
            <w:tcW w:w="2200" w:type="dxa"/>
            <w:shd w:val="clear" w:color="auto" w:fill="F3F4F6"/>
            <w:tcMar>
              <w:top w:w="70" w:type="dxa"/>
              <w:left w:w="110" w:type="dxa"/>
              <w:bottom w:w="70" w:type="dxa"/>
              <w:right w:w="110" w:type="dxa"/>
            </w:tcMar>
            <w:vAlign w:val="center"/>
          </w:tcPr>
          <w:p w14:paraId="244BEF0D" w14:textId="77777777" w:rsidR="00E33D27" w:rsidRDefault="00000000">
            <w:pPr>
              <w:spacing w:before="40" w:after="40" w:line="250" w:lineRule="auto"/>
            </w:pPr>
            <w:r>
              <w:rPr>
                <w:sz w:val="15"/>
                <w:szCs w:val="15"/>
              </w:rPr>
              <w:t>1982</w:t>
            </w:r>
          </w:p>
        </w:tc>
        <w:tc>
          <w:tcPr>
            <w:tcW w:w="4780" w:type="dxa"/>
            <w:shd w:val="clear" w:color="auto" w:fill="F3F4F6"/>
            <w:tcMar>
              <w:top w:w="70" w:type="dxa"/>
              <w:left w:w="110" w:type="dxa"/>
              <w:bottom w:w="70" w:type="dxa"/>
              <w:right w:w="110" w:type="dxa"/>
            </w:tcMar>
            <w:vAlign w:val="center"/>
          </w:tcPr>
          <w:p w14:paraId="101E942D" w14:textId="77777777" w:rsidR="00E33D27" w:rsidRDefault="00000000">
            <w:pPr>
              <w:spacing w:before="40" w:after="40" w:line="250" w:lineRule="auto"/>
            </w:pPr>
            <w:r>
              <w:rPr>
                <w:sz w:val="15"/>
                <w:szCs w:val="15"/>
              </w:rPr>
              <w:t>Patent appeals centralised — the trigger of the pro-patent era</w:t>
            </w:r>
          </w:p>
        </w:tc>
      </w:tr>
      <w:tr w:rsidR="00E33D27" w14:paraId="50339AB5"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7C4E458D" w14:textId="77777777" w:rsidR="00E33D27" w:rsidRDefault="00000000">
            <w:pPr>
              <w:spacing w:before="40" w:after="40" w:line="250" w:lineRule="auto"/>
            </w:pPr>
            <w:r>
              <w:rPr>
                <w:b/>
                <w:bCs/>
                <w:sz w:val="15"/>
                <w:szCs w:val="15"/>
              </w:rPr>
              <w:t>TRIPS; UDRP; India's National IPR Policy</w:t>
            </w:r>
          </w:p>
        </w:tc>
        <w:tc>
          <w:tcPr>
            <w:tcW w:w="2200" w:type="dxa"/>
            <w:shd w:val="clear" w:color="auto" w:fill="FFFFFF"/>
            <w:tcMar>
              <w:top w:w="70" w:type="dxa"/>
              <w:left w:w="110" w:type="dxa"/>
              <w:bottom w:w="70" w:type="dxa"/>
              <w:right w:w="110" w:type="dxa"/>
            </w:tcMar>
            <w:vAlign w:val="center"/>
          </w:tcPr>
          <w:p w14:paraId="61CF3A98" w14:textId="77777777" w:rsidR="00E33D27" w:rsidRDefault="00000000">
            <w:pPr>
              <w:spacing w:before="40" w:after="40" w:line="250" w:lineRule="auto"/>
            </w:pPr>
            <w:r>
              <w:rPr>
                <w:sz w:val="15"/>
                <w:szCs w:val="15"/>
              </w:rPr>
              <w:t>1994; 1999; 2016</w:t>
            </w:r>
          </w:p>
        </w:tc>
        <w:tc>
          <w:tcPr>
            <w:tcW w:w="4780" w:type="dxa"/>
            <w:shd w:val="clear" w:color="auto" w:fill="FFFFFF"/>
            <w:tcMar>
              <w:top w:w="70" w:type="dxa"/>
              <w:left w:w="110" w:type="dxa"/>
              <w:bottom w:w="70" w:type="dxa"/>
              <w:right w:w="110" w:type="dxa"/>
            </w:tcMar>
            <w:vAlign w:val="center"/>
          </w:tcPr>
          <w:p w14:paraId="6607B18F" w14:textId="77777777" w:rsidR="00E33D27" w:rsidRDefault="00000000">
            <w:pPr>
              <w:spacing w:before="40" w:after="40" w:line="250" w:lineRule="auto"/>
            </w:pPr>
            <w:r>
              <w:rPr>
                <w:sz w:val="15"/>
                <w:szCs w:val="15"/>
              </w:rPr>
              <w:t>Global minimum standards; domain-name dispute machinery; seven national objectives under DPIIT</w:t>
            </w:r>
          </w:p>
        </w:tc>
      </w:tr>
      <w:tr w:rsidR="00E33D27" w14:paraId="553083C3"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66C2F0D6" w14:textId="77777777" w:rsidR="00E33D27" w:rsidRDefault="00000000">
            <w:pPr>
              <w:spacing w:before="40" w:after="40" w:line="250" w:lineRule="auto"/>
            </w:pPr>
            <w:r>
              <w:rPr>
                <w:b/>
                <w:bCs/>
                <w:sz w:val="15"/>
                <w:szCs w:val="15"/>
              </w:rPr>
              <w:t>Stanford – Google PageRank</w:t>
            </w:r>
          </w:p>
        </w:tc>
        <w:tc>
          <w:tcPr>
            <w:tcW w:w="2200" w:type="dxa"/>
            <w:shd w:val="clear" w:color="auto" w:fill="F3F4F6"/>
            <w:tcMar>
              <w:top w:w="70" w:type="dxa"/>
              <w:left w:w="110" w:type="dxa"/>
              <w:bottom w:w="70" w:type="dxa"/>
              <w:right w:w="110" w:type="dxa"/>
            </w:tcMar>
            <w:vAlign w:val="center"/>
          </w:tcPr>
          <w:p w14:paraId="5F9E2ED6" w14:textId="77777777" w:rsidR="00E33D27" w:rsidRDefault="00000000">
            <w:pPr>
              <w:spacing w:before="40" w:after="40" w:line="250" w:lineRule="auto"/>
            </w:pPr>
            <w:r>
              <w:rPr>
                <w:sz w:val="15"/>
                <w:szCs w:val="15"/>
              </w:rPr>
              <w:t>USD 336 million, 2005</w:t>
            </w:r>
          </w:p>
        </w:tc>
        <w:tc>
          <w:tcPr>
            <w:tcW w:w="4780" w:type="dxa"/>
            <w:shd w:val="clear" w:color="auto" w:fill="F3F4F6"/>
            <w:tcMar>
              <w:top w:w="70" w:type="dxa"/>
              <w:left w:w="110" w:type="dxa"/>
              <w:bottom w:w="70" w:type="dxa"/>
              <w:right w:w="110" w:type="dxa"/>
            </w:tcMar>
            <w:vAlign w:val="center"/>
          </w:tcPr>
          <w:p w14:paraId="5277B390" w14:textId="77777777" w:rsidR="00E33D27" w:rsidRDefault="00000000">
            <w:pPr>
              <w:spacing w:before="40" w:after="40" w:line="250" w:lineRule="auto"/>
            </w:pPr>
            <w:r>
              <w:rPr>
                <w:sz w:val="15"/>
                <w:szCs w:val="15"/>
              </w:rPr>
              <w:t>1.8 million shares taken instead of a royalty, then sold</w:t>
            </w:r>
          </w:p>
        </w:tc>
      </w:tr>
      <w:tr w:rsidR="00E33D27" w14:paraId="18EAB17F"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413BB19F" w14:textId="77777777" w:rsidR="00E33D27" w:rsidRDefault="00000000">
            <w:pPr>
              <w:spacing w:before="40" w:after="40" w:line="250" w:lineRule="auto"/>
            </w:pPr>
            <w:r>
              <w:rPr>
                <w:b/>
                <w:bCs/>
                <w:sz w:val="15"/>
                <w:szCs w:val="15"/>
              </w:rPr>
              <w:t>Cohen–Boyer patents</w:t>
            </w:r>
          </w:p>
        </w:tc>
        <w:tc>
          <w:tcPr>
            <w:tcW w:w="2200" w:type="dxa"/>
            <w:shd w:val="clear" w:color="auto" w:fill="FFFFFF"/>
            <w:tcMar>
              <w:top w:w="70" w:type="dxa"/>
              <w:left w:w="110" w:type="dxa"/>
              <w:bottom w:w="70" w:type="dxa"/>
              <w:right w:w="110" w:type="dxa"/>
            </w:tcMar>
            <w:vAlign w:val="center"/>
          </w:tcPr>
          <w:p w14:paraId="2A19FC2D" w14:textId="77777777" w:rsidR="00E33D27" w:rsidRDefault="00000000">
            <w:pPr>
              <w:spacing w:before="40" w:after="40" w:line="250" w:lineRule="auto"/>
            </w:pPr>
            <w:r>
              <w:rPr>
                <w:sz w:val="15"/>
                <w:szCs w:val="15"/>
              </w:rPr>
              <w:t>USD 255 m licensing; 468 licensees; ~USD 35 bn product sales</w:t>
            </w:r>
          </w:p>
        </w:tc>
        <w:tc>
          <w:tcPr>
            <w:tcW w:w="4780" w:type="dxa"/>
            <w:shd w:val="clear" w:color="auto" w:fill="FFFFFF"/>
            <w:tcMar>
              <w:top w:w="70" w:type="dxa"/>
              <w:left w:w="110" w:type="dxa"/>
              <w:bottom w:w="70" w:type="dxa"/>
              <w:right w:w="110" w:type="dxa"/>
            </w:tcMar>
            <w:vAlign w:val="center"/>
          </w:tcPr>
          <w:p w14:paraId="41EC14E7" w14:textId="77777777" w:rsidR="00E33D27" w:rsidRDefault="00000000">
            <w:pPr>
              <w:spacing w:before="40" w:after="40" w:line="250" w:lineRule="auto"/>
            </w:pPr>
            <w:r>
              <w:rPr>
                <w:sz w:val="15"/>
                <w:szCs w:val="15"/>
              </w:rPr>
              <w:t>Revenue to Stanford and the University of California to end-2001</w:t>
            </w:r>
          </w:p>
        </w:tc>
      </w:tr>
      <w:tr w:rsidR="00E33D27" w14:paraId="66AF6487"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7EA804DD" w14:textId="77777777" w:rsidR="00E33D27" w:rsidRDefault="00000000">
            <w:pPr>
              <w:spacing w:before="40" w:after="40" w:line="250" w:lineRule="auto"/>
            </w:pPr>
            <w:r>
              <w:rPr>
                <w:b/>
                <w:bCs/>
                <w:sz w:val="15"/>
                <w:szCs w:val="15"/>
              </w:rPr>
              <w:t>MIT, FY2025</w:t>
            </w:r>
          </w:p>
        </w:tc>
        <w:tc>
          <w:tcPr>
            <w:tcW w:w="2200" w:type="dxa"/>
            <w:shd w:val="clear" w:color="auto" w:fill="F3F4F6"/>
            <w:tcMar>
              <w:top w:w="70" w:type="dxa"/>
              <w:left w:w="110" w:type="dxa"/>
              <w:bottom w:w="70" w:type="dxa"/>
              <w:right w:w="110" w:type="dxa"/>
            </w:tcMar>
            <w:vAlign w:val="center"/>
          </w:tcPr>
          <w:p w14:paraId="0ECF872D" w14:textId="77777777" w:rsidR="00E33D27" w:rsidRDefault="00000000">
            <w:pPr>
              <w:spacing w:before="40" w:after="40" w:line="250" w:lineRule="auto"/>
            </w:pPr>
            <w:r>
              <w:rPr>
                <w:sz w:val="15"/>
                <w:szCs w:val="15"/>
              </w:rPr>
              <w:t>USD 60.9 m licence revenue; ~53% of portfolio licensed or optioned</w:t>
            </w:r>
          </w:p>
        </w:tc>
        <w:tc>
          <w:tcPr>
            <w:tcW w:w="4780" w:type="dxa"/>
            <w:shd w:val="clear" w:color="auto" w:fill="F3F4F6"/>
            <w:tcMar>
              <w:top w:w="70" w:type="dxa"/>
              <w:left w:w="110" w:type="dxa"/>
              <w:bottom w:w="70" w:type="dxa"/>
              <w:right w:w="110" w:type="dxa"/>
            </w:tcMar>
            <w:vAlign w:val="center"/>
          </w:tcPr>
          <w:p w14:paraId="4A818A9C" w14:textId="77777777" w:rsidR="00E33D27" w:rsidRDefault="00000000">
            <w:pPr>
              <w:spacing w:before="40" w:after="40" w:line="250" w:lineRule="auto"/>
            </w:pPr>
            <w:r>
              <w:rPr>
                <w:sz w:val="15"/>
                <w:szCs w:val="15"/>
              </w:rPr>
              <w:t>Against research of roughly USD 880 million — conversion, not accumulation</w:t>
            </w:r>
          </w:p>
        </w:tc>
      </w:tr>
      <w:tr w:rsidR="00E33D27" w14:paraId="62D18F21"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71B0716C" w14:textId="77777777" w:rsidR="00E33D27" w:rsidRDefault="00000000">
            <w:pPr>
              <w:spacing w:before="40" w:after="40" w:line="250" w:lineRule="auto"/>
            </w:pPr>
            <w:r>
              <w:rPr>
                <w:b/>
                <w:bCs/>
                <w:sz w:val="15"/>
                <w:szCs w:val="15"/>
              </w:rPr>
              <w:t>IIT Kharagpur</w:t>
            </w:r>
          </w:p>
        </w:tc>
        <w:tc>
          <w:tcPr>
            <w:tcW w:w="2200" w:type="dxa"/>
            <w:shd w:val="clear" w:color="auto" w:fill="FFFFFF"/>
            <w:tcMar>
              <w:top w:w="70" w:type="dxa"/>
              <w:left w:w="110" w:type="dxa"/>
              <w:bottom w:w="70" w:type="dxa"/>
              <w:right w:w="110" w:type="dxa"/>
            </w:tcMar>
            <w:vAlign w:val="center"/>
          </w:tcPr>
          <w:p w14:paraId="18FC2908" w14:textId="77777777" w:rsidR="00E33D27" w:rsidRDefault="00000000">
            <w:pPr>
              <w:spacing w:before="40" w:after="40" w:line="250" w:lineRule="auto"/>
            </w:pPr>
            <w:r>
              <w:rPr>
                <w:sz w:val="15"/>
                <w:szCs w:val="15"/>
              </w:rPr>
              <w:t>~450 filed, 120 granted, 7 licensed, ~60 transfers</w:t>
            </w:r>
          </w:p>
        </w:tc>
        <w:tc>
          <w:tcPr>
            <w:tcW w:w="4780" w:type="dxa"/>
            <w:shd w:val="clear" w:color="auto" w:fill="FFFFFF"/>
            <w:tcMar>
              <w:top w:w="70" w:type="dxa"/>
              <w:left w:w="110" w:type="dxa"/>
              <w:bottom w:w="70" w:type="dxa"/>
              <w:right w:w="110" w:type="dxa"/>
            </w:tcMar>
            <w:vAlign w:val="center"/>
          </w:tcPr>
          <w:p w14:paraId="1CBEE7DB" w14:textId="77777777" w:rsidR="00E33D27" w:rsidRDefault="00000000">
            <w:pPr>
              <w:spacing w:before="40" w:after="40" w:line="250" w:lineRule="auto"/>
            </w:pPr>
            <w:r>
              <w:rPr>
                <w:sz w:val="15"/>
                <w:szCs w:val="15"/>
              </w:rPr>
              <w:t>Cumulative snapshot; note the licence-to-grant ratio</w:t>
            </w:r>
          </w:p>
        </w:tc>
      </w:tr>
      <w:tr w:rsidR="00E33D27" w14:paraId="2DC1872E"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1C6CC546" w14:textId="77777777" w:rsidR="00E33D27" w:rsidRDefault="00000000">
            <w:pPr>
              <w:spacing w:before="40" w:after="40" w:line="250" w:lineRule="auto"/>
            </w:pPr>
            <w:r>
              <w:rPr>
                <w:b/>
                <w:bCs/>
                <w:sz w:val="15"/>
                <w:szCs w:val="15"/>
              </w:rPr>
              <w:t>AUTM United States, FY2024</w:t>
            </w:r>
          </w:p>
        </w:tc>
        <w:tc>
          <w:tcPr>
            <w:tcW w:w="2200" w:type="dxa"/>
            <w:shd w:val="clear" w:color="auto" w:fill="F3F4F6"/>
            <w:tcMar>
              <w:top w:w="70" w:type="dxa"/>
              <w:left w:w="110" w:type="dxa"/>
              <w:bottom w:w="70" w:type="dxa"/>
              <w:right w:w="110" w:type="dxa"/>
            </w:tcMar>
            <w:vAlign w:val="center"/>
          </w:tcPr>
          <w:p w14:paraId="13D8D192" w14:textId="77777777" w:rsidR="00E33D27" w:rsidRDefault="00000000">
            <w:pPr>
              <w:spacing w:before="40" w:after="40" w:line="250" w:lineRule="auto"/>
            </w:pPr>
            <w:r>
              <w:rPr>
                <w:sz w:val="15"/>
                <w:szCs w:val="15"/>
              </w:rPr>
              <w:t>26,196 disclosures; 9,507 licences; 775 products; USD 109.7 bn research</w:t>
            </w:r>
          </w:p>
        </w:tc>
        <w:tc>
          <w:tcPr>
            <w:tcW w:w="4780" w:type="dxa"/>
            <w:shd w:val="clear" w:color="auto" w:fill="F3F4F6"/>
            <w:tcMar>
              <w:top w:w="70" w:type="dxa"/>
              <w:left w:w="110" w:type="dxa"/>
              <w:bottom w:w="70" w:type="dxa"/>
              <w:right w:w="110" w:type="dxa"/>
            </w:tcMar>
            <w:vAlign w:val="center"/>
          </w:tcPr>
          <w:p w14:paraId="7FEC77EC" w14:textId="77777777" w:rsidR="00E33D27" w:rsidRDefault="00000000">
            <w:pPr>
              <w:spacing w:before="40" w:after="40" w:line="250" w:lineRule="auto"/>
            </w:pPr>
            <w:r>
              <w:rPr>
                <w:sz w:val="15"/>
                <w:szCs w:val="15"/>
              </w:rPr>
              <w:t>The funnel in aggregate</w:t>
            </w:r>
          </w:p>
        </w:tc>
      </w:tr>
      <w:tr w:rsidR="00E33D27" w14:paraId="59A1B854"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746BBFA8" w14:textId="77777777" w:rsidR="00E33D27" w:rsidRDefault="00000000">
            <w:pPr>
              <w:spacing w:before="40" w:after="40" w:line="250" w:lineRule="auto"/>
            </w:pPr>
            <w:r>
              <w:rPr>
                <w:b/>
                <w:bCs/>
                <w:sz w:val="15"/>
                <w:szCs w:val="15"/>
              </w:rPr>
              <w:t>Academic aggregate (2023)</w:t>
            </w:r>
          </w:p>
        </w:tc>
        <w:tc>
          <w:tcPr>
            <w:tcW w:w="2200" w:type="dxa"/>
            <w:shd w:val="clear" w:color="auto" w:fill="FFFFFF"/>
            <w:tcMar>
              <w:top w:w="70" w:type="dxa"/>
              <w:left w:w="110" w:type="dxa"/>
              <w:bottom w:w="70" w:type="dxa"/>
              <w:right w:w="110" w:type="dxa"/>
            </w:tcMar>
            <w:vAlign w:val="center"/>
          </w:tcPr>
          <w:p w14:paraId="64A488F7" w14:textId="77777777" w:rsidR="00E33D27" w:rsidRDefault="00000000">
            <w:pPr>
              <w:spacing w:before="40" w:after="40" w:line="250" w:lineRule="auto"/>
            </w:pPr>
            <w:r>
              <w:rPr>
                <w:sz w:val="15"/>
                <w:szCs w:val="15"/>
              </w:rPr>
              <w:t>USD 104 bn research; 25,000+ disclosures; USD 3.6 bn income; 714 products</w:t>
            </w:r>
          </w:p>
        </w:tc>
        <w:tc>
          <w:tcPr>
            <w:tcW w:w="4780" w:type="dxa"/>
            <w:shd w:val="clear" w:color="auto" w:fill="FFFFFF"/>
            <w:tcMar>
              <w:top w:w="70" w:type="dxa"/>
              <w:left w:w="110" w:type="dxa"/>
              <w:bottom w:w="70" w:type="dxa"/>
              <w:right w:w="110" w:type="dxa"/>
            </w:tcMar>
            <w:vAlign w:val="center"/>
          </w:tcPr>
          <w:p w14:paraId="17274C2A" w14:textId="77777777" w:rsidR="00E33D27" w:rsidRDefault="00000000">
            <w:pPr>
              <w:spacing w:before="40" w:after="40" w:line="250" w:lineRule="auto"/>
            </w:pPr>
            <w:r>
              <w:rPr>
                <w:sz w:val="15"/>
                <w:szCs w:val="15"/>
              </w:rPr>
              <w:t>Licence income is about 3.5% of research spend — a mission strategy with a revenue by-product</w:t>
            </w:r>
          </w:p>
        </w:tc>
      </w:tr>
      <w:tr w:rsidR="00E33D27" w14:paraId="623194EF"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2C295CE3" w14:textId="77777777" w:rsidR="00E33D27" w:rsidRDefault="00000000">
            <w:pPr>
              <w:spacing w:before="40" w:after="40" w:line="250" w:lineRule="auto"/>
            </w:pPr>
            <w:r>
              <w:rPr>
                <w:b/>
                <w:bCs/>
                <w:sz w:val="15"/>
                <w:szCs w:val="15"/>
              </w:rPr>
              <w:t>Intangibles, share of S&amp;P 500</w:t>
            </w:r>
          </w:p>
        </w:tc>
        <w:tc>
          <w:tcPr>
            <w:tcW w:w="2200" w:type="dxa"/>
            <w:shd w:val="clear" w:color="auto" w:fill="F3F4F6"/>
            <w:tcMar>
              <w:top w:w="70" w:type="dxa"/>
              <w:left w:w="110" w:type="dxa"/>
              <w:bottom w:w="70" w:type="dxa"/>
              <w:right w:w="110" w:type="dxa"/>
            </w:tcMar>
            <w:vAlign w:val="center"/>
          </w:tcPr>
          <w:p w14:paraId="49DD394B" w14:textId="77777777" w:rsidR="00E33D27" w:rsidRDefault="00000000">
            <w:pPr>
              <w:spacing w:before="40" w:after="40" w:line="250" w:lineRule="auto"/>
            </w:pPr>
            <w:r>
              <w:rPr>
                <w:sz w:val="15"/>
                <w:szCs w:val="15"/>
              </w:rPr>
              <w:t>17% (1975) → 68% (1995) → 90% (2020)</w:t>
            </w:r>
          </w:p>
        </w:tc>
        <w:tc>
          <w:tcPr>
            <w:tcW w:w="4780" w:type="dxa"/>
            <w:shd w:val="clear" w:color="auto" w:fill="F3F4F6"/>
            <w:tcMar>
              <w:top w:w="70" w:type="dxa"/>
              <w:left w:w="110" w:type="dxa"/>
              <w:bottom w:w="70" w:type="dxa"/>
              <w:right w:w="110" w:type="dxa"/>
            </w:tcMar>
            <w:vAlign w:val="center"/>
          </w:tcPr>
          <w:p w14:paraId="46EBE15D" w14:textId="77777777" w:rsidR="00E33D27" w:rsidRDefault="00000000">
            <w:pPr>
              <w:spacing w:before="40" w:after="40" w:line="250" w:lineRule="auto"/>
            </w:pPr>
            <w:r>
              <w:rPr>
                <w:sz w:val="15"/>
                <w:szCs w:val="15"/>
              </w:rPr>
              <w:t>Ocean Tomo; cite 90% for 2020 as the safe benchmark</w:t>
            </w:r>
          </w:p>
        </w:tc>
      </w:tr>
      <w:tr w:rsidR="00E33D27" w14:paraId="4DEE46CD"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232B8119" w14:textId="77777777" w:rsidR="00E33D27" w:rsidRDefault="00000000">
            <w:pPr>
              <w:spacing w:before="40" w:after="40" w:line="250" w:lineRule="auto"/>
            </w:pPr>
            <w:r>
              <w:rPr>
                <w:b/>
                <w:bCs/>
                <w:sz w:val="15"/>
                <w:szCs w:val="15"/>
              </w:rPr>
              <w:t>Extra citation per patent</w:t>
            </w:r>
          </w:p>
        </w:tc>
        <w:tc>
          <w:tcPr>
            <w:tcW w:w="2200" w:type="dxa"/>
            <w:shd w:val="clear" w:color="auto" w:fill="FFFFFF"/>
            <w:tcMar>
              <w:top w:w="70" w:type="dxa"/>
              <w:left w:w="110" w:type="dxa"/>
              <w:bottom w:w="70" w:type="dxa"/>
              <w:right w:w="110" w:type="dxa"/>
            </w:tcMar>
            <w:vAlign w:val="center"/>
          </w:tcPr>
          <w:p w14:paraId="5704619D" w14:textId="77777777" w:rsidR="00E33D27" w:rsidRDefault="00000000">
            <w:pPr>
              <w:spacing w:before="40" w:after="40" w:line="250" w:lineRule="auto"/>
            </w:pPr>
            <w:r>
              <w:rPr>
                <w:sz w:val="15"/>
                <w:szCs w:val="15"/>
              </w:rPr>
              <w:t>+3% market value; 20+ citations ≈ 54% premium</w:t>
            </w:r>
          </w:p>
        </w:tc>
        <w:tc>
          <w:tcPr>
            <w:tcW w:w="4780" w:type="dxa"/>
            <w:shd w:val="clear" w:color="auto" w:fill="FFFFFF"/>
            <w:tcMar>
              <w:top w:w="70" w:type="dxa"/>
              <w:left w:w="110" w:type="dxa"/>
              <w:bottom w:w="70" w:type="dxa"/>
              <w:right w:w="110" w:type="dxa"/>
            </w:tcMar>
            <w:vAlign w:val="center"/>
          </w:tcPr>
          <w:p w14:paraId="5E21B374" w14:textId="77777777" w:rsidR="00E33D27" w:rsidRDefault="00000000">
            <w:pPr>
              <w:spacing w:before="40" w:after="40" w:line="250" w:lineRule="auto"/>
            </w:pPr>
            <w:r>
              <w:rPr>
                <w:sz w:val="15"/>
                <w:szCs w:val="15"/>
              </w:rPr>
              <w:t>Hall, Jaffe and Trajtenberg — the market prices quality, not count</w:t>
            </w:r>
          </w:p>
        </w:tc>
      </w:tr>
      <w:tr w:rsidR="00E33D27" w14:paraId="53B6E26F"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491F0242" w14:textId="77777777" w:rsidR="00E33D27" w:rsidRDefault="00000000">
            <w:pPr>
              <w:spacing w:before="40" w:after="40" w:line="250" w:lineRule="auto"/>
            </w:pPr>
            <w:r>
              <w:rPr>
                <w:b/>
                <w:bCs/>
                <w:sz w:val="15"/>
                <w:szCs w:val="15"/>
              </w:rPr>
              <w:lastRenderedPageBreak/>
              <w:t>IP-intensive industries, United States</w:t>
            </w:r>
          </w:p>
        </w:tc>
        <w:tc>
          <w:tcPr>
            <w:tcW w:w="2200" w:type="dxa"/>
            <w:shd w:val="clear" w:color="auto" w:fill="F3F4F6"/>
            <w:tcMar>
              <w:top w:w="70" w:type="dxa"/>
              <w:left w:w="110" w:type="dxa"/>
              <w:bottom w:w="70" w:type="dxa"/>
              <w:right w:w="110" w:type="dxa"/>
            </w:tcMar>
            <w:vAlign w:val="center"/>
          </w:tcPr>
          <w:p w14:paraId="45A68B5F" w14:textId="77777777" w:rsidR="00E33D27" w:rsidRDefault="00000000">
            <w:pPr>
              <w:spacing w:before="40" w:after="40" w:line="250" w:lineRule="auto"/>
            </w:pPr>
            <w:r>
              <w:rPr>
                <w:sz w:val="15"/>
                <w:szCs w:val="15"/>
              </w:rPr>
              <w:t>41% of GDP; 44% of employment (2019)</w:t>
            </w:r>
          </w:p>
        </w:tc>
        <w:tc>
          <w:tcPr>
            <w:tcW w:w="4780" w:type="dxa"/>
            <w:shd w:val="clear" w:color="auto" w:fill="F3F4F6"/>
            <w:tcMar>
              <w:top w:w="70" w:type="dxa"/>
              <w:left w:w="110" w:type="dxa"/>
              <w:bottom w:w="70" w:type="dxa"/>
              <w:right w:w="110" w:type="dxa"/>
            </w:tcMar>
            <w:vAlign w:val="center"/>
          </w:tcPr>
          <w:p w14:paraId="213D9CD9" w14:textId="77777777" w:rsidR="00E33D27" w:rsidRDefault="00000000">
            <w:pPr>
              <w:spacing w:before="40" w:after="40" w:line="250" w:lineRule="auto"/>
            </w:pPr>
            <w:r>
              <w:rPr>
                <w:sz w:val="15"/>
                <w:szCs w:val="15"/>
              </w:rPr>
              <w:t>USPTO 3rd edn, 2022 — the corrected version of the “27%” claim (27.7% on 2010 data)</w:t>
            </w:r>
          </w:p>
        </w:tc>
      </w:tr>
      <w:tr w:rsidR="00E33D27" w14:paraId="022B73F9"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2A199F9B" w14:textId="77777777" w:rsidR="00E33D27" w:rsidRDefault="00000000">
            <w:pPr>
              <w:spacing w:before="40" w:after="40" w:line="250" w:lineRule="auto"/>
            </w:pPr>
            <w:r>
              <w:rPr>
                <w:b/>
                <w:bCs/>
                <w:sz w:val="15"/>
                <w:szCs w:val="15"/>
              </w:rPr>
              <w:t>Value concentration in a portfolio</w:t>
            </w:r>
          </w:p>
        </w:tc>
        <w:tc>
          <w:tcPr>
            <w:tcW w:w="2200" w:type="dxa"/>
            <w:shd w:val="clear" w:color="auto" w:fill="FFFFFF"/>
            <w:tcMar>
              <w:top w:w="70" w:type="dxa"/>
              <w:left w:w="110" w:type="dxa"/>
              <w:bottom w:w="70" w:type="dxa"/>
              <w:right w:w="110" w:type="dxa"/>
            </w:tcMar>
            <w:vAlign w:val="center"/>
          </w:tcPr>
          <w:p w14:paraId="340CCAA3" w14:textId="77777777" w:rsidR="00E33D27" w:rsidRDefault="00000000">
            <w:pPr>
              <w:spacing w:before="40" w:after="40" w:line="250" w:lineRule="auto"/>
            </w:pPr>
            <w:r>
              <w:rPr>
                <w:sz w:val="15"/>
                <w:szCs w:val="15"/>
              </w:rPr>
              <w:t>Top 10% holds ~80–85%</w:t>
            </w:r>
          </w:p>
        </w:tc>
        <w:tc>
          <w:tcPr>
            <w:tcW w:w="4780" w:type="dxa"/>
            <w:shd w:val="clear" w:color="auto" w:fill="FFFFFF"/>
            <w:tcMar>
              <w:top w:w="70" w:type="dxa"/>
              <w:left w:w="110" w:type="dxa"/>
              <w:bottom w:w="70" w:type="dxa"/>
              <w:right w:w="110" w:type="dxa"/>
            </w:tcMar>
            <w:vAlign w:val="center"/>
          </w:tcPr>
          <w:p w14:paraId="69C69412" w14:textId="77777777" w:rsidR="00E33D27" w:rsidRDefault="00000000">
            <w:pPr>
              <w:spacing w:before="40" w:after="40" w:line="250" w:lineRule="auto"/>
            </w:pPr>
            <w:r>
              <w:rPr>
                <w:sz w:val="15"/>
                <w:szCs w:val="15"/>
              </w:rPr>
              <w:t>Scherer &amp; Harhoff (2000); PatVal-EU (2005): only ~7% worth over €10 m</w:t>
            </w:r>
          </w:p>
        </w:tc>
      </w:tr>
      <w:tr w:rsidR="00E33D27" w14:paraId="778A099B"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580CCD7B" w14:textId="77777777" w:rsidR="00E33D27" w:rsidRDefault="00000000">
            <w:pPr>
              <w:spacing w:before="40" w:after="40" w:line="250" w:lineRule="auto"/>
            </w:pPr>
            <w:r>
              <w:rPr>
                <w:b/>
                <w:bCs/>
                <w:sz w:val="15"/>
                <w:szCs w:val="15"/>
              </w:rPr>
              <w:t>Global patent filings</w:t>
            </w:r>
          </w:p>
        </w:tc>
        <w:tc>
          <w:tcPr>
            <w:tcW w:w="2200" w:type="dxa"/>
            <w:shd w:val="clear" w:color="auto" w:fill="F3F4F6"/>
            <w:tcMar>
              <w:top w:w="70" w:type="dxa"/>
              <w:left w:w="110" w:type="dxa"/>
              <w:bottom w:w="70" w:type="dxa"/>
              <w:right w:w="110" w:type="dxa"/>
            </w:tcMar>
            <w:vAlign w:val="center"/>
          </w:tcPr>
          <w:p w14:paraId="7E33C019" w14:textId="77777777" w:rsidR="00E33D27" w:rsidRDefault="00000000">
            <w:pPr>
              <w:spacing w:before="40" w:after="40" w:line="250" w:lineRule="auto"/>
            </w:pPr>
            <w:r>
              <w:rPr>
                <w:sz w:val="15"/>
                <w:szCs w:val="15"/>
              </w:rPr>
              <w:t>3.5 m (2023) → 3.7 m (2024)</w:t>
            </w:r>
          </w:p>
        </w:tc>
        <w:tc>
          <w:tcPr>
            <w:tcW w:w="4780" w:type="dxa"/>
            <w:shd w:val="clear" w:color="auto" w:fill="F3F4F6"/>
            <w:tcMar>
              <w:top w:w="70" w:type="dxa"/>
              <w:left w:w="110" w:type="dxa"/>
              <w:bottom w:w="70" w:type="dxa"/>
              <w:right w:w="110" w:type="dxa"/>
            </w:tcMar>
            <w:vAlign w:val="center"/>
          </w:tcPr>
          <w:p w14:paraId="225D7CD0" w14:textId="77777777" w:rsidR="00E33D27" w:rsidRDefault="00000000">
            <w:pPr>
              <w:spacing w:before="40" w:after="40" w:line="250" w:lineRule="auto"/>
            </w:pPr>
            <w:r>
              <w:rPr>
                <w:sz w:val="15"/>
                <w:szCs w:val="15"/>
              </w:rPr>
              <w:t>WIPO; +4.9%, the fastest growth since 2018</w:t>
            </w:r>
          </w:p>
        </w:tc>
      </w:tr>
      <w:tr w:rsidR="00E33D27" w14:paraId="78A24A31"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059F7B8B" w14:textId="77777777" w:rsidR="00E33D27" w:rsidRDefault="00000000">
            <w:pPr>
              <w:spacing w:before="40" w:after="40" w:line="250" w:lineRule="auto"/>
            </w:pPr>
            <w:r>
              <w:rPr>
                <w:b/>
                <w:bCs/>
                <w:sz w:val="15"/>
                <w:szCs w:val="15"/>
              </w:rPr>
              <w:t>Qualcomm licensing segment</w:t>
            </w:r>
          </w:p>
        </w:tc>
        <w:tc>
          <w:tcPr>
            <w:tcW w:w="2200" w:type="dxa"/>
            <w:shd w:val="clear" w:color="auto" w:fill="FFFFFF"/>
            <w:tcMar>
              <w:top w:w="70" w:type="dxa"/>
              <w:left w:w="110" w:type="dxa"/>
              <w:bottom w:w="70" w:type="dxa"/>
              <w:right w:w="110" w:type="dxa"/>
            </w:tcMar>
            <w:vAlign w:val="center"/>
          </w:tcPr>
          <w:p w14:paraId="52533D44" w14:textId="77777777" w:rsidR="00E33D27" w:rsidRDefault="00000000">
            <w:pPr>
              <w:spacing w:before="40" w:after="40" w:line="250" w:lineRule="auto"/>
            </w:pPr>
            <w:r>
              <w:rPr>
                <w:sz w:val="15"/>
                <w:szCs w:val="15"/>
              </w:rPr>
              <w:t>~USD 5.3 bn, ~68% pre-tax margin, FY2023</w:t>
            </w:r>
          </w:p>
        </w:tc>
        <w:tc>
          <w:tcPr>
            <w:tcW w:w="4780" w:type="dxa"/>
            <w:shd w:val="clear" w:color="auto" w:fill="FFFFFF"/>
            <w:tcMar>
              <w:top w:w="70" w:type="dxa"/>
              <w:left w:w="110" w:type="dxa"/>
              <w:bottom w:w="70" w:type="dxa"/>
              <w:right w:w="110" w:type="dxa"/>
            </w:tcMar>
            <w:vAlign w:val="center"/>
          </w:tcPr>
          <w:p w14:paraId="5E623544" w14:textId="77777777" w:rsidR="00E33D27" w:rsidRDefault="00000000">
            <w:pPr>
              <w:spacing w:before="40" w:after="40" w:line="250" w:lineRule="auto"/>
            </w:pPr>
            <w:r>
              <w:rPr>
                <w:sz w:val="15"/>
                <w:szCs w:val="15"/>
              </w:rPr>
              <w:t>The paradigm shift in one line item</w:t>
            </w:r>
          </w:p>
        </w:tc>
      </w:tr>
      <w:tr w:rsidR="00E33D27" w14:paraId="30C9C38A"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05052780" w14:textId="77777777" w:rsidR="00E33D27" w:rsidRDefault="00000000">
            <w:pPr>
              <w:spacing w:before="40" w:after="40" w:line="250" w:lineRule="auto"/>
            </w:pPr>
            <w:r>
              <w:rPr>
                <w:b/>
                <w:bCs/>
                <w:sz w:val="15"/>
                <w:szCs w:val="15"/>
              </w:rPr>
              <w:t>IBM IP and licensing income</w:t>
            </w:r>
          </w:p>
        </w:tc>
        <w:tc>
          <w:tcPr>
            <w:tcW w:w="2200" w:type="dxa"/>
            <w:shd w:val="clear" w:color="auto" w:fill="F3F4F6"/>
            <w:tcMar>
              <w:top w:w="70" w:type="dxa"/>
              <w:left w:w="110" w:type="dxa"/>
              <w:bottom w:w="70" w:type="dxa"/>
              <w:right w:w="110" w:type="dxa"/>
            </w:tcMar>
            <w:vAlign w:val="center"/>
          </w:tcPr>
          <w:p w14:paraId="31C909FB" w14:textId="77777777" w:rsidR="00E33D27" w:rsidRDefault="00000000">
            <w:pPr>
              <w:spacing w:before="40" w:after="40" w:line="250" w:lineRule="auto"/>
            </w:pPr>
            <w:r>
              <w:rPr>
                <w:sz w:val="15"/>
                <w:szCs w:val="15"/>
              </w:rPr>
              <w:t>~USD 1 bn a year; peak ~USD 1.7 bn in 2000</w:t>
            </w:r>
          </w:p>
        </w:tc>
        <w:tc>
          <w:tcPr>
            <w:tcW w:w="4780" w:type="dxa"/>
            <w:shd w:val="clear" w:color="auto" w:fill="F3F4F6"/>
            <w:tcMar>
              <w:top w:w="70" w:type="dxa"/>
              <w:left w:w="110" w:type="dxa"/>
              <w:bottom w:w="70" w:type="dxa"/>
              <w:right w:w="110" w:type="dxa"/>
            </w:tcMar>
            <w:vAlign w:val="center"/>
          </w:tcPr>
          <w:p w14:paraId="0890A9AB" w14:textId="77777777" w:rsidR="00E33D27" w:rsidRDefault="00000000">
            <w:pPr>
              <w:spacing w:before="40" w:after="40" w:line="250" w:lineRule="auto"/>
            </w:pPr>
            <w:r>
              <w:rPr>
                <w:sz w:val="15"/>
                <w:szCs w:val="15"/>
              </w:rPr>
              <w:t>Mixes patents, copyright, brand and know-how</w:t>
            </w:r>
          </w:p>
        </w:tc>
      </w:tr>
      <w:tr w:rsidR="00E33D27" w14:paraId="1DA4667C"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475F445F" w14:textId="77777777" w:rsidR="00E33D27" w:rsidRDefault="00000000">
            <w:pPr>
              <w:spacing w:before="40" w:after="40" w:line="250" w:lineRule="auto"/>
            </w:pPr>
            <w:r>
              <w:rPr>
                <w:b/>
                <w:bCs/>
                <w:sz w:val="15"/>
                <w:szCs w:val="15"/>
              </w:rPr>
              <w:t>Royalty band in the thumb rule</w:t>
            </w:r>
          </w:p>
        </w:tc>
        <w:tc>
          <w:tcPr>
            <w:tcW w:w="2200" w:type="dxa"/>
            <w:shd w:val="clear" w:color="auto" w:fill="FFFFFF"/>
            <w:tcMar>
              <w:top w:w="70" w:type="dxa"/>
              <w:left w:w="110" w:type="dxa"/>
              <w:bottom w:w="70" w:type="dxa"/>
              <w:right w:w="110" w:type="dxa"/>
            </w:tcMar>
            <w:vAlign w:val="center"/>
          </w:tcPr>
          <w:p w14:paraId="2CCED60B" w14:textId="77777777" w:rsidR="00E33D27" w:rsidRDefault="00000000">
            <w:pPr>
              <w:spacing w:before="40" w:after="40" w:line="250" w:lineRule="auto"/>
            </w:pPr>
            <w:r>
              <w:rPr>
                <w:sz w:val="15"/>
                <w:szCs w:val="15"/>
              </w:rPr>
              <w:t>LR floor 1–3%, ceiling 3–7%</w:t>
            </w:r>
          </w:p>
        </w:tc>
        <w:tc>
          <w:tcPr>
            <w:tcW w:w="4780" w:type="dxa"/>
            <w:shd w:val="clear" w:color="auto" w:fill="FFFFFF"/>
            <w:tcMar>
              <w:top w:w="70" w:type="dxa"/>
              <w:left w:w="110" w:type="dxa"/>
              <w:bottom w:w="70" w:type="dxa"/>
              <w:right w:w="110" w:type="dxa"/>
            </w:tcMar>
            <w:vAlign w:val="center"/>
          </w:tcPr>
          <w:p w14:paraId="15F61C32" w14:textId="77777777" w:rsidR="00E33D27" w:rsidRDefault="00000000">
            <w:pPr>
              <w:spacing w:before="40" w:after="40" w:line="250" w:lineRule="auto"/>
            </w:pPr>
            <w:r>
              <w:rPr>
                <w:sz w:val="15"/>
                <w:szCs w:val="15"/>
              </w:rPr>
              <w:t>Applied to AAFC, the annual ex-factory cost</w:t>
            </w:r>
          </w:p>
        </w:tc>
      </w:tr>
      <w:tr w:rsidR="00E33D27" w14:paraId="69D50321"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46FC5EFD" w14:textId="77777777" w:rsidR="00E33D27" w:rsidRDefault="00000000">
            <w:pPr>
              <w:spacing w:before="40" w:after="40" w:line="250" w:lineRule="auto"/>
            </w:pPr>
            <w:r>
              <w:rPr>
                <w:b/>
                <w:bCs/>
                <w:sz w:val="15"/>
                <w:szCs w:val="15"/>
              </w:rPr>
              <w:t>The 25% rule</w:t>
            </w:r>
          </w:p>
        </w:tc>
        <w:tc>
          <w:tcPr>
            <w:tcW w:w="2200" w:type="dxa"/>
            <w:shd w:val="clear" w:color="auto" w:fill="F3F4F6"/>
            <w:tcMar>
              <w:top w:w="70" w:type="dxa"/>
              <w:left w:w="110" w:type="dxa"/>
              <w:bottom w:w="70" w:type="dxa"/>
              <w:right w:w="110" w:type="dxa"/>
            </w:tcMar>
            <w:vAlign w:val="center"/>
          </w:tcPr>
          <w:p w14:paraId="5AD4F5BD" w14:textId="77777777" w:rsidR="00E33D27" w:rsidRDefault="00000000">
            <w:pPr>
              <w:spacing w:before="40" w:after="40" w:line="250" w:lineRule="auto"/>
            </w:pPr>
            <w:r>
              <w:rPr>
                <w:sz w:val="15"/>
                <w:szCs w:val="15"/>
              </w:rPr>
              <w:t>25% of licensee operating profit</w:t>
            </w:r>
          </w:p>
        </w:tc>
        <w:tc>
          <w:tcPr>
            <w:tcW w:w="4780" w:type="dxa"/>
            <w:shd w:val="clear" w:color="auto" w:fill="F3F4F6"/>
            <w:tcMar>
              <w:top w:w="70" w:type="dxa"/>
              <w:left w:w="110" w:type="dxa"/>
              <w:bottom w:w="70" w:type="dxa"/>
              <w:right w:w="110" w:type="dxa"/>
            </w:tcMar>
            <w:vAlign w:val="center"/>
          </w:tcPr>
          <w:p w14:paraId="36E427BB" w14:textId="77777777" w:rsidR="00E33D27" w:rsidRDefault="00000000">
            <w:pPr>
              <w:spacing w:before="40" w:after="40" w:line="250" w:lineRule="auto"/>
            </w:pPr>
            <w:r>
              <w:rPr>
                <w:sz w:val="15"/>
                <w:szCs w:val="15"/>
              </w:rPr>
              <w:t>A sanity check only; inadmissible as evidence after Uniloc (2011)</w:t>
            </w:r>
          </w:p>
        </w:tc>
      </w:tr>
      <w:tr w:rsidR="00E33D27" w14:paraId="6641F4B5"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2BE5ECCB" w14:textId="77777777" w:rsidR="00E33D27" w:rsidRDefault="00000000">
            <w:pPr>
              <w:spacing w:before="40" w:after="40" w:line="250" w:lineRule="auto"/>
            </w:pPr>
            <w:r>
              <w:rPr>
                <w:b/>
                <w:bCs/>
                <w:sz w:val="15"/>
                <w:szCs w:val="15"/>
              </w:rPr>
              <w:t>Patents for commercializing products</w:t>
            </w:r>
          </w:p>
        </w:tc>
        <w:tc>
          <w:tcPr>
            <w:tcW w:w="2200" w:type="dxa"/>
            <w:shd w:val="clear" w:color="auto" w:fill="FFFFFF"/>
            <w:tcMar>
              <w:top w:w="70" w:type="dxa"/>
              <w:left w:w="110" w:type="dxa"/>
              <w:bottom w:w="70" w:type="dxa"/>
              <w:right w:w="110" w:type="dxa"/>
            </w:tcMar>
            <w:vAlign w:val="center"/>
          </w:tcPr>
          <w:p w14:paraId="2EB9FF7D" w14:textId="77777777" w:rsidR="00E33D27" w:rsidRDefault="00000000">
            <w:pPr>
              <w:spacing w:before="40" w:after="40" w:line="250" w:lineRule="auto"/>
            </w:pPr>
            <w:r>
              <w:rPr>
                <w:sz w:val="15"/>
                <w:szCs w:val="15"/>
              </w:rPr>
              <w:t>Japan 3.3 / Sweden 1.9 / USA 2.0</w:t>
            </w:r>
          </w:p>
        </w:tc>
        <w:tc>
          <w:tcPr>
            <w:tcW w:w="4780" w:type="dxa"/>
            <w:shd w:val="clear" w:color="auto" w:fill="FFFFFF"/>
            <w:tcMar>
              <w:top w:w="70" w:type="dxa"/>
              <w:left w:w="110" w:type="dxa"/>
              <w:bottom w:w="70" w:type="dxa"/>
              <w:right w:w="110" w:type="dxa"/>
            </w:tcMar>
            <w:vAlign w:val="center"/>
          </w:tcPr>
          <w:p w14:paraId="308B2CC9" w14:textId="77777777" w:rsidR="00E33D27" w:rsidRDefault="00000000">
            <w:pPr>
              <w:spacing w:before="40" w:after="40" w:line="250" w:lineRule="auto"/>
            </w:pPr>
            <w:r>
              <w:rPr>
                <w:sz w:val="15"/>
                <w:szCs w:val="15"/>
              </w:rPr>
              <w:t>Patents rank first in Japan, near-last in the West; top limitation of patents 2.58 of 4 — invent-around</w:t>
            </w:r>
          </w:p>
        </w:tc>
      </w:tr>
      <w:tr w:rsidR="00E33D27" w14:paraId="41F00BB8"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0B55ADDB" w14:textId="77777777" w:rsidR="00E33D27" w:rsidRDefault="00000000">
            <w:pPr>
              <w:spacing w:before="40" w:after="40" w:line="250" w:lineRule="auto"/>
            </w:pPr>
            <w:r>
              <w:rPr>
                <w:b/>
                <w:bCs/>
                <w:sz w:val="15"/>
                <w:szCs w:val="15"/>
              </w:rPr>
              <w:t>Huawei</w:t>
            </w:r>
          </w:p>
        </w:tc>
        <w:tc>
          <w:tcPr>
            <w:tcW w:w="2200" w:type="dxa"/>
            <w:shd w:val="clear" w:color="auto" w:fill="F3F4F6"/>
            <w:tcMar>
              <w:top w:w="70" w:type="dxa"/>
              <w:left w:w="110" w:type="dxa"/>
              <w:bottom w:w="70" w:type="dxa"/>
              <w:right w:w="110" w:type="dxa"/>
            </w:tcMar>
            <w:vAlign w:val="center"/>
          </w:tcPr>
          <w:p w14:paraId="70FB65D3" w14:textId="77777777" w:rsidR="00E33D27" w:rsidRDefault="00000000">
            <w:pPr>
              <w:spacing w:before="40" w:after="40" w:line="250" w:lineRule="auto"/>
            </w:pPr>
            <w:r>
              <w:rPr>
                <w:sz w:val="15"/>
                <w:szCs w:val="15"/>
              </w:rPr>
              <w:t>165,000+ patents; 260+ licence agreements</w:t>
            </w:r>
          </w:p>
        </w:tc>
        <w:tc>
          <w:tcPr>
            <w:tcW w:w="4780" w:type="dxa"/>
            <w:shd w:val="clear" w:color="auto" w:fill="F3F4F6"/>
            <w:tcMar>
              <w:top w:w="70" w:type="dxa"/>
              <w:left w:w="110" w:type="dxa"/>
              <w:bottom w:w="70" w:type="dxa"/>
              <w:right w:w="110" w:type="dxa"/>
            </w:tcMar>
            <w:vAlign w:val="center"/>
          </w:tcPr>
          <w:p w14:paraId="777E437D" w14:textId="77777777" w:rsidR="00E33D27" w:rsidRDefault="00000000">
            <w:pPr>
              <w:spacing w:before="40" w:after="40" w:line="250" w:lineRule="auto"/>
            </w:pPr>
            <w:r>
              <w:rPr>
                <w:sz w:val="15"/>
                <w:szCs w:val="15"/>
              </w:rPr>
              <w:t>Active patents at end-2025; cross-licensing over twenty years</w:t>
            </w:r>
          </w:p>
        </w:tc>
      </w:tr>
      <w:tr w:rsidR="00E33D27" w14:paraId="086F9622"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30FE6EAE" w14:textId="77777777" w:rsidR="00E33D27" w:rsidRDefault="00000000">
            <w:pPr>
              <w:spacing w:before="40" w:after="40" w:line="250" w:lineRule="auto"/>
            </w:pPr>
            <w:r>
              <w:rPr>
                <w:b/>
                <w:bCs/>
                <w:sz w:val="15"/>
                <w:szCs w:val="15"/>
              </w:rPr>
              <w:t>Nakamura v. Nichia</w:t>
            </w:r>
          </w:p>
        </w:tc>
        <w:tc>
          <w:tcPr>
            <w:tcW w:w="2200" w:type="dxa"/>
            <w:shd w:val="clear" w:color="auto" w:fill="FFFFFF"/>
            <w:tcMar>
              <w:top w:w="70" w:type="dxa"/>
              <w:left w:w="110" w:type="dxa"/>
              <w:bottom w:w="70" w:type="dxa"/>
              <w:right w:w="110" w:type="dxa"/>
            </w:tcMar>
            <w:vAlign w:val="center"/>
          </w:tcPr>
          <w:p w14:paraId="2BE8E513" w14:textId="77777777" w:rsidR="00E33D27" w:rsidRDefault="00000000">
            <w:pPr>
              <w:spacing w:before="40" w:after="40" w:line="250" w:lineRule="auto"/>
            </w:pPr>
            <w:r>
              <w:rPr>
                <w:sz w:val="15"/>
                <w:szCs w:val="15"/>
              </w:rPr>
              <w:t>¥20 bn awarded 2004; settled ¥843 m in 2005</w:t>
            </w:r>
          </w:p>
        </w:tc>
        <w:tc>
          <w:tcPr>
            <w:tcW w:w="4780" w:type="dxa"/>
            <w:shd w:val="clear" w:color="auto" w:fill="FFFFFF"/>
            <w:tcMar>
              <w:top w:w="70" w:type="dxa"/>
              <w:left w:w="110" w:type="dxa"/>
              <w:bottom w:w="70" w:type="dxa"/>
              <w:right w:w="110" w:type="dxa"/>
            </w:tcMar>
            <w:vAlign w:val="center"/>
          </w:tcPr>
          <w:p w14:paraId="20A8D7E8" w14:textId="77777777" w:rsidR="00E33D27" w:rsidRDefault="00000000">
            <w:pPr>
              <w:spacing w:before="40" w:after="40" w:line="250" w:lineRule="auto"/>
            </w:pPr>
            <w:r>
              <w:rPr>
                <w:sz w:val="15"/>
                <w:szCs w:val="15"/>
              </w:rPr>
              <w:t>Drove the 2004 reform of Article 35 of Japan's Patent Act</w:t>
            </w:r>
          </w:p>
        </w:tc>
      </w:tr>
      <w:tr w:rsidR="00E33D27" w14:paraId="7AFD08C2"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3BDF4854" w14:textId="77777777" w:rsidR="00E33D27" w:rsidRDefault="00000000">
            <w:pPr>
              <w:spacing w:before="40" w:after="40" w:line="250" w:lineRule="auto"/>
            </w:pPr>
            <w:r>
              <w:rPr>
                <w:b/>
                <w:bCs/>
                <w:sz w:val="15"/>
                <w:szCs w:val="15"/>
              </w:rPr>
              <w:t>German university inventors</w:t>
            </w:r>
          </w:p>
        </w:tc>
        <w:tc>
          <w:tcPr>
            <w:tcW w:w="2200" w:type="dxa"/>
            <w:shd w:val="clear" w:color="auto" w:fill="F3F4F6"/>
            <w:tcMar>
              <w:top w:w="70" w:type="dxa"/>
              <w:left w:w="110" w:type="dxa"/>
              <w:bottom w:w="70" w:type="dxa"/>
              <w:right w:w="110" w:type="dxa"/>
            </w:tcMar>
            <w:vAlign w:val="center"/>
          </w:tcPr>
          <w:p w14:paraId="7FE69E45" w14:textId="77777777" w:rsidR="00E33D27" w:rsidRDefault="00000000">
            <w:pPr>
              <w:spacing w:before="40" w:after="40" w:line="250" w:lineRule="auto"/>
            </w:pPr>
            <w:r>
              <w:rPr>
                <w:sz w:val="15"/>
                <w:szCs w:val="15"/>
              </w:rPr>
              <w:t>30% of gross licensing income</w:t>
            </w:r>
          </w:p>
        </w:tc>
        <w:tc>
          <w:tcPr>
            <w:tcW w:w="4780" w:type="dxa"/>
            <w:shd w:val="clear" w:color="auto" w:fill="F3F4F6"/>
            <w:tcMar>
              <w:top w:w="70" w:type="dxa"/>
              <w:left w:w="110" w:type="dxa"/>
              <w:bottom w:w="70" w:type="dxa"/>
              <w:right w:w="110" w:type="dxa"/>
            </w:tcMar>
            <w:vAlign w:val="center"/>
          </w:tcPr>
          <w:p w14:paraId="4D52C283" w14:textId="77777777" w:rsidR="00E33D27" w:rsidRDefault="00000000">
            <w:pPr>
              <w:spacing w:before="40" w:after="40" w:line="250" w:lineRule="auto"/>
            </w:pPr>
            <w:r>
              <w:rPr>
                <w:sz w:val="15"/>
                <w:szCs w:val="15"/>
              </w:rPr>
              <w:t>§42 ArbnErfG — gross, not net</w:t>
            </w:r>
          </w:p>
        </w:tc>
      </w:tr>
      <w:tr w:rsidR="00E33D27" w14:paraId="3270FCB4"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5845ED44" w14:textId="77777777" w:rsidR="00E33D27" w:rsidRDefault="00000000">
            <w:pPr>
              <w:spacing w:before="40" w:after="40" w:line="250" w:lineRule="auto"/>
            </w:pPr>
            <w:r>
              <w:rPr>
                <w:b/>
                <w:bCs/>
                <w:sz w:val="15"/>
                <w:szCs w:val="15"/>
              </w:rPr>
              <w:t>IIT Bombay and IIT Delhi</w:t>
            </w:r>
          </w:p>
        </w:tc>
        <w:tc>
          <w:tcPr>
            <w:tcW w:w="2200" w:type="dxa"/>
            <w:shd w:val="clear" w:color="auto" w:fill="FFFFFF"/>
            <w:tcMar>
              <w:top w:w="70" w:type="dxa"/>
              <w:left w:w="110" w:type="dxa"/>
              <w:bottom w:w="70" w:type="dxa"/>
              <w:right w:w="110" w:type="dxa"/>
            </w:tcMar>
            <w:vAlign w:val="center"/>
          </w:tcPr>
          <w:p w14:paraId="0DAC2E09" w14:textId="77777777" w:rsidR="00E33D27" w:rsidRDefault="00000000">
            <w:pPr>
              <w:spacing w:before="40" w:after="40" w:line="250" w:lineRule="auto"/>
            </w:pPr>
            <w:r>
              <w:rPr>
                <w:sz w:val="15"/>
                <w:szCs w:val="15"/>
              </w:rPr>
              <w:t>70:30 of net royalty to the inventor</w:t>
            </w:r>
          </w:p>
        </w:tc>
        <w:tc>
          <w:tcPr>
            <w:tcW w:w="4780" w:type="dxa"/>
            <w:shd w:val="clear" w:color="auto" w:fill="FFFFFF"/>
            <w:tcMar>
              <w:top w:w="70" w:type="dxa"/>
              <w:left w:w="110" w:type="dxa"/>
              <w:bottom w:w="70" w:type="dxa"/>
              <w:right w:w="110" w:type="dxa"/>
            </w:tcMar>
            <w:vAlign w:val="center"/>
          </w:tcPr>
          <w:p w14:paraId="216ECB11" w14:textId="77777777" w:rsidR="00E33D27" w:rsidRDefault="00000000">
            <w:pPr>
              <w:spacing w:before="40" w:after="40" w:line="250" w:lineRule="auto"/>
            </w:pPr>
            <w:r>
              <w:rPr>
                <w:sz w:val="15"/>
                <w:szCs w:val="15"/>
              </w:rPr>
              <w:t>Continues after the inventor leaves; institutional equity in a spin-out commonly 1–3%</w:t>
            </w:r>
          </w:p>
        </w:tc>
      </w:tr>
      <w:tr w:rsidR="00E33D27" w14:paraId="69138697" w14:textId="77777777">
        <w:tblPrEx>
          <w:tblCellMar>
            <w:top w:w="0" w:type="dxa"/>
            <w:bottom w:w="0" w:type="dxa"/>
          </w:tblCellMar>
        </w:tblPrEx>
        <w:trPr>
          <w:cantSplit/>
        </w:trPr>
        <w:tc>
          <w:tcPr>
            <w:tcW w:w="3100" w:type="dxa"/>
            <w:shd w:val="clear" w:color="auto" w:fill="F3F4F6"/>
            <w:tcMar>
              <w:top w:w="70" w:type="dxa"/>
              <w:left w:w="110" w:type="dxa"/>
              <w:bottom w:w="70" w:type="dxa"/>
              <w:right w:w="110" w:type="dxa"/>
            </w:tcMar>
            <w:vAlign w:val="center"/>
          </w:tcPr>
          <w:p w14:paraId="339B61B4" w14:textId="77777777" w:rsidR="00E33D27" w:rsidRDefault="00000000">
            <w:pPr>
              <w:spacing w:before="40" w:after="40" w:line="250" w:lineRule="auto"/>
            </w:pPr>
            <w:r>
              <w:rPr>
                <w:b/>
                <w:bCs/>
                <w:sz w:val="15"/>
                <w:szCs w:val="15"/>
              </w:rPr>
              <w:t>One Indian patent, professional fees</w:t>
            </w:r>
          </w:p>
        </w:tc>
        <w:tc>
          <w:tcPr>
            <w:tcW w:w="2200" w:type="dxa"/>
            <w:shd w:val="clear" w:color="auto" w:fill="F3F4F6"/>
            <w:tcMar>
              <w:top w:w="70" w:type="dxa"/>
              <w:left w:w="110" w:type="dxa"/>
              <w:bottom w:w="70" w:type="dxa"/>
              <w:right w:w="110" w:type="dxa"/>
            </w:tcMar>
            <w:vAlign w:val="center"/>
          </w:tcPr>
          <w:p w14:paraId="6B0007D6" w14:textId="77777777" w:rsidR="00E33D27" w:rsidRDefault="00000000">
            <w:pPr>
              <w:spacing w:before="40" w:after="40" w:line="250" w:lineRule="auto"/>
            </w:pPr>
            <w:r>
              <w:rPr>
                <w:sz w:val="15"/>
                <w:szCs w:val="15"/>
              </w:rPr>
              <w:t>~₹1 lakh as a working average</w:t>
            </w:r>
          </w:p>
        </w:tc>
        <w:tc>
          <w:tcPr>
            <w:tcW w:w="4780" w:type="dxa"/>
            <w:shd w:val="clear" w:color="auto" w:fill="F3F4F6"/>
            <w:tcMar>
              <w:top w:w="70" w:type="dxa"/>
              <w:left w:w="110" w:type="dxa"/>
              <w:bottom w:w="70" w:type="dxa"/>
              <w:right w:w="110" w:type="dxa"/>
            </w:tcMar>
            <w:vAlign w:val="center"/>
          </w:tcPr>
          <w:p w14:paraId="7B398796" w14:textId="77777777" w:rsidR="00E33D27" w:rsidRDefault="00000000">
            <w:pPr>
              <w:spacing w:before="40" w:after="40" w:line="250" w:lineRule="auto"/>
            </w:pPr>
            <w:r>
              <w:rPr>
                <w:sz w:val="15"/>
                <w:szCs w:val="15"/>
              </w:rPr>
              <w:t>Excluding official fees, hearings and opposition; disclosures in a large firm run 3,000–4,000 a week</w:t>
            </w:r>
          </w:p>
        </w:tc>
      </w:tr>
      <w:tr w:rsidR="00E33D27" w14:paraId="56257BA6"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vAlign w:val="center"/>
          </w:tcPr>
          <w:p w14:paraId="2D1F4DDC" w14:textId="77777777" w:rsidR="00E33D27" w:rsidRDefault="00000000">
            <w:pPr>
              <w:spacing w:before="40" w:after="40" w:line="250" w:lineRule="auto"/>
            </w:pPr>
            <w:r>
              <w:rPr>
                <w:b/>
                <w:bCs/>
                <w:sz w:val="15"/>
                <w:szCs w:val="15"/>
              </w:rPr>
              <w:t>UDRP complainant success rate</w:t>
            </w:r>
          </w:p>
        </w:tc>
        <w:tc>
          <w:tcPr>
            <w:tcW w:w="2200" w:type="dxa"/>
            <w:shd w:val="clear" w:color="auto" w:fill="FFFFFF"/>
            <w:tcMar>
              <w:top w:w="70" w:type="dxa"/>
              <w:left w:w="110" w:type="dxa"/>
              <w:bottom w:w="70" w:type="dxa"/>
              <w:right w:w="110" w:type="dxa"/>
            </w:tcMar>
            <w:vAlign w:val="center"/>
          </w:tcPr>
          <w:p w14:paraId="24FAC631" w14:textId="77777777" w:rsidR="00E33D27" w:rsidRDefault="00000000">
            <w:pPr>
              <w:spacing w:before="40" w:after="40" w:line="250" w:lineRule="auto"/>
            </w:pPr>
            <w:r>
              <w:rPr>
                <w:sz w:val="15"/>
                <w:szCs w:val="15"/>
              </w:rPr>
              <w:t>Roughly 80–85%</w:t>
            </w:r>
          </w:p>
        </w:tc>
        <w:tc>
          <w:tcPr>
            <w:tcW w:w="4780" w:type="dxa"/>
            <w:shd w:val="clear" w:color="auto" w:fill="FFFFFF"/>
            <w:tcMar>
              <w:top w:w="70" w:type="dxa"/>
              <w:left w:w="110" w:type="dxa"/>
              <w:bottom w:w="70" w:type="dxa"/>
              <w:right w:w="110" w:type="dxa"/>
            </w:tcMar>
            <w:vAlign w:val="center"/>
          </w:tcPr>
          <w:p w14:paraId="43921467" w14:textId="77777777" w:rsidR="00E33D27" w:rsidRDefault="00000000">
            <w:pPr>
              <w:spacing w:before="40" w:after="40" w:line="250" w:lineRule="auto"/>
            </w:pPr>
            <w:r>
              <w:rPr>
                <w:sz w:val="15"/>
                <w:szCs w:val="15"/>
              </w:rPr>
              <w:t>WIPO data; remedies are transfer or cancellation only, never damages</w:t>
            </w:r>
          </w:p>
        </w:tc>
      </w:tr>
    </w:tbl>
    <w:p w14:paraId="77056D09" w14:textId="77777777" w:rsidR="00E33D27" w:rsidRDefault="00000000">
      <w:pPr>
        <w:keepNext/>
        <w:spacing w:before="60" w:after="80"/>
      </w:pPr>
      <w:r>
        <w:rPr>
          <w:b/>
          <w:bCs/>
          <w:color w:val="1F3864"/>
          <w:sz w:val="18"/>
          <w:szCs w:val="18"/>
        </w:rPr>
        <w:t>Statutory provisions and cases to cite</w:t>
      </w:r>
    </w:p>
    <w:p w14:paraId="2634FB64" w14:textId="77777777" w:rsidR="00E33D27" w:rsidRDefault="00000000">
      <w:pPr>
        <w:pStyle w:val="ListParagraph"/>
        <w:numPr>
          <w:ilvl w:val="0"/>
          <w:numId w:val="2"/>
        </w:numPr>
        <w:spacing w:after="70" w:line="272" w:lineRule="auto"/>
      </w:pPr>
      <w:r>
        <w:t>Patents Act 1970 — s.2(1)(j) invention; s.2(1)(ja) inventive step; s.2(1)(l) new invention; s.48 rights of the patentee.  Indian Contract Act 1872 — s.2(h), s.10.</w:t>
      </w:r>
    </w:p>
    <w:p w14:paraId="599CEE63" w14:textId="77777777" w:rsidR="00E33D27" w:rsidRDefault="00000000">
      <w:pPr>
        <w:pStyle w:val="ListParagraph"/>
        <w:numPr>
          <w:ilvl w:val="0"/>
          <w:numId w:val="2"/>
        </w:numPr>
        <w:spacing w:after="70" w:line="272" w:lineRule="auto"/>
      </w:pPr>
      <w:r>
        <w:t>Bayh–Dole Act 1980 (US).  Arbeitnehmererfindungsgesetz §42 (Germany).  Patent Act Article 35 (Japan).  ACPA 1999, 15 U.S.C. §1125(d).  UDRP paragraph 4(a), 4(b), 4(c); INDRP for .IN.  IAS 38 / Ind AS 38.</w:t>
      </w:r>
    </w:p>
    <w:p w14:paraId="74723B9B" w14:textId="77777777" w:rsidR="00E33D27" w:rsidRDefault="00000000">
      <w:pPr>
        <w:pStyle w:val="ListParagraph"/>
        <w:numPr>
          <w:ilvl w:val="0"/>
          <w:numId w:val="2"/>
        </w:numPr>
        <w:spacing w:after="70" w:line="272" w:lineRule="auto"/>
      </w:pPr>
      <w:r>
        <w:t>Diamond v. Chakrabarty, 447 U.S. 303 (1980).  Yahoo! Inc. v. Akash Arora, 1999 PTC (19) 201 (Del).  Satyam Infoway Ltd. v. Sifynet Solutions Pvt. Ltd., (2004) 6 SCC 145; AIR 2004 SC 3540.  Tata Sons v. Manu Kosuri; Rediff v. Cyberbooth (Bom HC, 2000).  Uniloc USA v. Microsoft, 632 F.3d 1292 (Fed. Cir. 2011).  Regents of the University of California v. Broad Institute (Fed. Cir., 12 May 2025).</w:t>
      </w:r>
    </w:p>
    <w:p w14:paraId="5D659BDF" w14:textId="77777777" w:rsidR="00E33D27" w:rsidRDefault="00000000">
      <w:pPr>
        <w:keepNext/>
        <w:spacing w:before="60" w:after="80"/>
      </w:pPr>
      <w:r>
        <w:rPr>
          <w:b/>
          <w:bCs/>
          <w:color w:val="1F3864"/>
          <w:sz w:val="18"/>
          <w:szCs w:val="18"/>
        </w:rPr>
        <w:t>Scholarship</w:t>
      </w:r>
    </w:p>
    <w:p w14:paraId="1E19AFE0" w14:textId="77777777" w:rsidR="00E33D27" w:rsidRDefault="00000000">
      <w:pPr>
        <w:pStyle w:val="ListParagraph"/>
        <w:numPr>
          <w:ilvl w:val="0"/>
          <w:numId w:val="2"/>
        </w:numPr>
        <w:spacing w:after="70" w:line="272" w:lineRule="auto"/>
      </w:pPr>
      <w:r>
        <w:t>Prescribed: Bosworth &amp; Webster (2006), The Management of Intellectual Property.  Granstrand (2000), The Economics and Management of Intellectual Property: Towards Intellectual Capitalism.  Mark Anderson, Technology Transfer and Licensing.</w:t>
      </w:r>
    </w:p>
    <w:p w14:paraId="5A7CF37F" w14:textId="77777777" w:rsidR="00E33D27" w:rsidRDefault="00000000">
      <w:pPr>
        <w:pStyle w:val="ListParagraph"/>
        <w:numPr>
          <w:ilvl w:val="0"/>
          <w:numId w:val="2"/>
        </w:numPr>
        <w:spacing w:after="70" w:line="272" w:lineRule="auto"/>
      </w:pPr>
      <w:r>
        <w:t>Primary: Teece (1986), Research Policy 15(6): 285–305, and Teece (2018) on the digital economy.  Romer (1990), JPE 98(5).  Kuhn (1962).  Arrow (1962).  Kitch (1977).  Heller &amp; Eisenberg (1998), Science 280: 698–701.  Chesbrough (2003).  von Hippel (2005, 2017).  Hall, Jaffe &amp; Trajtenberg (2005), RAND Journal 36(1): 16–38.</w:t>
      </w:r>
    </w:p>
    <w:p w14:paraId="06964826" w14:textId="77777777" w:rsidR="00E33D27" w:rsidRDefault="00000000">
      <w:pPr>
        <w:pStyle w:val="ListParagraph"/>
        <w:numPr>
          <w:ilvl w:val="0"/>
          <w:numId w:val="2"/>
        </w:numPr>
        <w:spacing w:after="70" w:line="272" w:lineRule="auto"/>
      </w:pPr>
      <w:r>
        <w:lastRenderedPageBreak/>
        <w:t>Measurement and management: Edvinsson &amp; Malone (1997), Skandia Navigator.  Sveiby, Intangible Assets Monitor.  Brooking (1996).  Kaplan &amp; Norton (1992/1996).  Pulic, VAIC.  Lev (2001).  Sullivan (1998).  Scherer &amp; Harhoff (2000).  Mendelow (1991); Mitchell, Agle &amp; Wood (1997).  OECD (1996); World Bank KEI; Machlup (1962); Bell (1973); Drucker.</w:t>
      </w:r>
    </w:p>
    <w:p w14:paraId="4E5A9AB1" w14:textId="77777777" w:rsidR="00E33D27" w:rsidRDefault="00000000">
      <w:pPr>
        <w:pStyle w:val="Heading2"/>
        <w:keepNext/>
      </w:pPr>
      <w:r>
        <w:t>6.4  Glossary</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2600"/>
        <w:gridCol w:w="7480"/>
      </w:tblGrid>
      <w:tr w:rsidR="00E33D27" w14:paraId="3D06524D" w14:textId="77777777">
        <w:tblPrEx>
          <w:tblCellMar>
            <w:top w:w="0" w:type="dxa"/>
            <w:bottom w:w="0" w:type="dxa"/>
          </w:tblCellMar>
        </w:tblPrEx>
        <w:trPr>
          <w:cantSplit/>
          <w:tblHeader/>
        </w:trPr>
        <w:tc>
          <w:tcPr>
            <w:tcW w:w="2600" w:type="dxa"/>
            <w:shd w:val="clear" w:color="auto" w:fill="1F3864"/>
            <w:tcMar>
              <w:top w:w="70" w:type="dxa"/>
              <w:left w:w="110" w:type="dxa"/>
              <w:bottom w:w="70" w:type="dxa"/>
              <w:right w:w="110" w:type="dxa"/>
            </w:tcMar>
            <w:vAlign w:val="center"/>
          </w:tcPr>
          <w:p w14:paraId="04ED5DAF" w14:textId="77777777" w:rsidR="00E33D27" w:rsidRDefault="00000000">
            <w:pPr>
              <w:spacing w:before="40" w:after="40" w:line="250" w:lineRule="auto"/>
            </w:pPr>
            <w:r>
              <w:rPr>
                <w:b/>
                <w:bCs/>
                <w:color w:val="FFFFFF"/>
                <w:sz w:val="17"/>
                <w:szCs w:val="17"/>
              </w:rPr>
              <w:t>Term</w:t>
            </w:r>
          </w:p>
        </w:tc>
        <w:tc>
          <w:tcPr>
            <w:tcW w:w="7480" w:type="dxa"/>
            <w:shd w:val="clear" w:color="auto" w:fill="1F3864"/>
            <w:tcMar>
              <w:top w:w="70" w:type="dxa"/>
              <w:left w:w="110" w:type="dxa"/>
              <w:bottom w:w="70" w:type="dxa"/>
              <w:right w:w="110" w:type="dxa"/>
            </w:tcMar>
            <w:vAlign w:val="center"/>
          </w:tcPr>
          <w:p w14:paraId="212FACD6" w14:textId="77777777" w:rsidR="00E33D27" w:rsidRDefault="00000000">
            <w:pPr>
              <w:spacing w:before="40" w:after="40" w:line="250" w:lineRule="auto"/>
            </w:pPr>
            <w:r>
              <w:rPr>
                <w:b/>
                <w:bCs/>
                <w:color w:val="FFFFFF"/>
                <w:sz w:val="17"/>
                <w:szCs w:val="17"/>
              </w:rPr>
              <w:t>Meaning</w:t>
            </w:r>
          </w:p>
        </w:tc>
      </w:tr>
      <w:tr w:rsidR="00E33D27" w14:paraId="3B5FAFED"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36903588" w14:textId="77777777" w:rsidR="00E33D27" w:rsidRDefault="00000000">
            <w:pPr>
              <w:spacing w:before="40" w:after="40" w:line="250" w:lineRule="auto"/>
            </w:pPr>
            <w:r>
              <w:rPr>
                <w:b/>
                <w:bCs/>
                <w:sz w:val="15"/>
                <w:szCs w:val="15"/>
              </w:rPr>
              <w:t>AAFC / ALR</w:t>
            </w:r>
          </w:p>
        </w:tc>
        <w:tc>
          <w:tcPr>
            <w:tcW w:w="7480" w:type="dxa"/>
            <w:shd w:val="clear" w:color="auto" w:fill="F3F4F6"/>
            <w:tcMar>
              <w:top w:w="70" w:type="dxa"/>
              <w:left w:w="110" w:type="dxa"/>
              <w:bottom w:w="70" w:type="dxa"/>
              <w:right w:w="110" w:type="dxa"/>
            </w:tcMar>
            <w:vAlign w:val="center"/>
          </w:tcPr>
          <w:p w14:paraId="556268EA" w14:textId="77777777" w:rsidR="00E33D27" w:rsidRDefault="00000000">
            <w:pPr>
              <w:spacing w:before="40" w:after="40" w:line="250" w:lineRule="auto"/>
            </w:pPr>
            <w:r>
              <w:rPr>
                <w:sz w:val="15"/>
                <w:szCs w:val="15"/>
              </w:rPr>
              <w:t>Annual cost of products after the factory, the royalty base in the thumb rule because it is auditable and excludes volatile freight and margin; ALR = LR% × AAFC</w:t>
            </w:r>
          </w:p>
        </w:tc>
      </w:tr>
      <w:tr w:rsidR="00E33D27" w14:paraId="570009E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60ECE58C" w14:textId="77777777" w:rsidR="00E33D27" w:rsidRDefault="00000000">
            <w:pPr>
              <w:spacing w:before="40" w:after="40" w:line="250" w:lineRule="auto"/>
            </w:pPr>
            <w:r>
              <w:rPr>
                <w:b/>
                <w:bCs/>
                <w:sz w:val="15"/>
                <w:szCs w:val="15"/>
              </w:rPr>
              <w:t>Anticommons</w:t>
            </w:r>
          </w:p>
        </w:tc>
        <w:tc>
          <w:tcPr>
            <w:tcW w:w="7480" w:type="dxa"/>
            <w:shd w:val="clear" w:color="auto" w:fill="FFFFFF"/>
            <w:tcMar>
              <w:top w:w="70" w:type="dxa"/>
              <w:left w:w="110" w:type="dxa"/>
              <w:bottom w:w="70" w:type="dxa"/>
              <w:right w:w="110" w:type="dxa"/>
            </w:tcMar>
            <w:vAlign w:val="center"/>
          </w:tcPr>
          <w:p w14:paraId="7B2F0C83" w14:textId="77777777" w:rsidR="00E33D27" w:rsidRDefault="00000000">
            <w:pPr>
              <w:spacing w:before="40" w:after="40" w:line="250" w:lineRule="auto"/>
            </w:pPr>
            <w:r>
              <w:rPr>
                <w:sz w:val="15"/>
                <w:szCs w:val="15"/>
              </w:rPr>
              <w:t>Heller &amp; Eisenberg (1998): too many fragmented overlapping upstream rights cause underuse, impeding cumulative innovation</w:t>
            </w:r>
          </w:p>
        </w:tc>
      </w:tr>
      <w:tr w:rsidR="00E33D27" w14:paraId="3E55F34E"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3789D18B" w14:textId="77777777" w:rsidR="00E33D27" w:rsidRDefault="00000000">
            <w:pPr>
              <w:spacing w:before="40" w:after="40" w:line="250" w:lineRule="auto"/>
            </w:pPr>
            <w:r>
              <w:rPr>
                <w:b/>
                <w:bCs/>
                <w:sz w:val="15"/>
                <w:szCs w:val="15"/>
              </w:rPr>
              <w:t>Appropriability regime</w:t>
            </w:r>
          </w:p>
        </w:tc>
        <w:tc>
          <w:tcPr>
            <w:tcW w:w="7480" w:type="dxa"/>
            <w:shd w:val="clear" w:color="auto" w:fill="F3F4F6"/>
            <w:tcMar>
              <w:top w:w="70" w:type="dxa"/>
              <w:left w:w="110" w:type="dxa"/>
              <w:bottom w:w="70" w:type="dxa"/>
              <w:right w:w="110" w:type="dxa"/>
            </w:tcMar>
            <w:vAlign w:val="center"/>
          </w:tcPr>
          <w:p w14:paraId="3D38926B" w14:textId="77777777" w:rsidR="00E33D27" w:rsidRDefault="00000000">
            <w:pPr>
              <w:spacing w:before="40" w:after="40" w:line="250" w:lineRule="auto"/>
            </w:pPr>
            <w:r>
              <w:rPr>
                <w:sz w:val="15"/>
                <w:szCs w:val="15"/>
              </w:rPr>
              <w:t>Teece (1986): the efficacy of legal protection plus the nature of the technology — tacit or codified — determining whether an innovator can capture returns</w:t>
            </w:r>
          </w:p>
        </w:tc>
      </w:tr>
      <w:tr w:rsidR="00E33D27" w14:paraId="73069CF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0263C86A" w14:textId="77777777" w:rsidR="00E33D27" w:rsidRDefault="00000000">
            <w:pPr>
              <w:spacing w:before="40" w:after="40" w:line="250" w:lineRule="auto"/>
            </w:pPr>
            <w:r>
              <w:rPr>
                <w:b/>
                <w:bCs/>
                <w:sz w:val="15"/>
                <w:szCs w:val="15"/>
              </w:rPr>
              <w:t>Bad faith: conjunctive vs disjunctive</w:t>
            </w:r>
          </w:p>
        </w:tc>
        <w:tc>
          <w:tcPr>
            <w:tcW w:w="7480" w:type="dxa"/>
            <w:shd w:val="clear" w:color="auto" w:fill="FFFFFF"/>
            <w:tcMar>
              <w:top w:w="70" w:type="dxa"/>
              <w:left w:w="110" w:type="dxa"/>
              <w:bottom w:w="70" w:type="dxa"/>
              <w:right w:w="110" w:type="dxa"/>
            </w:tcMar>
            <w:vAlign w:val="center"/>
          </w:tcPr>
          <w:p w14:paraId="490C2C27" w14:textId="77777777" w:rsidR="00E33D27" w:rsidRDefault="00000000">
            <w:pPr>
              <w:spacing w:before="40" w:after="40" w:line="250" w:lineRule="auto"/>
            </w:pPr>
            <w:r>
              <w:rPr>
                <w:sz w:val="15"/>
                <w:szCs w:val="15"/>
              </w:rPr>
              <w:t>The UDRP requires registration AND use in bad faith; the INDRP requires registration OR use, lightening the complainant's burden for .IN</w:t>
            </w:r>
          </w:p>
        </w:tc>
      </w:tr>
      <w:tr w:rsidR="00E33D27" w14:paraId="22B1CFCA"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FC1E8C2" w14:textId="77777777" w:rsidR="00E33D27" w:rsidRDefault="00000000">
            <w:pPr>
              <w:spacing w:before="40" w:after="40" w:line="250" w:lineRule="auto"/>
            </w:pPr>
            <w:r>
              <w:rPr>
                <w:b/>
                <w:bCs/>
                <w:sz w:val="15"/>
                <w:szCs w:val="15"/>
              </w:rPr>
              <w:t>Blanketing / fencing</w:t>
            </w:r>
          </w:p>
        </w:tc>
        <w:tc>
          <w:tcPr>
            <w:tcW w:w="7480" w:type="dxa"/>
            <w:shd w:val="clear" w:color="auto" w:fill="F3F4F6"/>
            <w:tcMar>
              <w:top w:w="70" w:type="dxa"/>
              <w:left w:w="110" w:type="dxa"/>
              <w:bottom w:w="70" w:type="dxa"/>
              <w:right w:w="110" w:type="dxa"/>
            </w:tcMar>
            <w:vAlign w:val="center"/>
          </w:tcPr>
          <w:p w14:paraId="2D0B39B6" w14:textId="77777777" w:rsidR="00E33D27" w:rsidRDefault="00000000">
            <w:pPr>
              <w:spacing w:before="40" w:after="40" w:line="250" w:lineRule="auto"/>
            </w:pPr>
            <w:r>
              <w:rPr>
                <w:sz w:val="15"/>
                <w:szCs w:val="15"/>
              </w:rPr>
              <w:t>Covering an area so densely that any route through it infringes; and filing around a core invention to block the substitutes a rival would use</w:t>
            </w:r>
          </w:p>
        </w:tc>
      </w:tr>
      <w:tr w:rsidR="00E33D27" w14:paraId="10632E66"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1A7D359A" w14:textId="77777777" w:rsidR="00E33D27" w:rsidRDefault="00000000">
            <w:pPr>
              <w:spacing w:before="40" w:after="40" w:line="250" w:lineRule="auto"/>
            </w:pPr>
            <w:r>
              <w:rPr>
                <w:b/>
                <w:bCs/>
                <w:sz w:val="15"/>
                <w:szCs w:val="15"/>
              </w:rPr>
              <w:t>Cognitive / conative / affective capital</w:t>
            </w:r>
          </w:p>
        </w:tc>
        <w:tc>
          <w:tcPr>
            <w:tcW w:w="7480" w:type="dxa"/>
            <w:shd w:val="clear" w:color="auto" w:fill="FFFFFF"/>
            <w:tcMar>
              <w:top w:w="70" w:type="dxa"/>
              <w:left w:w="110" w:type="dxa"/>
              <w:bottom w:w="70" w:type="dxa"/>
              <w:right w:w="110" w:type="dxa"/>
            </w:tcMar>
            <w:vAlign w:val="center"/>
          </w:tcPr>
          <w:p w14:paraId="507E17C8" w14:textId="77777777" w:rsidR="00E33D27" w:rsidRDefault="00000000">
            <w:pPr>
              <w:spacing w:before="40" w:after="40" w:line="250" w:lineRule="auto"/>
            </w:pPr>
            <w:r>
              <w:rPr>
                <w:sz w:val="15"/>
                <w:szCs w:val="15"/>
              </w:rPr>
              <w:t>How fast a problem is processed; the will to act; how passionate people are — the three dimensions that decide whether capacity converts to output</w:t>
            </w:r>
          </w:p>
        </w:tc>
      </w:tr>
      <w:tr w:rsidR="00E33D27" w14:paraId="3EE91984"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47F7B142" w14:textId="77777777" w:rsidR="00E33D27" w:rsidRDefault="00000000">
            <w:pPr>
              <w:spacing w:before="40" w:after="40" w:line="250" w:lineRule="auto"/>
            </w:pPr>
            <w:r>
              <w:rPr>
                <w:b/>
                <w:bCs/>
                <w:sz w:val="15"/>
                <w:szCs w:val="15"/>
              </w:rPr>
              <w:t>Complementary assets</w:t>
            </w:r>
          </w:p>
        </w:tc>
        <w:tc>
          <w:tcPr>
            <w:tcW w:w="7480" w:type="dxa"/>
            <w:shd w:val="clear" w:color="auto" w:fill="F3F4F6"/>
            <w:tcMar>
              <w:top w:w="70" w:type="dxa"/>
              <w:left w:w="110" w:type="dxa"/>
              <w:bottom w:w="70" w:type="dxa"/>
              <w:right w:w="110" w:type="dxa"/>
            </w:tcMar>
            <w:vAlign w:val="center"/>
          </w:tcPr>
          <w:p w14:paraId="0457FF48" w14:textId="77777777" w:rsidR="00E33D27" w:rsidRDefault="00000000">
            <w:pPr>
              <w:spacing w:before="40" w:after="40" w:line="250" w:lineRule="auto"/>
            </w:pPr>
            <w:r>
              <w:rPr>
                <w:sz w:val="15"/>
                <w:szCs w:val="15"/>
              </w:rPr>
              <w:t>Everything besides the invention needed to reach a customer: manufacturing, distribution, marketing, brand, approval. Generic, specialised or co-specialised; the last creates hold-up risk</w:t>
            </w:r>
          </w:p>
        </w:tc>
      </w:tr>
      <w:tr w:rsidR="00E33D27" w14:paraId="766DAB80"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0F84A4D0" w14:textId="77777777" w:rsidR="00E33D27" w:rsidRDefault="00000000">
            <w:pPr>
              <w:spacing w:before="40" w:after="40" w:line="250" w:lineRule="auto"/>
            </w:pPr>
            <w:r>
              <w:rPr>
                <w:b/>
                <w:bCs/>
                <w:sz w:val="15"/>
                <w:szCs w:val="15"/>
              </w:rPr>
              <w:t>Core claim architecture</w:t>
            </w:r>
          </w:p>
        </w:tc>
        <w:tc>
          <w:tcPr>
            <w:tcW w:w="7480" w:type="dxa"/>
            <w:shd w:val="clear" w:color="auto" w:fill="FFFFFF"/>
            <w:tcMar>
              <w:top w:w="70" w:type="dxa"/>
              <w:left w:w="110" w:type="dxa"/>
              <w:bottom w:w="70" w:type="dxa"/>
              <w:right w:w="110" w:type="dxa"/>
            </w:tcMar>
            <w:vAlign w:val="center"/>
          </w:tcPr>
          <w:p w14:paraId="6EB37A74" w14:textId="77777777" w:rsidR="00E33D27" w:rsidRDefault="00000000">
            <w:pPr>
              <w:spacing w:before="40" w:after="40" w:line="250" w:lineRule="auto"/>
            </w:pPr>
            <w:r>
              <w:rPr>
                <w:sz w:val="15"/>
                <w:szCs w:val="15"/>
              </w:rPr>
              <w:t>A broad independent claim on the concept, with application-specific dependent claims deepened vertically in one market and spread horizontally across markets</w:t>
            </w:r>
          </w:p>
        </w:tc>
      </w:tr>
      <w:tr w:rsidR="00E33D27" w14:paraId="08DAD328"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685934F9" w14:textId="77777777" w:rsidR="00E33D27" w:rsidRDefault="00000000">
            <w:pPr>
              <w:spacing w:before="40" w:after="40" w:line="250" w:lineRule="auto"/>
            </w:pPr>
            <w:r>
              <w:rPr>
                <w:b/>
                <w:bCs/>
                <w:sz w:val="15"/>
                <w:szCs w:val="15"/>
              </w:rPr>
              <w:t>Cross-licensing</w:t>
            </w:r>
          </w:p>
        </w:tc>
        <w:tc>
          <w:tcPr>
            <w:tcW w:w="7480" w:type="dxa"/>
            <w:shd w:val="clear" w:color="auto" w:fill="F3F4F6"/>
            <w:tcMar>
              <w:top w:w="70" w:type="dxa"/>
              <w:left w:w="110" w:type="dxa"/>
              <w:bottom w:w="70" w:type="dxa"/>
              <w:right w:w="110" w:type="dxa"/>
            </w:tcMar>
            <w:vAlign w:val="center"/>
          </w:tcPr>
          <w:p w14:paraId="41522ED1" w14:textId="77777777" w:rsidR="00E33D27" w:rsidRDefault="00000000">
            <w:pPr>
              <w:spacing w:before="40" w:after="40" w:line="250" w:lineRule="auto"/>
            </w:pPr>
            <w:r>
              <w:rPr>
                <w:sz w:val="15"/>
                <w:szCs w:val="15"/>
              </w:rPr>
              <w:t>Mutual grant of licences between two holders, usually to obtain freedom to operate and end or avoid litigation; royalties net off and only the imbalance is paid</w:t>
            </w:r>
          </w:p>
        </w:tc>
      </w:tr>
      <w:tr w:rsidR="00E33D27" w14:paraId="443FACE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DE36718" w14:textId="77777777" w:rsidR="00E33D27" w:rsidRDefault="00000000">
            <w:pPr>
              <w:spacing w:before="40" w:after="40" w:line="250" w:lineRule="auto"/>
            </w:pPr>
            <w:r>
              <w:rPr>
                <w:b/>
                <w:bCs/>
                <w:sz w:val="15"/>
                <w:szCs w:val="15"/>
              </w:rPr>
              <w:t>Cybersquatting / typosquatting</w:t>
            </w:r>
          </w:p>
        </w:tc>
        <w:tc>
          <w:tcPr>
            <w:tcW w:w="7480" w:type="dxa"/>
            <w:shd w:val="clear" w:color="auto" w:fill="FFFFFF"/>
            <w:tcMar>
              <w:top w:w="70" w:type="dxa"/>
              <w:left w:w="110" w:type="dxa"/>
              <w:bottom w:w="70" w:type="dxa"/>
              <w:right w:w="110" w:type="dxa"/>
            </w:tcMar>
            <w:vAlign w:val="center"/>
          </w:tcPr>
          <w:p w14:paraId="27F6DB16" w14:textId="77777777" w:rsidR="00E33D27" w:rsidRDefault="00000000">
            <w:pPr>
              <w:spacing w:before="40" w:after="40" w:line="250" w:lineRule="auto"/>
            </w:pPr>
            <w:r>
              <w:rPr>
                <w:sz w:val="15"/>
                <w:szCs w:val="15"/>
              </w:rPr>
              <w:t>Registering another's mark, or a misspelling of it, as a domain to profit from goodwill or to sell it back</w:t>
            </w:r>
          </w:p>
        </w:tc>
      </w:tr>
      <w:tr w:rsidR="00E33D27" w14:paraId="1AA7F645"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9D86EC2" w14:textId="77777777" w:rsidR="00E33D27" w:rsidRDefault="00000000">
            <w:pPr>
              <w:spacing w:before="40" w:after="40" w:line="250" w:lineRule="auto"/>
            </w:pPr>
            <w:r>
              <w:rPr>
                <w:b/>
                <w:bCs/>
                <w:sz w:val="15"/>
                <w:szCs w:val="15"/>
              </w:rPr>
              <w:t>Dominant design</w:t>
            </w:r>
          </w:p>
        </w:tc>
        <w:tc>
          <w:tcPr>
            <w:tcW w:w="7480" w:type="dxa"/>
            <w:shd w:val="clear" w:color="auto" w:fill="F3F4F6"/>
            <w:tcMar>
              <w:top w:w="70" w:type="dxa"/>
              <w:left w:w="110" w:type="dxa"/>
              <w:bottom w:w="70" w:type="dxa"/>
              <w:right w:w="110" w:type="dxa"/>
            </w:tcMar>
            <w:vAlign w:val="center"/>
          </w:tcPr>
          <w:p w14:paraId="5F1DF0B3" w14:textId="77777777" w:rsidR="00E33D27" w:rsidRDefault="00000000">
            <w:pPr>
              <w:spacing w:before="40" w:after="40" w:line="250" w:lineRule="auto"/>
            </w:pPr>
            <w:r>
              <w:rPr>
                <w:sz w:val="15"/>
                <w:szCs w:val="15"/>
              </w:rPr>
              <w:t>The point at which an industry settles on a standard architecture and competition moves from design to price and manufacturing</w:t>
            </w:r>
          </w:p>
        </w:tc>
      </w:tr>
      <w:tr w:rsidR="00E33D27" w14:paraId="510A30A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89F767B" w14:textId="77777777" w:rsidR="00E33D27" w:rsidRDefault="00000000">
            <w:pPr>
              <w:spacing w:before="40" w:after="40" w:line="250" w:lineRule="auto"/>
            </w:pPr>
            <w:r>
              <w:rPr>
                <w:b/>
                <w:bCs/>
                <w:sz w:val="15"/>
                <w:szCs w:val="15"/>
              </w:rPr>
              <w:t>FRAND / SEP</w:t>
            </w:r>
          </w:p>
        </w:tc>
        <w:tc>
          <w:tcPr>
            <w:tcW w:w="7480" w:type="dxa"/>
            <w:shd w:val="clear" w:color="auto" w:fill="FFFFFF"/>
            <w:tcMar>
              <w:top w:w="70" w:type="dxa"/>
              <w:left w:w="110" w:type="dxa"/>
              <w:bottom w:w="70" w:type="dxa"/>
              <w:right w:w="110" w:type="dxa"/>
            </w:tcMar>
            <w:vAlign w:val="center"/>
          </w:tcPr>
          <w:p w14:paraId="5891161D" w14:textId="77777777" w:rsidR="00E33D27" w:rsidRDefault="00000000">
            <w:pPr>
              <w:spacing w:before="40" w:after="40" w:line="250" w:lineRule="auto"/>
            </w:pPr>
            <w:r>
              <w:rPr>
                <w:sz w:val="15"/>
                <w:szCs w:val="15"/>
              </w:rPr>
              <w:t>Fair, reasonable and non-discriminatory licensing; a standard-essential patent is one that cannot be avoided when implementing a standard</w:t>
            </w:r>
          </w:p>
        </w:tc>
      </w:tr>
      <w:tr w:rsidR="00E33D27" w14:paraId="4D7C6E49"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0EFA2408" w14:textId="77777777" w:rsidR="00E33D27" w:rsidRDefault="00000000">
            <w:pPr>
              <w:spacing w:before="40" w:after="40" w:line="250" w:lineRule="auto"/>
            </w:pPr>
            <w:r>
              <w:rPr>
                <w:b/>
                <w:bCs/>
                <w:sz w:val="15"/>
                <w:szCs w:val="15"/>
              </w:rPr>
              <w:t>Freedom to operate</w:t>
            </w:r>
          </w:p>
        </w:tc>
        <w:tc>
          <w:tcPr>
            <w:tcW w:w="7480" w:type="dxa"/>
            <w:shd w:val="clear" w:color="auto" w:fill="F3F4F6"/>
            <w:tcMar>
              <w:top w:w="70" w:type="dxa"/>
              <w:left w:w="110" w:type="dxa"/>
              <w:bottom w:w="70" w:type="dxa"/>
              <w:right w:w="110" w:type="dxa"/>
            </w:tcMar>
            <w:vAlign w:val="center"/>
          </w:tcPr>
          <w:p w14:paraId="2D450FD0" w14:textId="77777777" w:rsidR="00E33D27" w:rsidRDefault="00000000">
            <w:pPr>
              <w:spacing w:before="40" w:after="40" w:line="250" w:lineRule="auto"/>
            </w:pPr>
            <w:r>
              <w:rPr>
                <w:sz w:val="15"/>
                <w:szCs w:val="15"/>
              </w:rPr>
              <w:t>The absence of third-party rights blocking commercialization in a given market; distinguished from a landscape, which is broad and strategic and tolerates error</w:t>
            </w:r>
          </w:p>
        </w:tc>
      </w:tr>
      <w:tr w:rsidR="00E33D27" w14:paraId="6B52C23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99FCA8D" w14:textId="77777777" w:rsidR="00E33D27" w:rsidRDefault="00000000">
            <w:pPr>
              <w:spacing w:before="40" w:after="40" w:line="250" w:lineRule="auto"/>
            </w:pPr>
            <w:r>
              <w:rPr>
                <w:b/>
                <w:bCs/>
                <w:sz w:val="15"/>
                <w:szCs w:val="15"/>
              </w:rPr>
              <w:t>Generic / trunk technology</w:t>
            </w:r>
          </w:p>
        </w:tc>
        <w:tc>
          <w:tcPr>
            <w:tcW w:w="7480" w:type="dxa"/>
            <w:shd w:val="clear" w:color="auto" w:fill="FFFFFF"/>
            <w:tcMar>
              <w:top w:w="70" w:type="dxa"/>
              <w:left w:w="110" w:type="dxa"/>
              <w:bottom w:w="70" w:type="dxa"/>
              <w:right w:w="110" w:type="dxa"/>
            </w:tcMar>
            <w:vAlign w:val="center"/>
          </w:tcPr>
          <w:p w14:paraId="422A4981" w14:textId="77777777" w:rsidR="00E33D27" w:rsidRDefault="00000000">
            <w:pPr>
              <w:spacing w:before="40" w:after="40" w:line="250" w:lineRule="auto"/>
            </w:pPr>
            <w:r>
              <w:rPr>
                <w:sz w:val="15"/>
                <w:szCs w:val="15"/>
              </w:rPr>
              <w:t>A technology with many applications across products and businesses — the source of technological economies of scale, scope and speed</w:t>
            </w:r>
          </w:p>
        </w:tc>
      </w:tr>
      <w:tr w:rsidR="00E33D27" w14:paraId="18602575"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60F278F9" w14:textId="77777777" w:rsidR="00E33D27" w:rsidRDefault="00000000">
            <w:pPr>
              <w:spacing w:before="40" w:after="40" w:line="250" w:lineRule="auto"/>
            </w:pPr>
            <w:r>
              <w:rPr>
                <w:b/>
                <w:bCs/>
                <w:sz w:val="15"/>
                <w:szCs w:val="15"/>
              </w:rPr>
              <w:t>Idle IP</w:t>
            </w:r>
          </w:p>
        </w:tc>
        <w:tc>
          <w:tcPr>
            <w:tcW w:w="7480" w:type="dxa"/>
            <w:shd w:val="clear" w:color="auto" w:fill="F3F4F6"/>
            <w:tcMar>
              <w:top w:w="70" w:type="dxa"/>
              <w:left w:w="110" w:type="dxa"/>
              <w:bottom w:w="70" w:type="dxa"/>
              <w:right w:w="110" w:type="dxa"/>
            </w:tcMar>
            <w:vAlign w:val="center"/>
          </w:tcPr>
          <w:p w14:paraId="5117C7FD" w14:textId="77777777" w:rsidR="00E33D27" w:rsidRDefault="00000000">
            <w:pPr>
              <w:spacing w:before="40" w:after="40" w:line="250" w:lineRule="auto"/>
            </w:pPr>
            <w:r>
              <w:rPr>
                <w:sz w:val="15"/>
                <w:szCs w:val="15"/>
              </w:rPr>
              <w:t>Protected but unused rights: the stage at which the conversion of IP into capital stalls while annuities continue</w:t>
            </w:r>
          </w:p>
        </w:tc>
      </w:tr>
      <w:tr w:rsidR="00E33D27" w14:paraId="6B2672C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B89A63D" w14:textId="77777777" w:rsidR="00E33D27" w:rsidRDefault="00000000">
            <w:pPr>
              <w:spacing w:before="40" w:after="40" w:line="250" w:lineRule="auto"/>
            </w:pPr>
            <w:r>
              <w:rPr>
                <w:b/>
                <w:bCs/>
                <w:sz w:val="15"/>
                <w:szCs w:val="15"/>
              </w:rPr>
              <w:t>Intellectual capital</w:t>
            </w:r>
          </w:p>
        </w:tc>
        <w:tc>
          <w:tcPr>
            <w:tcW w:w="7480" w:type="dxa"/>
            <w:shd w:val="clear" w:color="auto" w:fill="FFFFFF"/>
            <w:tcMar>
              <w:top w:w="70" w:type="dxa"/>
              <w:left w:w="110" w:type="dxa"/>
              <w:bottom w:w="70" w:type="dxa"/>
              <w:right w:w="110" w:type="dxa"/>
            </w:tcMar>
            <w:vAlign w:val="center"/>
          </w:tcPr>
          <w:p w14:paraId="2ABB367F" w14:textId="77777777" w:rsidR="00E33D27" w:rsidRDefault="00000000">
            <w:pPr>
              <w:spacing w:before="40" w:after="40" w:line="250" w:lineRule="auto"/>
            </w:pPr>
            <w:r>
              <w:rPr>
                <w:sz w:val="15"/>
                <w:szCs w:val="15"/>
              </w:rPr>
              <w:t>The stock of knowledge-based resources creating value. Used in an innovation sense, and distinctly in an accounting sense; organisational capital = intellectual + financial capital</w:t>
            </w:r>
          </w:p>
        </w:tc>
      </w:tr>
      <w:tr w:rsidR="00E33D27" w14:paraId="7085A789"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3D0E8241" w14:textId="77777777" w:rsidR="00E33D27" w:rsidRDefault="00000000">
            <w:pPr>
              <w:spacing w:before="40" w:after="40" w:line="250" w:lineRule="auto"/>
            </w:pPr>
            <w:r>
              <w:rPr>
                <w:b/>
                <w:bCs/>
                <w:sz w:val="15"/>
                <w:szCs w:val="15"/>
              </w:rPr>
              <w:t>Intellectual capitalism</w:t>
            </w:r>
          </w:p>
        </w:tc>
        <w:tc>
          <w:tcPr>
            <w:tcW w:w="7480" w:type="dxa"/>
            <w:shd w:val="clear" w:color="auto" w:fill="F3F4F6"/>
            <w:tcMar>
              <w:top w:w="70" w:type="dxa"/>
              <w:left w:w="110" w:type="dxa"/>
              <w:bottom w:w="70" w:type="dxa"/>
              <w:right w:w="110" w:type="dxa"/>
            </w:tcMar>
            <w:vAlign w:val="center"/>
          </w:tcPr>
          <w:p w14:paraId="70A7CD8E" w14:textId="77777777" w:rsidR="00E33D27" w:rsidRDefault="00000000">
            <w:pPr>
              <w:spacing w:before="40" w:after="40" w:line="250" w:lineRule="auto"/>
            </w:pPr>
            <w:r>
              <w:rPr>
                <w:sz w:val="15"/>
                <w:szCs w:val="15"/>
              </w:rPr>
              <w:t>Granstrand's term for an economy in which the creation of intellectual capital and intellectual properties is the heart of value creation</w:t>
            </w:r>
          </w:p>
        </w:tc>
      </w:tr>
      <w:tr w:rsidR="00E33D27" w14:paraId="6AFFEED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27922C9" w14:textId="77777777" w:rsidR="00E33D27" w:rsidRDefault="00000000">
            <w:pPr>
              <w:spacing w:before="40" w:after="40" w:line="250" w:lineRule="auto"/>
            </w:pPr>
            <w:r>
              <w:rPr>
                <w:b/>
                <w:bCs/>
                <w:sz w:val="15"/>
                <w:szCs w:val="15"/>
              </w:rPr>
              <w:t>Information paradox</w:t>
            </w:r>
          </w:p>
        </w:tc>
        <w:tc>
          <w:tcPr>
            <w:tcW w:w="7480" w:type="dxa"/>
            <w:shd w:val="clear" w:color="auto" w:fill="FFFFFF"/>
            <w:tcMar>
              <w:top w:w="70" w:type="dxa"/>
              <w:left w:w="110" w:type="dxa"/>
              <w:bottom w:w="70" w:type="dxa"/>
              <w:right w:w="110" w:type="dxa"/>
            </w:tcMar>
            <w:vAlign w:val="center"/>
          </w:tcPr>
          <w:p w14:paraId="0C386824" w14:textId="77777777" w:rsidR="00E33D27" w:rsidRDefault="00000000">
            <w:pPr>
              <w:spacing w:before="40" w:after="40" w:line="250" w:lineRule="auto"/>
            </w:pPr>
            <w:r>
              <w:rPr>
                <w:sz w:val="15"/>
                <w:szCs w:val="15"/>
              </w:rPr>
              <w:t>Arrow (1962): information cannot be valued without disclosure, and once disclosed need not be paid for — the problem the patent bargain solves</w:t>
            </w:r>
          </w:p>
        </w:tc>
      </w:tr>
      <w:tr w:rsidR="00E33D27" w14:paraId="0798450D"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777B808E" w14:textId="77777777" w:rsidR="00E33D27" w:rsidRDefault="00000000">
            <w:pPr>
              <w:spacing w:before="40" w:after="40" w:line="250" w:lineRule="auto"/>
            </w:pPr>
            <w:r>
              <w:rPr>
                <w:b/>
                <w:bCs/>
                <w:sz w:val="15"/>
                <w:szCs w:val="15"/>
              </w:rPr>
              <w:t>Invent-around</w:t>
            </w:r>
          </w:p>
        </w:tc>
        <w:tc>
          <w:tcPr>
            <w:tcW w:w="7480" w:type="dxa"/>
            <w:shd w:val="clear" w:color="auto" w:fill="F3F4F6"/>
            <w:tcMar>
              <w:top w:w="70" w:type="dxa"/>
              <w:left w:w="110" w:type="dxa"/>
              <w:bottom w:w="70" w:type="dxa"/>
              <w:right w:w="110" w:type="dxa"/>
            </w:tcMar>
            <w:vAlign w:val="center"/>
          </w:tcPr>
          <w:p w14:paraId="57FFB38E" w14:textId="77777777" w:rsidR="00E33D27" w:rsidRDefault="00000000">
            <w:pPr>
              <w:spacing w:before="40" w:after="40" w:line="250" w:lineRule="auto"/>
            </w:pPr>
            <w:r>
              <w:rPr>
                <w:sz w:val="15"/>
                <w:szCs w:val="15"/>
              </w:rPr>
              <w:t>Achieving the same function with a substitute invention outside the claims — the limitation firms rank highest, at 2.58 of 4</w:t>
            </w:r>
          </w:p>
        </w:tc>
      </w:tr>
      <w:tr w:rsidR="00E33D27" w14:paraId="3571DB4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779DBDDD" w14:textId="77777777" w:rsidR="00E33D27" w:rsidRDefault="00000000">
            <w:pPr>
              <w:spacing w:before="40" w:after="40" w:line="250" w:lineRule="auto"/>
            </w:pPr>
            <w:r>
              <w:rPr>
                <w:b/>
                <w:bCs/>
                <w:sz w:val="15"/>
                <w:szCs w:val="15"/>
              </w:rPr>
              <w:lastRenderedPageBreak/>
              <w:t>Lock-in / lock-out / run-in / squeeze-out</w:t>
            </w:r>
          </w:p>
        </w:tc>
        <w:tc>
          <w:tcPr>
            <w:tcW w:w="7480" w:type="dxa"/>
            <w:shd w:val="clear" w:color="auto" w:fill="FFFFFF"/>
            <w:tcMar>
              <w:top w:w="70" w:type="dxa"/>
              <w:left w:w="110" w:type="dxa"/>
              <w:bottom w:w="70" w:type="dxa"/>
              <w:right w:w="110" w:type="dxa"/>
            </w:tcMar>
            <w:vAlign w:val="center"/>
          </w:tcPr>
          <w:p w14:paraId="7989C5B0" w14:textId="77777777" w:rsidR="00E33D27" w:rsidRDefault="00000000">
            <w:pPr>
              <w:spacing w:before="40" w:after="40" w:line="250" w:lineRule="auto"/>
            </w:pPr>
            <w:r>
              <w:rPr>
                <w:sz w:val="15"/>
                <w:szCs w:val="15"/>
              </w:rPr>
              <w:t>Raising switching costs; raising imitation costs, which is what a patent does; being first to market; defeating rivals on cost or marketing</w:t>
            </w:r>
          </w:p>
        </w:tc>
      </w:tr>
      <w:tr w:rsidR="00E33D27" w14:paraId="01B20024"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6BF56996" w14:textId="77777777" w:rsidR="00E33D27" w:rsidRDefault="00000000">
            <w:pPr>
              <w:spacing w:before="40" w:after="40" w:line="250" w:lineRule="auto"/>
            </w:pPr>
            <w:r>
              <w:rPr>
                <w:b/>
                <w:bCs/>
                <w:sz w:val="15"/>
                <w:szCs w:val="15"/>
              </w:rPr>
              <w:t>Negative right</w:t>
            </w:r>
          </w:p>
        </w:tc>
        <w:tc>
          <w:tcPr>
            <w:tcW w:w="7480" w:type="dxa"/>
            <w:shd w:val="clear" w:color="auto" w:fill="F3F4F6"/>
            <w:tcMar>
              <w:top w:w="70" w:type="dxa"/>
              <w:left w:w="110" w:type="dxa"/>
              <w:bottom w:w="70" w:type="dxa"/>
              <w:right w:w="110" w:type="dxa"/>
            </w:tcMar>
            <w:vAlign w:val="center"/>
          </w:tcPr>
          <w:p w14:paraId="40E08DF0" w14:textId="77777777" w:rsidR="00E33D27" w:rsidRDefault="00000000">
            <w:pPr>
              <w:spacing w:before="40" w:after="40" w:line="250" w:lineRule="auto"/>
            </w:pPr>
            <w:r>
              <w:rPr>
                <w:sz w:val="15"/>
                <w:szCs w:val="15"/>
              </w:rPr>
              <w:t>A right to exclude others rather than a permission to act; s.48 Patents Act 1970, 35 U.S.C. §154</w:t>
            </w:r>
          </w:p>
        </w:tc>
      </w:tr>
      <w:tr w:rsidR="00E33D27" w14:paraId="5AE8A1F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4BC114A" w14:textId="77777777" w:rsidR="00E33D27" w:rsidRDefault="00000000">
            <w:pPr>
              <w:spacing w:before="40" w:after="40" w:line="250" w:lineRule="auto"/>
            </w:pPr>
            <w:r>
              <w:rPr>
                <w:b/>
                <w:bCs/>
                <w:sz w:val="15"/>
                <w:szCs w:val="15"/>
              </w:rPr>
              <w:t>New invention</w:t>
            </w:r>
          </w:p>
        </w:tc>
        <w:tc>
          <w:tcPr>
            <w:tcW w:w="7480" w:type="dxa"/>
            <w:shd w:val="clear" w:color="auto" w:fill="FFFFFF"/>
            <w:tcMar>
              <w:top w:w="70" w:type="dxa"/>
              <w:left w:w="110" w:type="dxa"/>
              <w:bottom w:w="70" w:type="dxa"/>
              <w:right w:w="110" w:type="dxa"/>
            </w:tcMar>
            <w:vAlign w:val="center"/>
          </w:tcPr>
          <w:p w14:paraId="5DEFFDCE" w14:textId="77777777" w:rsidR="00E33D27" w:rsidRDefault="00000000">
            <w:pPr>
              <w:spacing w:before="40" w:after="40" w:line="250" w:lineRule="auto"/>
            </w:pPr>
            <w:r>
              <w:rPr>
                <w:sz w:val="15"/>
                <w:szCs w:val="15"/>
              </w:rPr>
              <w:t>s.2(1)(l), Patents Act 1970: not anticipated by publication or use anywhere in the world before filing with complete specification — absolute novelty</w:t>
            </w:r>
          </w:p>
        </w:tc>
      </w:tr>
      <w:tr w:rsidR="00E33D27" w14:paraId="45CFCCCA"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299ABB01" w14:textId="77777777" w:rsidR="00E33D27" w:rsidRDefault="00000000">
            <w:pPr>
              <w:spacing w:before="40" w:after="40" w:line="250" w:lineRule="auto"/>
            </w:pPr>
            <w:r>
              <w:rPr>
                <w:b/>
                <w:bCs/>
                <w:sz w:val="15"/>
                <w:szCs w:val="15"/>
              </w:rPr>
              <w:t>Non-proprietary technology</w:t>
            </w:r>
          </w:p>
        </w:tc>
        <w:tc>
          <w:tcPr>
            <w:tcW w:w="7480" w:type="dxa"/>
            <w:shd w:val="clear" w:color="auto" w:fill="F3F4F6"/>
            <w:tcMar>
              <w:top w:w="70" w:type="dxa"/>
              <w:left w:w="110" w:type="dxa"/>
              <w:bottom w:w="70" w:type="dxa"/>
              <w:right w:w="110" w:type="dxa"/>
            </w:tcMar>
            <w:vAlign w:val="center"/>
          </w:tcPr>
          <w:p w14:paraId="3004DE45" w14:textId="77777777" w:rsidR="00E33D27" w:rsidRDefault="00000000">
            <w:pPr>
              <w:spacing w:before="40" w:after="40" w:line="250" w:lineRule="auto"/>
            </w:pPr>
            <w:r>
              <w:rPr>
                <w:sz w:val="15"/>
                <w:szCs w:val="15"/>
              </w:rPr>
              <w:t>Technology not controlled by a private entity. Not the same as unowned: Linux and Android are owned but openly licensed</w:t>
            </w:r>
          </w:p>
        </w:tc>
      </w:tr>
      <w:tr w:rsidR="00E33D27" w14:paraId="571B62C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FF04569" w14:textId="77777777" w:rsidR="00E33D27" w:rsidRDefault="00000000">
            <w:pPr>
              <w:spacing w:before="40" w:after="40" w:line="250" w:lineRule="auto"/>
            </w:pPr>
            <w:r>
              <w:rPr>
                <w:b/>
                <w:bCs/>
                <w:sz w:val="15"/>
                <w:szCs w:val="15"/>
              </w:rPr>
              <w:t>Non-rivalry</w:t>
            </w:r>
          </w:p>
        </w:tc>
        <w:tc>
          <w:tcPr>
            <w:tcW w:w="7480" w:type="dxa"/>
            <w:shd w:val="clear" w:color="auto" w:fill="FFFFFF"/>
            <w:tcMar>
              <w:top w:w="70" w:type="dxa"/>
              <w:left w:w="110" w:type="dxa"/>
              <w:bottom w:w="70" w:type="dxa"/>
              <w:right w:w="110" w:type="dxa"/>
            </w:tcMar>
            <w:vAlign w:val="center"/>
          </w:tcPr>
          <w:p w14:paraId="4FA3B9CA" w14:textId="77777777" w:rsidR="00E33D27" w:rsidRDefault="00000000">
            <w:pPr>
              <w:spacing w:before="40" w:after="40" w:line="250" w:lineRule="auto"/>
            </w:pPr>
            <w:r>
              <w:rPr>
                <w:sz w:val="15"/>
                <w:szCs w:val="15"/>
              </w:rPr>
              <w:t>Romer (1990): one person's use of an idea does not consume another's; with partial excludability it makes growth endogenous</w:t>
            </w:r>
          </w:p>
        </w:tc>
      </w:tr>
      <w:tr w:rsidR="00E33D27" w14:paraId="7A52300C"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0A8874A" w14:textId="77777777" w:rsidR="00E33D27" w:rsidRDefault="00000000">
            <w:pPr>
              <w:spacing w:before="40" w:after="40" w:line="250" w:lineRule="auto"/>
            </w:pPr>
            <w:r>
              <w:rPr>
                <w:b/>
                <w:bCs/>
                <w:sz w:val="15"/>
                <w:szCs w:val="15"/>
              </w:rPr>
              <w:t>Paradigm shift</w:t>
            </w:r>
          </w:p>
        </w:tc>
        <w:tc>
          <w:tcPr>
            <w:tcW w:w="7480" w:type="dxa"/>
            <w:shd w:val="clear" w:color="auto" w:fill="F3F4F6"/>
            <w:tcMar>
              <w:top w:w="70" w:type="dxa"/>
              <w:left w:w="110" w:type="dxa"/>
              <w:bottom w:w="70" w:type="dxa"/>
              <w:right w:w="110" w:type="dxa"/>
            </w:tcMar>
            <w:vAlign w:val="center"/>
          </w:tcPr>
          <w:p w14:paraId="6C5B016A" w14:textId="77777777" w:rsidR="00E33D27" w:rsidRDefault="00000000">
            <w:pPr>
              <w:spacing w:before="40" w:after="40" w:line="250" w:lineRule="auto"/>
            </w:pPr>
            <w:r>
              <w:rPr>
                <w:sz w:val="15"/>
                <w:szCs w:val="15"/>
              </w:rPr>
              <w:t>Kuhn (1962): replacement of the standard accepted structure of assumptions and methods</w:t>
            </w:r>
          </w:p>
        </w:tc>
      </w:tr>
      <w:tr w:rsidR="00E33D27" w14:paraId="31D2E36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E0A35F8" w14:textId="77777777" w:rsidR="00E33D27" w:rsidRDefault="00000000">
            <w:pPr>
              <w:spacing w:before="40" w:after="40" w:line="250" w:lineRule="auto"/>
            </w:pPr>
            <w:r>
              <w:rPr>
                <w:b/>
                <w:bCs/>
                <w:sz w:val="15"/>
                <w:szCs w:val="15"/>
              </w:rPr>
              <w:t>PCT / provisional application</w:t>
            </w:r>
          </w:p>
        </w:tc>
        <w:tc>
          <w:tcPr>
            <w:tcW w:w="7480" w:type="dxa"/>
            <w:shd w:val="clear" w:color="auto" w:fill="FFFFFF"/>
            <w:tcMar>
              <w:top w:w="70" w:type="dxa"/>
              <w:left w:w="110" w:type="dxa"/>
              <w:bottom w:w="70" w:type="dxa"/>
              <w:right w:w="110" w:type="dxa"/>
            </w:tcMar>
            <w:vAlign w:val="center"/>
          </w:tcPr>
          <w:p w14:paraId="28C53D71" w14:textId="77777777" w:rsidR="00E33D27" w:rsidRDefault="00000000">
            <w:pPr>
              <w:spacing w:before="40" w:after="40" w:line="250" w:lineRule="auto"/>
            </w:pPr>
            <w:r>
              <w:rPr>
                <w:sz w:val="15"/>
                <w:szCs w:val="15"/>
              </w:rPr>
              <w:t>One international filing preserving national-phase options and deferring cost; and a low-cost filing that fixes a priority date, is never examined, and must already describe what will later be claimed</w:t>
            </w:r>
          </w:p>
        </w:tc>
      </w:tr>
      <w:tr w:rsidR="00E33D27" w14:paraId="2EA99DEC"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026BC277" w14:textId="77777777" w:rsidR="00E33D27" w:rsidRDefault="00000000">
            <w:pPr>
              <w:spacing w:before="40" w:after="40" w:line="250" w:lineRule="auto"/>
            </w:pPr>
            <w:r>
              <w:rPr>
                <w:b/>
                <w:bCs/>
                <w:sz w:val="15"/>
                <w:szCs w:val="15"/>
              </w:rPr>
              <w:t>Policy, agreement, contract</w:t>
            </w:r>
          </w:p>
        </w:tc>
        <w:tc>
          <w:tcPr>
            <w:tcW w:w="7480" w:type="dxa"/>
            <w:shd w:val="clear" w:color="auto" w:fill="F3F4F6"/>
            <w:tcMar>
              <w:top w:w="70" w:type="dxa"/>
              <w:left w:w="110" w:type="dxa"/>
              <w:bottom w:w="70" w:type="dxa"/>
              <w:right w:w="110" w:type="dxa"/>
            </w:tcMar>
            <w:vAlign w:val="center"/>
          </w:tcPr>
          <w:p w14:paraId="7B0FF7FD" w14:textId="77777777" w:rsidR="00E33D27" w:rsidRDefault="00000000">
            <w:pPr>
              <w:spacing w:before="40" w:after="40" w:line="250" w:lineRule="auto"/>
            </w:pPr>
            <w:r>
              <w:rPr>
                <w:sz w:val="15"/>
                <w:szCs w:val="15"/>
              </w:rPr>
              <w:t>Administrative intent; recorded consent; an agreement enforceable by law — s.2(h) and s.10, Indian Contract Act 1872</w:t>
            </w:r>
          </w:p>
        </w:tc>
      </w:tr>
      <w:tr w:rsidR="00E33D27" w14:paraId="3D36062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C1C3EA0" w14:textId="77777777" w:rsidR="00E33D27" w:rsidRDefault="00000000">
            <w:pPr>
              <w:spacing w:before="40" w:after="40" w:line="250" w:lineRule="auto"/>
            </w:pPr>
            <w:r>
              <w:rPr>
                <w:b/>
                <w:bCs/>
                <w:sz w:val="15"/>
                <w:szCs w:val="15"/>
              </w:rPr>
              <w:t>Prospect theory</w:t>
            </w:r>
          </w:p>
        </w:tc>
        <w:tc>
          <w:tcPr>
            <w:tcW w:w="7480" w:type="dxa"/>
            <w:shd w:val="clear" w:color="auto" w:fill="FFFFFF"/>
            <w:tcMar>
              <w:top w:w="70" w:type="dxa"/>
              <w:left w:w="110" w:type="dxa"/>
              <w:bottom w:w="70" w:type="dxa"/>
              <w:right w:w="110" w:type="dxa"/>
            </w:tcMar>
            <w:vAlign w:val="center"/>
          </w:tcPr>
          <w:p w14:paraId="229B5C70" w14:textId="77777777" w:rsidR="00E33D27" w:rsidRDefault="00000000">
            <w:pPr>
              <w:spacing w:before="40" w:after="40" w:line="250" w:lineRule="auto"/>
            </w:pPr>
            <w:r>
              <w:rPr>
                <w:sz w:val="15"/>
                <w:szCs w:val="15"/>
              </w:rPr>
              <w:t>Kitch (1977): a patent operates like a mineral prospect, giving one party the incentive to coordinate downstream development</w:t>
            </w:r>
          </w:p>
        </w:tc>
      </w:tr>
      <w:tr w:rsidR="00E33D27" w14:paraId="1F76E588"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5C963133" w14:textId="77777777" w:rsidR="00E33D27" w:rsidRDefault="00000000">
            <w:pPr>
              <w:spacing w:before="40" w:after="40" w:line="250" w:lineRule="auto"/>
            </w:pPr>
            <w:r>
              <w:rPr>
                <w:b/>
                <w:bCs/>
                <w:sz w:val="15"/>
                <w:szCs w:val="15"/>
              </w:rPr>
              <w:t>Themescape; white and red space</w:t>
            </w:r>
          </w:p>
        </w:tc>
        <w:tc>
          <w:tcPr>
            <w:tcW w:w="7480" w:type="dxa"/>
            <w:shd w:val="clear" w:color="auto" w:fill="F3F4F6"/>
            <w:tcMar>
              <w:top w:w="70" w:type="dxa"/>
              <w:left w:w="110" w:type="dxa"/>
              <w:bottom w:w="70" w:type="dxa"/>
              <w:right w:w="110" w:type="dxa"/>
            </w:tcMar>
            <w:vAlign w:val="center"/>
          </w:tcPr>
          <w:p w14:paraId="08EA4C1F" w14:textId="77777777" w:rsidR="00E33D27" w:rsidRDefault="00000000">
            <w:pPr>
              <w:spacing w:before="40" w:after="40" w:line="250" w:lineRule="auto"/>
            </w:pPr>
            <w:r>
              <w:rPr>
                <w:sz w:val="15"/>
                <w:szCs w:val="15"/>
              </w:rPr>
              <w:t>Visualisation of patent clusters as a topographic surface; and the under-explored and crowded regions a landscape reveals</w:t>
            </w:r>
          </w:p>
        </w:tc>
      </w:tr>
      <w:tr w:rsidR="00E33D27" w14:paraId="58F7122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F504296" w14:textId="77777777" w:rsidR="00E33D27" w:rsidRDefault="00000000">
            <w:pPr>
              <w:spacing w:before="40" w:after="40" w:line="250" w:lineRule="auto"/>
            </w:pPr>
            <w:r>
              <w:rPr>
                <w:b/>
                <w:bCs/>
                <w:sz w:val="15"/>
                <w:szCs w:val="15"/>
              </w:rPr>
              <w:t>Tobin's q</w:t>
            </w:r>
          </w:p>
        </w:tc>
        <w:tc>
          <w:tcPr>
            <w:tcW w:w="7480" w:type="dxa"/>
            <w:shd w:val="clear" w:color="auto" w:fill="FFFFFF"/>
            <w:tcMar>
              <w:top w:w="70" w:type="dxa"/>
              <w:left w:w="110" w:type="dxa"/>
              <w:bottom w:w="70" w:type="dxa"/>
              <w:right w:w="110" w:type="dxa"/>
            </w:tcMar>
            <w:vAlign w:val="center"/>
          </w:tcPr>
          <w:p w14:paraId="35174677" w14:textId="77777777" w:rsidR="00E33D27" w:rsidRDefault="00000000">
            <w:pPr>
              <w:spacing w:before="40" w:after="40" w:line="250" w:lineRule="auto"/>
            </w:pPr>
            <w:r>
              <w:rPr>
                <w:sz w:val="15"/>
                <w:szCs w:val="15"/>
              </w:rPr>
              <w:t>Market value divided by replacement cost of assets — a proxy for the intangibles the accounts omit</w:t>
            </w:r>
          </w:p>
        </w:tc>
      </w:tr>
      <w:tr w:rsidR="00E33D27" w14:paraId="0E071F5A" w14:textId="77777777">
        <w:tblPrEx>
          <w:tblCellMar>
            <w:top w:w="0" w:type="dxa"/>
            <w:bottom w:w="0" w:type="dxa"/>
          </w:tblCellMar>
        </w:tblPrEx>
        <w:trPr>
          <w:cantSplit/>
        </w:trPr>
        <w:tc>
          <w:tcPr>
            <w:tcW w:w="2600" w:type="dxa"/>
            <w:shd w:val="clear" w:color="auto" w:fill="F3F4F6"/>
            <w:tcMar>
              <w:top w:w="70" w:type="dxa"/>
              <w:left w:w="110" w:type="dxa"/>
              <w:bottom w:w="70" w:type="dxa"/>
              <w:right w:w="110" w:type="dxa"/>
            </w:tcMar>
            <w:vAlign w:val="center"/>
          </w:tcPr>
          <w:p w14:paraId="197F6018" w14:textId="77777777" w:rsidR="00E33D27" w:rsidRDefault="00000000">
            <w:pPr>
              <w:spacing w:before="40" w:after="40" w:line="250" w:lineRule="auto"/>
            </w:pPr>
            <w:r>
              <w:rPr>
                <w:b/>
                <w:bCs/>
                <w:sz w:val="15"/>
                <w:szCs w:val="15"/>
              </w:rPr>
              <w:t>UDRP</w:t>
            </w:r>
          </w:p>
        </w:tc>
        <w:tc>
          <w:tcPr>
            <w:tcW w:w="7480" w:type="dxa"/>
            <w:shd w:val="clear" w:color="auto" w:fill="F3F4F6"/>
            <w:tcMar>
              <w:top w:w="70" w:type="dxa"/>
              <w:left w:w="110" w:type="dxa"/>
              <w:bottom w:w="70" w:type="dxa"/>
              <w:right w:w="110" w:type="dxa"/>
            </w:tcMar>
            <w:vAlign w:val="center"/>
          </w:tcPr>
          <w:p w14:paraId="469645F8" w14:textId="77777777" w:rsidR="00E33D27" w:rsidRDefault="00000000">
            <w:pPr>
              <w:spacing w:before="40" w:after="40" w:line="250" w:lineRule="auto"/>
            </w:pPr>
            <w:r>
              <w:rPr>
                <w:sz w:val="15"/>
                <w:szCs w:val="15"/>
              </w:rPr>
              <w:t>The 1999 ICANN policy; three-pronged test under paragraph 4(a); remedies limited to transfer or cancellation, with no damages</w:t>
            </w:r>
          </w:p>
        </w:tc>
      </w:tr>
      <w:tr w:rsidR="00E33D27" w14:paraId="6417E87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24A7485" w14:textId="77777777" w:rsidR="00E33D27" w:rsidRDefault="00000000">
            <w:pPr>
              <w:spacing w:before="40" w:after="40" w:line="250" w:lineRule="auto"/>
            </w:pPr>
            <w:r>
              <w:rPr>
                <w:b/>
                <w:bCs/>
                <w:sz w:val="15"/>
                <w:szCs w:val="15"/>
              </w:rPr>
              <w:t>X-patents</w:t>
            </w:r>
          </w:p>
        </w:tc>
        <w:tc>
          <w:tcPr>
            <w:tcW w:w="7480" w:type="dxa"/>
            <w:shd w:val="clear" w:color="auto" w:fill="FFFFFF"/>
            <w:tcMar>
              <w:top w:w="70" w:type="dxa"/>
              <w:left w:w="110" w:type="dxa"/>
              <w:bottom w:w="70" w:type="dxa"/>
              <w:right w:w="110" w:type="dxa"/>
            </w:tcMar>
            <w:vAlign w:val="center"/>
          </w:tcPr>
          <w:p w14:paraId="3D64EE54" w14:textId="77777777" w:rsidR="00E33D27" w:rsidRDefault="00000000">
            <w:pPr>
              <w:spacing w:before="40" w:after="40" w:line="250" w:lineRule="auto"/>
            </w:pPr>
            <w:r>
              <w:rPr>
                <w:sz w:val="15"/>
                <w:szCs w:val="15"/>
              </w:rPr>
              <w:t>The roughly 9,957 unnumbered US patents whose records burned in December 1836, reconstructed from inventors' copies</w:t>
            </w:r>
          </w:p>
        </w:tc>
      </w:tr>
    </w:tbl>
    <w:p w14:paraId="043D7F1D" w14:textId="77777777" w:rsidR="00E33D27" w:rsidRDefault="00000000">
      <w:pPr>
        <w:pStyle w:val="Heading2"/>
        <w:keepNext/>
      </w:pPr>
      <w:r>
        <w:t>6.5  Corrections to Claims That Circulate in Class Notes</w:t>
      </w:r>
    </w:p>
    <w:p w14:paraId="46422E43" w14:textId="77777777" w:rsidR="00E33D27" w:rsidRDefault="00000000">
      <w:pPr>
        <w:jc w:val="both"/>
      </w:pPr>
      <w:r>
        <w:t>Reproducing the corrected version of each of these, and saying that it is the corrected version, demonstrates the source-criticism a postgraduate answer is marked for.</w:t>
      </w:r>
    </w:p>
    <w:tbl>
      <w:tblPr>
        <w:tblW w:w="10080" w:type="dxa"/>
        <w:tblBorders>
          <w:top w:val="single" w:sz="6" w:space="0" w:color="9FB3CE"/>
          <w:left w:val="single" w:sz="6" w:space="0" w:color="9FB3CE"/>
          <w:bottom w:val="single" w:sz="6" w:space="0" w:color="9FB3CE"/>
          <w:right w:val="single" w:sz="6" w:space="0" w:color="9FB3CE"/>
          <w:insideH w:val="single" w:sz="4" w:space="0" w:color="D6DDE8"/>
          <w:insideV w:val="single" w:sz="4" w:space="0" w:color="D6DDE8"/>
        </w:tblBorders>
        <w:tblCellMar>
          <w:left w:w="10" w:type="dxa"/>
          <w:right w:w="10" w:type="dxa"/>
        </w:tblCellMar>
        <w:tblLook w:val="04A0" w:firstRow="1" w:lastRow="0" w:firstColumn="1" w:lastColumn="0" w:noHBand="0" w:noVBand="1"/>
      </w:tblPr>
      <w:tblGrid>
        <w:gridCol w:w="3200"/>
        <w:gridCol w:w="6880"/>
      </w:tblGrid>
      <w:tr w:rsidR="00E33D27" w14:paraId="2CB05CB5" w14:textId="77777777">
        <w:tblPrEx>
          <w:tblCellMar>
            <w:top w:w="0" w:type="dxa"/>
            <w:bottom w:w="0" w:type="dxa"/>
          </w:tblCellMar>
        </w:tblPrEx>
        <w:trPr>
          <w:cantSplit/>
          <w:tblHeader/>
        </w:trPr>
        <w:tc>
          <w:tcPr>
            <w:tcW w:w="3200" w:type="dxa"/>
            <w:shd w:val="clear" w:color="auto" w:fill="1F3864"/>
            <w:tcMar>
              <w:top w:w="70" w:type="dxa"/>
              <w:left w:w="110" w:type="dxa"/>
              <w:bottom w:w="70" w:type="dxa"/>
              <w:right w:w="110" w:type="dxa"/>
            </w:tcMar>
            <w:vAlign w:val="center"/>
          </w:tcPr>
          <w:p w14:paraId="73F5990D" w14:textId="77777777" w:rsidR="00E33D27" w:rsidRDefault="00000000">
            <w:pPr>
              <w:spacing w:before="40" w:after="40" w:line="250" w:lineRule="auto"/>
            </w:pPr>
            <w:r>
              <w:rPr>
                <w:b/>
                <w:bCs/>
                <w:color w:val="FFFFFF"/>
                <w:sz w:val="17"/>
                <w:szCs w:val="17"/>
              </w:rPr>
              <w:t>Claim as commonly stated</w:t>
            </w:r>
          </w:p>
        </w:tc>
        <w:tc>
          <w:tcPr>
            <w:tcW w:w="6880" w:type="dxa"/>
            <w:shd w:val="clear" w:color="auto" w:fill="1F3864"/>
            <w:tcMar>
              <w:top w:w="70" w:type="dxa"/>
              <w:left w:w="110" w:type="dxa"/>
              <w:bottom w:w="70" w:type="dxa"/>
              <w:right w:w="110" w:type="dxa"/>
            </w:tcMar>
            <w:vAlign w:val="center"/>
          </w:tcPr>
          <w:p w14:paraId="2FFD8A53" w14:textId="77777777" w:rsidR="00E33D27" w:rsidRDefault="00000000">
            <w:pPr>
              <w:spacing w:before="40" w:after="40" w:line="250" w:lineRule="auto"/>
            </w:pPr>
            <w:r>
              <w:rPr>
                <w:b/>
                <w:bCs/>
                <w:color w:val="FFFFFF"/>
                <w:sz w:val="17"/>
                <w:szCs w:val="17"/>
              </w:rPr>
              <w:t>The defensible version</w:t>
            </w:r>
          </w:p>
        </w:tc>
      </w:tr>
      <w:tr w:rsidR="00E33D27" w14:paraId="5387DE32" w14:textId="77777777">
        <w:tblPrEx>
          <w:tblCellMar>
            <w:top w:w="0" w:type="dxa"/>
            <w:bottom w:w="0" w:type="dxa"/>
          </w:tblCellMar>
        </w:tblPrEx>
        <w:trPr>
          <w:cantSplit/>
        </w:trPr>
        <w:tc>
          <w:tcPr>
            <w:tcW w:w="3200" w:type="dxa"/>
            <w:shd w:val="clear" w:color="auto" w:fill="F3F4F6"/>
            <w:tcMar>
              <w:top w:w="70" w:type="dxa"/>
              <w:left w:w="110" w:type="dxa"/>
              <w:bottom w:w="70" w:type="dxa"/>
              <w:right w:w="110" w:type="dxa"/>
            </w:tcMar>
            <w:vAlign w:val="center"/>
          </w:tcPr>
          <w:p w14:paraId="04E15B55" w14:textId="77777777" w:rsidR="00E33D27" w:rsidRDefault="00000000">
            <w:pPr>
              <w:spacing w:before="40" w:after="40" w:line="250" w:lineRule="auto"/>
            </w:pPr>
            <w:r>
              <w:rPr>
                <w:b/>
                <w:bCs/>
                <w:sz w:val="16"/>
                <w:szCs w:val="16"/>
              </w:rPr>
              <w:t>“27% of the US job market is IP-related.”</w:t>
            </w:r>
          </w:p>
        </w:tc>
        <w:tc>
          <w:tcPr>
            <w:tcW w:w="6880" w:type="dxa"/>
            <w:shd w:val="clear" w:color="auto" w:fill="F3F4F6"/>
            <w:tcMar>
              <w:top w:w="70" w:type="dxa"/>
              <w:left w:w="110" w:type="dxa"/>
              <w:bottom w:w="70" w:type="dxa"/>
              <w:right w:w="110" w:type="dxa"/>
            </w:tcMar>
            <w:vAlign w:val="center"/>
          </w:tcPr>
          <w:p w14:paraId="54797B9B" w14:textId="77777777" w:rsidR="00E33D27" w:rsidRDefault="00000000">
            <w:pPr>
              <w:spacing w:before="40" w:after="40" w:line="250" w:lineRule="auto"/>
            </w:pPr>
            <w:r>
              <w:rPr>
                <w:sz w:val="16"/>
                <w:szCs w:val="16"/>
              </w:rPr>
              <w:t>27.7% on 2010 data (USPTO/ESA, 2012), updated to 44% of employment and 41% of GDP on 2019 data (USPTO, 3rd edn, 2022). Quote the evolution, not either figure alone</w:t>
            </w:r>
          </w:p>
        </w:tc>
      </w:tr>
      <w:tr w:rsidR="00E33D27" w14:paraId="4F38D48A"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1E640BCB" w14:textId="77777777" w:rsidR="00E33D27" w:rsidRDefault="00000000">
            <w:pPr>
              <w:spacing w:before="40" w:after="40" w:line="250" w:lineRule="auto"/>
            </w:pPr>
            <w:r>
              <w:rPr>
                <w:b/>
                <w:bCs/>
                <w:sz w:val="16"/>
                <w:szCs w:val="16"/>
              </w:rPr>
              <w:t>“Only about 10% of patents have any value.”</w:t>
            </w:r>
          </w:p>
        </w:tc>
        <w:tc>
          <w:tcPr>
            <w:tcW w:w="6880" w:type="dxa"/>
            <w:shd w:val="clear" w:color="auto" w:fill="FFFFFF"/>
            <w:tcMar>
              <w:top w:w="70" w:type="dxa"/>
              <w:left w:w="110" w:type="dxa"/>
              <w:bottom w:w="70" w:type="dxa"/>
              <w:right w:w="110" w:type="dxa"/>
            </w:tcMar>
            <w:vAlign w:val="center"/>
          </w:tcPr>
          <w:p w14:paraId="7F25263C" w14:textId="77777777" w:rsidR="00E33D27" w:rsidRDefault="00000000">
            <w:pPr>
              <w:spacing w:before="40" w:after="40" w:line="250" w:lineRule="auto"/>
            </w:pPr>
            <w:r>
              <w:rPr>
                <w:sz w:val="16"/>
                <w:szCs w:val="16"/>
              </w:rPr>
              <w:t>Value is concentrated, not absent: the top 10% holds roughly 80–85% of portfolio value (Scherer &amp; Harhoff, 2000), the distribution being approximately lognormal</w:t>
            </w:r>
          </w:p>
        </w:tc>
      </w:tr>
      <w:tr w:rsidR="00E33D27" w14:paraId="4BEB589B" w14:textId="77777777">
        <w:tblPrEx>
          <w:tblCellMar>
            <w:top w:w="0" w:type="dxa"/>
            <w:bottom w:w="0" w:type="dxa"/>
          </w:tblCellMar>
        </w:tblPrEx>
        <w:trPr>
          <w:cantSplit/>
        </w:trPr>
        <w:tc>
          <w:tcPr>
            <w:tcW w:w="3200" w:type="dxa"/>
            <w:shd w:val="clear" w:color="auto" w:fill="F3F4F6"/>
            <w:tcMar>
              <w:top w:w="70" w:type="dxa"/>
              <w:left w:w="110" w:type="dxa"/>
              <w:bottom w:w="70" w:type="dxa"/>
              <w:right w:w="110" w:type="dxa"/>
            </w:tcMar>
            <w:vAlign w:val="center"/>
          </w:tcPr>
          <w:p w14:paraId="523E9F01" w14:textId="77777777" w:rsidR="00E33D27" w:rsidRDefault="00000000">
            <w:pPr>
              <w:spacing w:before="40" w:after="40" w:line="250" w:lineRule="auto"/>
            </w:pPr>
            <w:r>
              <w:rPr>
                <w:b/>
                <w:bCs/>
                <w:sz w:val="16"/>
                <w:szCs w:val="16"/>
              </w:rPr>
              <w:t>“Japan pioneered IP management, then it shifted to the US.”</w:t>
            </w:r>
          </w:p>
        </w:tc>
        <w:tc>
          <w:tcPr>
            <w:tcW w:w="6880" w:type="dxa"/>
            <w:shd w:val="clear" w:color="auto" w:fill="F3F4F6"/>
            <w:tcMar>
              <w:top w:w="70" w:type="dxa"/>
              <w:left w:w="110" w:type="dxa"/>
              <w:bottom w:w="70" w:type="dxa"/>
              <w:right w:w="110" w:type="dxa"/>
            </w:tcMar>
            <w:vAlign w:val="center"/>
          </w:tcPr>
          <w:p w14:paraId="4766C048" w14:textId="77777777" w:rsidR="00E33D27" w:rsidRDefault="00000000">
            <w:pPr>
              <w:spacing w:before="40" w:after="40" w:line="250" w:lineRule="auto"/>
            </w:pPr>
            <w:r>
              <w:rPr>
                <w:sz w:val="16"/>
                <w:szCs w:val="16"/>
              </w:rPr>
              <w:t>Partly right. Japanese corporations built strong patent cultures during catch-up, but the pro-patent era as a policy paradigm was US-initiated between 1980 and 1982 and then globalised</w:t>
            </w:r>
          </w:p>
        </w:tc>
      </w:tr>
      <w:tr w:rsidR="00E33D27" w14:paraId="21C2C8C3"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1EB312F8" w14:textId="77777777" w:rsidR="00E33D27" w:rsidRDefault="00000000">
            <w:pPr>
              <w:spacing w:before="40" w:after="40" w:line="250" w:lineRule="auto"/>
            </w:pPr>
            <w:r>
              <w:rPr>
                <w:b/>
                <w:bCs/>
                <w:sz w:val="16"/>
                <w:szCs w:val="16"/>
              </w:rPr>
              <w:t>“IP management emerged in 1990” or “in 1998.”</w:t>
            </w:r>
          </w:p>
        </w:tc>
        <w:tc>
          <w:tcPr>
            <w:tcW w:w="6880" w:type="dxa"/>
            <w:shd w:val="clear" w:color="auto" w:fill="FFFFFF"/>
            <w:tcMar>
              <w:top w:w="70" w:type="dxa"/>
              <w:left w:w="110" w:type="dxa"/>
              <w:bottom w:w="70" w:type="dxa"/>
              <w:right w:w="110" w:type="dxa"/>
            </w:tcMar>
            <w:vAlign w:val="center"/>
          </w:tcPr>
          <w:p w14:paraId="56EB73B5" w14:textId="77777777" w:rsidR="00E33D27" w:rsidRDefault="00000000">
            <w:pPr>
              <w:spacing w:before="40" w:after="40" w:line="250" w:lineRule="auto"/>
            </w:pPr>
            <w:r>
              <w:rPr>
                <w:sz w:val="16"/>
                <w:szCs w:val="16"/>
              </w:rPr>
              <w:t>Best dated to the 1980s and 1990s; no single year is defensible. Accumulation of rights after 1883 created the conditions; 1980–1982 supplied the trigger</w:t>
            </w:r>
          </w:p>
        </w:tc>
      </w:tr>
      <w:tr w:rsidR="00E33D27" w14:paraId="6A37E4AB" w14:textId="77777777">
        <w:tblPrEx>
          <w:tblCellMar>
            <w:top w:w="0" w:type="dxa"/>
            <w:bottom w:w="0" w:type="dxa"/>
          </w:tblCellMar>
        </w:tblPrEx>
        <w:trPr>
          <w:cantSplit/>
        </w:trPr>
        <w:tc>
          <w:tcPr>
            <w:tcW w:w="3200" w:type="dxa"/>
            <w:shd w:val="clear" w:color="auto" w:fill="F3F4F6"/>
            <w:tcMar>
              <w:top w:w="70" w:type="dxa"/>
              <w:left w:w="110" w:type="dxa"/>
              <w:bottom w:w="70" w:type="dxa"/>
              <w:right w:w="110" w:type="dxa"/>
            </w:tcMar>
            <w:vAlign w:val="center"/>
          </w:tcPr>
          <w:p w14:paraId="489CAACB" w14:textId="77777777" w:rsidR="00E33D27" w:rsidRDefault="00000000">
            <w:pPr>
              <w:spacing w:before="40" w:after="40" w:line="250" w:lineRule="auto"/>
            </w:pPr>
            <w:r>
              <w:rPr>
                <w:b/>
                <w:bCs/>
                <w:sz w:val="16"/>
                <w:szCs w:val="16"/>
              </w:rPr>
              <w:t>“The Paris Convention is the master key.”</w:t>
            </w:r>
          </w:p>
        </w:tc>
        <w:tc>
          <w:tcPr>
            <w:tcW w:w="6880" w:type="dxa"/>
            <w:shd w:val="clear" w:color="auto" w:fill="F3F4F6"/>
            <w:tcMar>
              <w:top w:w="70" w:type="dxa"/>
              <w:left w:w="110" w:type="dxa"/>
              <w:bottom w:w="70" w:type="dxa"/>
              <w:right w:w="110" w:type="dxa"/>
            </w:tcMar>
            <w:vAlign w:val="center"/>
          </w:tcPr>
          <w:p w14:paraId="3D51124D" w14:textId="77777777" w:rsidR="00E33D27" w:rsidRDefault="00000000">
            <w:pPr>
              <w:spacing w:before="40" w:after="40" w:line="250" w:lineRule="auto"/>
            </w:pPr>
            <w:r>
              <w:rPr>
                <w:sz w:val="16"/>
                <w:szCs w:val="16"/>
              </w:rPr>
              <w:t>Defensible if expressed as “the foundational multilateral industrial-property instrument”, with Berne (1886) and TRIPS (1994) completing the architecture</w:t>
            </w:r>
          </w:p>
        </w:tc>
      </w:tr>
      <w:tr w:rsidR="00E33D27" w14:paraId="4B212800"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7D4C6602" w14:textId="77777777" w:rsidR="00E33D27" w:rsidRDefault="00000000">
            <w:pPr>
              <w:spacing w:before="40" w:after="40" w:line="250" w:lineRule="auto"/>
            </w:pPr>
            <w:r>
              <w:rPr>
                <w:b/>
                <w:bCs/>
                <w:sz w:val="16"/>
                <w:szCs w:val="16"/>
              </w:rPr>
              <w:t>“Intangibles are 92% of S&amp;P 500 value.”</w:t>
            </w:r>
          </w:p>
        </w:tc>
        <w:tc>
          <w:tcPr>
            <w:tcW w:w="6880" w:type="dxa"/>
            <w:shd w:val="clear" w:color="auto" w:fill="FFFFFF"/>
            <w:tcMar>
              <w:top w:w="70" w:type="dxa"/>
              <w:left w:w="110" w:type="dxa"/>
              <w:bottom w:w="70" w:type="dxa"/>
              <w:right w:w="110" w:type="dxa"/>
            </w:tcMar>
            <w:vAlign w:val="center"/>
          </w:tcPr>
          <w:p w14:paraId="76F25E86" w14:textId="77777777" w:rsidR="00E33D27" w:rsidRDefault="00000000">
            <w:pPr>
              <w:spacing w:before="40" w:after="40" w:line="250" w:lineRule="auto"/>
            </w:pPr>
            <w:r>
              <w:rPr>
                <w:sz w:val="16"/>
                <w:szCs w:val="16"/>
              </w:rPr>
              <w:t>Ocean Tomo's own later estimate. The peer-cited safe benchmark is over 90% for 2020; attribute the higher figures to the firm's methodology</w:t>
            </w:r>
          </w:p>
        </w:tc>
      </w:tr>
      <w:tr w:rsidR="00E33D27" w14:paraId="134168D0" w14:textId="77777777">
        <w:tblPrEx>
          <w:tblCellMar>
            <w:top w:w="0" w:type="dxa"/>
            <w:bottom w:w="0" w:type="dxa"/>
          </w:tblCellMar>
        </w:tblPrEx>
        <w:trPr>
          <w:cantSplit/>
        </w:trPr>
        <w:tc>
          <w:tcPr>
            <w:tcW w:w="3200" w:type="dxa"/>
            <w:shd w:val="clear" w:color="auto" w:fill="F3F4F6"/>
            <w:tcMar>
              <w:top w:w="70" w:type="dxa"/>
              <w:left w:w="110" w:type="dxa"/>
              <w:bottom w:w="70" w:type="dxa"/>
              <w:right w:w="110" w:type="dxa"/>
            </w:tcMar>
            <w:vAlign w:val="center"/>
          </w:tcPr>
          <w:p w14:paraId="52086270" w14:textId="77777777" w:rsidR="00E33D27" w:rsidRDefault="00000000">
            <w:pPr>
              <w:spacing w:before="40" w:after="40" w:line="250" w:lineRule="auto"/>
            </w:pPr>
            <w:r>
              <w:rPr>
                <w:b/>
                <w:bCs/>
                <w:sz w:val="16"/>
                <w:szCs w:val="16"/>
              </w:rPr>
              <w:lastRenderedPageBreak/>
              <w:t>“IBM earns a billion dollars a year from patents.”</w:t>
            </w:r>
          </w:p>
        </w:tc>
        <w:tc>
          <w:tcPr>
            <w:tcW w:w="6880" w:type="dxa"/>
            <w:shd w:val="clear" w:color="auto" w:fill="F3F4F6"/>
            <w:tcMar>
              <w:top w:w="70" w:type="dxa"/>
              <w:left w:w="110" w:type="dxa"/>
              <w:bottom w:w="70" w:type="dxa"/>
              <w:right w:w="110" w:type="dxa"/>
            </w:tcMar>
            <w:vAlign w:val="center"/>
          </w:tcPr>
          <w:p w14:paraId="26B545BF" w14:textId="77777777" w:rsidR="00E33D27" w:rsidRDefault="00000000">
            <w:pPr>
              <w:spacing w:before="40" w:after="40" w:line="250" w:lineRule="auto"/>
            </w:pPr>
            <w:r>
              <w:rPr>
                <w:sz w:val="16"/>
                <w:szCs w:val="16"/>
              </w:rPr>
              <w:t>It averaged around that level after 1996, peaking near USD 1.7 bn in 2000, but the figure mixes patents, copyright, brand and know-how and fell sharply after about 2019</w:t>
            </w:r>
          </w:p>
        </w:tc>
      </w:tr>
    </w:tbl>
    <w:p w14:paraId="4F5E9E6C" w14:textId="77777777" w:rsidR="00E33D27" w:rsidRDefault="00000000">
      <w:pPr>
        <w:pStyle w:val="Heading2"/>
        <w:keepNext/>
      </w:pPr>
      <w:r>
        <w:t>6.6  Practice Questions</w:t>
      </w:r>
    </w:p>
    <w:p w14:paraId="7BF06B2C" w14:textId="77777777" w:rsidR="00E33D27" w:rsidRDefault="00000000">
      <w:pPr>
        <w:keepNext/>
        <w:spacing w:before="60" w:after="80"/>
      </w:pPr>
      <w:r>
        <w:rPr>
          <w:b/>
          <w:bCs/>
          <w:color w:val="1F3864"/>
          <w:sz w:val="18"/>
          <w:szCs w:val="18"/>
        </w:rPr>
        <w:t>Short answer</w:t>
      </w:r>
    </w:p>
    <w:p w14:paraId="514C844C" w14:textId="77777777" w:rsidR="00E33D27" w:rsidRDefault="00000000">
      <w:pPr>
        <w:pStyle w:val="ListParagraph"/>
        <w:numPr>
          <w:ilvl w:val="0"/>
          <w:numId w:val="5"/>
        </w:numPr>
        <w:spacing w:after="70" w:line="272" w:lineRule="auto"/>
      </w:pPr>
      <w:r>
        <w:t>Distinguish IP management from IP strategy and IP administration.</w:t>
      </w:r>
    </w:p>
    <w:p w14:paraId="7F7C47A0" w14:textId="77777777" w:rsidR="00E33D27" w:rsidRDefault="00000000">
      <w:pPr>
        <w:pStyle w:val="ListParagraph"/>
        <w:numPr>
          <w:ilvl w:val="0"/>
          <w:numId w:val="5"/>
        </w:numPr>
        <w:spacing w:after="70" w:line="272" w:lineRule="auto"/>
      </w:pPr>
      <w:r>
        <w:t>Why is a patent called a negative right, and is the description unique to patents?</w:t>
      </w:r>
    </w:p>
    <w:p w14:paraId="5DD4B42B" w14:textId="77777777" w:rsidR="00E33D27" w:rsidRDefault="00000000">
      <w:pPr>
        <w:pStyle w:val="ListParagraph"/>
        <w:numPr>
          <w:ilvl w:val="0"/>
          <w:numId w:val="5"/>
        </w:numPr>
        <w:spacing w:after="70" w:line="272" w:lineRule="auto"/>
      </w:pPr>
      <w:r>
        <w:t>Why is a raw count of active patents a poor proxy for portfolio value?</w:t>
      </w:r>
    </w:p>
    <w:p w14:paraId="4410B6F4" w14:textId="77777777" w:rsidR="00E33D27" w:rsidRDefault="00000000">
      <w:pPr>
        <w:pStyle w:val="ListParagraph"/>
        <w:numPr>
          <w:ilvl w:val="0"/>
          <w:numId w:val="5"/>
        </w:numPr>
        <w:spacing w:after="70" w:line="272" w:lineRule="auto"/>
      </w:pPr>
      <w:r>
        <w:t>State the two properties of ideas on which endogenous growth theory rests.</w:t>
      </w:r>
    </w:p>
    <w:p w14:paraId="5047869B" w14:textId="77777777" w:rsidR="00E33D27" w:rsidRDefault="00000000">
      <w:pPr>
        <w:pStyle w:val="ListParagraph"/>
        <w:numPr>
          <w:ilvl w:val="0"/>
          <w:numId w:val="5"/>
        </w:numPr>
        <w:spacing w:after="70" w:line="272" w:lineRule="auto"/>
      </w:pPr>
      <w:r>
        <w:t>Distinguish a policy, a guideline, an agreement and a contract.</w:t>
      </w:r>
    </w:p>
    <w:p w14:paraId="6303CB96" w14:textId="77777777" w:rsidR="00E33D27" w:rsidRDefault="00000000">
      <w:pPr>
        <w:pStyle w:val="ListParagraph"/>
        <w:numPr>
          <w:ilvl w:val="0"/>
          <w:numId w:val="5"/>
        </w:numPr>
        <w:spacing w:after="70" w:line="272" w:lineRule="auto"/>
      </w:pPr>
      <w:r>
        <w:t>Set out the UDRP three-pronged test, and say how the INDRP differs.</w:t>
      </w:r>
    </w:p>
    <w:p w14:paraId="23A62D2F" w14:textId="77777777" w:rsidR="00E33D27" w:rsidRDefault="00000000">
      <w:pPr>
        <w:keepNext/>
        <w:spacing w:before="60" w:after="80"/>
      </w:pPr>
      <w:r>
        <w:rPr>
          <w:b/>
          <w:bCs/>
          <w:color w:val="1F3864"/>
          <w:sz w:val="18"/>
          <w:szCs w:val="18"/>
        </w:rPr>
        <w:t>Long answer</w:t>
      </w:r>
    </w:p>
    <w:p w14:paraId="392028EF" w14:textId="77777777" w:rsidR="00E33D27" w:rsidRDefault="00000000">
      <w:pPr>
        <w:pStyle w:val="ListParagraph"/>
        <w:numPr>
          <w:ilvl w:val="0"/>
          <w:numId w:val="6"/>
        </w:numPr>
        <w:spacing w:after="70" w:line="272" w:lineRule="auto"/>
      </w:pPr>
      <w:r>
        <w:t>Explain the relationship between intangible assets, intellectual capital, intellectual property and IP rights, and why most intellectual capital never appears on a balance sheet.</w:t>
      </w:r>
    </w:p>
    <w:p w14:paraId="21CF2FE5" w14:textId="77777777" w:rsidR="00E33D27" w:rsidRDefault="00000000">
      <w:pPr>
        <w:pStyle w:val="ListParagraph"/>
        <w:numPr>
          <w:ilvl w:val="0"/>
          <w:numId w:val="6"/>
        </w:numPr>
        <w:spacing w:after="70" w:line="272" w:lineRule="auto"/>
      </w:pPr>
      <w:r>
        <w:t>How would you measure the IP culture and the IP value of an organisation? Support your answer with benchmarks and named frameworks.</w:t>
      </w:r>
    </w:p>
    <w:p w14:paraId="246D1A37" w14:textId="77777777" w:rsidR="00E33D27" w:rsidRDefault="00000000">
      <w:pPr>
        <w:pStyle w:val="ListParagraph"/>
        <w:numPr>
          <w:ilvl w:val="0"/>
          <w:numId w:val="6"/>
        </w:numPr>
        <w:spacing w:after="70" w:line="272" w:lineRule="auto"/>
      </w:pPr>
      <w:r>
        <w:t>Discuss the paradigm shift from “intellectual property” to “intellectual capital”.</w:t>
      </w:r>
    </w:p>
    <w:p w14:paraId="08938866" w14:textId="77777777" w:rsidR="00E33D27" w:rsidRDefault="00000000">
      <w:pPr>
        <w:pStyle w:val="ListParagraph"/>
        <w:numPr>
          <w:ilvl w:val="0"/>
          <w:numId w:val="6"/>
        </w:numPr>
        <w:spacing w:after="70" w:line="272" w:lineRule="auto"/>
      </w:pPr>
      <w:r>
        <w:t>Do ideas and IPR determine economic growth? Present both sides of the debate.</w:t>
      </w:r>
    </w:p>
    <w:p w14:paraId="1EE4716C" w14:textId="77777777" w:rsidR="00E33D27" w:rsidRDefault="00000000">
      <w:pPr>
        <w:pStyle w:val="ListParagraph"/>
        <w:numPr>
          <w:ilvl w:val="0"/>
          <w:numId w:val="6"/>
        </w:numPr>
        <w:spacing w:after="70" w:line="272" w:lineRule="auto"/>
      </w:pPr>
      <w:r>
        <w:t>Draft or critique an institutional IP policy, covering ownership, disclosure and revenue sharing, and contrast a corporation, a university and a research organisation.</w:t>
      </w:r>
    </w:p>
    <w:p w14:paraId="3CDFF0D6" w14:textId="77777777" w:rsidR="00E33D27" w:rsidRDefault="00000000">
      <w:pPr>
        <w:pStyle w:val="ListParagraph"/>
        <w:numPr>
          <w:ilvl w:val="0"/>
          <w:numId w:val="6"/>
        </w:numPr>
        <w:spacing w:after="70" w:line="272" w:lineRule="auto"/>
      </w:pPr>
      <w:r>
        <w:t>What happens when the rights of trademark owners and domain name owners collide? Apply your answer to a domain registered in good faith before the trademark arose.</w:t>
      </w:r>
    </w:p>
    <w:p w14:paraId="762708D9" w14:textId="77777777" w:rsidR="00E33D27" w:rsidRDefault="00000000">
      <w:pPr>
        <w:spacing w:after="0"/>
        <w:jc w:val="center"/>
      </w:pPr>
      <w:r>
        <w:rPr>
          <w:i/>
          <w:iCs/>
          <w:color w:val="5A6270"/>
        </w:rPr>
        <w:t>End of document.</w:t>
      </w:r>
    </w:p>
    <w:sectPr w:rsidR="00E33D27">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C5F8" w14:textId="77777777" w:rsidR="00525EFE" w:rsidRDefault="00525EFE">
      <w:pPr>
        <w:spacing w:after="0" w:line="240" w:lineRule="auto"/>
      </w:pPr>
      <w:r>
        <w:separator/>
      </w:r>
    </w:p>
  </w:endnote>
  <w:endnote w:type="continuationSeparator" w:id="0">
    <w:p w14:paraId="33A6804E" w14:textId="77777777" w:rsidR="00525EFE" w:rsidRDefault="00525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053A" w14:textId="323BAFB1" w:rsidR="00E33D27" w:rsidRDefault="00000000">
    <w:pPr>
      <w:pBdr>
        <w:top w:val="single" w:sz="4" w:space="8" w:color="C8D2E0"/>
      </w:pBdr>
      <w:spacing w:before="120"/>
      <w:jc w:val="center"/>
    </w:pPr>
    <w:r>
      <w:rPr>
        <w:sz w:val="15"/>
        <w:szCs w:val="15"/>
      </w:rPr>
      <w:t xml:space="preserve">IP Management IP61019  ·  </w:t>
    </w:r>
    <w:r w:rsidR="009B726C">
      <w:rPr>
        <w:sz w:val="15"/>
        <w:szCs w:val="15"/>
      </w:rPr>
      <w:t>Surendra Mundvadiya (24IP63041)</w:t>
    </w:r>
    <w:r>
      <w:rPr>
        <w:sz w:val="15"/>
        <w:szCs w:val="15"/>
      </w:rPr>
      <w:t xml:space="preserve">  ·  </w:t>
    </w:r>
    <w:r>
      <w:rPr>
        <w:color w:val="5A6270"/>
        <w:sz w:val="15"/>
        <w:szCs w:val="15"/>
      </w:rPr>
      <w:fldChar w:fldCharType="begin"/>
    </w:r>
    <w:r>
      <w:rPr>
        <w:color w:val="5A6270"/>
        <w:sz w:val="15"/>
        <w:szCs w:val="15"/>
      </w:rPr>
      <w:instrText>PAGE</w:instrText>
    </w:r>
    <w:r>
      <w:rPr>
        <w:color w:val="5A6270"/>
        <w:sz w:val="15"/>
        <w:szCs w:val="15"/>
      </w:rPr>
      <w:fldChar w:fldCharType="separate"/>
    </w:r>
    <w:r w:rsidR="009B726C">
      <w:rPr>
        <w:noProof/>
        <w:color w:val="5A6270"/>
        <w:sz w:val="15"/>
        <w:szCs w:val="15"/>
      </w:rPr>
      <w:t>1</w:t>
    </w:r>
    <w:r>
      <w:rPr>
        <w:color w:val="5A62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D5C7" w14:textId="77777777" w:rsidR="00525EFE" w:rsidRDefault="00525EFE">
      <w:pPr>
        <w:spacing w:after="0" w:line="240" w:lineRule="auto"/>
      </w:pPr>
      <w:r>
        <w:separator/>
      </w:r>
    </w:p>
  </w:footnote>
  <w:footnote w:type="continuationSeparator" w:id="0">
    <w:p w14:paraId="6F73D08B" w14:textId="77777777" w:rsidR="00525EFE" w:rsidRDefault="00525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32B9"/>
    <w:multiLevelType w:val="hybridMultilevel"/>
    <w:tmpl w:val="53EABD12"/>
    <w:lvl w:ilvl="0" w:tplc="FB44071E">
      <w:start w:val="1"/>
      <w:numFmt w:val="bullet"/>
      <w:lvlText w:val="•"/>
      <w:lvlJc w:val="left"/>
      <w:pPr>
        <w:ind w:left="420" w:hanging="220"/>
      </w:pPr>
      <w:rPr>
        <w:color w:val="1F3864"/>
      </w:rPr>
    </w:lvl>
    <w:lvl w:ilvl="1" w:tplc="6E927510">
      <w:start w:val="1"/>
      <w:numFmt w:val="bullet"/>
      <w:lvlText w:val="–"/>
      <w:lvlJc w:val="left"/>
      <w:pPr>
        <w:ind w:left="760" w:hanging="220"/>
      </w:pPr>
      <w:rPr>
        <w:color w:val="1F3864"/>
      </w:rPr>
    </w:lvl>
    <w:lvl w:ilvl="2" w:tplc="729AE3A6">
      <w:numFmt w:val="decimal"/>
      <w:lvlText w:val=""/>
      <w:lvlJc w:val="left"/>
    </w:lvl>
    <w:lvl w:ilvl="3" w:tplc="DFE60850">
      <w:numFmt w:val="decimal"/>
      <w:lvlText w:val=""/>
      <w:lvlJc w:val="left"/>
    </w:lvl>
    <w:lvl w:ilvl="4" w:tplc="5CE2CA68">
      <w:numFmt w:val="decimal"/>
      <w:lvlText w:val=""/>
      <w:lvlJc w:val="left"/>
    </w:lvl>
    <w:lvl w:ilvl="5" w:tplc="70B2F138">
      <w:numFmt w:val="decimal"/>
      <w:lvlText w:val=""/>
      <w:lvlJc w:val="left"/>
    </w:lvl>
    <w:lvl w:ilvl="6" w:tplc="9C84FC34">
      <w:numFmt w:val="decimal"/>
      <w:lvlText w:val=""/>
      <w:lvlJc w:val="left"/>
    </w:lvl>
    <w:lvl w:ilvl="7" w:tplc="EAFC7AD0">
      <w:numFmt w:val="decimal"/>
      <w:lvlText w:val=""/>
      <w:lvlJc w:val="left"/>
    </w:lvl>
    <w:lvl w:ilvl="8" w:tplc="FADC7200">
      <w:numFmt w:val="decimal"/>
      <w:lvlText w:val=""/>
      <w:lvlJc w:val="left"/>
    </w:lvl>
  </w:abstractNum>
  <w:abstractNum w:abstractNumId="1" w15:restartNumberingAfterBreak="0">
    <w:nsid w:val="0EC25B8D"/>
    <w:multiLevelType w:val="hybridMultilevel"/>
    <w:tmpl w:val="FF5865F0"/>
    <w:lvl w:ilvl="0" w:tplc="30C0C05E">
      <w:start w:val="1"/>
      <w:numFmt w:val="bullet"/>
      <w:lvlText w:val="●"/>
      <w:lvlJc w:val="left"/>
      <w:pPr>
        <w:ind w:left="720" w:hanging="360"/>
      </w:pPr>
    </w:lvl>
    <w:lvl w:ilvl="1" w:tplc="85885724">
      <w:start w:val="1"/>
      <w:numFmt w:val="bullet"/>
      <w:lvlText w:val="○"/>
      <w:lvlJc w:val="left"/>
      <w:pPr>
        <w:ind w:left="1440" w:hanging="360"/>
      </w:pPr>
    </w:lvl>
    <w:lvl w:ilvl="2" w:tplc="97D2C0C0">
      <w:start w:val="1"/>
      <w:numFmt w:val="bullet"/>
      <w:lvlText w:val="■"/>
      <w:lvlJc w:val="left"/>
      <w:pPr>
        <w:ind w:left="2160" w:hanging="360"/>
      </w:pPr>
    </w:lvl>
    <w:lvl w:ilvl="3" w:tplc="1264C708">
      <w:start w:val="1"/>
      <w:numFmt w:val="bullet"/>
      <w:lvlText w:val="●"/>
      <w:lvlJc w:val="left"/>
      <w:pPr>
        <w:ind w:left="2880" w:hanging="360"/>
      </w:pPr>
    </w:lvl>
    <w:lvl w:ilvl="4" w:tplc="28F0D668">
      <w:start w:val="1"/>
      <w:numFmt w:val="bullet"/>
      <w:lvlText w:val="○"/>
      <w:lvlJc w:val="left"/>
      <w:pPr>
        <w:ind w:left="3600" w:hanging="360"/>
      </w:pPr>
    </w:lvl>
    <w:lvl w:ilvl="5" w:tplc="08260206">
      <w:start w:val="1"/>
      <w:numFmt w:val="bullet"/>
      <w:lvlText w:val="■"/>
      <w:lvlJc w:val="left"/>
      <w:pPr>
        <w:ind w:left="4320" w:hanging="360"/>
      </w:pPr>
    </w:lvl>
    <w:lvl w:ilvl="6" w:tplc="F8C08CDC">
      <w:start w:val="1"/>
      <w:numFmt w:val="bullet"/>
      <w:lvlText w:val="●"/>
      <w:lvlJc w:val="left"/>
      <w:pPr>
        <w:ind w:left="5040" w:hanging="360"/>
      </w:pPr>
    </w:lvl>
    <w:lvl w:ilvl="7" w:tplc="774AD55E">
      <w:start w:val="1"/>
      <w:numFmt w:val="bullet"/>
      <w:lvlText w:val="●"/>
      <w:lvlJc w:val="left"/>
      <w:pPr>
        <w:ind w:left="5760" w:hanging="360"/>
      </w:pPr>
    </w:lvl>
    <w:lvl w:ilvl="8" w:tplc="01C2C0AA">
      <w:start w:val="1"/>
      <w:numFmt w:val="bullet"/>
      <w:lvlText w:val="●"/>
      <w:lvlJc w:val="left"/>
      <w:pPr>
        <w:ind w:left="6480" w:hanging="360"/>
      </w:pPr>
    </w:lvl>
  </w:abstractNum>
  <w:abstractNum w:abstractNumId="2" w15:restartNumberingAfterBreak="0">
    <w:nsid w:val="349E4D16"/>
    <w:multiLevelType w:val="hybridMultilevel"/>
    <w:tmpl w:val="1F6E13EA"/>
    <w:lvl w:ilvl="0" w:tplc="5DD2C0F6">
      <w:start w:val="1"/>
      <w:numFmt w:val="decimal"/>
      <w:lvlText w:val="%1."/>
      <w:lvlJc w:val="left"/>
      <w:pPr>
        <w:ind w:left="460" w:hanging="300"/>
      </w:pPr>
      <w:rPr>
        <w:b/>
        <w:bCs/>
        <w:color w:val="1F3864"/>
      </w:rPr>
    </w:lvl>
    <w:lvl w:ilvl="1" w:tplc="112E79CE">
      <w:numFmt w:val="decimal"/>
      <w:lvlText w:val=""/>
      <w:lvlJc w:val="left"/>
    </w:lvl>
    <w:lvl w:ilvl="2" w:tplc="5E6A86FC">
      <w:numFmt w:val="decimal"/>
      <w:lvlText w:val=""/>
      <w:lvlJc w:val="left"/>
    </w:lvl>
    <w:lvl w:ilvl="3" w:tplc="E4D094E2">
      <w:numFmt w:val="decimal"/>
      <w:lvlText w:val=""/>
      <w:lvlJc w:val="left"/>
    </w:lvl>
    <w:lvl w:ilvl="4" w:tplc="43DE28D2">
      <w:numFmt w:val="decimal"/>
      <w:lvlText w:val=""/>
      <w:lvlJc w:val="left"/>
    </w:lvl>
    <w:lvl w:ilvl="5" w:tplc="46B4F5F2">
      <w:numFmt w:val="decimal"/>
      <w:lvlText w:val=""/>
      <w:lvlJc w:val="left"/>
    </w:lvl>
    <w:lvl w:ilvl="6" w:tplc="C7546854">
      <w:numFmt w:val="decimal"/>
      <w:lvlText w:val=""/>
      <w:lvlJc w:val="left"/>
    </w:lvl>
    <w:lvl w:ilvl="7" w:tplc="F670DBB8">
      <w:numFmt w:val="decimal"/>
      <w:lvlText w:val=""/>
      <w:lvlJc w:val="left"/>
    </w:lvl>
    <w:lvl w:ilvl="8" w:tplc="D9FA03BA">
      <w:numFmt w:val="decimal"/>
      <w:lvlText w:val=""/>
      <w:lvlJc w:val="left"/>
    </w:lvl>
  </w:abstractNum>
  <w:num w:numId="1" w16cid:durableId="1873956937">
    <w:abstractNumId w:val="1"/>
    <w:lvlOverride w:ilvl="0">
      <w:startOverride w:val="1"/>
    </w:lvlOverride>
  </w:num>
  <w:num w:numId="2" w16cid:durableId="234121620">
    <w:abstractNumId w:val="0"/>
    <w:lvlOverride w:ilvl="0">
      <w:startOverride w:val="1"/>
    </w:lvlOverride>
  </w:num>
  <w:num w:numId="3" w16cid:durableId="958102547">
    <w:abstractNumId w:val="2"/>
    <w:lvlOverride w:ilvl="0">
      <w:startOverride w:val="1"/>
    </w:lvlOverride>
  </w:num>
  <w:num w:numId="4" w16cid:durableId="571307244">
    <w:abstractNumId w:val="2"/>
    <w:lvlOverride w:ilvl="0">
      <w:startOverride w:val="1"/>
    </w:lvlOverride>
  </w:num>
  <w:num w:numId="5" w16cid:durableId="1851526989">
    <w:abstractNumId w:val="2"/>
    <w:lvlOverride w:ilvl="0">
      <w:startOverride w:val="1"/>
    </w:lvlOverride>
  </w:num>
  <w:num w:numId="6" w16cid:durableId="15890044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27"/>
    <w:rsid w:val="00525EFE"/>
    <w:rsid w:val="009B726C"/>
    <w:rsid w:val="00CC5E48"/>
    <w:rsid w:val="00E33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ED0E"/>
  <w15:docId w15:val="{AFC7FF77-C95C-4232-8760-0FB9DD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1"/>
        <w:szCs w:val="21"/>
        <w:lang w:val="en-US" w:eastAsia="en-US" w:bidi="ar-SA"/>
      </w:rPr>
    </w:rPrDefault>
    <w:pPrDefault>
      <w:pPr>
        <w:spacing w:after="14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Calibri" w:eastAsia="Calibri" w:hAnsi="Calibri" w:cs="Calibri"/>
      <w:b/>
      <w:bCs/>
      <w:color w:val="1F3864"/>
      <w:sz w:val="34"/>
      <w:szCs w:val="34"/>
    </w:rPr>
  </w:style>
  <w:style w:type="paragraph" w:styleId="Heading2">
    <w:name w:val="heading 2"/>
    <w:uiPriority w:val="9"/>
    <w:unhideWhenUsed/>
    <w:qFormat/>
    <w:pPr>
      <w:spacing w:before="300" w:after="120"/>
      <w:outlineLvl w:val="1"/>
    </w:pPr>
    <w:rPr>
      <w:rFonts w:ascii="Calibri" w:eastAsia="Calibri" w:hAnsi="Calibri" w:cs="Calibri"/>
      <w:b/>
      <w:bCs/>
      <w:color w:val="1F3864"/>
      <w:sz w:val="26"/>
      <w:szCs w:val="26"/>
    </w:rPr>
  </w:style>
  <w:style w:type="paragraph" w:styleId="Heading3">
    <w:name w:val="heading 3"/>
    <w:uiPriority w:val="9"/>
    <w:unhideWhenUsed/>
    <w:qFormat/>
    <w:pPr>
      <w:spacing w:before="220" w:after="90"/>
      <w:outlineLvl w:val="2"/>
    </w:pPr>
    <w:rPr>
      <w:rFonts w:ascii="Calibri" w:eastAsia="Calibri" w:hAnsi="Calibri" w:cs="Calibri"/>
      <w:b/>
      <w:bCs/>
      <w:color w:val="8A5A1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2E5A88"/>
      <w:u w:val="single"/>
    </w:rPr>
  </w:style>
  <w:style w:type="paragraph" w:styleId="Header">
    <w:name w:val="header"/>
    <w:basedOn w:val="Normal"/>
    <w:link w:val="HeaderChar"/>
    <w:uiPriority w:val="99"/>
    <w:unhideWhenUsed/>
    <w:rsid w:val="009B7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26C"/>
  </w:style>
  <w:style w:type="paragraph" w:styleId="Footer">
    <w:name w:val="footer"/>
    <w:basedOn w:val="Normal"/>
    <w:link w:val="FooterChar"/>
    <w:uiPriority w:val="99"/>
    <w:unhideWhenUsed/>
    <w:rsid w:val="009B7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27954</Words>
  <Characters>159343</Characters>
  <Application>Microsoft Office Word</Application>
  <DocSecurity>0</DocSecurity>
  <Lines>1327</Lines>
  <Paragraphs>373</Paragraphs>
  <ScaleCrop>false</ScaleCrop>
  <Company>BCG</Company>
  <LinksUpToDate>false</LinksUpToDate>
  <CharactersWithSpaces>186924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Management IP61019 — Complete Notes</dc:title>
  <dc:creator>IPR Management study notes</dc:creator>
  <dc:description>Complete study document on IP commercialization</dc:description>
  <cp:lastModifiedBy>VND Mundvadiya, Surendra</cp:lastModifiedBy>
  <cp:revision>2</cp:revision>
  <dcterms:created xsi:type="dcterms:W3CDTF">2026-09-15T15:33:00Z</dcterms:created>
  <dcterms:modified xsi:type="dcterms:W3CDTF">2026-09-15T15:46:00Z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2026-09-15T15:46:26Z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5863adfb-9a78-430b-a403-03cb2fce44ee</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ies>
</file>