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110"/>
        <w:jc w:val="center"/>
      </w:pPr>
      <w:r>
        <w:rPr>
          <w:b/>
          <w:bCs/>
          <w:color w:val="17365D"/>
          <w:sz w:val="48"/>
          <w:szCs w:val="48"/>
        </w:rPr>
        <w:t xml:space="preserve">PRINCIPLES OF TAXATION LAW</w:t>
      </w:r>
    </w:p>
    <w:p>
      <w:pPr>
        <w:spacing w:after="380"/>
        <w:jc w:val="center"/>
      </w:pPr>
      <w:r>
        <w:rPr>
          <w:color w:val="404040"/>
          <w:sz w:val="28"/>
          <w:szCs w:val="28"/>
        </w:rPr>
        <w:t xml:space="preserve">Consolidated Examination Notes</w:t>
      </w:r>
    </w:p>
    <w:p>
      <w:pPr>
        <w:pBdr>
          <w:top w:val="single" w:color="1F4E79" w:sz="6" w:space="8"/>
        </w:pBdr>
        <w:spacing w:after="640"/>
        <w:jc w:val="center"/>
      </w:pPr>
      <w:r>
        <w:rPr>
          <w:b/>
          <w:bCs/>
          <w:sz w:val="26"/>
          <w:szCs w:val="26"/>
        </w:rPr>
        <w:t xml:space="preserve">Units I to V — up to Income from House Property</w:t>
      </w:r>
    </w:p>
    <w:p>
      <w:pPr>
        <w:spacing w:after="90"/>
        <w:jc w:val="center"/>
      </w:pPr>
      <w:r>
        <w:rPr>
          <w:sz w:val="22"/>
          <w:szCs w:val="22"/>
        </w:rPr>
        <w:t xml:space="preserve">Subject Code IP61015  |  Semester III</w:t>
      </w:r>
    </w:p>
    <w:p>
      <w:pPr>
        <w:spacing w:after="90"/>
        <w:jc w:val="center"/>
      </w:pPr>
      <w:r>
        <w:rPr>
          <w:sz w:val="22"/>
          <w:szCs w:val="22"/>
        </w:rPr>
        <w:t xml:space="preserve">Rajiv Gandhi School of Intellectual Property Law</w:t>
      </w:r>
    </w:p>
    <w:p>
      <w:pPr>
        <w:spacing w:after="440"/>
        <w:jc w:val="center"/>
      </w:pPr>
      <w:r>
        <w:rPr>
          <w:sz w:val="22"/>
          <w:szCs w:val="22"/>
        </w:rPr>
        <w:t xml:space="preserve">Indian Institute of Technology Kharagpur</w:t>
      </w:r>
    </w:p>
    <w:p>
      <w:pPr>
        <w:spacing w:after="90"/>
        <w:jc w:val="center"/>
      </w:pPr>
      <w:r>
        <w:rPr>
          <w:b/>
          <w:bCs/>
          <w:sz w:val="22"/>
          <w:szCs w:val="22"/>
        </w:rPr>
        <w:t xml:space="preserve">Jurisdiction: India  |  Income-tax Act, 2025</w:t>
      </w:r>
    </w:p>
    <w:p>
      <w:pPr>
        <w:spacing w:after="440"/>
        <w:jc w:val="center"/>
      </w:pPr>
      <w:r>
        <w:rPr>
          <w:sz w:val="22"/>
          <w:szCs w:val="22"/>
        </w:rPr>
        <w:t xml:space="preserve">Purpose: examination preparation and revision</w:t>
      </w:r>
    </w:p>
    <w:p>
      <w:pPr>
        <w:jc w:val="center"/>
      </w:pPr>
      <w:r>
        <w:rPr>
          <w:i/>
          <w:iCs/>
          <w:color w:val="595959"/>
          <w:sz w:val="20"/>
          <w:szCs w:val="20"/>
        </w:rPr>
        <w:t xml:space="preserve">Prepared 18 September 2026</w:t>
      </w:r>
    </w:p>
    <w:p>
      <w:pPr>
        <w:spacing w:after="520"/>
      </w:pPr>
    </w:p>
    <w:p>
      <w:pPr>
        <w:ind w:left="600" w:right="600"/>
        <w:jc w:val="center"/>
      </w:pPr>
      <w:r>
        <w:rPr>
          <w:i/>
          <w:iCs/>
          <w:color w:val="595959"/>
          <w:sz w:val="18"/>
          <w:szCs w:val="18"/>
        </w:rPr>
        <w:t xml:space="preserve">Section numbers are those of the Income-tax Act, 2025, with the corresponding section of the Act of 1961 in square brackets. Only cases named in the session plan or in the uploaded class materials are used; no case has been added from any other source. Facts, holdings and reasoning are taken from the judgments, and anything that could not be verified is flagged rather than filled in.</w:t>
      </w:r>
    </w:p>
    <w:p>
      <w:pPr>
        <w:sectPr>
          <w:pgSz w:w="11906" w:h="16838" w:orient="portrait"/>
          <w:pgMar w:top="1440" w:right="1440" w:bottom="1440" w:left="1440" w:header="708" w:footer="708" w:gutter="0"/>
          <w:pgNumType/>
          <w:docGrid w:linePitch="360"/>
        </w:sectPr>
      </w:pPr>
    </w:p>
    <w:p>
      <w:pPr>
        <w:spacing w:after="130"/>
      </w:pPr>
      <w:r>
        <w:rPr>
          <w:b/>
          <w:bCs/>
          <w:color w:val="17365D"/>
          <w:sz w:val="32"/>
          <w:szCs w:val="32"/>
        </w:rPr>
        <w:t xml:space="preserve">Contents</w:t>
      </w:r>
    </w:p>
    <w:p>
      <w:pPr>
        <w:spacing w:after="200"/>
      </w:pPr>
      <w:r>
        <w:rPr>
          <w:i/>
          <w:iCs/>
          <w:color w:val="595959"/>
          <w:sz w:val="19"/>
          <w:szCs w:val="19"/>
        </w:rPr>
        <w:t xml:space="preserve">Generated automatically. If the list below is blank or out of date, click it and press F9, or use References → Update Table.</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Unit I — Introduction to Taxation</w:t>
      </w:r>
    </w:p>
    <w:p>
      <w:pPr>
        <w:pStyle w:val="Heading2"/>
      </w:pPr>
      <w:r>
        <w:t xml:space="preserve">1.1 Meaning of tax</w:t>
      </w:r>
    </w:p>
    <w:p>
      <w:pPr>
        <w:spacing w:after="120" w:line="264"/>
        <w:jc w:val="both"/>
      </w:pPr>
      <w:r>
        <w:t xml:space="preserve">A tax is a compulsory payment to the government for which the payer gets nothing directly in return. It is called "unrequited" because the taxpayer cannot point to a particular service bought with a particular rupee of tax. Two things follow: payment does not depend on his consent, and he cannot demand a specific benefit in exchange.</w:t>
      </w:r>
    </w:p>
    <w:p>
      <w:pPr>
        <w:pStyle w:val="Heading2"/>
      </w:pPr>
      <w:r>
        <w:t xml:space="preserve">1.2 History of taxation</w:t>
      </w:r>
    </w:p>
    <w:p>
      <w:pPr>
        <w:spacing w:after="120" w:line="264"/>
        <w:jc w:val="both"/>
      </w:pPr>
      <w:r>
        <w:t xml:space="preserve">Ancient states taxed what could be counted: land, produce, livestock, salt and trade. Rome levied customs duties, wealth taxes and a poll tax under Augustus. The word "tax" comes from the Latin taxare, to assess or estimate. Kautilya’s Arthashastra, Book II, deals with revenue administration in ancient India, and Magna Carta (1215) recorded that taxation needs common consent.</w:t>
      </w:r>
    </w:p>
    <w:p>
      <w:pPr>
        <w:spacing w:after="120" w:line="264"/>
        <w:jc w:val="both"/>
      </w:pPr>
      <w:r>
        <w:t xml:space="preserve">Modern income tax began in Britain. William Pitt the Younger introduced it in the budget of December 1798, operative from 1799, to fund the Napoleonic Wars: incomes above two hundred pounds were taxed at ten per cent, incomes between sixty and two hundred pounds at graduated lower rates, and incomes below sixty pounds were exempt. Robert Peel reintroduced it in 1842 and it became permanent around the Crimean War.</w:t>
      </w:r>
    </w:p>
    <w:p>
      <w:pPr>
        <w:spacing w:after="120" w:line="264"/>
        <w:jc w:val="both"/>
      </w:pPr>
      <w:r>
        <w:rPr>
          <w:b/>
          <w:bCs/>
          <w:i w:val="false"/>
          <w:iCs w:val="false"/>
        </w:rPr>
        <w:t xml:space="preserve">In India, income tax was introduced by Sir James Wilson in 1860 </w:t>
      </w:r>
      <w:r>
        <w:rPr>
          <w:b w:val="false"/>
          <w:bCs w:val="false"/>
          <w:i w:val="false"/>
          <w:iCs w:val="false"/>
        </w:rPr>
        <w:t xml:space="preserve">to meet the financial loss caused by the revolt of 1857. It began as a temporary measure and became permanent. The statutes run: 1860, Income Tax Act 1886, Act of 1918, Act of 1922, Act of 1961, and now the Income-tax Act 2025. </w:t>
      </w:r>
      <w:r>
        <w:rPr>
          <w:b w:val="false"/>
          <w:bCs w:val="false"/>
          <w:i/>
          <w:iCs/>
        </w:rPr>
        <w:t xml:space="preserve">(Class notes give 1857; that is the revolt, not the tax.)</w:t>
      </w:r>
    </w:p>
    <w:p>
      <w:pPr>
        <w:pStyle w:val="Heading2"/>
      </w:pPr>
      <w:r>
        <w:t xml:space="preserve">1.3 Purpose of taxation</w:t>
      </w:r>
    </w:p>
    <w:p>
      <w:pPr>
        <w:pStyle w:val="ListParagraph"/>
        <w:numPr>
          <w:ilvl w:val="0"/>
          <w:numId w:val="2"/>
        </w:numPr>
        <w:spacing w:after="60" w:line="264"/>
        <w:jc w:val="both"/>
      </w:pPr>
      <w:r>
        <w:rPr>
          <w:b/>
          <w:bCs/>
          <w:i w:val="false"/>
          <w:iCs w:val="false"/>
        </w:rPr>
        <w:t xml:space="preserve">Revenue </w:t>
      </w:r>
      <w:r>
        <w:rPr>
          <w:b w:val="false"/>
          <w:bCs w:val="false"/>
          <w:i w:val="false"/>
          <w:iCs w:val="false"/>
        </w:rPr>
        <w:t xml:space="preserve">— to fund defence, courts, police, roads, education, health and welfare. This is the primary purpose.</w:t>
      </w:r>
    </w:p>
    <w:p>
      <w:pPr>
        <w:pStyle w:val="ListParagraph"/>
        <w:numPr>
          <w:ilvl w:val="0"/>
          <w:numId w:val="2"/>
        </w:numPr>
        <w:spacing w:after="60" w:line="264"/>
        <w:jc w:val="both"/>
      </w:pPr>
      <w:r>
        <w:rPr>
          <w:b/>
          <w:bCs/>
          <w:i w:val="false"/>
          <w:iCs w:val="false"/>
        </w:rPr>
        <w:t xml:space="preserve">Economic stability </w:t>
      </w:r>
      <w:r>
        <w:rPr>
          <w:b w:val="false"/>
          <w:bCs w:val="false"/>
          <w:i w:val="false"/>
          <w:iCs w:val="false"/>
        </w:rPr>
        <w:t xml:space="preserve">— raising taxes in a boom and cutting them in a slump, to even out the cycle.</w:t>
      </w:r>
    </w:p>
    <w:p>
      <w:pPr>
        <w:pStyle w:val="ListParagraph"/>
        <w:numPr>
          <w:ilvl w:val="0"/>
          <w:numId w:val="2"/>
        </w:numPr>
        <w:spacing w:after="60" w:line="264"/>
        <w:jc w:val="both"/>
      </w:pPr>
      <w:r>
        <w:rPr>
          <w:b/>
          <w:bCs/>
          <w:i w:val="false"/>
          <w:iCs w:val="false"/>
        </w:rPr>
        <w:t xml:space="preserve">Redistribution </w:t>
      </w:r>
      <w:r>
        <w:rPr>
          <w:b w:val="false"/>
          <w:bCs w:val="false"/>
          <w:i w:val="false"/>
          <w:iCs w:val="false"/>
        </w:rPr>
        <w:t xml:space="preserve">— placing a larger share of the burden on those with more, on the argument that money matters less to a person who already has plenty.</w:t>
      </w:r>
    </w:p>
    <w:p>
      <w:pPr>
        <w:pStyle w:val="ListParagraph"/>
        <w:numPr>
          <w:ilvl w:val="0"/>
          <w:numId w:val="2"/>
        </w:numPr>
        <w:spacing w:after="60" w:line="264"/>
        <w:jc w:val="both"/>
      </w:pPr>
      <w:r>
        <w:rPr>
          <w:b/>
          <w:bCs/>
          <w:i w:val="false"/>
          <w:iCs w:val="false"/>
        </w:rPr>
        <w:t xml:space="preserve">Deterring harm </w:t>
      </w:r>
      <w:r>
        <w:rPr>
          <w:b w:val="false"/>
          <w:bCs w:val="false"/>
          <w:i w:val="false"/>
          <w:iCs w:val="false"/>
        </w:rPr>
        <w:t xml:space="preserve">— taxes on alcohol, tobacco, sugar, pollution and congestion raise the price of harmful activity. These are called Pigouvian taxes, after A.C. Pigou (1877–1959), and aim to make the producer bear the full social cost.</w:t>
      </w:r>
    </w:p>
    <w:p>
      <w:pPr>
        <w:pStyle w:val="ListParagraph"/>
        <w:numPr>
          <w:ilvl w:val="0"/>
          <w:numId w:val="2"/>
        </w:numPr>
        <w:spacing w:after="60" w:line="264"/>
        <w:jc w:val="both"/>
      </w:pPr>
      <w:r>
        <w:rPr>
          <w:b/>
          <w:bCs/>
          <w:i w:val="false"/>
          <w:iCs w:val="false"/>
        </w:rPr>
        <w:t xml:space="preserve">Misuse </w:t>
      </w:r>
      <w:r>
        <w:rPr>
          <w:b w:val="false"/>
          <w:bCs w:val="false"/>
          <w:i w:val="false"/>
          <w:iCs w:val="false"/>
        </w:rPr>
        <w:t xml:space="preserve">— tax can also be used to favour supporters, shield weak domestic producers, or target disliked groups. This is a criticism of practice, not a purpose.</w:t>
      </w:r>
    </w:p>
    <w:p>
      <w:pPr>
        <w:spacing w:after="120" w:line="264"/>
        <w:jc w:val="both"/>
      </w:pPr>
      <w:r>
        <w:t xml:space="preserve">Arthur Laffer argued in 1974 that beyond an optimal rate, raising rates reduces revenue because people work less, retire early, move abroad or evade. The Laffer curve is a caution about rate-setting, not a measurement.</w:t>
      </w:r>
    </w:p>
    <w:p>
      <w:pPr>
        <w:pStyle w:val="Heading2"/>
      </w:pPr>
      <w:r>
        <w:t xml:space="preserve">1.4 The free rider problem</w:t>
      </w:r>
    </w:p>
    <w:p>
      <w:pPr>
        <w:spacing w:after="120" w:line="264"/>
        <w:jc w:val="both"/>
      </w:pPr>
      <w:r>
        <w:t xml:space="preserve">Defence, policing and courts benefit everyone and cannot be withheld from a person who refuses to pay. Such a person is a free rider. Because voluntary contribution would collapse under free riding, compulsory taxation is the standard solution. It is the strongest justification for taxation, though it raises the moral objection of using force against citizens.</w:t>
      </w:r>
    </w:p>
    <w:p>
      <w:pPr>
        <w:pStyle w:val="Heading2"/>
      </w:pPr>
      <w:r>
        <w:t xml:space="preserve">1.5 Types of taxes</w:t>
      </w:r>
    </w:p>
    <w:p>
      <w:pPr>
        <w:spacing w:after="120" w:line="264"/>
        <w:jc w:val="both"/>
      </w:pPr>
      <w:r>
        <w:rPr>
          <w:b/>
          <w:bCs/>
          <w:i w:val="false"/>
          <w:iCs w:val="false"/>
        </w:rPr>
        <w:t xml:space="preserve">Direct tax. </w:t>
      </w:r>
      <w:r>
        <w:rPr>
          <w:b w:val="false"/>
          <w:bCs w:val="false"/>
          <w:i w:val="false"/>
          <w:iCs w:val="false"/>
        </w:rPr>
        <w:t xml:space="preserve">Paid to the authorities by the very person on whom it is imposed; the burden cannot be passed on. Income tax, corporation tax, wealth tax. It may be proportional (the same marginal rate for all, so a high earner pays more only because he earns more) or progressive (the marginal rate itself rises with income). Not every direct tax reflects ability to pay: a vehicle licence may be a flat or size-based charge, and a poll tax is a flat sum per head. Critics of progression say high marginal rates reduce the incentive to work and encourage evasion.</w:t>
      </w:r>
    </w:p>
    <w:p>
      <w:pPr>
        <w:spacing w:after="120" w:line="264"/>
        <w:jc w:val="both"/>
      </w:pPr>
      <w:r>
        <w:rPr>
          <w:b/>
          <w:bCs/>
          <w:i w:val="false"/>
          <w:iCs w:val="false"/>
        </w:rPr>
        <w:t xml:space="preserve">Indirect tax. </w:t>
      </w:r>
      <w:r>
        <w:rPr>
          <w:b w:val="false"/>
          <w:bCs w:val="false"/>
          <w:i w:val="false"/>
          <w:iCs w:val="false"/>
        </w:rPr>
        <w:t xml:space="preserve">Remitted by producers or sellers and passed on to consumers in the price, so the legal taxpayer and the person who bears the burden differ. GST, excise, customs. An ad valorem tax is a percentage of value, so tax rises with price; a specific tax is a fixed sum per unit, so cheap and premium goods bear the same tax. Such taxes are criticised as regressive, because essentials take a bigger share of a poor household’s budget, and as "stealth" taxes, because the consumer cannot see what he is paying.</w:t>
      </w:r>
    </w:p>
    <w:p>
      <w:pPr>
        <w:spacing w:after="120" w:line="264"/>
        <w:jc w:val="both"/>
      </w:pPr>
      <w:r>
        <w:rPr>
          <w:b/>
          <w:bCs/>
          <w:i w:val="false"/>
          <w:iCs w:val="false"/>
        </w:rPr>
        <w:t xml:space="preserve">Transfer tax. </w:t>
      </w:r>
      <w:r>
        <w:rPr>
          <w:b w:val="false"/>
          <w:bCs w:val="false"/>
          <w:i w:val="false"/>
          <w:iCs w:val="false"/>
        </w:rPr>
        <w:t xml:space="preserve">Levied on the formal transfer of ownership of land, buildings, shares or bonds — stamp duty, gift tax, inheritance tax — usually at a rate based on the value and type of property.</w:t>
      </w:r>
    </w:p>
    <w:p>
      <w:pPr>
        <w:pStyle w:val="Heading3"/>
      </w:pPr>
      <w:r>
        <w:t xml:space="preserve">Knowlton v. Moore, 178 U.S. 41 (1900), United States Supreme Court</w:t>
      </w:r>
    </w:p>
    <w:p>
      <w:pPr>
        <w:spacing w:after="120" w:line="264"/>
        <w:jc w:val="both"/>
      </w:pPr>
      <w:r>
        <w:rPr>
          <w:b/>
          <w:bCs/>
          <w:i w:val="false"/>
          <w:iCs w:val="false"/>
        </w:rPr>
        <w:t xml:space="preserve">Facts. </w:t>
      </w:r>
      <w:r>
        <w:rPr>
          <w:b w:val="false"/>
          <w:bCs w:val="false"/>
          <w:i w:val="false"/>
          <w:iCs w:val="false"/>
        </w:rPr>
        <w:t xml:space="preserve">A challenge to the federal legacy tax imposed by the War Revenue Act 1898, on the ground that it was a direct tax and so had to be apportioned among the States by population.</w:t>
      </w:r>
    </w:p>
    <w:p>
      <w:pPr>
        <w:spacing w:after="120" w:line="264"/>
        <w:jc w:val="both"/>
      </w:pPr>
      <w:r>
        <w:rPr>
          <w:b/>
          <w:bCs/>
          <w:i w:val="false"/>
          <w:iCs w:val="false"/>
        </w:rPr>
        <w:t xml:space="preserve">Held. </w:t>
      </w:r>
      <w:r>
        <w:rPr>
          <w:b w:val="false"/>
          <w:bCs w:val="false"/>
          <w:i w:val="false"/>
          <w:iCs w:val="false"/>
        </w:rPr>
        <w:t xml:space="preserve">The tax was upheld.</w:t>
      </w:r>
    </w:p>
    <w:p>
      <w:pPr>
        <w:spacing w:after="120" w:line="264"/>
        <w:jc w:val="both"/>
      </w:pPr>
      <w:r>
        <w:rPr>
          <w:b/>
          <w:bCs/>
          <w:i w:val="false"/>
          <w:iCs w:val="false"/>
        </w:rPr>
        <w:t xml:space="preserve">Reasoning. </w:t>
      </w:r>
      <w:r>
        <w:rPr>
          <w:b w:val="false"/>
          <w:bCs w:val="false"/>
          <w:i w:val="false"/>
          <w:iCs w:val="false"/>
        </w:rPr>
        <w:t xml:space="preserve">A death or legacy duty is not a tax on property itself. It is a tax on the transmission of property, that is on the privilege of succeeding to it, and therefore falls on the side of duties and excises rather than direct taxes. Hence no apportionment was required. This is the basis on which the class notes treat transfer taxes as indirect.</w:t>
      </w:r>
    </w:p>
    <w:p>
      <w:pPr>
        <w:pStyle w:val="Heading2"/>
      </w:pPr>
      <w:r>
        <w:t xml:space="preserve">1.6 Tax planning, avoidance and evasion</w:t>
      </w:r>
    </w:p>
    <w:p>
      <w:pPr>
        <w:pStyle w:val="ListParagraph"/>
        <w:numPr>
          <w:ilvl w:val="0"/>
          <w:numId w:val="2"/>
        </w:numPr>
        <w:spacing w:after="60" w:line="264"/>
        <w:jc w:val="both"/>
      </w:pPr>
      <w:r>
        <w:rPr>
          <w:b/>
          <w:bCs/>
          <w:i w:val="false"/>
          <w:iCs w:val="false"/>
        </w:rPr>
        <w:t xml:space="preserve">Planning </w:t>
      </w:r>
      <w:r>
        <w:rPr>
          <w:b w:val="false"/>
          <w:bCs w:val="false"/>
          <w:i w:val="false"/>
          <w:iCs w:val="false"/>
        </w:rPr>
        <w:t xml:space="preserve">— using the reliefs and structures the law itself provides to reduce tax. Lawful.</w:t>
      </w:r>
    </w:p>
    <w:p>
      <w:pPr>
        <w:pStyle w:val="ListParagraph"/>
        <w:numPr>
          <w:ilvl w:val="0"/>
          <w:numId w:val="2"/>
        </w:numPr>
        <w:spacing w:after="60" w:line="264"/>
        <w:jc w:val="both"/>
      </w:pPr>
      <w:r>
        <w:rPr>
          <w:b/>
          <w:bCs/>
          <w:i w:val="false"/>
          <w:iCs w:val="false"/>
        </w:rPr>
        <w:t xml:space="preserve">Avoidance </w:t>
      </w:r>
      <w:r>
        <w:rPr>
          <w:b w:val="false"/>
          <w:bCs w:val="false"/>
          <w:i w:val="false"/>
          <w:iCs w:val="false"/>
        </w:rPr>
        <w:t xml:space="preserve">— using artificial devices that satisfy the letter of the law but defeat its object. Technically lawful, now largely curtailed.</w:t>
      </w:r>
    </w:p>
    <w:p>
      <w:pPr>
        <w:pStyle w:val="ListParagraph"/>
        <w:numPr>
          <w:ilvl w:val="0"/>
          <w:numId w:val="2"/>
        </w:numPr>
        <w:spacing w:after="60" w:line="264"/>
        <w:jc w:val="both"/>
      </w:pPr>
      <w:r>
        <w:rPr>
          <w:b/>
          <w:bCs/>
          <w:i w:val="false"/>
          <w:iCs w:val="false"/>
        </w:rPr>
        <w:t xml:space="preserve">Evasion </w:t>
      </w:r>
      <w:r>
        <w:rPr>
          <w:b w:val="false"/>
          <w:bCs w:val="false"/>
          <w:i w:val="false"/>
          <w:iCs w:val="false"/>
        </w:rPr>
        <w:t xml:space="preserve">— concealing income or falsifying accounts. Illegal and punishable.</w:t>
      </w:r>
    </w:p>
    <w:p>
      <w:pPr>
        <w:spacing w:after="120" w:line="264"/>
        <w:jc w:val="both"/>
      </w:pPr>
      <w:r>
        <w:rPr>
          <w:b/>
          <w:bCs/>
          <w:i w:val="false"/>
          <w:iCs w:val="false"/>
        </w:rPr>
        <w:t xml:space="preserve">McDowell &amp; Co. Ltd v. Commercial Tax Officer, (1985) 3 SCC 230, </w:t>
      </w:r>
      <w:r>
        <w:rPr>
          <w:b w:val="false"/>
          <w:bCs w:val="false"/>
          <w:i w:val="false"/>
          <w:iCs w:val="false"/>
        </w:rPr>
        <w:t xml:space="preserve">is the case named in the class notes for this boundary. It is cited for the proposition that a colourable device adopted to avoid tax deserves no judicial protection. Read the report before quoting it: the majority decided the case on the narrower question of whether excise duty on liquor formed part turnover, and the well-known strong observations against avoidance are those of Chinnappa Reddy J. in a separate judgment. Do not present those observations as the ratio of the majority.</w:t>
      </w:r>
    </w:p>
    <w:p>
      <w:pPr>
        <w:spacing w:after="120" w:line="264"/>
        <w:jc w:val="both"/>
      </w:pPr>
      <w:r>
        <w:rPr>
          <w:b/>
          <w:bCs/>
          <w:i w:val="false"/>
          <w:iCs w:val="false"/>
        </w:rPr>
        <w:t xml:space="preserve">GAAR. </w:t>
      </w:r>
      <w:r>
        <w:rPr>
          <w:b w:val="false"/>
          <w:bCs w:val="false"/>
          <w:i w:val="false"/>
          <w:iCs w:val="false"/>
        </w:rPr>
        <w:t xml:space="preserve">The general anti-avoidance rule is in sections 178 to 184 of the Act of 2025 [Chapter X-A, sections 95 to 102 of the Act of 1961]. It applies to an "impermissible avoidance arrangement" whose main purpose is a tax benefit and which lacks commercial substance. Under Rule 10U(1)(a) of the Income-tax Rules it is not invoked where the tax benefit does not exceed three crore rupees. GAAR is the statutory anti-avoidance rule, as distinct from the judicial approach illustrated by McDowell.</w:t>
      </w:r>
    </w:p>
    <w:p>
      <w:pPr>
        <w:pStyle w:val="Heading2"/>
      </w:pPr>
      <w:r>
        <w:t xml:space="preserve">1.7 Tax, fee, cess, surcharge and toll</w:t>
      </w:r>
    </w:p>
    <w:p>
      <w:pPr>
        <w:pStyle w:val="ListParagraph"/>
        <w:numPr>
          <w:ilvl w:val="0"/>
          <w:numId w:val="2"/>
        </w:numPr>
        <w:spacing w:after="60" w:line="264"/>
        <w:jc w:val="both"/>
      </w:pPr>
      <w:r>
        <w:rPr>
          <w:b/>
          <w:bCs/>
          <w:i w:val="false"/>
          <w:iCs w:val="false"/>
        </w:rPr>
        <w:t xml:space="preserve">Tax </w:t>
      </w:r>
      <w:r>
        <w:rPr>
          <w:b w:val="false"/>
          <w:bCs w:val="false"/>
          <w:i w:val="false"/>
          <w:iCs w:val="false"/>
        </w:rPr>
        <w:t xml:space="preserve">— compulsory, no quid pro quo, goes into general revenue.</w:t>
      </w:r>
    </w:p>
    <w:p>
      <w:pPr>
        <w:pStyle w:val="ListParagraph"/>
        <w:numPr>
          <w:ilvl w:val="0"/>
          <w:numId w:val="2"/>
        </w:numPr>
        <w:spacing w:after="60" w:line="264"/>
        <w:jc w:val="both"/>
      </w:pPr>
      <w:r>
        <w:rPr>
          <w:b/>
          <w:bCs/>
          <w:i w:val="false"/>
          <w:iCs w:val="false"/>
        </w:rPr>
        <w:t xml:space="preserve">Fee </w:t>
      </w:r>
      <w:r>
        <w:rPr>
          <w:b w:val="false"/>
          <w:bCs w:val="false"/>
          <w:i w:val="false"/>
          <w:iCs w:val="false"/>
        </w:rPr>
        <w:t xml:space="preserve">— charged for a service, licence or privilege, and related to the cost of providing or regulating it.</w:t>
      </w:r>
    </w:p>
    <w:p>
      <w:pPr>
        <w:pStyle w:val="ListParagraph"/>
        <w:numPr>
          <w:ilvl w:val="0"/>
          <w:numId w:val="2"/>
        </w:numPr>
        <w:spacing w:after="60" w:line="264"/>
        <w:jc w:val="both"/>
      </w:pPr>
      <w:r>
        <w:rPr>
          <w:b/>
          <w:bCs/>
          <w:i w:val="false"/>
          <w:iCs w:val="false"/>
        </w:rPr>
        <w:t xml:space="preserve">Cess </w:t>
      </w:r>
      <w:r>
        <w:rPr>
          <w:b w:val="false"/>
          <w:bCs w:val="false"/>
          <w:i w:val="false"/>
          <w:iCs w:val="false"/>
        </w:rPr>
        <w:t xml:space="preserve">— a tax earmarked for a stated purpose; in income tax, the Health and Education Cess at four per cent of tax plus surcharge.</w:t>
      </w:r>
    </w:p>
    <w:p>
      <w:pPr>
        <w:pStyle w:val="ListParagraph"/>
        <w:numPr>
          <w:ilvl w:val="0"/>
          <w:numId w:val="2"/>
        </w:numPr>
        <w:spacing w:after="60" w:line="264"/>
        <w:jc w:val="both"/>
      </w:pPr>
      <w:r>
        <w:rPr>
          <w:b/>
          <w:bCs/>
          <w:i w:val="false"/>
          <w:iCs w:val="false"/>
        </w:rPr>
        <w:t xml:space="preserve">Surcharge </w:t>
      </w:r>
      <w:r>
        <w:rPr>
          <w:b w:val="false"/>
          <w:bCs w:val="false"/>
          <w:i w:val="false"/>
          <w:iCs w:val="false"/>
        </w:rPr>
        <w:t xml:space="preserve">— a tax on tax for the purposes of the Union under Article 271, not shared with the States.</w:t>
      </w:r>
    </w:p>
    <w:p>
      <w:pPr>
        <w:pStyle w:val="ListParagraph"/>
        <w:numPr>
          <w:ilvl w:val="0"/>
          <w:numId w:val="2"/>
        </w:numPr>
        <w:spacing w:after="60" w:line="264"/>
        <w:jc w:val="both"/>
      </w:pPr>
      <w:r>
        <w:rPr>
          <w:b/>
          <w:bCs/>
          <w:i w:val="false"/>
          <w:iCs w:val="false"/>
        </w:rPr>
        <w:t xml:space="preserve">Toll </w:t>
      </w:r>
      <w:r>
        <w:rPr>
          <w:b w:val="false"/>
          <w:bCs w:val="false"/>
          <w:i w:val="false"/>
          <w:iCs w:val="false"/>
        </w:rPr>
        <w:t xml:space="preserve">— a charge for using a particular facility.</w:t>
      </w:r>
    </w:p>
    <w:p>
      <w:pPr>
        <w:pStyle w:val="Heading3"/>
      </w:pPr>
      <w:r>
        <w:t xml:space="preserve">Delhi Race Club Ltd v. Union of India, (2012) 8 SCC 680 (Supreme Court, 13 July 2012)</w:t>
      </w:r>
    </w:p>
    <w:p>
      <w:pPr>
        <w:spacing w:after="120" w:line="264"/>
        <w:jc w:val="both"/>
      </w:pPr>
      <w:r>
        <w:rPr>
          <w:b/>
          <w:bCs/>
          <w:i w:val="false"/>
          <w:iCs w:val="false"/>
        </w:rPr>
        <w:t xml:space="preserve">Facts. </w:t>
      </w:r>
      <w:r>
        <w:rPr>
          <w:b w:val="false"/>
          <w:bCs w:val="false"/>
          <w:i w:val="false"/>
          <w:iCs w:val="false"/>
        </w:rPr>
        <w:t xml:space="preserve">Rules governing horse racing in Delhi were amended to raise the licence fee from two thousand rupees to twenty thousand rupees per race day, and the wagering licence fee from five hundred to five thousand rupees. The club challenged the increase.</w:t>
      </w:r>
    </w:p>
    <w:p>
      <w:pPr>
        <w:spacing w:after="120" w:line="264"/>
        <w:jc w:val="both"/>
      </w:pPr>
      <w:r>
        <w:rPr>
          <w:b/>
          <w:bCs/>
          <w:i w:val="false"/>
          <w:iCs w:val="false"/>
        </w:rPr>
        <w:t xml:space="preserve">Issues. </w:t>
      </w:r>
      <w:r>
        <w:rPr>
          <w:b w:val="false"/>
          <w:bCs w:val="false"/>
          <w:i w:val="false"/>
          <w:iCs w:val="false"/>
        </w:rPr>
        <w:t xml:space="preserve">First, whether fixing the fee had been delegated to the executive without adequate legislative guidance. Second, whether the levy, having no quid pro quo, was really a tax and therefore bad for want of authority of law.</w:t>
      </w:r>
    </w:p>
    <w:p>
      <w:pPr>
        <w:spacing w:after="120" w:line="264"/>
        <w:jc w:val="both"/>
      </w:pPr>
      <w:r>
        <w:rPr>
          <w:b/>
          <w:bCs/>
          <w:i w:val="false"/>
          <w:iCs w:val="false"/>
        </w:rPr>
        <w:t xml:space="preserve">Held. </w:t>
      </w:r>
      <w:r>
        <w:rPr>
          <w:b w:val="false"/>
          <w:bCs w:val="false"/>
          <w:i w:val="false"/>
          <w:iCs w:val="false"/>
        </w:rPr>
        <w:t xml:space="preserve">The increase was valid. On a reading of the parent Act the essential legislative function had been retained by the legislature, so there was no excessive delegation; and the levy was a regulatory licence fee, not a tax.</w:t>
      </w:r>
    </w:p>
    <w:p>
      <w:pPr>
        <w:spacing w:after="120" w:line="264"/>
        <w:jc w:val="both"/>
      </w:pPr>
      <w:r>
        <w:rPr>
          <w:b/>
          <w:bCs/>
          <w:i w:val="false"/>
          <w:iCs w:val="false"/>
        </w:rPr>
        <w:t xml:space="preserve">Reasoning. </w:t>
      </w:r>
      <w:r>
        <w:rPr>
          <w:b w:val="false"/>
          <w:bCs w:val="false"/>
          <w:i w:val="false"/>
          <w:iCs w:val="false"/>
        </w:rPr>
        <w:t xml:space="preserve">The Court reiterated the position it had set out earlier in the Secunderabad Hyderabad Hotels Owners’ Association case, that a licence fee may be either regulatory or compensatory. Where a fee is charged for rendering specific services, an element of quid pro quo must exist so that the fee is commensurate with the cost of the service, though exact arithmetical equivalence is not expected. But that is not the only kind of fee. A licence fee may also be regulatory where the activity licensed needs to be regulated or controlled; such a fee is validly classifiable as a fee and not a tax although no service is rendered, and no element of quid pro quo is required, provided the fee is not excessive.</w:t>
      </w:r>
    </w:p>
    <w:p>
      <w:pPr>
        <w:spacing w:after="120" w:line="264"/>
        <w:jc w:val="both"/>
      </w:pPr>
      <w:r>
        <w:rPr>
          <w:b/>
          <w:bCs/>
          <w:i w:val="false"/>
          <w:iCs w:val="false"/>
        </w:rPr>
        <w:t xml:space="preserve">Use in the syllabus. </w:t>
      </w:r>
      <w:r>
        <w:rPr>
          <w:b w:val="false"/>
          <w:bCs w:val="false"/>
          <w:i w:val="false"/>
          <w:iCs w:val="false"/>
        </w:rPr>
        <w:t xml:space="preserve">This is the authority for the distinction between tax, fee and cess, and it explains why Article 110(2) of the Constitution treats licence fees separately from taxes.</w:t>
      </w:r>
    </w:p>
    <w:p>
      <w:pPr>
        <w:pStyle w:val="Heading1"/>
      </w:pPr>
      <w:r>
        <w:t xml:space="preserve">Unit II — Constitution and Taxation; Interpretation of Tax Statutes</w:t>
      </w:r>
    </w:p>
    <w:p>
      <w:pPr>
        <w:spacing w:after="120" w:line="264"/>
        <w:jc w:val="both"/>
      </w:pPr>
      <w:r>
        <w:rPr>
          <w:b/>
          <w:bCs/>
          <w:i w:val="false"/>
          <w:iCs w:val="false"/>
        </w:rPr>
        <w:t xml:space="preserve">Note. </w:t>
      </w:r>
      <w:r>
        <w:rPr>
          <w:b w:val="false"/>
          <w:bCs w:val="false"/>
          <w:i/>
          <w:iCs/>
        </w:rPr>
        <w:t xml:space="preserve">This Unit rests on constitutional text. The only case in your source list for it is Delhi Race Club, set out in Unit I. The propositions below are therefore stated as principles, without attaching them to judgments that are not in your materials.</w:t>
      </w:r>
    </w:p>
    <w:p>
      <w:pPr>
        <w:pStyle w:val="Heading2"/>
      </w:pPr>
      <w:r>
        <w:t xml:space="preserve">2.1 Article 265: no tax without authority of law</w:t>
      </w:r>
    </w:p>
    <w:p>
      <w:pPr>
        <w:spacing w:after="120" w:line="264"/>
        <w:jc w:val="both"/>
      </w:pPr>
      <w:r>
        <w:t xml:space="preserve">"No tax shall be levied or collected except by authority of law." Both the imposition and the collection must rest on a valid law made by a competent legislature. An executive order, circular or bare demand is not enough, and anything collected beyond what the statute authorises can be recovered back. This is also the constitutional reason why a taxing statute is read strictly.</w:t>
      </w:r>
    </w:p>
    <w:p>
      <w:pPr>
        <w:pStyle w:val="Heading2"/>
      </w:pPr>
      <w:r>
        <w:t xml:space="preserve">2.2 Sources and distribution of the power to tax</w:t>
      </w:r>
    </w:p>
    <w:p>
      <w:pPr>
        <w:spacing w:after="120" w:line="264"/>
        <w:jc w:val="both"/>
      </w:pPr>
      <w:r>
        <w:t xml:space="preserve">Article 245 fixes the territorial extent of laws made by Parliament and by State legislatures. Article 246 with the Seventh Schedule distributes subjects. The Constitution keeps taxation entries separate from general entries, so a power to tax must be found in a specific taxation entry; it cannot be read into a general regulatory entry.</w:t>
      </w:r>
    </w:p>
    <w:p>
      <w:pPr>
        <w:pStyle w:val="ListParagraph"/>
        <w:numPr>
          <w:ilvl w:val="0"/>
          <w:numId w:val="2"/>
        </w:numPr>
        <w:spacing w:after="60" w:line="264"/>
        <w:jc w:val="both"/>
      </w:pPr>
      <w:r>
        <w:rPr>
          <w:b/>
          <w:bCs/>
          <w:i w:val="false"/>
          <w:iCs w:val="false"/>
        </w:rPr>
        <w:t xml:space="preserve">List I (Union). </w:t>
      </w:r>
      <w:r>
        <w:rPr>
          <w:b w:val="false"/>
          <w:bCs w:val="false"/>
          <w:i w:val="false"/>
          <w:iCs w:val="false"/>
        </w:rPr>
        <w:t xml:space="preserve">Taxation entries are Entries 82 to 92B, with the residuary Entry 97. Entry 82 is "taxes on income other than agricultural income", the basis of the Income-tax Act.</w:t>
      </w:r>
    </w:p>
    <w:p>
      <w:pPr>
        <w:pStyle w:val="ListParagraph"/>
        <w:numPr>
          <w:ilvl w:val="0"/>
          <w:numId w:val="2"/>
        </w:numPr>
        <w:spacing w:after="60" w:line="264"/>
        <w:jc w:val="both"/>
      </w:pPr>
      <w:r>
        <w:rPr>
          <w:b/>
          <w:bCs/>
          <w:i w:val="false"/>
          <w:iCs w:val="false"/>
        </w:rPr>
        <w:t xml:space="preserve">List II (State). </w:t>
      </w:r>
      <w:r>
        <w:rPr>
          <w:b w:val="false"/>
          <w:bCs w:val="false"/>
          <w:i w:val="false"/>
          <w:iCs w:val="false"/>
        </w:rPr>
        <w:t xml:space="preserve">Taxation entries run from Entry 45 to Entry 63. Entry 46 is "taxes on agricultural income", which is why agricultural income is outside central income tax.</w:t>
      </w:r>
    </w:p>
    <w:p>
      <w:pPr>
        <w:pStyle w:val="ListParagraph"/>
        <w:numPr>
          <w:ilvl w:val="0"/>
          <w:numId w:val="2"/>
        </w:numPr>
        <w:spacing w:after="60" w:line="264"/>
        <w:jc w:val="both"/>
      </w:pPr>
      <w:r>
        <w:rPr>
          <w:b/>
          <w:bCs/>
          <w:i w:val="false"/>
          <w:iCs w:val="false"/>
        </w:rPr>
        <w:t xml:space="preserve">List III (Concurrent). </w:t>
      </w:r>
      <w:r>
        <w:rPr>
          <w:b w:val="false"/>
          <w:bCs w:val="false"/>
          <w:i w:val="false"/>
          <w:iCs w:val="false"/>
        </w:rPr>
        <w:t xml:space="preserve">Entry 44, stamp duties other than rates of stamp duty.</w:t>
      </w:r>
    </w:p>
    <w:p>
      <w:pPr>
        <w:spacing w:after="120" w:line="264"/>
        <w:jc w:val="both"/>
      </w:pPr>
      <w:r>
        <w:t xml:space="preserve">Article 248 with Entry 97 of List I gives Parliament the residuary power, which expressly includes power to impose a tax not mentioned in the State or Concurrent List.</w:t>
      </w:r>
    </w:p>
    <w:p>
      <w:pPr>
        <w:spacing w:after="120" w:line="264"/>
        <w:jc w:val="both"/>
      </w:pPr>
      <w:r>
        <w:rPr>
          <w:b/>
          <w:bCs/>
          <w:i w:val="false"/>
          <w:iCs w:val="false"/>
        </w:rPr>
        <w:t xml:space="preserve">The Constitution (101st Amendment) Act, 2016 </w:t>
      </w:r>
      <w:r>
        <w:rPr>
          <w:b w:val="false"/>
          <w:bCs w:val="false"/>
          <w:i w:val="false"/>
          <w:iCs w:val="false"/>
        </w:rPr>
        <w:t xml:space="preserve">introduced GST. It inserted Article 246A (concurrent power to tax supply of goods and services), Article 269A (inter-State supply) and Article 279A (GST Council); omitted Entries 92 and 92C of List I and Entries 52 (octroi and entry tax) and 55 of List II; substituted Entries 84, 54 and 62; and omitted Article 268A. </w:t>
      </w:r>
      <w:r>
        <w:rPr>
          <w:b w:val="false"/>
          <w:bCs w:val="false"/>
          <w:i/>
          <w:iCs/>
        </w:rPr>
        <w:t xml:space="preserve">(Class notes place octroi in the Union List; it was a State entry.)</w:t>
      </w:r>
    </w:p>
    <w:p>
      <w:pPr>
        <w:pStyle w:val="Heading2"/>
      </w:pPr>
      <w:r>
        <w:t xml:space="preserve">2.3 Article 110: Money Bills</w:t>
      </w:r>
    </w:p>
    <w:p>
      <w:pPr>
        <w:spacing w:after="120" w:line="264"/>
        <w:jc w:val="both"/>
      </w:pPr>
      <w:r>
        <w:t xml:space="preserve">A Bill is a Money Bill only if it contains nothing but provisions on the matters listed in Article 110(1), which include the imposition, abolition, remission, alteration or regulation of any tax. Article 110(2) then provides that a Bill is not a Money Bill by reason only that it provides for fines or other pecuniary penalties, or for fees for licences or fees for services rendered, or for a tax imposed by a local authority for local purposes. The provision assumes that a fee is not a tax, and is the constitutional counterpart of the distinction drawn in Delhi Race Club.</w:t>
      </w:r>
    </w:p>
    <w:p>
      <w:pPr>
        <w:pStyle w:val="Heading2"/>
      </w:pPr>
      <w:r>
        <w:t xml:space="preserve">2.4 Article 27: taxes and religion</w:t>
      </w:r>
    </w:p>
    <w:p>
      <w:pPr>
        <w:spacing w:after="120" w:line="264"/>
        <w:jc w:val="both"/>
      </w:pPr>
      <w:r>
        <w:t xml:space="preserve">No person can be compelled to pay a tax whose proceeds are specifically appropriated for the promotion or maintenance of any particular religion or religious denomination. The protection is against a tax, not a fee, so a charge levied to meet the cost of regulating the secular administration of religious institutions falls outside the prohibition.</w:t>
      </w:r>
    </w:p>
    <w:p>
      <w:pPr>
        <w:pStyle w:val="Heading2"/>
      </w:pPr>
      <w:r>
        <w:t xml:space="preserve">2.5 Fundamental rights and tax statutes</w:t>
      </w:r>
    </w:p>
    <w:p>
      <w:pPr>
        <w:spacing w:after="120" w:line="264"/>
        <w:jc w:val="both"/>
      </w:pPr>
      <w:r>
        <w:rPr>
          <w:b/>
          <w:bCs/>
          <w:i w:val="false"/>
          <w:iCs w:val="false"/>
        </w:rPr>
        <w:t xml:space="preserve">Article 14. </w:t>
      </w:r>
      <w:r>
        <w:rPr>
          <w:b w:val="false"/>
          <w:bCs w:val="false"/>
          <w:i w:val="false"/>
          <w:iCs w:val="false"/>
        </w:rPr>
        <w:t xml:space="preserve">In taxation the legislature has a wide choice: it may decide what to tax, whom to tax and at what rate, and may classify persons or property and tax them differently. The limits are that the classification must be rational and must have a rational nexus with the object sought to be achieved; a classification that is irrational or unconnected with its object can be struck down as ultra vires. Courts allow greater latitude in economic and tax laws than elsewhere.</w:t>
      </w:r>
    </w:p>
    <w:p>
      <w:pPr>
        <w:spacing w:after="120" w:line="264"/>
        <w:jc w:val="both"/>
      </w:pPr>
      <w:r>
        <w:rPr>
          <w:b/>
          <w:bCs/>
          <w:i w:val="false"/>
          <w:iCs w:val="false"/>
        </w:rPr>
        <w:t xml:space="preserve">Article 19(1)(g) with 19(6). </w:t>
      </w:r>
      <w:r>
        <w:rPr>
          <w:b w:val="false"/>
          <w:bCs w:val="false"/>
          <w:i w:val="false"/>
          <w:iCs w:val="false"/>
        </w:rPr>
        <w:t xml:space="preserve">A tax on a trade or profession is not by itself a violation of the freedom to carry it on. Article 19(6) allows reasonable restrictions in the interests of the general public, and since public functions need revenue and tax is the main source of revenue, a tax normally falls within that head. The other grounds in Article 19(6), technical qualifications and State monopolies, do not concern taxation. A tax so heavy as to be confiscatory may still be struck down.</w:t>
      </w:r>
    </w:p>
    <w:p>
      <w:pPr>
        <w:spacing w:after="120" w:line="264"/>
        <w:jc w:val="both"/>
      </w:pPr>
      <w:r>
        <w:rPr>
          <w:b/>
          <w:bCs/>
          <w:i w:val="false"/>
          <w:iCs w:val="false"/>
        </w:rPr>
        <w:t xml:space="preserve">Retrospective taxation and Article 300A. </w:t>
      </w:r>
      <w:r>
        <w:rPr>
          <w:b w:val="false"/>
          <w:bCs w:val="false"/>
          <w:i w:val="false"/>
          <w:iCs w:val="false"/>
        </w:rPr>
        <w:t xml:space="preserve">A tax may be levied retrospectively if the legislature is competent, and Article 300A requires that property be taken only by authority of law. Courts nevertheless start from a presumption against retrospectivity for provisions that impose a new burden. The retrospective amendment that followed the Vodafone judgment, in paragraph 3.10, is the leading modern illustration of the policy objection.</w:t>
      </w:r>
    </w:p>
    <w:p>
      <w:pPr>
        <w:pStyle w:val="Heading2"/>
      </w:pPr>
      <w:r>
        <w:t xml:space="preserve">2.6 Financial relations between the Centre and the States</w:t>
      </w:r>
    </w:p>
    <w:p>
      <w:pPr>
        <w:pStyle w:val="ListParagraph"/>
        <w:numPr>
          <w:ilvl w:val="0"/>
          <w:numId w:val="2"/>
        </w:numPr>
        <w:spacing w:after="60" w:line="264"/>
        <w:jc w:val="both"/>
      </w:pPr>
      <w:r>
        <w:rPr>
          <w:b/>
          <w:bCs/>
          <w:i w:val="false"/>
          <w:iCs w:val="false"/>
        </w:rPr>
        <w:t xml:space="preserve">Article 268 </w:t>
      </w:r>
      <w:r>
        <w:rPr>
          <w:b w:val="false"/>
          <w:bCs w:val="false"/>
          <w:i w:val="false"/>
          <w:iCs w:val="false"/>
        </w:rPr>
        <w:t xml:space="preserve">— duties levied by the Union, collected and appropriated by the States.</w:t>
      </w:r>
    </w:p>
    <w:p>
      <w:pPr>
        <w:pStyle w:val="ListParagraph"/>
        <w:numPr>
          <w:ilvl w:val="0"/>
          <w:numId w:val="2"/>
        </w:numPr>
        <w:spacing w:after="60" w:line="264"/>
        <w:jc w:val="both"/>
      </w:pPr>
      <w:r>
        <w:rPr>
          <w:b/>
          <w:bCs/>
          <w:i w:val="false"/>
          <w:iCs w:val="false"/>
        </w:rPr>
        <w:t xml:space="preserve">Article 269 </w:t>
      </w:r>
      <w:r>
        <w:rPr>
          <w:b w:val="false"/>
          <w:bCs w:val="false"/>
          <w:i w:val="false"/>
          <w:iCs w:val="false"/>
        </w:rPr>
        <w:t xml:space="preserve">— taxes on inter-State trade levied and collected by the Union, assigned to the States.</w:t>
      </w:r>
    </w:p>
    <w:p>
      <w:pPr>
        <w:pStyle w:val="ListParagraph"/>
        <w:numPr>
          <w:ilvl w:val="0"/>
          <w:numId w:val="2"/>
        </w:numPr>
        <w:spacing w:after="60" w:line="264"/>
        <w:jc w:val="both"/>
      </w:pPr>
      <w:r>
        <w:rPr>
          <w:b/>
          <w:bCs/>
          <w:i w:val="false"/>
          <w:iCs w:val="false"/>
        </w:rPr>
        <w:t xml:space="preserve">Article 269A </w:t>
      </w:r>
      <w:r>
        <w:rPr>
          <w:b w:val="false"/>
          <w:bCs w:val="false"/>
          <w:i w:val="false"/>
          <w:iCs w:val="false"/>
        </w:rPr>
        <w:t xml:space="preserve">— integrated GST, levied and collected by the Union, apportioned between Union and States.</w:t>
      </w:r>
    </w:p>
    <w:p>
      <w:pPr>
        <w:pStyle w:val="ListParagraph"/>
        <w:numPr>
          <w:ilvl w:val="0"/>
          <w:numId w:val="2"/>
        </w:numPr>
        <w:spacing w:after="60" w:line="264"/>
        <w:jc w:val="both"/>
      </w:pPr>
      <w:r>
        <w:rPr>
          <w:b/>
          <w:bCs/>
          <w:i w:val="false"/>
          <w:iCs w:val="false"/>
        </w:rPr>
        <w:t xml:space="preserve">Article 270 </w:t>
      </w:r>
      <w:r>
        <w:rPr>
          <w:b w:val="false"/>
          <w:bCs w:val="false"/>
          <w:i w:val="false"/>
          <w:iCs w:val="false"/>
        </w:rPr>
        <w:t xml:space="preserve">— the divisible pool: Union taxes distributed between the Union and the States as the Finance Commission recommends.</w:t>
      </w:r>
    </w:p>
    <w:p>
      <w:pPr>
        <w:pStyle w:val="ListParagraph"/>
        <w:numPr>
          <w:ilvl w:val="0"/>
          <w:numId w:val="2"/>
        </w:numPr>
        <w:spacing w:after="60" w:line="264"/>
        <w:jc w:val="both"/>
      </w:pPr>
      <w:r>
        <w:rPr>
          <w:b/>
          <w:bCs/>
          <w:i w:val="false"/>
          <w:iCs w:val="false"/>
        </w:rPr>
        <w:t xml:space="preserve">Article 271 </w:t>
      </w:r>
      <w:r>
        <w:rPr>
          <w:b w:val="false"/>
          <w:bCs w:val="false"/>
          <w:i w:val="false"/>
          <w:iCs w:val="false"/>
        </w:rPr>
        <w:t xml:space="preserve">— surcharge for Union purposes, outside the divisible pool.</w:t>
      </w:r>
    </w:p>
    <w:p>
      <w:pPr>
        <w:pStyle w:val="ListParagraph"/>
        <w:numPr>
          <w:ilvl w:val="0"/>
          <w:numId w:val="2"/>
        </w:numPr>
        <w:spacing w:after="60" w:line="264"/>
        <w:jc w:val="both"/>
      </w:pPr>
      <w:r>
        <w:rPr>
          <w:b/>
          <w:bCs/>
          <w:i w:val="false"/>
          <w:iCs w:val="false"/>
        </w:rPr>
        <w:t xml:space="preserve">Articles 275 and 282 </w:t>
      </w:r>
      <w:r>
        <w:rPr>
          <w:b w:val="false"/>
          <w:bCs w:val="false"/>
          <w:i w:val="false"/>
          <w:iCs w:val="false"/>
        </w:rPr>
        <w:t xml:space="preserve">— statutory grants-in-aid, and discretionary grants for any public purpose.</w:t>
      </w:r>
    </w:p>
    <w:p>
      <w:pPr>
        <w:pStyle w:val="ListParagraph"/>
        <w:numPr>
          <w:ilvl w:val="0"/>
          <w:numId w:val="2"/>
        </w:numPr>
        <w:spacing w:after="60" w:line="264"/>
        <w:jc w:val="both"/>
      </w:pPr>
      <w:r>
        <w:rPr>
          <w:b/>
          <w:bCs/>
          <w:i w:val="false"/>
          <w:iCs w:val="false"/>
        </w:rPr>
        <w:t xml:space="preserve">Articles 279 and 279A </w:t>
      </w:r>
      <w:r>
        <w:rPr>
          <w:b w:val="false"/>
          <w:bCs w:val="false"/>
          <w:i w:val="false"/>
          <w:iCs w:val="false"/>
        </w:rPr>
        <w:t xml:space="preserve">— computation of net proceeds, and the GST Council.</w:t>
      </w:r>
    </w:p>
    <w:p>
      <w:pPr>
        <w:pStyle w:val="ListParagraph"/>
        <w:numPr>
          <w:ilvl w:val="0"/>
          <w:numId w:val="2"/>
        </w:numPr>
        <w:spacing w:after="60" w:line="264"/>
        <w:jc w:val="both"/>
      </w:pPr>
      <w:r>
        <w:rPr>
          <w:b/>
          <w:bCs/>
          <w:i w:val="false"/>
          <w:iCs w:val="false"/>
        </w:rPr>
        <w:t xml:space="preserve">Articles 292 and 293 </w:t>
      </w:r>
      <w:r>
        <w:rPr>
          <w:b w:val="false"/>
          <w:bCs w:val="false"/>
          <w:i w:val="false"/>
          <w:iCs w:val="false"/>
        </w:rPr>
        <w:t xml:space="preserve">— borrowing by the Union and by the States.</w:t>
      </w:r>
    </w:p>
    <w:p>
      <w:pPr>
        <w:spacing w:after="120" w:line="264"/>
        <w:jc w:val="both"/>
      </w:pPr>
      <w:r>
        <w:t xml:space="preserve">One point of friction follows from this scheme: because cesses and surcharges are outside the divisible pool, revenue raised through them is not shared with the States. That is why the growing use of cesses is contested.</w:t>
      </w:r>
    </w:p>
    <w:p>
      <w:pPr>
        <w:pStyle w:val="Heading2"/>
      </w:pPr>
      <w:r>
        <w:t xml:space="preserve">2.7 Finance Commission (Article 280)</w:t>
      </w:r>
    </w:p>
    <w:p>
      <w:pPr>
        <w:spacing w:after="120" w:line="264"/>
        <w:jc w:val="both"/>
      </w:pPr>
      <w:r>
        <w:t xml:space="preserve">A constitutional body which the President constitutes every fifth year or earlier, consisting of a Chairman and four other members. It recommends the distribution of the net proceeds of shareable taxes between the Union and the States and among the States, the principles governing grants-in-aid to the States, measures to augment the resources of Panchayats and Municipalities, and any other matter referred to it. Its recommendations are advisory, though by convention accepted, and under Article 281 they are laid before Parliament with a memorandum on the action taken.</w:t>
      </w:r>
    </w:p>
    <w:p>
      <w:pPr>
        <w:spacing w:after="120" w:line="264"/>
        <w:jc w:val="both"/>
      </w:pPr>
      <w:r>
        <w:rPr>
          <w:b/>
          <w:bCs/>
          <w:i w:val="false"/>
          <w:iCs w:val="false"/>
        </w:rPr>
        <w:t xml:space="preserve">Present position. </w:t>
      </w:r>
      <w:r>
        <w:rPr>
          <w:b w:val="false"/>
          <w:bCs w:val="false"/>
          <w:i w:val="false"/>
          <w:iCs w:val="false"/>
        </w:rPr>
        <w:t xml:space="preserve">The Sixteenth Finance Commission, chaired by Dr Arvind Panagariya, submitted its report for 2026 to 2031 on 17 November 2025. It retained the States’ share of the divisible pool at forty-one per cent, the same as the Fifteenth Finance Commission. The award period runs from 1 April 2026 to 31 March 2031.</w:t>
      </w:r>
    </w:p>
    <w:p>
      <w:pPr>
        <w:pStyle w:val="Heading2"/>
      </w:pPr>
      <w:r>
        <w:t xml:space="preserve">2.8 NITI Aayog</w:t>
      </w:r>
    </w:p>
    <w:p>
      <w:pPr>
        <w:spacing w:after="120" w:line="264"/>
        <w:jc w:val="both"/>
      </w:pPr>
      <w:r>
        <w:t xml:space="preserve">Created by a Cabinet Resolution of 1 January 2015 in place of the Planning Commission. It is an executive body with no constitutional or statutory status. The Prime Minister is Chairperson, with a Vice-Chairperson, members, and a Governing Council of all Chief Ministers and Lieutenant-Governors. It advises on policy and is a forum for cooperative federalism. The contrast to hold on to: the Finance Commission is a constitutional body that devolves revenue, while NITI Aayog neither allocates nor devolves funds and rests only on an executive decision.</w:t>
      </w:r>
    </w:p>
    <w:p>
      <w:pPr>
        <w:pStyle w:val="Heading2"/>
      </w:pPr>
      <w:r>
        <w:t xml:space="preserve">2.9 Interpretation of taxing statutes</w:t>
      </w:r>
    </w:p>
    <w:p>
      <w:pPr>
        <w:pStyle w:val="ListParagraph"/>
        <w:numPr>
          <w:ilvl w:val="0"/>
          <w:numId w:val="2"/>
        </w:numPr>
        <w:spacing w:after="60" w:line="264"/>
        <w:jc w:val="both"/>
      </w:pPr>
      <w:r>
        <w:rPr>
          <w:b/>
          <w:bCs/>
          <w:i w:val="false"/>
          <w:iCs w:val="false"/>
        </w:rPr>
        <w:t xml:space="preserve">Strict interpretation. </w:t>
      </w:r>
      <w:r>
        <w:rPr>
          <w:b w:val="false"/>
          <w:bCs w:val="false"/>
          <w:i w:val="false"/>
          <w:iCs w:val="false"/>
        </w:rPr>
        <w:t xml:space="preserve">Liability must come from clear words in the statute.</w:t>
      </w:r>
    </w:p>
    <w:p>
      <w:pPr>
        <w:pStyle w:val="ListParagraph"/>
        <w:numPr>
          <w:ilvl w:val="0"/>
          <w:numId w:val="2"/>
        </w:numPr>
        <w:spacing w:after="60" w:line="264"/>
        <w:jc w:val="both"/>
      </w:pPr>
      <w:r>
        <w:rPr>
          <w:b/>
          <w:bCs/>
          <w:i w:val="false"/>
          <w:iCs w:val="false"/>
        </w:rPr>
        <w:t xml:space="preserve">No analogy. </w:t>
      </w:r>
      <w:r>
        <w:rPr>
          <w:b w:val="false"/>
          <w:bCs w:val="false"/>
          <w:i w:val="false"/>
          <w:iCs w:val="false"/>
        </w:rPr>
        <w:t xml:space="preserve">A charge cannot be created because a similar transaction is taxed or because the legislature probably meant to tax it.</w:t>
      </w:r>
    </w:p>
    <w:p>
      <w:pPr>
        <w:pStyle w:val="ListParagraph"/>
        <w:numPr>
          <w:ilvl w:val="0"/>
          <w:numId w:val="2"/>
        </w:numPr>
        <w:spacing w:after="60" w:line="264"/>
        <w:jc w:val="both"/>
      </w:pPr>
      <w:r>
        <w:rPr>
          <w:b/>
          <w:bCs/>
          <w:i w:val="false"/>
          <w:iCs w:val="false"/>
        </w:rPr>
        <w:t xml:space="preserve">Protection of property. </w:t>
      </w:r>
      <w:r>
        <w:rPr>
          <w:b w:val="false"/>
          <w:bCs w:val="false"/>
          <w:i w:val="false"/>
          <w:iCs w:val="false"/>
        </w:rPr>
        <w:t xml:space="preserve">Since tax takes away property, doubtful language is not stretched against the subject.</w:t>
      </w:r>
    </w:p>
    <w:p>
      <w:pPr>
        <w:pStyle w:val="ListParagraph"/>
        <w:numPr>
          <w:ilvl w:val="0"/>
          <w:numId w:val="2"/>
        </w:numPr>
        <w:spacing w:after="60" w:line="264"/>
        <w:jc w:val="both"/>
      </w:pPr>
      <w:r>
        <w:rPr>
          <w:b/>
          <w:bCs/>
          <w:i w:val="false"/>
          <w:iCs w:val="false"/>
        </w:rPr>
        <w:t xml:space="preserve">Hardship is irrelevant. </w:t>
      </w:r>
      <w:r>
        <w:rPr>
          <w:b w:val="false"/>
          <w:bCs w:val="false"/>
          <w:i w:val="false"/>
          <w:iCs w:val="false"/>
        </w:rPr>
        <w:t xml:space="preserve">If the case is within the words of the charge the subject is taxed however hard the result; if it is outside them he escapes however much he seems within the spirit.</w:t>
      </w:r>
    </w:p>
    <w:p>
      <w:pPr>
        <w:pStyle w:val="ListParagraph"/>
        <w:numPr>
          <w:ilvl w:val="0"/>
          <w:numId w:val="2"/>
        </w:numPr>
        <w:spacing w:after="60" w:line="264"/>
        <w:jc w:val="both"/>
      </w:pPr>
      <w:r>
        <w:rPr>
          <w:b/>
          <w:bCs/>
          <w:i w:val="false"/>
          <w:iCs w:val="false"/>
        </w:rPr>
        <w:t xml:space="preserve">Machinery provisions. </w:t>
      </w:r>
      <w:r>
        <w:rPr>
          <w:b w:val="false"/>
          <w:bCs w:val="false"/>
          <w:i w:val="false"/>
          <w:iCs w:val="false"/>
        </w:rPr>
        <w:t xml:space="preserve">Provisions for computation, assessment and recovery are read so as to make the charge workable, not to defeat it. This is the recognised exception to strict construction.</w:t>
      </w:r>
    </w:p>
    <w:p>
      <w:pPr>
        <w:pStyle w:val="ListParagraph"/>
        <w:numPr>
          <w:ilvl w:val="0"/>
          <w:numId w:val="2"/>
        </w:numPr>
        <w:spacing w:after="60" w:line="264"/>
        <w:jc w:val="both"/>
      </w:pPr>
      <w:r>
        <w:rPr>
          <w:b/>
          <w:bCs/>
          <w:i w:val="false"/>
          <w:iCs w:val="false"/>
        </w:rPr>
        <w:t xml:space="preserve">Purposive reading. </w:t>
      </w:r>
      <w:r>
        <w:rPr>
          <w:b w:val="false"/>
          <w:bCs w:val="false"/>
          <w:i w:val="false"/>
          <w:iCs w:val="false"/>
        </w:rPr>
        <w:t xml:space="preserve">Available in exceptional cases where a literal reading would defeat the object the legislature plainly intended.</w:t>
      </w:r>
    </w:p>
    <w:p>
      <w:pPr>
        <w:pStyle w:val="ListParagraph"/>
        <w:numPr>
          <w:ilvl w:val="0"/>
          <w:numId w:val="2"/>
        </w:numPr>
        <w:spacing w:after="60" w:line="264"/>
        <w:jc w:val="both"/>
      </w:pPr>
      <w:r>
        <w:rPr>
          <w:b/>
          <w:bCs/>
          <w:i w:val="false"/>
          <w:iCs w:val="false"/>
        </w:rPr>
        <w:t xml:space="preserve">The word "income". </w:t>
      </w:r>
      <w:r>
        <w:rPr>
          <w:b w:val="false"/>
          <w:bCs w:val="false"/>
          <w:i w:val="false"/>
          <w:iCs w:val="false"/>
        </w:rPr>
        <w:t xml:space="preserve">It carries its natural meaning and also the artificial meanings the Act adds. The natural meaning is never displaced; the statutory categories are added to it.</w:t>
      </w:r>
    </w:p>
    <w:p>
      <w:pPr>
        <w:pStyle w:val="Heading1"/>
      </w:pPr>
      <w:r>
        <w:t xml:space="preserve">Unit III — Introduction to the Income-tax Act, 2025</w:t>
      </w:r>
    </w:p>
    <w:p>
      <w:pPr>
        <w:pStyle w:val="Heading2"/>
      </w:pPr>
      <w:r>
        <w:t xml:space="preserve">3.1 Overview of the Act</w:t>
      </w:r>
    </w:p>
    <w:p>
      <w:pPr>
        <w:spacing w:after="120" w:line="264"/>
        <w:jc w:val="both"/>
      </w:pPr>
      <w:r>
        <w:t xml:space="preserve">The Income-tax Act, 2025 (Act 30 of 2025) received the President’s assent on 21 August 2025 and came into force on 1 April 2026. It replaces the Income-tax Act, 1961, which had replaced the Act of 1922 and had been amended more than a thousand times. The new Act has 536 sections, 23 chapters and 16 schedules, against 819 sections and 14 schedules in the old Act.</w:t>
      </w:r>
    </w:p>
    <w:p>
      <w:pPr>
        <w:spacing w:after="120" w:line="264"/>
        <w:jc w:val="both"/>
      </w:pPr>
      <w:r>
        <w:t xml:space="preserve">Three points matter. The Act is a re-codification and not a change of policy: the charge, the five heads, the residence tests and the judicial tests all continue, and only the numbering and drafting have changed. The first tax year is 2026-27, so income earned before 1 April 2026 stays under the Act of 1961 and pending proceedings continue under it. It follows that judgments decided under the Acts of 1922 and 1961 remain authority for the corresponding provisions of the new 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0"/>
        <w:gridCol w:w="2650"/>
        <w:gridCol w:w="2650"/>
      </w:tblGrid>
      <w:tr>
        <w:trPr>
          <w:tblHeader/>
        </w:trPr>
        <w:tc>
          <w:tcPr>
            <w:tcW w:type="dxa" w:w="3720"/>
            <w:shd w:fill="DCE6F1" w:color="auto" w:val="clear"/>
            <w:tcMar>
              <w:top w:type="dxa" w:w="50"/>
              <w:left w:type="dxa" w:w="100"/>
              <w:bottom w:type="dxa" w:w="50"/>
              <w:right w:type="dxa" w:w="100"/>
            </w:tcMar>
          </w:tcPr>
          <w:p>
            <w:pPr>
              <w:spacing w:after="0" w:line="230"/>
            </w:pPr>
            <w:r>
              <w:rPr>
                <w:b/>
                <w:bCs/>
                <w:sz w:val="20"/>
                <w:szCs w:val="20"/>
              </w:rPr>
              <w:t xml:space="preserve">Topic</w:t>
            </w:r>
          </w:p>
        </w:tc>
        <w:tc>
          <w:tcPr>
            <w:tcW w:type="dxa" w:w="2650"/>
            <w:shd w:fill="DCE6F1" w:color="auto" w:val="clear"/>
            <w:tcMar>
              <w:top w:type="dxa" w:w="50"/>
              <w:left w:type="dxa" w:w="100"/>
              <w:bottom w:type="dxa" w:w="50"/>
              <w:right w:type="dxa" w:w="100"/>
            </w:tcMar>
          </w:tcPr>
          <w:p>
            <w:pPr>
              <w:spacing w:after="0" w:line="230"/>
            </w:pPr>
            <w:r>
              <w:rPr>
                <w:b/>
                <w:bCs/>
                <w:sz w:val="20"/>
                <w:szCs w:val="20"/>
              </w:rPr>
              <w:t xml:space="preserve">Act of 2025 (s.)</w:t>
            </w:r>
          </w:p>
        </w:tc>
        <w:tc>
          <w:tcPr>
            <w:tcW w:type="dxa" w:w="2650"/>
            <w:shd w:fill="DCE6F1" w:color="auto" w:val="clear"/>
            <w:tcMar>
              <w:top w:type="dxa" w:w="50"/>
              <w:left w:type="dxa" w:w="100"/>
              <w:bottom w:type="dxa" w:w="50"/>
              <w:right w:type="dxa" w:w="100"/>
            </w:tcMar>
          </w:tcPr>
          <w:p>
            <w:pPr>
              <w:spacing w:after="0" w:line="230"/>
            </w:pPr>
            <w:r>
              <w:rPr>
                <w:b/>
                <w:bCs/>
                <w:sz w:val="20"/>
                <w:szCs w:val="20"/>
              </w:rPr>
              <w:t xml:space="preserve">Act of 1961 (s.)</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Agricultural income</w:t>
            </w:r>
          </w:p>
        </w:tc>
        <w:tc>
          <w:tcPr>
            <w:tcW w:type="dxa" w:w="2650"/>
            <w:tcMar>
              <w:top w:type="dxa" w:w="50"/>
              <w:left w:type="dxa" w:w="100"/>
              <w:bottom w:type="dxa" w:w="50"/>
              <w:right w:type="dxa" w:w="100"/>
            </w:tcMar>
          </w:tcPr>
          <w:p>
            <w:pPr>
              <w:spacing w:after="0" w:line="230"/>
            </w:pPr>
            <w:r>
              <w:rPr>
                <w:b w:val="false"/>
                <w:bCs w:val="false"/>
                <w:sz w:val="20"/>
                <w:szCs w:val="20"/>
              </w:rPr>
              <w:t xml:space="preserve">2(5)</w:t>
            </w:r>
          </w:p>
        </w:tc>
        <w:tc>
          <w:tcPr>
            <w:tcW w:type="dxa" w:w="2650"/>
            <w:tcMar>
              <w:top w:type="dxa" w:w="50"/>
              <w:left w:type="dxa" w:w="100"/>
              <w:bottom w:type="dxa" w:w="50"/>
              <w:right w:type="dxa" w:w="100"/>
            </w:tcMar>
          </w:tcPr>
          <w:p>
            <w:pPr>
              <w:spacing w:after="0" w:line="230"/>
            </w:pPr>
            <w:r>
              <w:rPr>
                <w:b w:val="false"/>
                <w:bCs w:val="false"/>
                <w:sz w:val="20"/>
                <w:szCs w:val="20"/>
              </w:rPr>
              <w:t xml:space="preserve">2(1A)</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Assessee</w:t>
            </w:r>
          </w:p>
        </w:tc>
        <w:tc>
          <w:tcPr>
            <w:tcW w:type="dxa" w:w="2650"/>
            <w:tcMar>
              <w:top w:type="dxa" w:w="50"/>
              <w:left w:type="dxa" w:w="100"/>
              <w:bottom w:type="dxa" w:w="50"/>
              <w:right w:type="dxa" w:w="100"/>
            </w:tcMar>
          </w:tcPr>
          <w:p>
            <w:pPr>
              <w:spacing w:after="0" w:line="230"/>
            </w:pPr>
            <w:r>
              <w:rPr>
                <w:b w:val="false"/>
                <w:bCs w:val="false"/>
                <w:sz w:val="20"/>
                <w:szCs w:val="20"/>
              </w:rPr>
              <w:t xml:space="preserve">2(11)</w:t>
            </w:r>
          </w:p>
        </w:tc>
        <w:tc>
          <w:tcPr>
            <w:tcW w:type="dxa" w:w="2650"/>
            <w:tcMar>
              <w:top w:type="dxa" w:w="50"/>
              <w:left w:type="dxa" w:w="100"/>
              <w:bottom w:type="dxa" w:w="50"/>
              <w:right w:type="dxa" w:w="100"/>
            </w:tcMar>
          </w:tcPr>
          <w:p>
            <w:pPr>
              <w:spacing w:after="0" w:line="230"/>
            </w:pPr>
            <w:r>
              <w:rPr>
                <w:b w:val="false"/>
                <w:bCs w:val="false"/>
                <w:sz w:val="20"/>
                <w:szCs w:val="20"/>
              </w:rPr>
              <w:t xml:space="preserve">2(7)</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Income (inclusive definition)</w:t>
            </w:r>
          </w:p>
        </w:tc>
        <w:tc>
          <w:tcPr>
            <w:tcW w:type="dxa" w:w="2650"/>
            <w:tcMar>
              <w:top w:type="dxa" w:w="50"/>
              <w:left w:type="dxa" w:w="100"/>
              <w:bottom w:type="dxa" w:w="50"/>
              <w:right w:type="dxa" w:w="100"/>
            </w:tcMar>
          </w:tcPr>
          <w:p>
            <w:pPr>
              <w:spacing w:after="0" w:line="230"/>
            </w:pPr>
            <w:r>
              <w:rPr>
                <w:b w:val="false"/>
                <w:bCs w:val="false"/>
                <w:sz w:val="20"/>
                <w:szCs w:val="20"/>
              </w:rPr>
              <w:t xml:space="preserve">2(49)</w:t>
            </w:r>
          </w:p>
        </w:tc>
        <w:tc>
          <w:tcPr>
            <w:tcW w:type="dxa" w:w="2650"/>
            <w:tcMar>
              <w:top w:type="dxa" w:w="50"/>
              <w:left w:type="dxa" w:w="100"/>
              <w:bottom w:type="dxa" w:w="50"/>
              <w:right w:type="dxa" w:w="100"/>
            </w:tcMar>
          </w:tcPr>
          <w:p>
            <w:pPr>
              <w:spacing w:after="0" w:line="230"/>
            </w:pPr>
            <w:r>
              <w:rPr>
                <w:b w:val="false"/>
                <w:bCs w:val="false"/>
                <w:sz w:val="20"/>
                <w:szCs w:val="20"/>
              </w:rPr>
              <w:t xml:space="preserve">2(24)</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Winnings from lotteries, races, betting</w:t>
            </w:r>
          </w:p>
        </w:tc>
        <w:tc>
          <w:tcPr>
            <w:tcW w:type="dxa" w:w="2650"/>
            <w:tcMar>
              <w:top w:type="dxa" w:w="50"/>
              <w:left w:type="dxa" w:w="100"/>
              <w:bottom w:type="dxa" w:w="50"/>
              <w:right w:type="dxa" w:w="100"/>
            </w:tcMar>
          </w:tcPr>
          <w:p>
            <w:pPr>
              <w:spacing w:after="0" w:line="230"/>
            </w:pPr>
            <w:r>
              <w:rPr>
                <w:b w:val="false"/>
                <w:bCs w:val="false"/>
                <w:sz w:val="20"/>
                <w:szCs w:val="20"/>
              </w:rPr>
              <w:t xml:space="preserve">2(49)(n)</w:t>
            </w:r>
          </w:p>
        </w:tc>
        <w:tc>
          <w:tcPr>
            <w:tcW w:type="dxa" w:w="2650"/>
            <w:tcMar>
              <w:top w:type="dxa" w:w="50"/>
              <w:left w:type="dxa" w:w="100"/>
              <w:bottom w:type="dxa" w:w="50"/>
              <w:right w:type="dxa" w:w="100"/>
            </w:tcMar>
          </w:tcPr>
          <w:p>
            <w:pPr>
              <w:spacing w:after="0" w:line="230"/>
            </w:pPr>
            <w:r>
              <w:rPr>
                <w:b w:val="false"/>
                <w:bCs w:val="false"/>
                <w:sz w:val="20"/>
                <w:szCs w:val="20"/>
              </w:rPr>
              <w:t xml:space="preserve">2(24)(ix)</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Person</w:t>
            </w:r>
          </w:p>
        </w:tc>
        <w:tc>
          <w:tcPr>
            <w:tcW w:type="dxa" w:w="2650"/>
            <w:tcMar>
              <w:top w:type="dxa" w:w="50"/>
              <w:left w:type="dxa" w:w="100"/>
              <w:bottom w:type="dxa" w:w="50"/>
              <w:right w:type="dxa" w:w="100"/>
            </w:tcMar>
          </w:tcPr>
          <w:p>
            <w:pPr>
              <w:spacing w:after="0" w:line="230"/>
            </w:pPr>
            <w:r>
              <w:rPr>
                <w:b w:val="false"/>
                <w:bCs w:val="false"/>
                <w:sz w:val="20"/>
                <w:szCs w:val="20"/>
              </w:rPr>
              <w:t xml:space="preserve">2(77)</w:t>
            </w:r>
          </w:p>
        </w:tc>
        <w:tc>
          <w:tcPr>
            <w:tcW w:type="dxa" w:w="2650"/>
            <w:tcMar>
              <w:top w:type="dxa" w:w="50"/>
              <w:left w:type="dxa" w:w="100"/>
              <w:bottom w:type="dxa" w:w="50"/>
              <w:right w:type="dxa" w:w="100"/>
            </w:tcMar>
          </w:tcPr>
          <w:p>
            <w:pPr>
              <w:spacing w:after="0" w:line="230"/>
            </w:pPr>
            <w:r>
              <w:rPr>
                <w:b w:val="false"/>
                <w:bCs w:val="false"/>
                <w:sz w:val="20"/>
                <w:szCs w:val="20"/>
              </w:rPr>
              <w:t xml:space="preserve">2(31)</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Tax year</w:t>
            </w:r>
          </w:p>
        </w:tc>
        <w:tc>
          <w:tcPr>
            <w:tcW w:type="dxa" w:w="2650"/>
            <w:tcMar>
              <w:top w:type="dxa" w:w="50"/>
              <w:left w:type="dxa" w:w="100"/>
              <w:bottom w:type="dxa" w:w="50"/>
              <w:right w:type="dxa" w:w="100"/>
            </w:tcMar>
          </w:tcPr>
          <w:p>
            <w:pPr>
              <w:spacing w:after="0" w:line="230"/>
            </w:pPr>
            <w:r>
              <w:rPr>
                <w:b w:val="false"/>
                <w:bCs w:val="false"/>
                <w:sz w:val="20"/>
                <w:szCs w:val="20"/>
              </w:rPr>
              <w:t xml:space="preserve">3</w:t>
            </w:r>
          </w:p>
        </w:tc>
        <w:tc>
          <w:tcPr>
            <w:tcW w:type="dxa" w:w="2650"/>
            <w:tcMar>
              <w:top w:type="dxa" w:w="50"/>
              <w:left w:type="dxa" w:w="100"/>
              <w:bottom w:type="dxa" w:w="50"/>
              <w:right w:type="dxa" w:w="100"/>
            </w:tcMar>
          </w:tcPr>
          <w:p>
            <w:pPr>
              <w:spacing w:after="0" w:line="230"/>
            </w:pPr>
            <w:r>
              <w:rPr>
                <w:b w:val="false"/>
                <w:bCs w:val="false"/>
                <w:sz w:val="20"/>
                <w:szCs w:val="20"/>
              </w:rPr>
              <w:t xml:space="preserve">2(9) and 3</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Charge of income-tax</w:t>
            </w:r>
          </w:p>
        </w:tc>
        <w:tc>
          <w:tcPr>
            <w:tcW w:type="dxa" w:w="2650"/>
            <w:tcMar>
              <w:top w:type="dxa" w:w="50"/>
              <w:left w:type="dxa" w:w="100"/>
              <w:bottom w:type="dxa" w:w="50"/>
              <w:right w:type="dxa" w:w="100"/>
            </w:tcMar>
          </w:tcPr>
          <w:p>
            <w:pPr>
              <w:spacing w:after="0" w:line="230"/>
            </w:pPr>
            <w:r>
              <w:rPr>
                <w:b w:val="false"/>
                <w:bCs w:val="false"/>
                <w:sz w:val="20"/>
                <w:szCs w:val="20"/>
              </w:rPr>
              <w:t xml:space="preserve">4</w:t>
            </w:r>
          </w:p>
        </w:tc>
        <w:tc>
          <w:tcPr>
            <w:tcW w:type="dxa" w:w="2650"/>
            <w:tcMar>
              <w:top w:type="dxa" w:w="50"/>
              <w:left w:type="dxa" w:w="100"/>
              <w:bottom w:type="dxa" w:w="50"/>
              <w:right w:type="dxa" w:w="100"/>
            </w:tcMar>
          </w:tcPr>
          <w:p>
            <w:pPr>
              <w:spacing w:after="0" w:line="230"/>
            </w:pPr>
            <w:r>
              <w:rPr>
                <w:b w:val="false"/>
                <w:bCs w:val="false"/>
                <w:sz w:val="20"/>
                <w:szCs w:val="20"/>
              </w:rPr>
              <w:t xml:space="preserve">4</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Scope of total income</w:t>
            </w:r>
          </w:p>
        </w:tc>
        <w:tc>
          <w:tcPr>
            <w:tcW w:type="dxa" w:w="2650"/>
            <w:tcMar>
              <w:top w:type="dxa" w:w="50"/>
              <w:left w:type="dxa" w:w="100"/>
              <w:bottom w:type="dxa" w:w="50"/>
              <w:right w:type="dxa" w:w="100"/>
            </w:tcMar>
          </w:tcPr>
          <w:p>
            <w:pPr>
              <w:spacing w:after="0" w:line="230"/>
            </w:pPr>
            <w:r>
              <w:rPr>
                <w:b w:val="false"/>
                <w:bCs w:val="false"/>
                <w:sz w:val="20"/>
                <w:szCs w:val="20"/>
              </w:rPr>
              <w:t xml:space="preserve">5</w:t>
            </w:r>
          </w:p>
        </w:tc>
        <w:tc>
          <w:tcPr>
            <w:tcW w:type="dxa" w:w="2650"/>
            <w:tcMar>
              <w:top w:type="dxa" w:w="50"/>
              <w:left w:type="dxa" w:w="100"/>
              <w:bottom w:type="dxa" w:w="50"/>
              <w:right w:type="dxa" w:w="100"/>
            </w:tcMar>
          </w:tcPr>
          <w:p>
            <w:pPr>
              <w:spacing w:after="0" w:line="230"/>
            </w:pPr>
            <w:r>
              <w:rPr>
                <w:b w:val="false"/>
                <w:bCs w:val="false"/>
                <w:sz w:val="20"/>
                <w:szCs w:val="20"/>
              </w:rPr>
              <w:t xml:space="preserve">5</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Residence in India</w:t>
            </w:r>
          </w:p>
        </w:tc>
        <w:tc>
          <w:tcPr>
            <w:tcW w:type="dxa" w:w="2650"/>
            <w:tcMar>
              <w:top w:type="dxa" w:w="50"/>
              <w:left w:type="dxa" w:w="100"/>
              <w:bottom w:type="dxa" w:w="50"/>
              <w:right w:type="dxa" w:w="100"/>
            </w:tcMar>
          </w:tcPr>
          <w:p>
            <w:pPr>
              <w:spacing w:after="0" w:line="230"/>
            </w:pPr>
            <w:r>
              <w:rPr>
                <w:b w:val="false"/>
                <w:bCs w:val="false"/>
                <w:sz w:val="20"/>
                <w:szCs w:val="20"/>
              </w:rPr>
              <w:t xml:space="preserve">6</w:t>
            </w:r>
          </w:p>
        </w:tc>
        <w:tc>
          <w:tcPr>
            <w:tcW w:type="dxa" w:w="2650"/>
            <w:tcMar>
              <w:top w:type="dxa" w:w="50"/>
              <w:left w:type="dxa" w:w="100"/>
              <w:bottom w:type="dxa" w:w="50"/>
              <w:right w:type="dxa" w:w="100"/>
            </w:tcMar>
          </w:tcPr>
          <w:p>
            <w:pPr>
              <w:spacing w:after="0" w:line="230"/>
            </w:pPr>
            <w:r>
              <w:rPr>
                <w:b w:val="false"/>
                <w:bCs w:val="false"/>
                <w:sz w:val="20"/>
                <w:szCs w:val="20"/>
              </w:rPr>
              <w:t xml:space="preserve">6</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Income deemed to accrue in India</w:t>
            </w:r>
          </w:p>
        </w:tc>
        <w:tc>
          <w:tcPr>
            <w:tcW w:type="dxa" w:w="2650"/>
            <w:tcMar>
              <w:top w:type="dxa" w:w="50"/>
              <w:left w:type="dxa" w:w="100"/>
              <w:bottom w:type="dxa" w:w="50"/>
              <w:right w:type="dxa" w:w="100"/>
            </w:tcMar>
          </w:tcPr>
          <w:p>
            <w:pPr>
              <w:spacing w:after="0" w:line="230"/>
            </w:pPr>
            <w:r>
              <w:rPr>
                <w:b w:val="false"/>
                <w:bCs w:val="false"/>
                <w:sz w:val="20"/>
                <w:szCs w:val="20"/>
              </w:rPr>
              <w:t xml:space="preserve">9</w:t>
            </w:r>
          </w:p>
        </w:tc>
        <w:tc>
          <w:tcPr>
            <w:tcW w:type="dxa" w:w="2650"/>
            <w:tcMar>
              <w:top w:type="dxa" w:w="50"/>
              <w:left w:type="dxa" w:w="100"/>
              <w:bottom w:type="dxa" w:w="50"/>
              <w:right w:type="dxa" w:w="100"/>
            </w:tcMar>
          </w:tcPr>
          <w:p>
            <w:pPr>
              <w:spacing w:after="0" w:line="230"/>
            </w:pPr>
            <w:r>
              <w:rPr>
                <w:b w:val="false"/>
                <w:bCs w:val="false"/>
                <w:sz w:val="20"/>
                <w:szCs w:val="20"/>
              </w:rPr>
              <w:t xml:space="preserve">9</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Exempt incomes</w:t>
            </w:r>
          </w:p>
        </w:tc>
        <w:tc>
          <w:tcPr>
            <w:tcW w:type="dxa" w:w="2650"/>
            <w:tcMar>
              <w:top w:type="dxa" w:w="50"/>
              <w:left w:type="dxa" w:w="100"/>
              <w:bottom w:type="dxa" w:w="50"/>
              <w:right w:type="dxa" w:w="100"/>
            </w:tcMar>
          </w:tcPr>
          <w:p>
            <w:pPr>
              <w:spacing w:after="0" w:line="230"/>
            </w:pPr>
            <w:r>
              <w:rPr>
                <w:b w:val="false"/>
                <w:bCs w:val="false"/>
                <w:sz w:val="20"/>
                <w:szCs w:val="20"/>
              </w:rPr>
              <w:t xml:space="preserve">11 + Schedules II-VII</w:t>
            </w:r>
          </w:p>
        </w:tc>
        <w:tc>
          <w:tcPr>
            <w:tcW w:type="dxa" w:w="2650"/>
            <w:tcMar>
              <w:top w:type="dxa" w:w="50"/>
              <w:left w:type="dxa" w:w="100"/>
              <w:bottom w:type="dxa" w:w="50"/>
              <w:right w:type="dxa" w:w="100"/>
            </w:tcMar>
          </w:tcPr>
          <w:p>
            <w:pPr>
              <w:spacing w:after="0" w:line="230"/>
            </w:pPr>
            <w:r>
              <w:rPr>
                <w:b w:val="false"/>
                <w:bCs w:val="false"/>
                <w:sz w:val="20"/>
                <w:szCs w:val="20"/>
              </w:rPr>
              <w:t xml:space="preserve">10</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Heads of income</w:t>
            </w:r>
          </w:p>
        </w:tc>
        <w:tc>
          <w:tcPr>
            <w:tcW w:type="dxa" w:w="2650"/>
            <w:tcMar>
              <w:top w:type="dxa" w:w="50"/>
              <w:left w:type="dxa" w:w="100"/>
              <w:bottom w:type="dxa" w:w="50"/>
              <w:right w:type="dxa" w:w="100"/>
            </w:tcMar>
          </w:tcPr>
          <w:p>
            <w:pPr>
              <w:spacing w:after="0" w:line="230"/>
            </w:pPr>
            <w:r>
              <w:rPr>
                <w:b w:val="false"/>
                <w:bCs w:val="false"/>
                <w:sz w:val="20"/>
                <w:szCs w:val="20"/>
              </w:rPr>
              <w:t xml:space="preserve">13</w:t>
            </w:r>
          </w:p>
        </w:tc>
        <w:tc>
          <w:tcPr>
            <w:tcW w:type="dxa" w:w="2650"/>
            <w:tcMar>
              <w:top w:type="dxa" w:w="50"/>
              <w:left w:type="dxa" w:w="100"/>
              <w:bottom w:type="dxa" w:w="50"/>
              <w:right w:type="dxa" w:w="100"/>
            </w:tcMar>
          </w:tcPr>
          <w:p>
            <w:pPr>
              <w:spacing w:after="0" w:line="230"/>
            </w:pPr>
            <w:r>
              <w:rPr>
                <w:b w:val="false"/>
                <w:bCs w:val="false"/>
                <w:sz w:val="20"/>
                <w:szCs w:val="20"/>
              </w:rPr>
              <w:t xml:space="preserve">14</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Expenditure on exempt income</w:t>
            </w:r>
          </w:p>
        </w:tc>
        <w:tc>
          <w:tcPr>
            <w:tcW w:type="dxa" w:w="2650"/>
            <w:tcMar>
              <w:top w:type="dxa" w:w="50"/>
              <w:left w:type="dxa" w:w="100"/>
              <w:bottom w:type="dxa" w:w="50"/>
              <w:right w:type="dxa" w:w="100"/>
            </w:tcMar>
          </w:tcPr>
          <w:p>
            <w:pPr>
              <w:spacing w:after="0" w:line="230"/>
            </w:pPr>
            <w:r>
              <w:rPr>
                <w:b w:val="false"/>
                <w:bCs w:val="false"/>
                <w:sz w:val="20"/>
                <w:szCs w:val="20"/>
              </w:rPr>
              <w:t xml:space="preserve">14</w:t>
            </w:r>
          </w:p>
        </w:tc>
        <w:tc>
          <w:tcPr>
            <w:tcW w:type="dxa" w:w="2650"/>
            <w:tcMar>
              <w:top w:type="dxa" w:w="50"/>
              <w:left w:type="dxa" w:w="100"/>
              <w:bottom w:type="dxa" w:w="50"/>
              <w:right w:type="dxa" w:w="100"/>
            </w:tcMar>
          </w:tcPr>
          <w:p>
            <w:pPr>
              <w:spacing w:after="0" w:line="230"/>
            </w:pPr>
            <w:r>
              <w:rPr>
                <w:b w:val="false"/>
                <w:bCs w:val="false"/>
                <w:sz w:val="20"/>
                <w:szCs w:val="20"/>
              </w:rPr>
              <w:t xml:space="preserve">14A</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Salaries - charge</w:t>
            </w:r>
          </w:p>
        </w:tc>
        <w:tc>
          <w:tcPr>
            <w:tcW w:type="dxa" w:w="2650"/>
            <w:tcMar>
              <w:top w:type="dxa" w:w="50"/>
              <w:left w:type="dxa" w:w="100"/>
              <w:bottom w:type="dxa" w:w="50"/>
              <w:right w:type="dxa" w:w="100"/>
            </w:tcMar>
          </w:tcPr>
          <w:p>
            <w:pPr>
              <w:spacing w:after="0" w:line="230"/>
            </w:pPr>
            <w:r>
              <w:rPr>
                <w:b w:val="false"/>
                <w:bCs w:val="false"/>
                <w:sz w:val="20"/>
                <w:szCs w:val="20"/>
              </w:rPr>
              <w:t xml:space="preserve">15</w:t>
            </w:r>
          </w:p>
        </w:tc>
        <w:tc>
          <w:tcPr>
            <w:tcW w:type="dxa" w:w="2650"/>
            <w:tcMar>
              <w:top w:type="dxa" w:w="50"/>
              <w:left w:type="dxa" w:w="100"/>
              <w:bottom w:type="dxa" w:w="50"/>
              <w:right w:type="dxa" w:w="100"/>
            </w:tcMar>
          </w:tcPr>
          <w:p>
            <w:pPr>
              <w:spacing w:after="0" w:line="230"/>
            </w:pPr>
            <w:r>
              <w:rPr>
                <w:b w:val="false"/>
                <w:bCs w:val="false"/>
                <w:sz w:val="20"/>
                <w:szCs w:val="20"/>
              </w:rPr>
              <w:t xml:space="preserve">15</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Meaning of "salary"</w:t>
            </w:r>
          </w:p>
        </w:tc>
        <w:tc>
          <w:tcPr>
            <w:tcW w:type="dxa" w:w="2650"/>
            <w:tcMar>
              <w:top w:type="dxa" w:w="50"/>
              <w:left w:type="dxa" w:w="100"/>
              <w:bottom w:type="dxa" w:w="50"/>
              <w:right w:type="dxa" w:w="100"/>
            </w:tcMar>
          </w:tcPr>
          <w:p>
            <w:pPr>
              <w:spacing w:after="0" w:line="230"/>
            </w:pPr>
            <w:r>
              <w:rPr>
                <w:b w:val="false"/>
                <w:bCs w:val="false"/>
                <w:sz w:val="20"/>
                <w:szCs w:val="20"/>
              </w:rPr>
              <w:t xml:space="preserve">16</w:t>
            </w:r>
          </w:p>
        </w:tc>
        <w:tc>
          <w:tcPr>
            <w:tcW w:type="dxa" w:w="2650"/>
            <w:tcMar>
              <w:top w:type="dxa" w:w="50"/>
              <w:left w:type="dxa" w:w="100"/>
              <w:bottom w:type="dxa" w:w="50"/>
              <w:right w:type="dxa" w:w="100"/>
            </w:tcMar>
          </w:tcPr>
          <w:p>
            <w:pPr>
              <w:spacing w:after="0" w:line="230"/>
            </w:pPr>
            <w:r>
              <w:rPr>
                <w:b w:val="false"/>
                <w:bCs w:val="false"/>
                <w:sz w:val="20"/>
                <w:szCs w:val="20"/>
              </w:rPr>
              <w:t xml:space="preserve">17(1)</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Perquisite</w:t>
            </w:r>
          </w:p>
        </w:tc>
        <w:tc>
          <w:tcPr>
            <w:tcW w:type="dxa" w:w="2650"/>
            <w:tcMar>
              <w:top w:type="dxa" w:w="50"/>
              <w:left w:type="dxa" w:w="100"/>
              <w:bottom w:type="dxa" w:w="50"/>
              <w:right w:type="dxa" w:w="100"/>
            </w:tcMar>
          </w:tcPr>
          <w:p>
            <w:pPr>
              <w:spacing w:after="0" w:line="230"/>
            </w:pPr>
            <w:r>
              <w:rPr>
                <w:b w:val="false"/>
                <w:bCs w:val="false"/>
                <w:sz w:val="20"/>
                <w:szCs w:val="20"/>
              </w:rPr>
              <w:t xml:space="preserve">17</w:t>
            </w:r>
          </w:p>
        </w:tc>
        <w:tc>
          <w:tcPr>
            <w:tcW w:type="dxa" w:w="2650"/>
            <w:tcMar>
              <w:top w:type="dxa" w:w="50"/>
              <w:left w:type="dxa" w:w="100"/>
              <w:bottom w:type="dxa" w:w="50"/>
              <w:right w:type="dxa" w:w="100"/>
            </w:tcMar>
          </w:tcPr>
          <w:p>
            <w:pPr>
              <w:spacing w:after="0" w:line="230"/>
            </w:pPr>
            <w:r>
              <w:rPr>
                <w:b w:val="false"/>
                <w:bCs w:val="false"/>
                <w:sz w:val="20"/>
                <w:szCs w:val="20"/>
              </w:rPr>
              <w:t xml:space="preserve">17(2)</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Profits in lieu of salary</w:t>
            </w:r>
          </w:p>
        </w:tc>
        <w:tc>
          <w:tcPr>
            <w:tcW w:type="dxa" w:w="2650"/>
            <w:tcMar>
              <w:top w:type="dxa" w:w="50"/>
              <w:left w:type="dxa" w:w="100"/>
              <w:bottom w:type="dxa" w:w="50"/>
              <w:right w:type="dxa" w:w="100"/>
            </w:tcMar>
          </w:tcPr>
          <w:p>
            <w:pPr>
              <w:spacing w:after="0" w:line="230"/>
            </w:pPr>
            <w:r>
              <w:rPr>
                <w:b w:val="false"/>
                <w:bCs w:val="false"/>
                <w:sz w:val="20"/>
                <w:szCs w:val="20"/>
              </w:rPr>
              <w:t xml:space="preserve">18</w:t>
            </w:r>
          </w:p>
        </w:tc>
        <w:tc>
          <w:tcPr>
            <w:tcW w:type="dxa" w:w="2650"/>
            <w:tcMar>
              <w:top w:type="dxa" w:w="50"/>
              <w:left w:type="dxa" w:w="100"/>
              <w:bottom w:type="dxa" w:w="50"/>
              <w:right w:type="dxa" w:w="100"/>
            </w:tcMar>
          </w:tcPr>
          <w:p>
            <w:pPr>
              <w:spacing w:after="0" w:line="230"/>
            </w:pPr>
            <w:r>
              <w:rPr>
                <w:b w:val="false"/>
                <w:bCs w:val="false"/>
                <w:sz w:val="20"/>
                <w:szCs w:val="20"/>
              </w:rPr>
              <w:t xml:space="preserve">17(3)</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Deductions from salaries</w:t>
            </w:r>
          </w:p>
        </w:tc>
        <w:tc>
          <w:tcPr>
            <w:tcW w:type="dxa" w:w="2650"/>
            <w:tcMar>
              <w:top w:type="dxa" w:w="50"/>
              <w:left w:type="dxa" w:w="100"/>
              <w:bottom w:type="dxa" w:w="50"/>
              <w:right w:type="dxa" w:w="100"/>
            </w:tcMar>
          </w:tcPr>
          <w:p>
            <w:pPr>
              <w:spacing w:after="0" w:line="230"/>
            </w:pPr>
            <w:r>
              <w:rPr>
                <w:b w:val="false"/>
                <w:bCs w:val="false"/>
                <w:sz w:val="20"/>
                <w:szCs w:val="20"/>
              </w:rPr>
              <w:t xml:space="preserve">19</w:t>
            </w:r>
          </w:p>
        </w:tc>
        <w:tc>
          <w:tcPr>
            <w:tcW w:type="dxa" w:w="2650"/>
            <w:tcMar>
              <w:top w:type="dxa" w:w="50"/>
              <w:left w:type="dxa" w:w="100"/>
              <w:bottom w:type="dxa" w:w="50"/>
              <w:right w:type="dxa" w:w="100"/>
            </w:tcMar>
          </w:tcPr>
          <w:p>
            <w:pPr>
              <w:spacing w:after="0" w:line="230"/>
            </w:pPr>
            <w:r>
              <w:rPr>
                <w:b w:val="false"/>
                <w:bCs w:val="false"/>
                <w:sz w:val="20"/>
                <w:szCs w:val="20"/>
              </w:rPr>
              <w:t xml:space="preserve">16, parts of 10</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House property - charge</w:t>
            </w:r>
          </w:p>
        </w:tc>
        <w:tc>
          <w:tcPr>
            <w:tcW w:type="dxa" w:w="2650"/>
            <w:tcMar>
              <w:top w:type="dxa" w:w="50"/>
              <w:left w:type="dxa" w:w="100"/>
              <w:bottom w:type="dxa" w:w="50"/>
              <w:right w:type="dxa" w:w="100"/>
            </w:tcMar>
          </w:tcPr>
          <w:p>
            <w:pPr>
              <w:spacing w:after="0" w:line="230"/>
            </w:pPr>
            <w:r>
              <w:rPr>
                <w:b w:val="false"/>
                <w:bCs w:val="false"/>
                <w:sz w:val="20"/>
                <w:szCs w:val="20"/>
              </w:rPr>
              <w:t xml:space="preserve">20</w:t>
            </w:r>
          </w:p>
        </w:tc>
        <w:tc>
          <w:tcPr>
            <w:tcW w:type="dxa" w:w="2650"/>
            <w:tcMar>
              <w:top w:type="dxa" w:w="50"/>
              <w:left w:type="dxa" w:w="100"/>
              <w:bottom w:type="dxa" w:w="50"/>
              <w:right w:type="dxa" w:w="100"/>
            </w:tcMar>
          </w:tcPr>
          <w:p>
            <w:pPr>
              <w:spacing w:after="0" w:line="230"/>
            </w:pPr>
            <w:r>
              <w:rPr>
                <w:b w:val="false"/>
                <w:bCs w:val="false"/>
                <w:sz w:val="20"/>
                <w:szCs w:val="20"/>
              </w:rPr>
              <w:t xml:space="preserve">22</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Annual value</w:t>
            </w:r>
          </w:p>
        </w:tc>
        <w:tc>
          <w:tcPr>
            <w:tcW w:type="dxa" w:w="2650"/>
            <w:tcMar>
              <w:top w:type="dxa" w:w="50"/>
              <w:left w:type="dxa" w:w="100"/>
              <w:bottom w:type="dxa" w:w="50"/>
              <w:right w:type="dxa" w:w="100"/>
            </w:tcMar>
          </w:tcPr>
          <w:p>
            <w:pPr>
              <w:spacing w:after="0" w:line="230"/>
            </w:pPr>
            <w:r>
              <w:rPr>
                <w:b w:val="false"/>
                <w:bCs w:val="false"/>
                <w:sz w:val="20"/>
                <w:szCs w:val="20"/>
              </w:rPr>
              <w:t xml:space="preserve">21</w:t>
            </w:r>
          </w:p>
        </w:tc>
        <w:tc>
          <w:tcPr>
            <w:tcW w:type="dxa" w:w="2650"/>
            <w:tcMar>
              <w:top w:type="dxa" w:w="50"/>
              <w:left w:type="dxa" w:w="100"/>
              <w:bottom w:type="dxa" w:w="50"/>
              <w:right w:type="dxa" w:w="100"/>
            </w:tcMar>
          </w:tcPr>
          <w:p>
            <w:pPr>
              <w:spacing w:after="0" w:line="230"/>
            </w:pPr>
            <w:r>
              <w:rPr>
                <w:b w:val="false"/>
                <w:bCs w:val="false"/>
                <w:sz w:val="20"/>
                <w:szCs w:val="20"/>
              </w:rPr>
              <w:t xml:space="preserve">23</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Deductions from house property</w:t>
            </w:r>
          </w:p>
        </w:tc>
        <w:tc>
          <w:tcPr>
            <w:tcW w:type="dxa" w:w="2650"/>
            <w:tcMar>
              <w:top w:type="dxa" w:w="50"/>
              <w:left w:type="dxa" w:w="100"/>
              <w:bottom w:type="dxa" w:w="50"/>
              <w:right w:type="dxa" w:w="100"/>
            </w:tcMar>
          </w:tcPr>
          <w:p>
            <w:pPr>
              <w:spacing w:after="0" w:line="230"/>
            </w:pPr>
            <w:r>
              <w:rPr>
                <w:b w:val="false"/>
                <w:bCs w:val="false"/>
                <w:sz w:val="20"/>
                <w:szCs w:val="20"/>
              </w:rPr>
              <w:t xml:space="preserve">22</w:t>
            </w:r>
          </w:p>
        </w:tc>
        <w:tc>
          <w:tcPr>
            <w:tcW w:type="dxa" w:w="2650"/>
            <w:tcMar>
              <w:top w:type="dxa" w:w="50"/>
              <w:left w:type="dxa" w:w="100"/>
              <w:bottom w:type="dxa" w:w="50"/>
              <w:right w:type="dxa" w:w="100"/>
            </w:tcMar>
          </w:tcPr>
          <w:p>
            <w:pPr>
              <w:spacing w:after="0" w:line="230"/>
            </w:pPr>
            <w:r>
              <w:rPr>
                <w:b w:val="false"/>
                <w:bCs w:val="false"/>
                <w:sz w:val="20"/>
                <w:szCs w:val="20"/>
              </w:rPr>
              <w:t xml:space="preserve">24</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Arrears / unrealised rent recovered</w:t>
            </w:r>
          </w:p>
        </w:tc>
        <w:tc>
          <w:tcPr>
            <w:tcW w:type="dxa" w:w="2650"/>
            <w:tcMar>
              <w:top w:type="dxa" w:w="50"/>
              <w:left w:type="dxa" w:w="100"/>
              <w:bottom w:type="dxa" w:w="50"/>
              <w:right w:type="dxa" w:w="100"/>
            </w:tcMar>
          </w:tcPr>
          <w:p>
            <w:pPr>
              <w:spacing w:after="0" w:line="230"/>
            </w:pPr>
            <w:r>
              <w:rPr>
                <w:b w:val="false"/>
                <w:bCs w:val="false"/>
                <w:sz w:val="20"/>
                <w:szCs w:val="20"/>
              </w:rPr>
              <w:t xml:space="preserve">23</w:t>
            </w:r>
          </w:p>
        </w:tc>
        <w:tc>
          <w:tcPr>
            <w:tcW w:type="dxa" w:w="2650"/>
            <w:tcMar>
              <w:top w:type="dxa" w:w="50"/>
              <w:left w:type="dxa" w:w="100"/>
              <w:bottom w:type="dxa" w:w="50"/>
              <w:right w:type="dxa" w:w="100"/>
            </w:tcMar>
          </w:tcPr>
          <w:p>
            <w:pPr>
              <w:spacing w:after="0" w:line="230"/>
            </w:pPr>
            <w:r>
              <w:rPr>
                <w:b w:val="false"/>
                <w:bCs w:val="false"/>
                <w:sz w:val="20"/>
                <w:szCs w:val="20"/>
              </w:rPr>
              <w:t xml:space="preserve">25A</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Co-owners</w:t>
            </w:r>
          </w:p>
        </w:tc>
        <w:tc>
          <w:tcPr>
            <w:tcW w:type="dxa" w:w="2650"/>
            <w:tcMar>
              <w:top w:type="dxa" w:w="50"/>
              <w:left w:type="dxa" w:w="100"/>
              <w:bottom w:type="dxa" w:w="50"/>
              <w:right w:type="dxa" w:w="100"/>
            </w:tcMar>
          </w:tcPr>
          <w:p>
            <w:pPr>
              <w:spacing w:after="0" w:line="230"/>
            </w:pPr>
            <w:r>
              <w:rPr>
                <w:b w:val="false"/>
                <w:bCs w:val="false"/>
                <w:sz w:val="20"/>
                <w:szCs w:val="20"/>
              </w:rPr>
              <w:t xml:space="preserve">24</w:t>
            </w:r>
          </w:p>
        </w:tc>
        <w:tc>
          <w:tcPr>
            <w:tcW w:type="dxa" w:w="2650"/>
            <w:tcMar>
              <w:top w:type="dxa" w:w="50"/>
              <w:left w:type="dxa" w:w="100"/>
              <w:bottom w:type="dxa" w:w="50"/>
              <w:right w:type="dxa" w:w="100"/>
            </w:tcMar>
          </w:tcPr>
          <w:p>
            <w:pPr>
              <w:spacing w:after="0" w:line="230"/>
            </w:pPr>
            <w:r>
              <w:rPr>
                <w:b w:val="false"/>
                <w:bCs w:val="false"/>
                <w:sz w:val="20"/>
                <w:szCs w:val="20"/>
              </w:rPr>
              <w:t xml:space="preserve">26</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Interpretation; deemed ownership</w:t>
            </w:r>
          </w:p>
        </w:tc>
        <w:tc>
          <w:tcPr>
            <w:tcW w:type="dxa" w:w="2650"/>
            <w:tcMar>
              <w:top w:type="dxa" w:w="50"/>
              <w:left w:type="dxa" w:w="100"/>
              <w:bottom w:type="dxa" w:w="50"/>
              <w:right w:type="dxa" w:w="100"/>
            </w:tcMar>
          </w:tcPr>
          <w:p>
            <w:pPr>
              <w:spacing w:after="0" w:line="230"/>
            </w:pPr>
            <w:r>
              <w:rPr>
                <w:b w:val="false"/>
                <w:bCs w:val="false"/>
                <w:sz w:val="20"/>
                <w:szCs w:val="20"/>
              </w:rPr>
              <w:t xml:space="preserve">25</w:t>
            </w:r>
          </w:p>
        </w:tc>
        <w:tc>
          <w:tcPr>
            <w:tcW w:type="dxa" w:w="2650"/>
            <w:tcMar>
              <w:top w:type="dxa" w:w="50"/>
              <w:left w:type="dxa" w:w="100"/>
              <w:bottom w:type="dxa" w:w="50"/>
              <w:right w:type="dxa" w:w="100"/>
            </w:tcMar>
          </w:tcPr>
          <w:p>
            <w:pPr>
              <w:spacing w:after="0" w:line="230"/>
            </w:pPr>
            <w:r>
              <w:rPr>
                <w:b w:val="false"/>
                <w:bCs w:val="false"/>
                <w:sz w:val="20"/>
                <w:szCs w:val="20"/>
              </w:rPr>
              <w:t xml:space="preserve">27</w:t>
            </w:r>
          </w:p>
        </w:tc>
      </w:tr>
      <w:tr>
        <w:trPr>
          <w:tblHeader w:val="false"/>
        </w:trPr>
        <w:tc>
          <w:tcPr>
            <w:tcW w:type="dxa" w:w="3720"/>
            <w:tcMar>
              <w:top w:type="dxa" w:w="50"/>
              <w:left w:type="dxa" w:w="100"/>
              <w:bottom w:type="dxa" w:w="50"/>
              <w:right w:type="dxa" w:w="100"/>
            </w:tcMar>
          </w:tcPr>
          <w:p>
            <w:pPr>
              <w:spacing w:after="0" w:line="230"/>
            </w:pPr>
            <w:r>
              <w:rPr>
                <w:b w:val="false"/>
                <w:bCs w:val="false"/>
                <w:sz w:val="20"/>
                <w:szCs w:val="20"/>
              </w:rPr>
              <w:t xml:space="preserve">GAAR</w:t>
            </w:r>
          </w:p>
        </w:tc>
        <w:tc>
          <w:tcPr>
            <w:tcW w:type="dxa" w:w="2650"/>
            <w:tcMar>
              <w:top w:type="dxa" w:w="50"/>
              <w:left w:type="dxa" w:w="100"/>
              <w:bottom w:type="dxa" w:w="50"/>
              <w:right w:type="dxa" w:w="100"/>
            </w:tcMar>
          </w:tcPr>
          <w:p>
            <w:pPr>
              <w:spacing w:after="0" w:line="230"/>
            </w:pPr>
            <w:r>
              <w:rPr>
                <w:b w:val="false"/>
                <w:bCs w:val="false"/>
                <w:sz w:val="20"/>
                <w:szCs w:val="20"/>
              </w:rPr>
              <w:t xml:space="preserve">178-184</w:t>
            </w:r>
          </w:p>
        </w:tc>
        <w:tc>
          <w:tcPr>
            <w:tcW w:type="dxa" w:w="2650"/>
            <w:tcMar>
              <w:top w:type="dxa" w:w="50"/>
              <w:left w:type="dxa" w:w="100"/>
              <w:bottom w:type="dxa" w:w="50"/>
              <w:right w:type="dxa" w:w="100"/>
            </w:tcMar>
          </w:tcPr>
          <w:p>
            <w:pPr>
              <w:spacing w:after="0" w:line="230"/>
            </w:pPr>
            <w:r>
              <w:rPr>
                <w:b w:val="false"/>
                <w:bCs w:val="false"/>
                <w:sz w:val="20"/>
                <w:szCs w:val="20"/>
              </w:rPr>
              <w:t xml:space="preserve">95-102</w:t>
            </w:r>
          </w:p>
        </w:tc>
      </w:tr>
    </w:tbl>
    <w:p>
      <w:pPr>
        <w:spacing w:after="140"/>
      </w:pPr>
    </w:p>
    <w:p>
      <w:pPr>
        <w:pStyle w:val="Heading2"/>
      </w:pPr>
      <w:r>
        <w:t xml:space="preserve">3.2 Concept of income — section 2(49) [2(24)]</w:t>
      </w:r>
    </w:p>
    <w:p>
      <w:pPr>
        <w:spacing w:after="120" w:line="264"/>
        <w:jc w:val="both"/>
      </w:pPr>
      <w:r>
        <w:t xml:space="preserve">Section 2(49) says income "includes" the items in clauses (a) to (w). The definition is inclusive, not exhaustive: the long list widens the net rather than confining it, and something not listed can still be income if it answers the natural meaning of the word.</w:t>
      </w:r>
    </w:p>
    <w:p>
      <w:pPr>
        <w:pStyle w:val="ListParagraph"/>
        <w:numPr>
          <w:ilvl w:val="0"/>
          <w:numId w:val="2"/>
        </w:numPr>
        <w:spacing w:after="60" w:line="264"/>
        <w:jc w:val="both"/>
      </w:pPr>
      <w:r>
        <w:t xml:space="preserve">Income need not be recurring; a single receipt can be income.</w:t>
      </w:r>
    </w:p>
    <w:p>
      <w:pPr>
        <w:pStyle w:val="ListParagraph"/>
        <w:numPr>
          <w:ilvl w:val="0"/>
          <w:numId w:val="2"/>
        </w:numPr>
        <w:spacing w:after="60" w:line="264"/>
        <w:jc w:val="both"/>
      </w:pPr>
      <w:r>
        <w:t xml:space="preserve">Two entities are needed. A person cannot earn income from himself, which is the basis of the doctrine of mutuality.</w:t>
      </w:r>
    </w:p>
    <w:p>
      <w:pPr>
        <w:pStyle w:val="ListParagraph"/>
        <w:numPr>
          <w:ilvl w:val="0"/>
          <w:numId w:val="2"/>
        </w:numPr>
        <w:spacing w:after="60" w:line="264"/>
        <w:jc w:val="both"/>
      </w:pPr>
      <w:r>
        <w:t xml:space="preserve">Income may be in money or in anything convertible into money.</w:t>
      </w:r>
    </w:p>
    <w:p>
      <w:pPr>
        <w:pStyle w:val="ListParagraph"/>
        <w:numPr>
          <w:ilvl w:val="0"/>
          <w:numId w:val="2"/>
        </w:numPr>
        <w:spacing w:after="60" w:line="264"/>
        <w:jc w:val="both"/>
      </w:pPr>
      <w:r>
        <w:t xml:space="preserve">Illegal income is still income.</w:t>
      </w:r>
    </w:p>
    <w:p>
      <w:pPr>
        <w:pStyle w:val="ListParagraph"/>
        <w:numPr>
          <w:ilvl w:val="0"/>
          <w:numId w:val="2"/>
        </w:numPr>
        <w:spacing w:after="60" w:line="264"/>
        <w:jc w:val="both"/>
      </w:pPr>
      <w:r>
        <w:t xml:space="preserve">Reimbursement of expenditure is normally not income, because it replaces an outgoing.</w:t>
      </w:r>
    </w:p>
    <w:p>
      <w:pPr>
        <w:pStyle w:val="ListParagraph"/>
        <w:numPr>
          <w:ilvl w:val="0"/>
          <w:numId w:val="2"/>
        </w:numPr>
        <w:spacing w:after="60" w:line="264"/>
        <w:jc w:val="both"/>
      </w:pPr>
      <w:r>
        <w:t xml:space="preserve">Revenue receipts are income; capital receipts are not unless the Act makes them chargeable.</w:t>
      </w:r>
    </w:p>
    <w:p>
      <w:pPr>
        <w:pStyle w:val="ListParagraph"/>
        <w:numPr>
          <w:ilvl w:val="0"/>
          <w:numId w:val="2"/>
        </w:numPr>
        <w:spacing w:after="60" w:line="264"/>
        <w:jc w:val="both"/>
      </w:pPr>
      <w:r>
        <w:t xml:space="preserve">Income must be real, not hypothetical.</w:t>
      </w:r>
    </w:p>
    <w:p>
      <w:pPr>
        <w:pStyle w:val="ListParagraph"/>
        <w:numPr>
          <w:ilvl w:val="0"/>
          <w:numId w:val="2"/>
        </w:numPr>
        <w:spacing w:after="60" w:line="264"/>
        <w:jc w:val="both"/>
      </w:pPr>
      <w:r>
        <w:t xml:space="preserve">Income is wider than profit or gain, and profit is different from gross receipts.</w:t>
      </w:r>
    </w:p>
    <w:p>
      <w:pPr>
        <w:spacing w:after="120" w:line="264"/>
        <w:jc w:val="both"/>
      </w:pPr>
      <w:r>
        <w:t xml:space="preserve">Winnings from lotteries, crossword puzzles, races including horse races, card games, gambling and betting come under section 2(49)(n) [2(24)(ix)].</w:t>
      </w:r>
    </w:p>
    <w:p>
      <w:pPr>
        <w:pStyle w:val="Heading3"/>
      </w:pPr>
      <w:r>
        <w:t xml:space="preserve">CIT, Madras v. G.R. Karthikeyan, (1993) 201 ITR 866 (SC)</w:t>
      </w:r>
    </w:p>
    <w:p>
      <w:pPr>
        <w:spacing w:after="120" w:line="264"/>
        <w:jc w:val="both"/>
      </w:pPr>
      <w:r>
        <w:rPr>
          <w:b/>
          <w:bCs/>
          <w:i w:val="false"/>
          <w:iCs w:val="false"/>
        </w:rPr>
        <w:t xml:space="preserve">Facts. </w:t>
      </w:r>
      <w:r>
        <w:rPr>
          <w:b w:val="false"/>
          <w:bCs w:val="false"/>
          <w:i w:val="false"/>
          <w:iCs w:val="false"/>
        </w:rPr>
        <w:t xml:space="preserve">The assessee took part in the All India Highway Motor Rally, a contest of driving reliability and endurance in which competitors had to observe prescribed rules rather than simply finish fastest. He received prizes totalling twenty-two thousand rupees. Assessment year 1974-75.</w:t>
      </w:r>
    </w:p>
    <w:p>
      <w:pPr>
        <w:spacing w:after="120" w:line="264"/>
        <w:jc w:val="both"/>
      </w:pPr>
      <w:r>
        <w:rPr>
          <w:b/>
          <w:bCs/>
          <w:i w:val="false"/>
          <w:iCs w:val="false"/>
        </w:rPr>
        <w:t xml:space="preserve">Issue. </w:t>
      </w:r>
      <w:r>
        <w:rPr>
          <w:b w:val="false"/>
          <w:bCs w:val="false"/>
          <w:i w:val="false"/>
          <w:iCs w:val="false"/>
        </w:rPr>
        <w:t xml:space="preserve">Whether the prize money was income, and whether it fell within section 2(24)(ix), which speaks of winnings from lotteries, crossword puzzles, races including horse races, card games and other games, and gambling or betting.</w:t>
      </w:r>
    </w:p>
    <w:p>
      <w:pPr>
        <w:spacing w:after="120" w:line="264"/>
        <w:jc w:val="both"/>
      </w:pPr>
      <w:r>
        <w:rPr>
          <w:b/>
          <w:bCs/>
          <w:i w:val="false"/>
          <w:iCs w:val="false"/>
        </w:rPr>
        <w:t xml:space="preserve">Held. </w:t>
      </w:r>
      <w:r>
        <w:rPr>
          <w:b w:val="false"/>
          <w:bCs w:val="false"/>
          <w:i w:val="false"/>
          <w:iCs w:val="false"/>
        </w:rPr>
        <w:t xml:space="preserve">The receipt was income and chargeable. The Supreme Court reversed the High Court, which had held it outside the clause.</w:t>
      </w:r>
    </w:p>
    <w:p>
      <w:pPr>
        <w:spacing w:after="120" w:line="264"/>
        <w:jc w:val="both"/>
      </w:pPr>
      <w:r>
        <w:rPr>
          <w:b/>
          <w:bCs/>
          <w:i w:val="false"/>
          <w:iCs w:val="false"/>
        </w:rPr>
        <w:t xml:space="preserve">Reasoning. </w:t>
      </w:r>
      <w:r>
        <w:rPr>
          <w:b w:val="false"/>
          <w:bCs w:val="false"/>
          <w:i w:val="false"/>
          <w:iCs w:val="false"/>
        </w:rPr>
        <w:t xml:space="preserve">Section 2(24) is an inclusive definition; its clauses enlarge the concept of income and do not cut down the ordinary meaning of the word. The clause is not confined to receipts depending on chance: if winnings from betting and gambling are income, an amount won by skill and endurance in an organised contest cannot be excluded. That a receipt is casual and non-recurring does not stop it being income; whether it is exempt is a separate question.</w:t>
      </w:r>
    </w:p>
    <w:p>
      <w:pPr>
        <w:spacing w:after="120" w:line="264"/>
        <w:jc w:val="both"/>
      </w:pPr>
      <w:r>
        <w:rPr>
          <w:b/>
          <w:bCs/>
          <w:i w:val="false"/>
          <w:iCs w:val="false"/>
        </w:rPr>
        <w:t xml:space="preserve">Caution. </w:t>
      </w:r>
      <w:r>
        <w:rPr>
          <w:b w:val="false"/>
          <w:bCs w:val="false"/>
          <w:i w:val="false"/>
          <w:iCs w:val="false"/>
        </w:rPr>
        <w:t xml:space="preserve">The prize of twenty-two thousand rupees is verified. The rally distance of 6,500 kilometres recorded in class is not stated in the judgment as far as could be confirmed, so do not quote it.</w:t>
      </w:r>
    </w:p>
    <w:p>
      <w:pPr>
        <w:pStyle w:val="Heading3"/>
      </w:pPr>
      <w:r>
        <w:t xml:space="preserve">CIT v. K. Thangamani, (2009) 309 ITR 15 (Madras)</w:t>
      </w:r>
    </w:p>
    <w:p>
      <w:pPr>
        <w:spacing w:after="120" w:line="264"/>
        <w:jc w:val="both"/>
      </w:pPr>
      <w:r>
        <w:rPr>
          <w:b/>
          <w:bCs/>
          <w:i w:val="false"/>
          <w:iCs w:val="false"/>
        </w:rPr>
        <w:t xml:space="preserve">Facts. </w:t>
      </w:r>
      <w:r>
        <w:rPr>
          <w:b w:val="false"/>
          <w:bCs w:val="false"/>
          <w:i w:val="false"/>
          <w:iCs w:val="false"/>
        </w:rPr>
        <w:t xml:space="preserve">The assessee obtained money by fraudulently procuring income-tax refunds, and contended that money earned by crime could not be assessed as his income.</w:t>
      </w:r>
    </w:p>
    <w:p>
      <w:pPr>
        <w:spacing w:after="120" w:line="264"/>
        <w:jc w:val="both"/>
      </w:pPr>
      <w:r>
        <w:rPr>
          <w:b/>
          <w:bCs/>
          <w:i w:val="false"/>
          <w:iCs w:val="false"/>
        </w:rPr>
        <w:t xml:space="preserve">Held. </w:t>
      </w:r>
      <w:r>
        <w:rPr>
          <w:b w:val="false"/>
          <w:bCs w:val="false"/>
          <w:i w:val="false"/>
          <w:iCs w:val="false"/>
        </w:rPr>
        <w:t xml:space="preserve">The amounts were taxable.</w:t>
      </w:r>
    </w:p>
    <w:p>
      <w:pPr>
        <w:spacing w:after="120" w:line="264"/>
        <w:jc w:val="both"/>
      </w:pPr>
      <w:r>
        <w:rPr>
          <w:b/>
          <w:bCs/>
          <w:i w:val="false"/>
          <w:iCs w:val="false"/>
        </w:rPr>
        <w:t xml:space="preserve">Reasoning. </w:t>
      </w:r>
      <w:r>
        <w:rPr>
          <w:b w:val="false"/>
          <w:bCs w:val="false"/>
          <w:i w:val="false"/>
          <w:iCs w:val="false"/>
        </w:rPr>
        <w:t xml:space="preserve">The Act charges income whatever its source, and the source may be lawful or unlawful. An assessee cannot be heard to plead his own wrongdoing in order to escape tax — allegans suam turpitudinem non est audiendus. The judgment also keeps income, profit or gain, and gross receipts distinct, and confirms that tax is charged on real income.</w:t>
      </w:r>
    </w:p>
    <w:p>
      <w:pPr>
        <w:pStyle w:val="Heading3"/>
      </w:pPr>
      <w:r>
        <w:t xml:space="preserve">CIT, Bombay City I v. Shoorji Vallabhdas &amp; Co., (1962) 46 ITR 144 (SC)</w:t>
      </w:r>
    </w:p>
    <w:p>
      <w:pPr>
        <w:spacing w:after="120" w:line="264"/>
        <w:jc w:val="both"/>
      </w:pPr>
      <w:r>
        <w:rPr>
          <w:b/>
          <w:bCs/>
          <w:i w:val="false"/>
          <w:iCs w:val="false"/>
        </w:rPr>
        <w:t xml:space="preserve">Facts. </w:t>
      </w:r>
      <w:r>
        <w:rPr>
          <w:b w:val="false"/>
          <w:bCs w:val="false"/>
          <w:i w:val="false"/>
          <w:iCs w:val="false"/>
        </w:rPr>
        <w:t xml:space="preserve">A managing agency had credited commission in its books at the originally agreed rate. The rate was later reduced by agreement, so the higher amount was never received and never became payable.</w:t>
      </w:r>
    </w:p>
    <w:p>
      <w:pPr>
        <w:spacing w:after="120" w:line="264"/>
        <w:jc w:val="both"/>
      </w:pPr>
      <w:r>
        <w:rPr>
          <w:b/>
          <w:bCs/>
          <w:i w:val="false"/>
          <w:iCs w:val="false"/>
        </w:rPr>
        <w:t xml:space="preserve">Held. </w:t>
      </w:r>
      <w:r>
        <w:rPr>
          <w:b w:val="false"/>
          <w:bCs w:val="false"/>
          <w:i w:val="false"/>
          <w:iCs w:val="false"/>
        </w:rPr>
        <w:t xml:space="preserve">Only the reduced amount was taxable.</w:t>
      </w:r>
    </w:p>
    <w:p>
      <w:pPr>
        <w:spacing w:after="120" w:line="264"/>
        <w:jc w:val="both"/>
      </w:pPr>
      <w:r>
        <w:rPr>
          <w:b/>
          <w:bCs/>
          <w:i w:val="false"/>
          <w:iCs w:val="false"/>
        </w:rPr>
        <w:t xml:space="preserve">Reasoning (verbatim, Hidayatullah J.). </w:t>
      </w:r>
      <w:r>
        <w:rPr>
          <w:b w:val="false"/>
          <w:bCs w:val="false"/>
          <w:i w:val="false"/>
          <w:iCs w:val="false"/>
        </w:rPr>
        <w:t xml:space="preserve"/>
      </w:r>
    </w:p>
    <w:p>
      <w:pPr>
        <w:spacing w:after="140" w:before="40" w:line="252"/>
        <w:ind w:left="567" w:right="283"/>
        <w:jc w:val="both"/>
      </w:pPr>
      <w:r>
        <w:rPr>
          <w:i/>
          <w:iCs/>
        </w:rPr>
        <w:t xml:space="preserve">"Income-tax is a levy on income. No doubt, the Income-tax Act takes into account two points of time at which the liability to tax is attracted, viz., the accrual of the income or its receipt; but the substance of the matter is the income. If income does not result at all, there cannot be a tax, even though in book-keeping, an entry is made about a ‘hypothetical income’ which does not materialise."</w:t>
      </w:r>
    </w:p>
    <w:p>
      <w:pPr>
        <w:spacing w:after="120" w:line="264"/>
        <w:jc w:val="both"/>
      </w:pPr>
      <w:r>
        <w:rPr>
          <w:b/>
          <w:bCs/>
          <w:i w:val="false"/>
          <w:iCs w:val="false"/>
        </w:rPr>
        <w:t xml:space="preserve">Principle. </w:t>
      </w:r>
      <w:r>
        <w:rPr>
          <w:b w:val="false"/>
          <w:bCs w:val="false"/>
          <w:i w:val="false"/>
          <w:iCs w:val="false"/>
        </w:rPr>
        <w:t xml:space="preserve">Tax is charged on real income. A book entry cannot create income where in substance none has accrued or been received.</w:t>
      </w:r>
    </w:p>
    <w:p>
      <w:pPr>
        <w:pStyle w:val="Heading2"/>
      </w:pPr>
      <w:r>
        <w:t xml:space="preserve">3.3 Application and diversion of income</w:t>
      </w:r>
    </w:p>
    <w:p>
      <w:pPr>
        <w:spacing w:after="120" w:line="264"/>
        <w:jc w:val="both"/>
      </w:pPr>
      <w:r>
        <w:t xml:space="preserve">Both ideas answer one question: did the amount ever become the assessee’s income?</w:t>
      </w:r>
    </w:p>
    <w:p>
      <w:pPr>
        <w:spacing w:after="120" w:line="264"/>
        <w:jc w:val="both"/>
      </w:pPr>
      <w:r>
        <w:rPr>
          <w:b/>
          <w:bCs/>
          <w:i w:val="false"/>
          <w:iCs w:val="false"/>
        </w:rPr>
        <w:t xml:space="preserve">Application </w:t>
      </w:r>
      <w:r>
        <w:rPr>
          <w:b w:val="false"/>
          <w:bCs w:val="false"/>
          <w:i w:val="false"/>
          <w:iCs w:val="false"/>
        </w:rPr>
        <w:t xml:space="preserve">means income has already accrued to the assessee and is then spent by him to meet an obligation. It is taxable in his hands even if he never handles the money and even if it is paid directly to the other person.</w:t>
      </w:r>
    </w:p>
    <w:p>
      <w:pPr>
        <w:spacing w:after="120" w:line="264"/>
        <w:jc w:val="both"/>
      </w:pPr>
      <w:r>
        <w:rPr>
          <w:b/>
          <w:bCs/>
          <w:i w:val="false"/>
          <w:iCs w:val="false"/>
        </w:rPr>
        <w:t xml:space="preserve">Diversion </w:t>
      </w:r>
      <w:r>
        <w:rPr>
          <w:b w:val="false"/>
          <w:bCs w:val="false"/>
          <w:i w:val="false"/>
          <w:iCs w:val="false"/>
        </w:rPr>
        <w:t xml:space="preserve">means another person has an overriding title which takes the amount away before it becomes the assessee’s income. It was never his income, so there is nothing to tax.</w:t>
      </w:r>
    </w:p>
    <w:p>
      <w:pPr>
        <w:spacing w:after="120" w:line="264"/>
        <w:jc w:val="both"/>
      </w:pPr>
      <w:r>
        <w:t xml:space="preserve">What decides the question is not the timing of payment or whether cash passed through his hands, but the nature of the obligation: whether it arises from contract or from status, and whether it fastened a superior title on the income at source.</w:t>
      </w:r>
    </w:p>
    <w:p>
      <w:pPr>
        <w:pStyle w:val="Heading3"/>
      </w:pPr>
      <w:r>
        <w:t xml:space="preserve">CIT, Bombay City II v. Sitaldas Tirathdas, (1961) 41 ITR 367 (SC)</w:t>
      </w:r>
    </w:p>
    <w:p>
      <w:pPr>
        <w:spacing w:after="120" w:line="264"/>
        <w:jc w:val="both"/>
      </w:pPr>
      <w:r>
        <w:rPr>
          <w:b/>
          <w:bCs/>
          <w:i w:val="false"/>
          <w:iCs w:val="false"/>
        </w:rPr>
        <w:t xml:space="preserve">Facts. </w:t>
      </w:r>
      <w:r>
        <w:rPr>
          <w:b w:val="false"/>
          <w:bCs w:val="false"/>
          <w:i w:val="false"/>
          <w:iCs w:val="false"/>
        </w:rPr>
        <w:t xml:space="preserve">The assessee’s wife and children obtained a decree for maintenance and he paid maintenance under it. The decree created no charge on his property or on any particular income. He claimed the maintenance as a deduction on the footing that the income was diverted.</w:t>
      </w:r>
    </w:p>
    <w:p>
      <w:pPr>
        <w:spacing w:after="120" w:line="264"/>
        <w:jc w:val="both"/>
      </w:pPr>
      <w:r>
        <w:rPr>
          <w:b/>
          <w:bCs/>
          <w:i w:val="false"/>
          <w:iCs w:val="false"/>
        </w:rPr>
        <w:t xml:space="preserve">Held. </w:t>
      </w:r>
      <w:r>
        <w:rPr>
          <w:b w:val="false"/>
          <w:bCs w:val="false"/>
          <w:i w:val="false"/>
          <w:iCs w:val="false"/>
        </w:rPr>
        <w:t xml:space="preserve">Not deductible. The payments were an application of income that had already accrued to him.</w:t>
      </w:r>
    </w:p>
    <w:p>
      <w:pPr>
        <w:spacing w:after="120" w:line="264"/>
        <w:jc w:val="both"/>
      </w:pPr>
      <w:r>
        <w:rPr>
          <w:b/>
          <w:bCs/>
          <w:i w:val="false"/>
          <w:iCs w:val="false"/>
        </w:rPr>
        <w:t xml:space="preserve">Reasoning (verbatim, Hidayatullah J.). </w:t>
      </w:r>
      <w:r>
        <w:rPr>
          <w:b w:val="false"/>
          <w:bCs w:val="false"/>
          <w:i w:val="false"/>
          <w:iCs w:val="false"/>
        </w:rPr>
        <w:t xml:space="preserve"/>
      </w:r>
    </w:p>
    <w:p>
      <w:pPr>
        <w:spacing w:after="140" w:before="40" w:line="252"/>
        <w:ind w:left="567" w:right="283"/>
        <w:jc w:val="both"/>
      </w:pPr>
      <w:r>
        <w:rPr>
          <w:i/>
          <w:iCs/>
        </w:rPr>
        <w:t xml:space="preserve">"In our opinion, the true test is whether the amount sought to be deducted, in truth, never reached the assessee as his income. Obligations, no doubt, there are in every case, but it is the nature of the obligation which is the decisive fact. There is a difference between an amount which a person is obliged to apply out of his income and an amount which by the nature of the obligation cannot be said to be a part of the income of the assessee. Where by the obligation income is diverted before it reaches the assessee, it is deductible; but where the income is required to be applied to discharge an obligation after such income reaches the assessee, it is not deductible."</w:t>
      </w:r>
    </w:p>
    <w:p>
      <w:pPr>
        <w:spacing w:after="120" w:line="264"/>
        <w:jc w:val="both"/>
      </w:pPr>
      <w:r>
        <w:rPr>
          <w:b/>
          <w:bCs/>
          <w:i w:val="false"/>
          <w:iCs w:val="false"/>
        </w:rPr>
        <w:t xml:space="preserve">Use. </w:t>
      </w:r>
      <w:r>
        <w:rPr>
          <w:b w:val="false"/>
          <w:bCs w:val="false"/>
          <w:i w:val="false"/>
          <w:iCs w:val="false"/>
        </w:rPr>
        <w:t xml:space="preserve">This is the standard statement of the distinction. Reproduce it exactly.</w:t>
      </w:r>
    </w:p>
    <w:p>
      <w:pPr>
        <w:pStyle w:val="Heading3"/>
      </w:pPr>
      <w:r>
        <w:t xml:space="preserve">CIT v. Sunil J. Kinariwala, (2003) 259 ITR 10 (SC)</w:t>
      </w:r>
    </w:p>
    <w:p>
      <w:pPr>
        <w:spacing w:after="120" w:line="264"/>
        <w:jc w:val="both"/>
      </w:pPr>
      <w:r>
        <w:rPr>
          <w:b/>
          <w:bCs/>
          <w:i w:val="false"/>
          <w:iCs w:val="false"/>
        </w:rPr>
        <w:t xml:space="preserve">Facts. </w:t>
      </w:r>
      <w:r>
        <w:rPr>
          <w:b w:val="false"/>
          <w:bCs w:val="false"/>
          <w:i w:val="false"/>
          <w:iCs w:val="false"/>
        </w:rPr>
        <w:t xml:space="preserve">A partner in a firm assigned part of his share in the profits of the firm to a trust, and claimed that the assigned share was diverted and not his income.</w:t>
      </w:r>
    </w:p>
    <w:p>
      <w:pPr>
        <w:spacing w:after="120" w:line="264"/>
        <w:jc w:val="both"/>
      </w:pPr>
      <w:r>
        <w:rPr>
          <w:b/>
          <w:bCs/>
          <w:i w:val="false"/>
          <w:iCs w:val="false"/>
        </w:rPr>
        <w:t xml:space="preserve">Held. </w:t>
      </w:r>
      <w:r>
        <w:rPr>
          <w:b w:val="false"/>
          <w:bCs w:val="false"/>
          <w:i w:val="false"/>
          <w:iCs w:val="false"/>
        </w:rPr>
        <w:t xml:space="preserve">It was an application of income and remained taxable in the partner’s hands.</w:t>
      </w:r>
    </w:p>
    <w:p>
      <w:pPr>
        <w:spacing w:after="120" w:line="264"/>
        <w:jc w:val="both"/>
      </w:pPr>
      <w:r>
        <w:rPr>
          <w:b/>
          <w:bCs/>
          <w:i w:val="false"/>
          <w:iCs w:val="false"/>
        </w:rPr>
        <w:t xml:space="preserve">Reasoning. </w:t>
      </w:r>
      <w:r>
        <w:rPr>
          <w:b w:val="false"/>
          <w:bCs w:val="false"/>
          <w:i w:val="false"/>
          <w:iCs w:val="false"/>
        </w:rPr>
        <w:t xml:space="preserve">The Court looked at what the assignment actually created under the law of partnership. The trust did not become a partner and acquired no title to the profits of the firm; it obtained only a right to receive a share of profit from the partner. The profit therefore accrued first to the partner, and his payment over to the trust was application. The method to follow is the one applied here: identify the relationship, see what rights it really creates, then ask whether an overriding title existed before the income reached the assessee.</w:t>
      </w:r>
    </w:p>
    <w:p>
      <w:pPr>
        <w:pStyle w:val="Heading2"/>
      </w:pPr>
      <w:r>
        <w:t xml:space="preserve">3.4 Doctrine of mutuality</w:t>
      </w:r>
    </w:p>
    <w:p>
      <w:pPr>
        <w:spacing w:after="120" w:line="264"/>
        <w:jc w:val="both"/>
      </w:pPr>
      <w:r>
        <w:t xml:space="preserve">The doctrine rests on the proposition that no one can make a profit out of dealing with himself. Where persons contribute to a common fund for a common purpose and any surplus returns only to the same persons in the same capacity, the surplus is not income. It is treated as a return of their own money. Mutual insurance associations and housing societies are the usual examples.</w:t>
      </w:r>
    </w:p>
    <w:p>
      <w:pPr>
        <w:spacing w:after="120" w:line="264"/>
        <w:jc w:val="both"/>
      </w:pPr>
      <w:r>
        <w:t xml:space="preserve">Conditions: complete identity between the contributors to the fund and the participators in the surplus, so that all who contribute may participate and all who participate have contributed; the concern must act as an instrument obedient to the mandate of its members, applying the fund only for their common objects; and there must be no profiteering, so the fund cannot be dealt with commercially to earn a profit. The legal form of the concern — club, society or company — is irrelevant. If the surplus is not distributable to the members, or contributors and participators differ, mutuality fails. A members’ club is a mutual undertaking, but where it serves non-members mutuality ends to that extent, so a concern may have mutual and non-mutual parts.</w:t>
      </w:r>
    </w:p>
    <w:p>
      <w:pPr>
        <w:pStyle w:val="Heading3"/>
      </w:pPr>
      <w:r>
        <w:t xml:space="preserve">Styles (Surveyor of Taxes) v. New York Life Insurance Co., (1889) 14 App Cas 381 (House of Lords)</w:t>
      </w:r>
    </w:p>
    <w:p>
      <w:pPr>
        <w:spacing w:after="120" w:line="264"/>
        <w:jc w:val="both"/>
      </w:pPr>
      <w:r>
        <w:rPr>
          <w:b/>
          <w:bCs/>
          <w:i w:val="false"/>
          <w:iCs w:val="false"/>
        </w:rPr>
        <w:t xml:space="preserve">Facts. </w:t>
      </w:r>
      <w:r>
        <w:rPr>
          <w:b w:val="false"/>
          <w:bCs w:val="false"/>
          <w:i w:val="false"/>
          <w:iCs w:val="false"/>
        </w:rPr>
        <w:t xml:space="preserve">Members had associated to insure each other’s lives on the principle of mutual assurance. The members alone owned the common fund and they alone were entitled to participate in the surplus.</w:t>
      </w:r>
    </w:p>
    <w:p>
      <w:pPr>
        <w:spacing w:after="120" w:line="264"/>
        <w:jc w:val="both"/>
      </w:pPr>
      <w:r>
        <w:rPr>
          <w:b/>
          <w:bCs/>
          <w:i w:val="false"/>
          <w:iCs w:val="false"/>
        </w:rPr>
        <w:t xml:space="preserve">Held. </w:t>
      </w:r>
      <w:r>
        <w:rPr>
          <w:b w:val="false"/>
          <w:bCs w:val="false"/>
          <w:i w:val="false"/>
          <w:iCs w:val="false"/>
        </w:rPr>
        <w:t xml:space="preserve">The part of the surplus that arose from the members’ own excess contributions was not an assessable profit.</w:t>
      </w:r>
    </w:p>
    <w:p>
      <w:pPr>
        <w:spacing w:after="120" w:line="264"/>
        <w:jc w:val="both"/>
      </w:pPr>
      <w:r>
        <w:rPr>
          <w:b/>
          <w:bCs/>
          <w:i w:val="false"/>
          <w:iCs w:val="false"/>
        </w:rPr>
        <w:t xml:space="preserve">Reasoning. </w:t>
      </w:r>
      <w:r>
        <w:rPr>
          <w:b w:val="false"/>
          <w:bCs w:val="false"/>
          <w:i w:val="false"/>
          <w:iCs w:val="false"/>
        </w:rPr>
        <w:t xml:space="preserve">There was no trade with outsiders producing a profit. What was returned to the members was the excess of their own contributions over the cost of the claims and expenses, so there was no profit in the taxable sense at all. The three propositions the class notes draw from this line of authority are identity of contributors with recipients, the association being an instrument obedient to their mandate, and the impossibility that contributors should derive profits from contributions made by themselves to a fund which can only be spent for them or returned to them.</w:t>
      </w:r>
    </w:p>
    <w:p>
      <w:pPr>
        <w:pStyle w:val="Heading3"/>
      </w:pPr>
      <w:r>
        <w:t xml:space="preserve">Bangalore Club v. CIT, (2013) 5 SCC 509</w:t>
      </w:r>
    </w:p>
    <w:p>
      <w:pPr>
        <w:spacing w:after="120" w:line="264"/>
        <w:jc w:val="both"/>
      </w:pPr>
      <w:r>
        <w:rPr>
          <w:b/>
          <w:bCs/>
          <w:i w:val="false"/>
          <w:iCs w:val="false"/>
        </w:rPr>
        <w:t xml:space="preserve">Facts. </w:t>
      </w:r>
      <w:r>
        <w:rPr>
          <w:b w:val="false"/>
          <w:bCs w:val="false"/>
          <w:i w:val="false"/>
          <w:iCs w:val="false"/>
        </w:rPr>
        <w:t xml:space="preserve">A members’ club placed its surplus funds in fixed deposits with banks, some of which were corporate members of the club, and claimed that the interest was covered by mutuality.</w:t>
      </w:r>
    </w:p>
    <w:p>
      <w:pPr>
        <w:spacing w:after="120" w:line="264"/>
        <w:jc w:val="both"/>
      </w:pPr>
      <w:r>
        <w:rPr>
          <w:b/>
          <w:bCs/>
          <w:i w:val="false"/>
          <w:iCs w:val="false"/>
        </w:rPr>
        <w:t xml:space="preserve">Held. </w:t>
      </w:r>
      <w:r>
        <w:rPr>
          <w:b w:val="false"/>
          <w:bCs w:val="false"/>
          <w:i w:val="false"/>
          <w:iCs w:val="false"/>
        </w:rPr>
        <w:t xml:space="preserve">Mutuality did not apply. The interest was taxable.</w:t>
      </w:r>
    </w:p>
    <w:p>
      <w:pPr>
        <w:spacing w:after="120" w:line="264"/>
        <w:jc w:val="both"/>
      </w:pPr>
      <w:r>
        <w:rPr>
          <w:b/>
          <w:bCs/>
          <w:i w:val="false"/>
          <w:iCs w:val="false"/>
        </w:rPr>
        <w:t xml:space="preserve">Reasoning. </w:t>
      </w:r>
      <w:r>
        <w:rPr>
          <w:b w:val="false"/>
          <w:bCs w:val="false"/>
          <w:i w:val="false"/>
          <w:iCs w:val="false"/>
        </w:rPr>
        <w:t xml:space="preserve">The third condition failed. Once the money was placed with the banks it entered their commercial stream and was used in their lending business, so the funds were exposed to commercial exploitation and were no longer applied only for the common benefit of the members. The interest was a return earned from a commercial transaction, not a surplus of members’ contributions coming back to them. That some banks were corporate members did not restore the identity required, because the bank dealt with the money as a bank and not as a member.</w:t>
      </w:r>
    </w:p>
    <w:p>
      <w:pPr>
        <w:pStyle w:val="Heading2"/>
      </w:pPr>
      <w:r>
        <w:t xml:space="preserve">3.5 Tax year — section 3</w:t>
      </w:r>
    </w:p>
    <w:p>
      <w:pPr>
        <w:spacing w:after="120" w:line="264"/>
        <w:jc w:val="both"/>
      </w:pPr>
      <w:r>
        <w:t xml:space="preserve">"Tax year" means the twelve-month period of the financial year commencing on 1 April. Where a business or profession is newly set up, or a source of income newly comes into existence during a financial year, the tax year begins on that date and ends with that financial year.</w:t>
      </w:r>
    </w:p>
    <w:p>
      <w:pPr>
        <w:spacing w:after="120" w:line="264"/>
        <w:jc w:val="both"/>
      </w:pPr>
      <w:r>
        <w:t xml:space="preserve">Under the Act of 1961 there were two periods: the previous year in which income was earned, and the assessment year in which it was assessed. The Act of 2025 uses one expression for both. The underlying rule is unchanged: income is computed for a twelve-month period and taxed at the rates in force for it.</w:t>
      </w:r>
    </w:p>
    <w:p>
      <w:pPr>
        <w:pStyle w:val="Heading2"/>
      </w:pPr>
      <w:r>
        <w:t xml:space="preserve">3.6 Basis of charge — section 4</w:t>
      </w:r>
    </w:p>
    <w:p>
      <w:pPr>
        <w:spacing w:after="120" w:line="264"/>
        <w:jc w:val="both"/>
      </w:pPr>
      <w:r>
        <w:t xml:space="preserve">Income-tax is charged for every tax year, subject to the provisions of the Act, on the total income of every person, at the rates fixed for that year by the Finance Act.</w:t>
      </w:r>
    </w:p>
    <w:p>
      <w:pPr>
        <w:pStyle w:val="ListParagraph"/>
        <w:numPr>
          <w:ilvl w:val="0"/>
          <w:numId w:val="2"/>
        </w:numPr>
        <w:spacing w:after="60" w:line="264"/>
        <w:jc w:val="both"/>
      </w:pPr>
      <w:r>
        <w:t xml:space="preserve">The charge depends on income, not on assessment. Liability arises when income accrues or is received; assessment only quantifies it.</w:t>
      </w:r>
    </w:p>
    <w:p>
      <w:pPr>
        <w:pStyle w:val="ListParagraph"/>
        <w:numPr>
          <w:ilvl w:val="0"/>
          <w:numId w:val="2"/>
        </w:numPr>
        <w:spacing w:after="60" w:line="264"/>
        <w:jc w:val="both"/>
      </w:pPr>
      <w:r>
        <w:t xml:space="preserve">Income tax is an annual tax on the income of a whole tax year, not monthly or quarterly.</w:t>
      </w:r>
    </w:p>
    <w:p>
      <w:pPr>
        <w:pStyle w:val="ListParagraph"/>
        <w:numPr>
          <w:ilvl w:val="0"/>
          <w:numId w:val="2"/>
        </w:numPr>
        <w:spacing w:after="60" w:line="264"/>
        <w:jc w:val="both"/>
      </w:pPr>
      <w:r>
        <w:t xml:space="preserve">The charge is on the total income of a person, so the person must first be identified and classified.</w:t>
      </w:r>
    </w:p>
    <w:p>
      <w:pPr>
        <w:pStyle w:val="ListParagraph"/>
        <w:numPr>
          <w:ilvl w:val="0"/>
          <w:numId w:val="2"/>
        </w:numPr>
        <w:spacing w:after="60" w:line="264"/>
        <w:jc w:val="both"/>
      </w:pPr>
      <w:r>
        <w:t xml:space="preserve">Section 4 is the principal charging section but not the only one; some provisions impose the charge independently.</w:t>
      </w:r>
    </w:p>
    <w:p>
      <w:pPr>
        <w:pStyle w:val="ListParagraph"/>
        <w:numPr>
          <w:ilvl w:val="0"/>
          <w:numId w:val="2"/>
        </w:numPr>
        <w:spacing w:after="60" w:line="264"/>
        <w:jc w:val="both"/>
      </w:pPr>
      <w:r>
        <w:t xml:space="preserve">Tax deducted at source and advance tax are not separate charges but modes of earlier recovery of the same liability.</w:t>
      </w:r>
    </w:p>
    <w:p>
      <w:pPr>
        <w:pStyle w:val="Heading2"/>
      </w:pPr>
      <w:r>
        <w:t xml:space="preserve">3.7 Person and assessee — sections 2(77) and 2(11)</w:t>
      </w:r>
    </w:p>
    <w:p>
      <w:pPr>
        <w:spacing w:after="120" w:line="264"/>
        <w:jc w:val="both"/>
      </w:pPr>
      <w:r>
        <w:t xml:space="preserve">"Person" includes an individual, a Hindu undivided family, a company, a firm, an association of persons or body of individuals whether incorporated or not, a local authority, and every artificial juridical person not falling in the earlier categories. It does not matter whether the association, body, local authority or artificial juridical person was formed with the object of deriving income. Classification matters because rates and computation rules differ.</w:t>
      </w:r>
    </w:p>
    <w:p>
      <w:pPr>
        <w:spacing w:after="120" w:line="264"/>
        <w:jc w:val="both"/>
      </w:pPr>
      <w:r>
        <w:t xml:space="preserve">"Assessee" means a person by whom any tax or other sum is payable under the Act, and includes a person against whom proceedings have been taken for assessment of his own income, loss or refund, or of another person’s income for which he is assessable; a person deemed to be an assessee; and a person deemed to be an assessee in default. A person can be an assessee even if no tax is finally payable.</w:t>
      </w:r>
    </w:p>
    <w:p>
      <w:pPr>
        <w:pStyle w:val="Heading2"/>
      </w:pPr>
      <w:r>
        <w:t xml:space="preserve">3.8 Scope of total income — section 5</w:t>
      </w:r>
    </w:p>
    <w:p>
      <w:pPr>
        <w:pStyle w:val="ListParagraph"/>
        <w:numPr>
          <w:ilvl w:val="0"/>
          <w:numId w:val="2"/>
        </w:numPr>
        <w:spacing w:after="60" w:line="264"/>
        <w:jc w:val="both"/>
      </w:pPr>
      <w:r>
        <w:rPr>
          <w:b/>
          <w:bCs/>
          <w:i w:val="false"/>
          <w:iCs w:val="false"/>
        </w:rPr>
        <w:t xml:space="preserve">Resident. </w:t>
      </w:r>
      <w:r>
        <w:rPr>
          <w:b w:val="false"/>
          <w:bCs w:val="false"/>
          <w:i w:val="false"/>
          <w:iCs w:val="false"/>
        </w:rPr>
        <w:t xml:space="preserve">Income received or deemed to be received in India; income accruing or arising or deemed to accrue or arise in India; and income accruing or arising outside India.</w:t>
      </w:r>
    </w:p>
    <w:p>
      <w:pPr>
        <w:pStyle w:val="ListParagraph"/>
        <w:numPr>
          <w:ilvl w:val="0"/>
          <w:numId w:val="2"/>
        </w:numPr>
        <w:spacing w:after="60" w:line="264"/>
        <w:jc w:val="both"/>
      </w:pPr>
      <w:r>
        <w:rPr>
          <w:b/>
          <w:bCs/>
          <w:i w:val="false"/>
          <w:iCs w:val="false"/>
        </w:rPr>
        <w:t xml:space="preserve">Not ordinarily resident. </w:t>
      </w:r>
      <w:r>
        <w:rPr>
          <w:b w:val="false"/>
          <w:bCs w:val="false"/>
          <w:i w:val="false"/>
          <w:iCs w:val="false"/>
        </w:rPr>
        <w:t xml:space="preserve">The same, except that foreign income is included only if derived from a business controlled in, or a profession set up in, India.</w:t>
      </w:r>
    </w:p>
    <w:p>
      <w:pPr>
        <w:pStyle w:val="ListParagraph"/>
        <w:numPr>
          <w:ilvl w:val="0"/>
          <w:numId w:val="2"/>
        </w:numPr>
        <w:spacing w:after="60" w:line="264"/>
        <w:jc w:val="both"/>
      </w:pPr>
      <w:r>
        <w:rPr>
          <w:b/>
          <w:bCs/>
          <w:i w:val="false"/>
          <w:iCs w:val="false"/>
        </w:rPr>
        <w:t xml:space="preserve">Non-resident. </w:t>
      </w:r>
      <w:r>
        <w:rPr>
          <w:b w:val="false"/>
          <w:bCs w:val="false"/>
          <w:i w:val="false"/>
          <w:iCs w:val="false"/>
        </w:rPr>
        <w:t xml:space="preserve">Only income received or deemed to be received in India, and income accruing or arising or deemed to accrue or arise in India.</w:t>
      </w:r>
    </w:p>
    <w:p>
      <w:pPr>
        <w:spacing w:after="120" w:line="264"/>
        <w:jc w:val="both"/>
      </w:pPr>
      <w:r>
        <w:t xml:space="preserve">Receipt and accrual are separate connecting factors and either is enough. Income accruing outside India is not deemed to be received in India merely because it is taken into a balance sheet prepared in India. In short: a resident and ordinarily resident person is taxed on global income, while a person not ordinarily resident and a non-resident are taxed only on income connected with India.</w:t>
      </w:r>
    </w:p>
    <w:p>
      <w:pPr>
        <w:pStyle w:val="Heading2"/>
      </w:pPr>
      <w:r>
        <w:t xml:space="preserve">3.9 Residence in India — section 6</w:t>
      </w:r>
    </w:p>
    <w:p>
      <w:pPr>
        <w:pStyle w:val="Heading3"/>
      </w:pPr>
      <w:r>
        <w:t xml:space="preserve">Individuals</w:t>
      </w:r>
    </w:p>
    <w:p>
      <w:pPr>
        <w:spacing w:after="120" w:line="264"/>
        <w:jc w:val="both"/>
      </w:pPr>
      <w:r>
        <w:t xml:space="preserve">Under section 6(2) an individual is resident if he is in India for 182 days or more in the tax year, or for 60 days or more in the tax year and also 365 days or more in the four preceding tax years. Either limb is enough. The test is physical presence; purpose, domicile and citizenship are irrelevant.</w:t>
      </w:r>
    </w:p>
    <w:p>
      <w:pPr>
        <w:pStyle w:val="ListParagraph"/>
        <w:numPr>
          <w:ilvl w:val="0"/>
          <w:numId w:val="2"/>
        </w:numPr>
        <w:spacing w:after="60" w:line="264"/>
        <w:jc w:val="both"/>
      </w:pPr>
      <w:r>
        <w:rPr>
          <w:b/>
          <w:bCs/>
          <w:i w:val="false"/>
          <w:iCs w:val="false"/>
        </w:rPr>
        <w:t xml:space="preserve">Section 6(3). </w:t>
      </w:r>
      <w:r>
        <w:rPr>
          <w:b w:val="false"/>
          <w:bCs w:val="false"/>
          <w:i w:val="false"/>
          <w:iCs w:val="false"/>
        </w:rPr>
        <w:t xml:space="preserve">The 60-day limb does not apply to a citizen of India who leaves India as a member of the crew of an Indian ship or for the purpose of employment outside India; such a person is resident only on 182 days. "For the purpose of employment" also covers a person already employed who leaves to take up work abroad.</w:t>
      </w:r>
    </w:p>
    <w:p>
      <w:pPr>
        <w:pStyle w:val="ListParagraph"/>
        <w:numPr>
          <w:ilvl w:val="0"/>
          <w:numId w:val="2"/>
        </w:numPr>
        <w:spacing w:after="60" w:line="264"/>
        <w:jc w:val="both"/>
      </w:pPr>
      <w:r>
        <w:rPr>
          <w:b/>
          <w:bCs/>
          <w:i w:val="false"/>
          <w:iCs w:val="false"/>
        </w:rPr>
        <w:t xml:space="preserve">Sections 6(4) and 6(5). </w:t>
      </w:r>
      <w:r>
        <w:rPr>
          <w:b w:val="false"/>
          <w:bCs w:val="false"/>
          <w:i w:val="false"/>
          <w:iCs w:val="false"/>
        </w:rPr>
        <w:t xml:space="preserve">The 60-day limb also does not apply to a citizen of India or person of Indian origin who, being outside India, comes on a visit. For such a visitor, if total income other than income from foreign sources exceeds fifteen lakh rupees, 120 days is substituted for 60 days, the 365-day requirement remaining. Otherwise only the 182-day test applies.</w:t>
      </w:r>
    </w:p>
    <w:p>
      <w:pPr>
        <w:pStyle w:val="ListParagraph"/>
        <w:numPr>
          <w:ilvl w:val="0"/>
          <w:numId w:val="2"/>
        </w:numPr>
        <w:spacing w:after="60" w:line="264"/>
        <w:jc w:val="both"/>
      </w:pPr>
      <w:r>
        <w:rPr>
          <w:b/>
          <w:bCs/>
          <w:i w:val="false"/>
          <w:iCs w:val="false"/>
        </w:rPr>
        <w:t xml:space="preserve">Section 6(6). </w:t>
      </w:r>
      <w:r>
        <w:rPr>
          <w:b w:val="false"/>
          <w:bCs w:val="false"/>
          <w:i w:val="false"/>
          <w:iCs w:val="false"/>
        </w:rPr>
        <w:t xml:space="preserve">A special method of counting days for a citizen who is a member of the crew of a foreign-bound ship.</w:t>
      </w:r>
    </w:p>
    <w:p>
      <w:pPr>
        <w:pStyle w:val="ListParagraph"/>
        <w:numPr>
          <w:ilvl w:val="0"/>
          <w:numId w:val="2"/>
        </w:numPr>
        <w:spacing w:after="60" w:line="264"/>
        <w:jc w:val="both"/>
      </w:pPr>
      <w:r>
        <w:rPr>
          <w:b/>
          <w:bCs/>
          <w:i w:val="false"/>
          <w:iCs w:val="false"/>
        </w:rPr>
        <w:t xml:space="preserve">Section 6(7). </w:t>
      </w:r>
      <w:r>
        <w:rPr>
          <w:b w:val="false"/>
          <w:bCs w:val="false"/>
          <w:i w:val="false"/>
          <w:iCs w:val="false"/>
        </w:rPr>
        <w:t xml:space="preserve">Deemed resident: an Indian citizen whose total income other than income from foreign sources exceeds fifteen lakh rupees and who is not liable to tax in any other country by reason of domicile, residence or a similar criterion. The object is to prevent a person being resident nowhere. Section 6(8) keeps this from applying to persons already covered by the earlier rules.</w:t>
      </w:r>
    </w:p>
    <w:p>
      <w:pPr>
        <w:pStyle w:val="Heading3"/>
      </w:pPr>
      <w:r>
        <w:t xml:space="preserve">Other persons</w:t>
      </w:r>
    </w:p>
    <w:p>
      <w:pPr>
        <w:pStyle w:val="ListParagraph"/>
        <w:numPr>
          <w:ilvl w:val="0"/>
          <w:numId w:val="2"/>
        </w:numPr>
        <w:spacing w:after="60" w:line="264"/>
        <w:jc w:val="both"/>
      </w:pPr>
      <w:r>
        <w:rPr>
          <w:b/>
          <w:bCs/>
          <w:i w:val="false"/>
          <w:iCs w:val="false"/>
        </w:rPr>
        <w:t xml:space="preserve">HUF, firm or association of persons — section 6(9). </w:t>
      </w:r>
      <w:r>
        <w:rPr>
          <w:b w:val="false"/>
          <w:bCs w:val="false"/>
          <w:i w:val="false"/>
          <w:iCs w:val="false"/>
        </w:rPr>
        <w:t xml:space="preserve">Resident unless the control and management of its affairs is situated wholly outside India during the tax year. Any measure of control in India makes it resident, and the assessee must prove the exception.</w:t>
      </w:r>
    </w:p>
    <w:p>
      <w:pPr>
        <w:pStyle w:val="ListParagraph"/>
        <w:numPr>
          <w:ilvl w:val="0"/>
          <w:numId w:val="2"/>
        </w:numPr>
        <w:spacing w:after="60" w:line="264"/>
        <w:jc w:val="both"/>
      </w:pPr>
      <w:r>
        <w:rPr>
          <w:b/>
          <w:bCs/>
          <w:i w:val="false"/>
          <w:iCs w:val="false"/>
        </w:rPr>
        <w:t xml:space="preserve">Company — section 6(10). </w:t>
      </w:r>
      <w:r>
        <w:rPr>
          <w:b w:val="false"/>
          <w:bCs w:val="false"/>
          <w:i w:val="false"/>
          <w:iCs w:val="false"/>
        </w:rPr>
        <w:t xml:space="preserve">Resident if it is an Indian company or if its place of effective management is in India.</w:t>
      </w:r>
    </w:p>
    <w:p>
      <w:pPr>
        <w:pStyle w:val="ListParagraph"/>
        <w:numPr>
          <w:ilvl w:val="0"/>
          <w:numId w:val="2"/>
        </w:numPr>
        <w:spacing w:after="60" w:line="264"/>
        <w:jc w:val="both"/>
      </w:pPr>
      <w:r>
        <w:rPr>
          <w:b/>
          <w:bCs/>
          <w:i w:val="false"/>
          <w:iCs w:val="false"/>
        </w:rPr>
        <w:t xml:space="preserve">Not ordinarily resident — section 6(13). </w:t>
      </w:r>
      <w:r>
        <w:rPr>
          <w:b w:val="false"/>
          <w:bCs w:val="false"/>
          <w:i w:val="false"/>
          <w:iCs w:val="false"/>
        </w:rPr>
        <w:t xml:space="preserve">An individual, or an HUF whose manager, who has been a non-resident in nine of the ten preceding tax years, or in India for 729 days or less in the seven preceding tax years; or a citizen of India or person of Indian origin whose total income from India exceeds fifteen lakh rupees and who is in India for 120 days or more but less than 182 days; or a person deemed resident under section 6(7).</w:t>
      </w:r>
    </w:p>
    <w:p>
      <w:pPr>
        <w:pStyle w:val="ListParagraph"/>
        <w:numPr>
          <w:ilvl w:val="0"/>
          <w:numId w:val="2"/>
        </w:numPr>
        <w:spacing w:after="60" w:line="264"/>
        <w:jc w:val="both"/>
      </w:pPr>
      <w:r>
        <w:rPr>
          <w:b/>
          <w:bCs/>
          <w:i w:val="false"/>
          <w:iCs w:val="false"/>
        </w:rPr>
        <w:t xml:space="preserve">Sections 6(12) and 6(14). </w:t>
      </w:r>
      <w:r>
        <w:rPr>
          <w:b w:val="false"/>
          <w:bCs w:val="false"/>
          <w:i w:val="false"/>
          <w:iCs w:val="false"/>
        </w:rPr>
        <w:t xml:space="preserve">A person resident for one source is resident for all sources. "Income from foreign sources" means income accruing outside India, other than from a business controlled in or profession set up in India, and not deemed to accrue in India.</w:t>
      </w:r>
    </w:p>
    <w:p>
      <w:pPr>
        <w:spacing w:after="120" w:line="264"/>
        <w:jc w:val="both"/>
      </w:pPr>
      <w:r>
        <w:rPr>
          <w:b/>
          <w:bCs/>
          <w:i w:val="false"/>
          <w:iCs w:val="false"/>
        </w:rPr>
        <w:t xml:space="preserve">Order of reading. </w:t>
      </w:r>
      <w:r>
        <w:rPr>
          <w:b w:val="false"/>
          <w:bCs w:val="false"/>
          <w:i w:val="false"/>
          <w:iCs w:val="false"/>
        </w:rPr>
        <w:t xml:space="preserve">Section 5, then section 6(2), then section 6(13). Ask first whether the individual is resident under either limb of section 6(2); only then does the question of ordinary residence under section 6(13) arise. If he is not resident at all, that question does not arise. Then apply section 5 to see what is included.</w:t>
      </w:r>
    </w:p>
    <w:p>
      <w:pPr>
        <w:pStyle w:val="Heading3"/>
      </w:pPr>
      <w:r>
        <w:t xml:space="preserve">V.V.R.N.M. Subbayya Chettiar v. CIT, Madras, (1951) 19 ITR 168 (SC)</w:t>
      </w:r>
    </w:p>
    <w:p>
      <w:pPr>
        <w:spacing w:after="120" w:line="264"/>
        <w:jc w:val="both"/>
      </w:pPr>
      <w:r>
        <w:rPr>
          <w:b/>
          <w:bCs/>
          <w:i w:val="false"/>
          <w:iCs w:val="false"/>
        </w:rPr>
        <w:t xml:space="preserve">Facts. </w:t>
      </w:r>
      <w:r>
        <w:rPr>
          <w:b w:val="false"/>
          <w:bCs w:val="false"/>
          <w:i w:val="false"/>
          <w:iCs w:val="false"/>
        </w:rPr>
        <w:t xml:space="preserve">A Hindu undivided family was domiciled in Ceylon and its Karta lived permanently in Colombo. The Karta came to British India and stayed about 101 days, performing certain acts concerning the family’s affairs there. The family claimed that control and management was situated wholly outside the taxable territories.</w:t>
      </w:r>
    </w:p>
    <w:p>
      <w:pPr>
        <w:spacing w:after="120" w:line="264"/>
        <w:jc w:val="both"/>
      </w:pPr>
      <w:r>
        <w:rPr>
          <w:b/>
          <w:bCs/>
          <w:i w:val="false"/>
          <w:iCs w:val="false"/>
        </w:rPr>
        <w:t xml:space="preserve">Issue. </w:t>
      </w:r>
      <w:r>
        <w:rPr>
          <w:b w:val="false"/>
          <w:bCs w:val="false"/>
          <w:i w:val="false"/>
          <w:iCs w:val="false"/>
        </w:rPr>
        <w:t xml:space="preserve">Whether the family had discharged the burden of proving the exception in the latter part of section 4A(b) of the Act of 1922.</w:t>
      </w:r>
    </w:p>
    <w:p>
      <w:pPr>
        <w:spacing w:after="120" w:line="264"/>
        <w:jc w:val="both"/>
      </w:pPr>
      <w:r>
        <w:rPr>
          <w:b/>
          <w:bCs/>
          <w:i w:val="false"/>
          <w:iCs w:val="false"/>
        </w:rPr>
        <w:t xml:space="preserve">Held. </w:t>
      </w:r>
      <w:r>
        <w:rPr>
          <w:b w:val="false"/>
          <w:bCs w:val="false"/>
          <w:i w:val="false"/>
          <w:iCs w:val="false"/>
        </w:rPr>
        <w:t xml:space="preserve">The family was resident. The burden was not discharged.</w:t>
      </w:r>
    </w:p>
    <w:p>
      <w:pPr>
        <w:spacing w:after="120" w:line="264"/>
        <w:jc w:val="both"/>
      </w:pPr>
      <w:r>
        <w:rPr>
          <w:b/>
          <w:bCs/>
          <w:i w:val="false"/>
          <w:iCs w:val="false"/>
        </w:rPr>
        <w:t xml:space="preserve">Reasoning (verbatim). </w:t>
      </w:r>
      <w:r>
        <w:rPr>
          <w:b w:val="false"/>
          <w:bCs w:val="false"/>
          <w:i w:val="false"/>
          <w:iCs w:val="false"/>
        </w:rPr>
        <w:t xml:space="preserve"/>
      </w:r>
    </w:p>
    <w:p>
      <w:pPr>
        <w:spacing w:after="140" w:before="40" w:line="252"/>
        <w:ind w:left="567" w:right="283"/>
        <w:jc w:val="both"/>
      </w:pPr>
      <w:r>
        <w:rPr>
          <w:i/>
          <w:iCs/>
        </w:rPr>
        <w:t xml:space="preserve">"There can be no doubt that the onus of proving facts which would bring his case within the exception, which is provided by the latter part of section 4A(b), was on the assessee."</w:t>
      </w:r>
    </w:p>
    <w:p>
      <w:pPr>
        <w:spacing w:after="120" w:line="264"/>
        <w:jc w:val="both"/>
      </w:pPr>
      <w:r>
        <w:rPr>
          <w:b/>
          <w:bCs/>
          <w:i w:val="false"/>
          <w:iCs w:val="false"/>
        </w:rPr>
        <w:t xml:space="preserve">Rest of the reasoning. </w:t>
      </w:r>
      <w:r>
        <w:rPr>
          <w:b w:val="false"/>
          <w:bCs w:val="false"/>
          <w:i w:val="false"/>
          <w:iCs w:val="false"/>
        </w:rPr>
        <w:t xml:space="preserve">The correspondence and other material evidence which might have shown that the Indian affairs too were controlled from Colombo was not produced. On one side stood the fact that the Karta, who controls and manages the family’s affairs, lived permanently in Colombo and the family was domiciled in Ceylon; on the other stood acts done by the Karta himself in British India, which though not conclusive by themselves to establish more than one centre of control were by no means irrelevant and could not be ruled out of consideration. In the absence of the material evidence, the finding that the onus had not been discharged and that the normal presumption must be given effect to was a legitimate conclusion. The Court read "control and management" as the controlling and directing power, the head and brain of the affairs; "situated" as implying functioning with some permanence; and "wholly" as recognising that there may be more than one centre of control.</w:t>
      </w:r>
    </w:p>
    <w:p>
      <w:pPr>
        <w:spacing w:after="120" w:line="264"/>
        <w:jc w:val="both"/>
      </w:pPr>
      <w:r>
        <w:rPr>
          <w:b/>
          <w:bCs/>
          <w:i w:val="false"/>
          <w:iCs w:val="false"/>
        </w:rPr>
        <w:t xml:space="preserve">Relevance. </w:t>
      </w:r>
      <w:r>
        <w:rPr>
          <w:b w:val="false"/>
          <w:bCs w:val="false"/>
          <w:i w:val="false"/>
          <w:iCs w:val="false"/>
        </w:rPr>
        <w:t xml:space="preserve">This is the authority on section 6(9) and on the burden of proof where the "wholly outside India" exception is claimed.</w:t>
      </w:r>
    </w:p>
    <w:p>
      <w:pPr>
        <w:pStyle w:val="Heading3"/>
      </w:pPr>
      <w:r>
        <w:t xml:space="preserve">Narottam and Parekh Ltd v. CIT, Bombay City, AIR 1954 Bom 67; (1954) 25 ITR 40</w:t>
      </w:r>
    </w:p>
    <w:p>
      <w:pPr>
        <w:spacing w:after="120" w:line="264"/>
        <w:jc w:val="both"/>
      </w:pPr>
      <w:r>
        <w:rPr>
          <w:b/>
          <w:bCs/>
          <w:i w:val="false"/>
          <w:iCs w:val="false"/>
        </w:rPr>
        <w:t xml:space="preserve">Facts and issue. </w:t>
      </w:r>
      <w:r>
        <w:rPr>
          <w:b w:val="false"/>
          <w:bCs w:val="false"/>
          <w:i w:val="false"/>
          <w:iCs w:val="false"/>
        </w:rPr>
        <w:t xml:space="preserve">The residence of a company under section 4A(c) of the Act of 1922, which required the control and management of its affairs to be situated wholly in the taxable territories.</w:t>
      </w:r>
    </w:p>
    <w:p>
      <w:pPr>
        <w:spacing w:after="120" w:line="264"/>
        <w:jc w:val="both"/>
      </w:pPr>
      <w:r>
        <w:rPr>
          <w:b/>
          <w:bCs/>
          <w:i w:val="false"/>
          <w:iCs w:val="false"/>
        </w:rPr>
        <w:t xml:space="preserve">Reasoning (from the extracts reproduced in the class materials). </w:t>
      </w:r>
      <w:r>
        <w:rPr>
          <w:b w:val="false"/>
          <w:bCs w:val="false"/>
          <w:i w:val="false"/>
          <w:iCs w:val="false"/>
        </w:rPr>
        <w:t xml:space="preserve">The Court treated "control and management" as a compendious expression which has acquired a definite significance and connotation, meaning central control and management. It drew a distinction between the doing of business and the control and management of business: the business and the whole of it may be done outside India and yet the control and management of that business may be wholly within India. It is entirely irrelevant where the business is done and where the income has been earned; what is relevant is from which place the business has been controlled and managed. The real test is where the controlling and directing power functions — there is always a seat of power, or the head and brain, and what has to be ascertained is where that seat of power is. It is not the servants and agents who constitute the seat of power but the authority to which they are subject, and the company resides where that central authority functions. Like an individual, a company may in some cases have residence in more than one place, which is a question dependent on the circumstances of each case.</w:t>
      </w:r>
    </w:p>
    <w:p>
      <w:pPr>
        <w:spacing w:after="120" w:line="264"/>
        <w:jc w:val="both"/>
      </w:pPr>
      <w:r>
        <w:rPr>
          <w:b/>
          <w:bCs/>
          <w:i w:val="false"/>
          <w:iCs w:val="false"/>
        </w:rPr>
        <w:t xml:space="preserve">Note on structure. </w:t>
      </w:r>
      <w:r>
        <w:rPr>
          <w:b w:val="false"/>
          <w:bCs w:val="false"/>
          <w:i w:val="false"/>
          <w:iCs w:val="false"/>
        </w:rPr>
        <w:t xml:space="preserve">The judgment also contrasts the two statutory formulations then in force: for an HUF, firm or association any measure of control within the taxable territories would make it resident, whereas for a company any measure of control outside would make it non-resident.</w:t>
      </w:r>
    </w:p>
    <w:p>
      <w:pPr>
        <w:spacing w:after="120" w:line="264"/>
        <w:jc w:val="both"/>
      </w:pPr>
      <w:r>
        <w:rPr>
          <w:b/>
          <w:bCs/>
          <w:i w:val="false"/>
          <w:iCs w:val="false"/>
        </w:rPr>
        <w:t xml:space="preserve">Relevance. </w:t>
      </w:r>
      <w:r>
        <w:rPr>
          <w:b w:val="false"/>
          <w:bCs w:val="false"/>
          <w:i w:val="false"/>
          <w:iCs w:val="false"/>
        </w:rPr>
        <w:t xml:space="preserve">This reasoning underlies the place of effective management test in section 6(10).</w:t>
      </w:r>
    </w:p>
    <w:p>
      <w:pPr>
        <w:pStyle w:val="Heading2"/>
      </w:pPr>
      <w:r>
        <w:t xml:space="preserve">3.10 Income deemed to accrue or arise in India — section 9</w:t>
      </w:r>
    </w:p>
    <w:p>
      <w:pPr>
        <w:spacing w:after="120" w:line="264"/>
        <w:jc w:val="both"/>
      </w:pPr>
      <w:r>
        <w:t xml:space="preserve">Section 9 supplies a territorial connection where income has not actually accrued or arisen in India. Income is deemed to accrue or arise in India if it accrues or arises, directly or indirectly, through or from a business connection in India, property in India, an asset or source of income in India, or the transfer of a capital asset situate in India. The provision matters mainly for non-residents, who are taxable only on income connected with India.</w:t>
      </w:r>
    </w:p>
    <w:p>
      <w:pPr>
        <w:pStyle w:val="Heading3"/>
      </w:pPr>
      <w:r>
        <w:t xml:space="preserve">Vodafone International Holdings B.V. v. Union of India, (2012) 6 SCC 613</w:t>
      </w:r>
    </w:p>
    <w:p>
      <w:pPr>
        <w:spacing w:after="120" w:line="264"/>
        <w:jc w:val="both"/>
      </w:pPr>
      <w:r>
        <w:rPr>
          <w:b/>
          <w:bCs/>
          <w:i w:val="false"/>
          <w:iCs w:val="false"/>
        </w:rPr>
        <w:t xml:space="preserve">Facts. </w:t>
      </w:r>
      <w:r>
        <w:rPr>
          <w:b w:val="false"/>
          <w:bCs w:val="false"/>
          <w:i w:val="false"/>
          <w:iCs w:val="false"/>
        </w:rPr>
        <w:t xml:space="preserve">Vodafone, a Netherlands company, bought from Hutchison the share capital of CGP Investments Holdings Ltd, a Cayman Islands company, and thereby acquired indirect control of an Indian telecom company. Both buyer and seller were non-residents and the share transferred was situated outside India.</w:t>
      </w:r>
    </w:p>
    <w:p>
      <w:pPr>
        <w:spacing w:after="120" w:line="264"/>
        <w:jc w:val="both"/>
      </w:pPr>
      <w:r>
        <w:rPr>
          <w:b/>
          <w:bCs/>
          <w:i w:val="false"/>
          <w:iCs w:val="false"/>
        </w:rPr>
        <w:t xml:space="preserve">Arguments. </w:t>
      </w:r>
      <w:r>
        <w:rPr>
          <w:b w:val="false"/>
          <w:bCs w:val="false"/>
          <w:i w:val="false"/>
          <w:iCs w:val="false"/>
        </w:rPr>
        <w:t xml:space="preserve">The Revenue said the CGP share was an artificial device, that the transaction in substance transferred Indian assets, and that section 9(1)(i) was a "look through" provision. Vodafone said it was an offshore sale between two non-residents of a share situated in the Cayman Islands, that nothing in India was transferred, and that it was a legitimate exit from an investment.</w:t>
      </w:r>
    </w:p>
    <w:p>
      <w:pPr>
        <w:spacing w:after="120" w:line="264"/>
        <w:jc w:val="both"/>
      </w:pPr>
      <w:r>
        <w:rPr>
          <w:b/>
          <w:bCs/>
          <w:i w:val="false"/>
          <w:iCs w:val="false"/>
        </w:rPr>
        <w:t xml:space="preserve">Held. </w:t>
      </w:r>
      <w:r>
        <w:rPr>
          <w:b w:val="false"/>
          <w:bCs w:val="false"/>
          <w:i w:val="false"/>
          <w:iCs w:val="false"/>
        </w:rPr>
        <w:t xml:space="preserve">The gain was not taxable in India and no tax had to be withheld.</w:t>
      </w:r>
    </w:p>
    <w:p>
      <w:pPr>
        <w:spacing w:after="120" w:line="264"/>
        <w:jc w:val="both"/>
      </w:pPr>
      <w:r>
        <w:rPr>
          <w:b/>
          <w:bCs/>
          <w:i w:val="false"/>
          <w:iCs w:val="false"/>
        </w:rPr>
        <w:t xml:space="preserve">Reasoning. </w:t>
      </w:r>
      <w:r>
        <w:rPr>
          <w:b w:val="false"/>
          <w:bCs w:val="false"/>
          <w:i w:val="false"/>
          <w:iCs w:val="false"/>
        </w:rPr>
        <w:t xml:space="preserve">Section 9(1)(i) does not contain "look through" language, so it cannot be read as one. The transaction had to be looked at as a whole rather than dissected; the situs of the CGP share was outside India; and the holding structure was a genuine investment structure, not a sham or colourable device.</w:t>
      </w:r>
    </w:p>
    <w:p>
      <w:pPr>
        <w:spacing w:after="120" w:line="264"/>
        <w:jc w:val="both"/>
      </w:pPr>
      <w:r>
        <w:rPr>
          <w:b/>
          <w:bCs/>
          <w:i w:val="false"/>
          <w:iCs w:val="false"/>
        </w:rPr>
        <w:t xml:space="preserve">What followed. </w:t>
      </w:r>
      <w:r>
        <w:rPr>
          <w:b w:val="false"/>
          <w:bCs w:val="false"/>
          <w:i w:val="false"/>
          <w:iCs w:val="false"/>
        </w:rPr>
        <w:t xml:space="preserve">The Finance Act, 2012 inserted Explanation 5 to section 9(1)(i) with retrospective effect, clarifying that a share of or interest in a company incorporated outside India shall be deemed always to have been situated in India if it derives its value substantially, directly or indirectly, from assets located in India. The retrospective effect was criticised for damaging tax certainty and India’s standing as an investment destination, and two treaty arbitrations went against the Revenue. The Taxation Laws (Amendment) Act, 2021 then provided that no demand would be raised under that amendment for indirect transfers made before 28 May 2012, and that existing demands would be nullified on conditions including withdrawal of litigation and an undertaking not to claim costs, damages or interest.</w:t>
      </w:r>
    </w:p>
    <w:p>
      <w:pPr>
        <w:spacing w:after="120" w:line="264"/>
        <w:jc w:val="both"/>
      </w:pPr>
      <w:r>
        <w:rPr>
          <w:b/>
          <w:bCs/>
          <w:i w:val="false"/>
          <w:iCs w:val="false"/>
        </w:rPr>
        <w:t xml:space="preserve">Present position. </w:t>
      </w:r>
      <w:r>
        <w:rPr>
          <w:b w:val="false"/>
          <w:bCs w:val="false"/>
          <w:i w:val="false"/>
          <w:iCs w:val="false"/>
        </w:rPr>
        <w:t xml:space="preserve">The indirect transfer rule continues, prospectively, under section 9 of the Act of 2025. The episode is the standard illustration of the tension between judicial interpretation, retrospective legislation and tax certainty.</w:t>
      </w:r>
    </w:p>
    <w:p>
      <w:pPr>
        <w:pStyle w:val="Heading2"/>
      </w:pPr>
      <w:r>
        <w:t xml:space="preserve">3.11 Agricultural income — section 2(5) [2(1A)]</w:t>
      </w:r>
    </w:p>
    <w:p>
      <w:pPr>
        <w:spacing w:after="120" w:line="264"/>
        <w:jc w:val="both"/>
      </w:pPr>
      <w:r>
        <w:t xml:space="preserve">Agricultural income is exempt from central income tax because the power to tax it belongs to the States under Entry 46 of List II. The exemption is constitutional in origin, not a concession, and that is why the definition is read carefully: whatever falls outside it is taxable by the Union.</w:t>
      </w:r>
    </w:p>
    <w:p>
      <w:pPr>
        <w:pStyle w:val="Heading3"/>
      </w:pPr>
      <w:r>
        <w:t xml:space="preserve">The definition</w:t>
      </w:r>
    </w:p>
    <w:p>
      <w:pPr>
        <w:pStyle w:val="ListParagraph"/>
        <w:numPr>
          <w:ilvl w:val="0"/>
          <w:numId w:val="2"/>
        </w:numPr>
        <w:spacing w:after="60" w:line="264"/>
        <w:jc w:val="both"/>
      </w:pPr>
      <w:r>
        <w:t xml:space="preserve">(a) any rent or revenue derived from land which is situated in India and is used for agricultural purposes;</w:t>
      </w:r>
    </w:p>
    <w:p>
      <w:pPr>
        <w:pStyle w:val="ListParagraph"/>
        <w:numPr>
          <w:ilvl w:val="0"/>
          <w:numId w:val="2"/>
        </w:numPr>
        <w:spacing w:after="60" w:line="264"/>
        <w:jc w:val="both"/>
      </w:pPr>
      <w:r>
        <w:t xml:space="preserve">(b) any income derived from such land by (i) agriculture, or (ii) the performance by a cultivator or receiver of rent-in-kind of a process ordinarily employed by such a person to render the produce raised or received fit to be taken to market, or (iii) the sale by a cultivator or receiver of rent-in-kind of such produce, where no process other than one of that kind has been performed;</w:t>
      </w:r>
    </w:p>
    <w:p>
      <w:pPr>
        <w:pStyle w:val="ListParagraph"/>
        <w:numPr>
          <w:ilvl w:val="0"/>
          <w:numId w:val="2"/>
        </w:numPr>
        <w:spacing w:after="60" w:line="264"/>
        <w:jc w:val="both"/>
      </w:pPr>
      <w:r>
        <w:t xml:space="preserve">(c) income from a building owned and occupied by the receiver of the rent or revenue of such land, or occupied by the cultivator or receiver of rent-in-kind, where the building is on or in the immediate vicinity of the land, the land is assessed to land revenue or a local rate or lies outside the specified urban limits, and the building is required as a dwelling house, store-house or other out-building by reason of his connection with the land;</w:t>
      </w:r>
    </w:p>
    <w:p>
      <w:pPr>
        <w:pStyle w:val="ListParagraph"/>
        <w:numPr>
          <w:ilvl w:val="0"/>
          <w:numId w:val="2"/>
        </w:numPr>
        <w:spacing w:after="60" w:line="264"/>
        <w:jc w:val="both"/>
      </w:pPr>
      <w:r>
        <w:t xml:space="preserve">(d) income from saplings or seedlings grown in a nursery.</w:t>
      </w:r>
    </w:p>
    <w:p>
      <w:pPr>
        <w:spacing w:after="120" w:line="264"/>
        <w:jc w:val="both"/>
      </w:pPr>
      <w:r>
        <w:t xml:space="preserve">Excluded: income from the use of such building or land for any purpose other than agriculture, including letting for residence or for business, and income from the transfer of urban agricultural land.</w:t>
      </w:r>
    </w:p>
    <w:p>
      <w:pPr>
        <w:spacing w:after="120" w:line="264"/>
        <w:jc w:val="both"/>
      </w:pPr>
      <w:r>
        <w:t xml:space="preserve">Three requirements run through the definition. The land must be in India; it must be used for agricultural purposes; and the income must be derived from that land.</w:t>
      </w:r>
    </w:p>
    <w:p>
      <w:pPr>
        <w:pStyle w:val="Heading3"/>
      </w:pPr>
      <w:r>
        <w:t xml:space="preserve">(a) Rent or revenue derived from land</w:t>
      </w:r>
    </w:p>
    <w:p>
      <w:pPr>
        <w:spacing w:after="120" w:line="264"/>
        <w:jc w:val="both"/>
      </w:pPr>
      <w:r>
        <w:t xml:space="preserve">"Rent" is a technical expression whose leading feature is a payment, in money or in kind, for the grant of a right to use land. It need not be monetary, but it must correspond to the grant of a right to use land. "Revenue" is used broadly to mean return, yield or income, not land revenue.</w:t>
      </w:r>
    </w:p>
    <w:p>
      <w:pPr>
        <w:spacing w:after="120" w:line="264"/>
        <w:jc w:val="both"/>
      </w:pPr>
      <w:r>
        <w:t xml:space="preserve">"Derived from" is not a term of art; it means arising or accruing from. The test is whether land is the immediate and effective source of the income, not a secondary or indirect one. In short, is there a direct connection between the income and the land? Substance prevails over form.</w:t>
      </w:r>
    </w:p>
    <w:p>
      <w:pPr>
        <w:spacing w:after="120" w:line="264"/>
        <w:jc w:val="both"/>
      </w:pPr>
      <w:r>
        <w:t xml:space="preserve">Applications: a life annuity payable to a person who has transferred agricultural land is not agricultural income even if charged on the land, because the source is the covenant and the charge is only security; an annual payment for relinquishing claims to land is likewise not; malikana, an allowance paid under a statutory obligation to a proprietor dispossessed of his land, is not, because the effective source is the statutory obligation; compensation for requisition of land that continues in agricultural use is revenue derived from land; salami or premium for granting a tenancy is normally capital, so the question of exemption does not arise; and under a mustajiri lease, which creates an interest in land and under which the proprietor gives up the right to collect rents in return for a fixed annual payment, that payment is rent reserved by the proprietor and is agricultural income if the other conditions are satisfied.</w:t>
      </w:r>
    </w:p>
    <w:p>
      <w:pPr>
        <w:pStyle w:val="Heading3"/>
      </w:pPr>
      <w:r>
        <w:t xml:space="preserve">CIT v. Raja Bahadur Kamakshya Narain Singh, (1948) 16 ITR 325 (Privy Council)</w:t>
      </w:r>
    </w:p>
    <w:p>
      <w:pPr>
        <w:spacing w:after="120" w:line="264"/>
        <w:jc w:val="both"/>
      </w:pPr>
      <w:r>
        <w:rPr>
          <w:b/>
          <w:bCs/>
          <w:i w:val="false"/>
          <w:iCs w:val="false"/>
        </w:rPr>
        <w:t xml:space="preserve">Point for which it is cited. </w:t>
      </w:r>
      <w:r>
        <w:rPr>
          <w:b w:val="false"/>
          <w:bCs w:val="false"/>
          <w:i w:val="false"/>
          <w:iCs w:val="false"/>
        </w:rPr>
        <w:t xml:space="preserve">Interest on arrears of rent payable in respect of agricultural land is not agricultural income, because it is neither rent nor revenue derived from land. It is a payment for the use of money withheld, not a return from the land itself.</w:t>
      </w:r>
    </w:p>
    <w:p>
      <w:pPr>
        <w:pStyle w:val="Heading3"/>
      </w:pPr>
      <w:r>
        <w:t xml:space="preserve">Premier Construction Co. Ltd v. CIT, (1948) 16 ITR 380 (Privy Council)</w:t>
      </w:r>
    </w:p>
    <w:p>
      <w:pPr>
        <w:spacing w:after="120" w:line="264"/>
        <w:jc w:val="both"/>
      </w:pPr>
      <w:r>
        <w:rPr>
          <w:b/>
          <w:bCs/>
          <w:i w:val="false"/>
          <w:iCs w:val="false"/>
        </w:rPr>
        <w:t xml:space="preserve">Facts. </w:t>
      </w:r>
      <w:r>
        <w:rPr>
          <w:b w:val="false"/>
          <w:bCs w:val="false"/>
          <w:i w:val="false"/>
          <w:iCs w:val="false"/>
        </w:rPr>
        <w:t xml:space="preserve">The assessees were managing agents of a company, remunerated by a commission of ten per cent per annum of the company’s annual net profits, subject to a minimum of ten thousand rupees and a maximum of that ten per cent. One of the company’s sources of income was the manufacture of sugar, partly from cane grown on its own farms, and that part had been treated as agricultural income and exempted in the company’s hands. The agents claimed that a proportionate part of their commission was therefore also agricultural income.</w:t>
      </w:r>
    </w:p>
    <w:p>
      <w:pPr>
        <w:spacing w:after="120" w:line="264"/>
        <w:jc w:val="both"/>
      </w:pPr>
      <w:r>
        <w:rPr>
          <w:b/>
          <w:bCs/>
          <w:i w:val="false"/>
          <w:iCs w:val="false"/>
        </w:rPr>
        <w:t xml:space="preserve">Issue. </w:t>
      </w:r>
      <w:r>
        <w:rPr>
          <w:b w:val="false"/>
          <w:bCs w:val="false"/>
          <w:i w:val="false"/>
          <w:iCs w:val="false"/>
        </w:rPr>
        <w:t xml:space="preserve">Whether commission computed by reference to profits that were partly agricultural is itself agricultural income.</w:t>
      </w:r>
    </w:p>
    <w:p>
      <w:pPr>
        <w:spacing w:after="120" w:line="264"/>
        <w:jc w:val="both"/>
      </w:pPr>
      <w:r>
        <w:rPr>
          <w:b/>
          <w:bCs/>
          <w:i w:val="false"/>
          <w:iCs w:val="false"/>
        </w:rPr>
        <w:t xml:space="preserve">Held. </w:t>
      </w:r>
      <w:r>
        <w:rPr>
          <w:b w:val="false"/>
          <w:bCs w:val="false"/>
          <w:i w:val="false"/>
          <w:iCs w:val="false"/>
        </w:rPr>
        <w:t xml:space="preserve">It was not. The commission was taxable in full.</w:t>
      </w:r>
    </w:p>
    <w:p>
      <w:pPr>
        <w:spacing w:after="120" w:line="264"/>
        <w:jc w:val="both"/>
      </w:pPr>
      <w:r>
        <w:rPr>
          <w:b/>
          <w:bCs/>
          <w:i w:val="false"/>
          <w:iCs w:val="false"/>
        </w:rPr>
        <w:t xml:space="preserve">Reasoning. </w:t>
      </w:r>
      <w:r>
        <w:rPr>
          <w:b w:val="false"/>
          <w:bCs w:val="false"/>
          <w:i w:val="false"/>
          <w:iCs w:val="false"/>
        </w:rPr>
        <w:t xml:space="preserve">The managing agents received their remuneration for services rendered in managing the affairs of the company, one part of whose business happened to be agriculture. They would receive it irrespective of the nature of the principal company’s business. The assets of the company were not vested in them, they could not sue for the rents of the company in their own name, and they were only agents for management. Under the agency agreement the agricultural income in the hands of the principal company was not to be divided between the company and the agents in any stated proportion, and the percentage was not necessarily payable out of agricultural income; indeed the agents were entitled to the minimum remuneration whether or not the company made any profits. The effective source of their income was therefore the agency contract and not the land.</w:t>
      </w:r>
    </w:p>
    <w:p>
      <w:pPr>
        <w:spacing w:after="120" w:line="264"/>
        <w:jc w:val="both"/>
      </w:pPr>
      <w:r>
        <w:rPr>
          <w:b/>
          <w:bCs/>
          <w:i w:val="false"/>
          <w:iCs w:val="false"/>
        </w:rPr>
        <w:t xml:space="preserve">Note. </w:t>
      </w:r>
      <w:r>
        <w:rPr>
          <w:b w:val="false"/>
          <w:bCs w:val="false"/>
          <w:i w:val="false"/>
          <w:iCs w:val="false"/>
        </w:rPr>
        <w:t xml:space="preserve">Your session plan cites the earlier Bombay High Court stage of the same litigation. The leading authority for this proposition is the Privy Council decision.</w:t>
      </w:r>
    </w:p>
    <w:p>
      <w:pPr>
        <w:pStyle w:val="Heading3"/>
      </w:pPr>
      <w:r>
        <w:t xml:space="preserve">Bacha F. Guzdar v. CIT, Bombay, (1955) 27 ITR 1 (SC)</w:t>
      </w:r>
    </w:p>
    <w:p>
      <w:pPr>
        <w:spacing w:after="120" w:line="264"/>
        <w:jc w:val="both"/>
      </w:pPr>
      <w:r>
        <w:rPr>
          <w:b/>
          <w:bCs/>
          <w:i w:val="false"/>
          <w:iCs w:val="false"/>
        </w:rPr>
        <w:t xml:space="preserve">Facts. </w:t>
      </w:r>
      <w:r>
        <w:rPr>
          <w:b w:val="false"/>
          <w:bCs w:val="false"/>
          <w:i w:val="false"/>
          <w:iCs w:val="false"/>
        </w:rPr>
        <w:t xml:space="preserve">The assessee held shares in tea companies. Sixty per cent of the income of a tea company is treated as agricultural income and is exempt in the company’s hands. She claimed that sixty per cent of her dividend was correspondingly exempt.</w:t>
      </w:r>
    </w:p>
    <w:p>
      <w:pPr>
        <w:spacing w:after="120" w:line="264"/>
        <w:jc w:val="both"/>
      </w:pPr>
      <w:r>
        <w:rPr>
          <w:b/>
          <w:bCs/>
          <w:i w:val="false"/>
          <w:iCs w:val="false"/>
        </w:rPr>
        <w:t xml:space="preserve">Held. </w:t>
      </w:r>
      <w:r>
        <w:rPr>
          <w:b w:val="false"/>
          <w:bCs w:val="false"/>
          <w:i w:val="false"/>
          <w:iCs w:val="false"/>
        </w:rPr>
        <w:t xml:space="preserve">The whole dividend was taxable.</w:t>
      </w:r>
    </w:p>
    <w:p>
      <w:pPr>
        <w:spacing w:after="120" w:line="264"/>
        <w:jc w:val="both"/>
      </w:pPr>
      <w:r>
        <w:rPr>
          <w:b/>
          <w:bCs/>
          <w:i w:val="false"/>
          <w:iCs w:val="false"/>
        </w:rPr>
        <w:t xml:space="preserve">Reasoning. </w:t>
      </w:r>
      <w:r>
        <w:rPr>
          <w:b w:val="false"/>
          <w:bCs w:val="false"/>
          <w:i w:val="false"/>
          <w:iCs w:val="false"/>
        </w:rPr>
        <w:t xml:space="preserve">Agricultural income must have a direct and proximate connection with the land; the exemption is for income derived from the land by the person carrying on the agricultural operations. A company and its shareholders are distinct legal persons. A dividend flows from the shareholding and from the company’s decision to distribute profits, not from the land, so the character of the income in the company’s hands does not pass to the shareholder.</w:t>
      </w:r>
    </w:p>
    <w:p>
      <w:pPr>
        <w:pStyle w:val="Heading3"/>
      </w:pPr>
      <w:r>
        <w:t xml:space="preserve">CIT v. Maddi Venkatasubbayya, (1951) 20 ITR 151 (Madras)</w:t>
      </w:r>
    </w:p>
    <w:p>
      <w:pPr>
        <w:spacing w:after="120" w:line="264"/>
        <w:jc w:val="both"/>
      </w:pPr>
      <w:r>
        <w:rPr>
          <w:b/>
          <w:bCs/>
          <w:i w:val="false"/>
          <w:iCs w:val="false"/>
        </w:rPr>
        <w:t xml:space="preserve">Facts. </w:t>
      </w:r>
      <w:r>
        <w:rPr>
          <w:b w:val="false"/>
          <w:bCs w:val="false"/>
          <w:i w:val="false"/>
          <w:iCs w:val="false"/>
        </w:rPr>
        <w:t xml:space="preserve">The assessees purchased standing tobacco crops and tobacco from growers, processed and redried it, and sold it.</w:t>
      </w:r>
    </w:p>
    <w:p>
      <w:pPr>
        <w:spacing w:after="120" w:line="264"/>
        <w:jc w:val="both"/>
      </w:pPr>
      <w:r>
        <w:rPr>
          <w:b/>
          <w:bCs/>
          <w:i w:val="false"/>
          <w:iCs w:val="false"/>
        </w:rPr>
        <w:t xml:space="preserve">Held. </w:t>
      </w:r>
      <w:r>
        <w:rPr>
          <w:b w:val="false"/>
          <w:bCs w:val="false"/>
          <w:i w:val="false"/>
          <w:iCs w:val="false"/>
        </w:rPr>
        <w:t xml:space="preserve">The profit was business income, not agricultural income.</w:t>
      </w:r>
    </w:p>
    <w:p>
      <w:pPr>
        <w:spacing w:after="120" w:line="264"/>
        <w:jc w:val="both"/>
      </w:pPr>
      <w:r>
        <w:rPr>
          <w:b/>
          <w:bCs/>
          <w:i w:val="false"/>
          <w:iCs w:val="false"/>
        </w:rPr>
        <w:t xml:space="preserve">Reasoning. </w:t>
      </w:r>
      <w:r>
        <w:rPr>
          <w:b w:val="false"/>
          <w:bCs w:val="false"/>
          <w:i w:val="false"/>
          <w:iCs w:val="false"/>
        </w:rPr>
        <w:t xml:space="preserve">The market-process limb of the definition is available only to a cultivator or a receiver of rent-in-kind, and only for produce raised or received by him. A trader who buys another person’s produce and processes it for sale is carrying on a business, however agricultural the commodity may be.</w:t>
      </w:r>
    </w:p>
    <w:p>
      <w:pPr>
        <w:pStyle w:val="Heading3"/>
      </w:pPr>
      <w:r>
        <w:t xml:space="preserve">(b) Land used for agricultural purposes; the meaning of agriculture</w:t>
      </w:r>
    </w:p>
    <w:p>
      <w:pPr>
        <w:spacing w:after="120" w:line="264"/>
        <w:jc w:val="both"/>
      </w:pPr>
      <w:r>
        <w:t xml:space="preserve">The land must actually be used for agricultural purposes in the relevant year; neither the purpose stated in a lease nor the earlier use decides the question.</w:t>
      </w:r>
    </w:p>
    <w:p>
      <w:pPr>
        <w:pStyle w:val="Heading3"/>
      </w:pPr>
      <w:r>
        <w:t xml:space="preserve">Mustafa Ali Khan v. CIT, (1948) 16 ITR 330 (Privy Council)</w:t>
      </w:r>
    </w:p>
    <w:p>
      <w:pPr>
        <w:spacing w:after="120" w:line="264"/>
        <w:jc w:val="both"/>
      </w:pPr>
      <w:r>
        <w:rPr>
          <w:b/>
          <w:bCs/>
          <w:i w:val="false"/>
          <w:iCs w:val="false"/>
        </w:rPr>
        <w:t xml:space="preserve">Points for which it is cited. </w:t>
      </w:r>
      <w:r>
        <w:rPr>
          <w:b w:val="false"/>
          <w:bCs w:val="false"/>
          <w:i w:val="false"/>
          <w:iCs w:val="false"/>
        </w:rPr>
        <w:t xml:space="preserve">The meaning of "agriculture" in other statutes is irrelevant to the interpretation of the income tax law; and some measure of cultivation, involving the expenditure of human skill and labour upon the land, is essential to constitute agriculture. Income from the sale of trees of spontaneous growth, where no such cultivation was carried out, is therefore not agricultural income.</w:t>
      </w:r>
    </w:p>
    <w:p>
      <w:pPr>
        <w:pStyle w:val="Heading3"/>
      </w:pPr>
      <w:r>
        <w:t xml:space="preserve">CIT, West Bengal v. Raja Benoy Kumar Sahas Roy, (1957) 32 ITR 466 (SC)</w:t>
      </w:r>
    </w:p>
    <w:p>
      <w:pPr>
        <w:spacing w:after="120" w:line="264"/>
        <w:jc w:val="both"/>
      </w:pPr>
      <w:r>
        <w:rPr>
          <w:b/>
          <w:bCs/>
          <w:i w:val="false"/>
          <w:iCs w:val="false"/>
        </w:rPr>
        <w:t xml:space="preserve">Facts. </w:t>
      </w:r>
      <w:r>
        <w:rPr>
          <w:b w:val="false"/>
          <w:bCs w:val="false"/>
          <w:i w:val="false"/>
          <w:iCs w:val="false"/>
        </w:rPr>
        <w:t xml:space="preserve">The assessee owned a large forest of sal and piyasal trees of spontaneous growth, about a century and a half old. He carried out forestry operations such as pruning, weeding, clearing and protection against fire and trespass, and sold timber. Parts of the forest that had become denuded had been replanted and further operations carried out there.</w:t>
      </w:r>
    </w:p>
    <w:p>
      <w:pPr>
        <w:spacing w:after="120" w:line="264"/>
        <w:jc w:val="both"/>
      </w:pPr>
      <w:r>
        <w:rPr>
          <w:b/>
          <w:bCs/>
          <w:i w:val="false"/>
          <w:iCs w:val="false"/>
        </w:rPr>
        <w:t xml:space="preserve">Issue. </w:t>
      </w:r>
      <w:r>
        <w:rPr>
          <w:b w:val="false"/>
          <w:bCs w:val="false"/>
          <w:i w:val="false"/>
          <w:iCs w:val="false"/>
        </w:rPr>
        <w:t xml:space="preserve">The meaning of "agriculture", and whether income from such a forest is agricultural income.</w:t>
      </w:r>
    </w:p>
    <w:p>
      <w:pPr>
        <w:spacing w:after="120" w:line="264"/>
        <w:jc w:val="both"/>
      </w:pPr>
      <w:r>
        <w:rPr>
          <w:b/>
          <w:bCs/>
          <w:i w:val="false"/>
          <w:iCs w:val="false"/>
        </w:rPr>
        <w:t xml:space="preserve">Held. </w:t>
      </w:r>
      <w:r>
        <w:rPr>
          <w:b w:val="false"/>
          <w:bCs w:val="false"/>
          <w:i w:val="false"/>
          <w:iCs w:val="false"/>
        </w:rPr>
        <w:t xml:space="preserve">Income from the trees of spontaneous growth was not agricultural income; income from the replanted portions was.</w:t>
      </w:r>
    </w:p>
    <w:p>
      <w:pPr>
        <w:spacing w:after="120" w:line="264"/>
        <w:jc w:val="both"/>
      </w:pPr>
      <w:r>
        <w:rPr>
          <w:b/>
          <w:bCs/>
          <w:i w:val="false"/>
          <w:iCs w:val="false"/>
        </w:rPr>
        <w:t xml:space="preserve">Reasoning — the two-tier test. </w:t>
      </w:r>
      <w:r>
        <w:rPr>
          <w:b w:val="false"/>
          <w:bCs w:val="false"/>
          <w:i w:val="false"/>
          <w:iCs w:val="false"/>
        </w:rPr>
        <w:t xml:space="preserve">Agriculture involves two classes of operations. Basic operations are those performed on the land itself before the produce sprouts — tilling of the land, sowing or disseminating of seeds, and planting — and they require the expenditure of human skill and labour upon the land. Subsequent operations are those performed after the produce sprouts — weeding, digging the soil around the growth, removal of undesirable undergrowth, tending, pruning, cutting, felling and protecting the plants from insects, pests and animals. Subsequent operations by themselves do not constitute agriculture; they do so only where they are combined with basic operations as part of one integrated activity of agriculture. Activities which involve no basic operation on the land do not become agriculture merely because they have a relation to or connection with the land.</w:t>
      </w:r>
    </w:p>
    <w:p>
      <w:pPr>
        <w:spacing w:after="120" w:line="264"/>
        <w:jc w:val="both"/>
      </w:pPr>
      <w:r>
        <w:rPr>
          <w:b/>
          <w:bCs/>
          <w:i w:val="false"/>
          <w:iCs w:val="false"/>
        </w:rPr>
        <w:t xml:space="preserve">Consequences. </w:t>
      </w:r>
      <w:r>
        <w:rPr>
          <w:b w:val="false"/>
          <w:bCs w:val="false"/>
          <w:i w:val="false"/>
          <w:iCs w:val="false"/>
        </w:rPr>
        <w:t xml:space="preserve">Income from produce of spontaneous growth — forest trees, wild grass, reeds — is not agricultural income, and neither is income from conservation or improvement of such growth, since basic operations are absent. Conversely agriculture is not confined to food crops; it extends to all products of the land where the basic-operations test is met. This is the foundational case for the whole topic.</w:t>
      </w:r>
    </w:p>
    <w:p>
      <w:pPr>
        <w:pStyle w:val="Heading3"/>
      </w:pPr>
      <w:r>
        <w:t xml:space="preserve">(c) Process ordinarily employed to render produce fit to be taken to market</w:t>
      </w:r>
    </w:p>
    <w:p>
      <w:pPr>
        <w:spacing w:after="120" w:line="264"/>
        <w:jc w:val="both"/>
      </w:pPr>
      <w:r>
        <w:t xml:space="preserve">This limb extends the exemption to processing, but within limits. The process must be performed by the cultivator or receiver of rent-in-kind; it must be a process ordinarily employed by such persons for that produce; and it must be needed to make the produce marketable. The further question is whether the produce may change its character, and two cases mark the boundary.</w:t>
      </w:r>
    </w:p>
    <w:p>
      <w:pPr>
        <w:pStyle w:val="Heading3"/>
      </w:pPr>
      <w:r>
        <w:t xml:space="preserve">Sakarlal Balabhai &amp; Co. v. CIT, Gujarat, (1968) 69 ITR 186 (Gujarat)</w:t>
      </w:r>
    </w:p>
    <w:p>
      <w:pPr>
        <w:spacing w:after="120" w:line="264"/>
        <w:jc w:val="both"/>
      </w:pPr>
      <w:r>
        <w:rPr>
          <w:b/>
          <w:bCs/>
          <w:i w:val="false"/>
          <w:iCs w:val="false"/>
        </w:rPr>
        <w:t xml:space="preserve">Reasoning (passage reproduced in the class materials, at paragraph 8). </w:t>
      </w:r>
      <w:r>
        <w:rPr>
          <w:b w:val="false"/>
          <w:bCs w:val="false"/>
          <w:i w:val="false"/>
          <w:iCs w:val="false"/>
        </w:rPr>
        <w:t xml:space="preserve">If there is no market for the produce as grown and it can be sold only by performing some process on it, the cultivator would have to perform such process in order to be able to sell the produce; otherwise the produce would not be marketable and raising of it would be futile. Where such is the case, though the agricultural operations cease when the produce is raised and removed from the soil, the performance of the process should be regarded as a continuation of the agricultural operations, since the process is for the purpose of enabling the cultivator to sell produce which he otherwise cannot.</w:t>
      </w:r>
    </w:p>
    <w:p>
      <w:pPr>
        <w:spacing w:after="120" w:line="264"/>
        <w:jc w:val="both"/>
      </w:pPr>
      <w:r>
        <w:rPr>
          <w:b/>
          <w:bCs/>
          <w:i w:val="false"/>
          <w:iCs w:val="false"/>
        </w:rPr>
        <w:t xml:space="preserve">Limit. </w:t>
      </w:r>
      <w:r>
        <w:rPr>
          <w:b w:val="false"/>
          <w:bCs w:val="false"/>
          <w:i w:val="false"/>
          <w:iCs w:val="false"/>
        </w:rPr>
        <w:t xml:space="preserve">Where the produce is already marketable, a process undertaken merely to fetch a better price does not qualify.</w:t>
      </w:r>
    </w:p>
    <w:p>
      <w:pPr>
        <w:spacing w:after="120" w:line="264"/>
        <w:jc w:val="both"/>
      </w:pPr>
      <w:r>
        <w:rPr>
          <w:b/>
          <w:bCs/>
          <w:i w:val="false"/>
          <w:iCs w:val="false"/>
        </w:rPr>
        <w:t xml:space="preserve">Name. </w:t>
      </w:r>
      <w:r>
        <w:rPr>
          <w:b w:val="false"/>
          <w:bCs w:val="false"/>
          <w:i w:val="false"/>
          <w:iCs w:val="false"/>
        </w:rPr>
        <w:t xml:space="preserve">The class notes give the party as "Sakarlal Narandal". The correct name is Sakarlal Balabhai &amp; Co.</w:t>
      </w:r>
    </w:p>
    <w:p>
      <w:pPr>
        <w:pStyle w:val="Heading3"/>
      </w:pPr>
      <w:r>
        <w:t xml:space="preserve">K. Lakshmanan &amp; Co. v. CIT, (1999) 239 ITR 597 (SC)</w:t>
      </w:r>
    </w:p>
    <w:p>
      <w:pPr>
        <w:spacing w:after="120" w:line="264"/>
        <w:jc w:val="both"/>
      </w:pPr>
      <w:r>
        <w:rPr>
          <w:b/>
          <w:bCs/>
          <w:i w:val="false"/>
          <w:iCs w:val="false"/>
        </w:rPr>
        <w:t xml:space="preserve">Facts. </w:t>
      </w:r>
      <w:r>
        <w:rPr>
          <w:b w:val="false"/>
          <w:bCs w:val="false"/>
          <w:i w:val="false"/>
          <w:iCs w:val="false"/>
        </w:rPr>
        <w:t xml:space="preserve">The assessee grew mulberry leaves on its land, fed them to silkworms, and sold the silk cocoons.</w:t>
      </w:r>
    </w:p>
    <w:p>
      <w:pPr>
        <w:spacing w:after="120" w:line="264"/>
        <w:jc w:val="both"/>
      </w:pPr>
      <w:r>
        <w:rPr>
          <w:b/>
          <w:bCs/>
          <w:i w:val="false"/>
          <w:iCs w:val="false"/>
        </w:rPr>
        <w:t xml:space="preserve">Held. </w:t>
      </w:r>
      <w:r>
        <w:rPr>
          <w:b w:val="false"/>
          <w:bCs w:val="false"/>
          <w:i w:val="false"/>
          <w:iCs w:val="false"/>
        </w:rPr>
        <w:t xml:space="preserve">The income from the cocoons was not agricultural income.</w:t>
      </w:r>
    </w:p>
    <w:p>
      <w:pPr>
        <w:spacing w:after="120" w:line="264"/>
        <w:jc w:val="both"/>
      </w:pPr>
      <w:r>
        <w:rPr>
          <w:b/>
          <w:bCs/>
          <w:i w:val="false"/>
          <w:iCs w:val="false"/>
        </w:rPr>
        <w:t xml:space="preserve">Reasoning (passage reproduced in the class materials). </w:t>
      </w:r>
      <w:r>
        <w:rPr>
          <w:b w:val="false"/>
          <w:bCs w:val="false"/>
          <w:i w:val="false"/>
          <w:iCs w:val="false"/>
        </w:rPr>
        <w:t xml:space="preserve">Even though for the purpose of making it marketable or fit for sale some process may have to be undertaken, the section does not contemplate the sale of an item or a commodity which is different from what is cultivated and processed. The produce of the land was mulberry leaves; cocoons are a different commodity, and rearing silkworms is not agriculture.</w:t>
      </w:r>
    </w:p>
    <w:p>
      <w:pPr>
        <w:pStyle w:val="Heading3"/>
      </w:pPr>
      <w:r>
        <w:t xml:space="preserve">CIT, Poona v. H.G. Date, (1971) 82 ITR 71 (Bombay)</w:t>
      </w:r>
    </w:p>
    <w:p>
      <w:pPr>
        <w:spacing w:after="120" w:line="264"/>
        <w:jc w:val="both"/>
      </w:pPr>
      <w:r>
        <w:rPr>
          <w:b/>
          <w:bCs/>
          <w:i w:val="false"/>
          <w:iCs w:val="false"/>
        </w:rPr>
        <w:t xml:space="preserve">Facts. </w:t>
      </w:r>
      <w:r>
        <w:rPr>
          <w:b w:val="false"/>
          <w:bCs w:val="false"/>
          <w:i w:val="false"/>
          <w:iCs w:val="false"/>
        </w:rPr>
        <w:t xml:space="preserve">The assessee owned about 93 acres of land at Phaltan on which he cultivated sugarcane, and owned three heavy horsepower engines with which he crushed the cane and converted it into jaggery for sale. He claimed the income from the sale of jaggery as agricultural income for the assessment years 1952-53 and 1954-55.</w:t>
      </w:r>
    </w:p>
    <w:p>
      <w:pPr>
        <w:spacing w:after="120" w:line="264"/>
        <w:jc w:val="both"/>
      </w:pPr>
      <w:r>
        <w:rPr>
          <w:b/>
          <w:bCs/>
          <w:i w:val="false"/>
          <w:iCs w:val="false"/>
        </w:rPr>
        <w:t xml:space="preserve">Issues. </w:t>
      </w:r>
      <w:r>
        <w:rPr>
          <w:b w:val="false"/>
          <w:bCs w:val="false"/>
          <w:i w:val="false"/>
          <w:iCs w:val="false"/>
        </w:rPr>
        <w:t xml:space="preserve">Whether there was evidence to justify the Tribunal’s finding that there was no market for the sugarcane produced by the assessee; and whether the income was agricultural income.</w:t>
      </w:r>
    </w:p>
    <w:p>
      <w:pPr>
        <w:spacing w:after="120" w:line="264"/>
        <w:jc w:val="both"/>
      </w:pPr>
      <w:r>
        <w:rPr>
          <w:b/>
          <w:bCs/>
          <w:i w:val="false"/>
          <w:iCs w:val="false"/>
        </w:rPr>
        <w:t xml:space="preserve">Held. </w:t>
      </w:r>
      <w:r>
        <w:rPr>
          <w:b w:val="false"/>
          <w:bCs w:val="false"/>
          <w:i w:val="false"/>
          <w:iCs w:val="false"/>
        </w:rPr>
        <w:t xml:space="preserve">The income from the sale of jaggery was agricultural income and exempt. The High Court affirmed the Tribunal, in favour of the assessee.</w:t>
      </w:r>
    </w:p>
    <w:p>
      <w:pPr>
        <w:spacing w:after="120" w:line="264"/>
        <w:jc w:val="both"/>
      </w:pPr>
      <w:r>
        <w:rPr>
          <w:b/>
          <w:bCs/>
          <w:i w:val="false"/>
          <w:iCs w:val="false"/>
        </w:rPr>
        <w:t xml:space="preserve">Reasoning. </w:t>
      </w:r>
      <w:r>
        <w:rPr>
          <w:b w:val="false"/>
          <w:bCs w:val="false"/>
          <w:i w:val="false"/>
          <w:iCs w:val="false"/>
        </w:rPr>
        <w:t xml:space="preserve">Applying the two conditions settled in the earlier Bombay decision in Brihan Maharashtra Sugar Syndicate, the process must be one ordinarily employed by a cultivator to render the produce fit to be taken to market, and the produce must retain its original character — but the second condition is displaced where there is no market for the produce in its raw state. Here the Tribunal found the sugarcane was not fit for chewing and could be used only for making sugar or jaggery, and that cane has to be crushed within a short period to retain its sugar content. As there was no market for the cane as grown, conversion into jaggery was within the limb.</w:t>
      </w:r>
    </w:p>
    <w:p>
      <w:pPr>
        <w:spacing w:after="120" w:line="264"/>
        <w:jc w:val="both"/>
      </w:pPr>
      <w:r>
        <w:rPr>
          <w:b/>
          <w:bCs/>
          <w:i w:val="false"/>
          <w:iCs w:val="false"/>
        </w:rPr>
        <w:t xml:space="preserve">How to use it. </w:t>
      </w:r>
      <w:r>
        <w:rPr>
          <w:b w:val="false"/>
          <w:bCs w:val="false"/>
          <w:i w:val="false"/>
          <w:iCs w:val="false"/>
        </w:rPr>
        <w:t xml:space="preserve">Read this together with K. Lakshmanan. Lakshmanan states the rule that the commodity sold must not be different from what was cultivated; H.G. Date shows the exception, that where there is no market at all for the raw produce the necessary process still qualifies.</w:t>
      </w:r>
    </w:p>
    <w:p>
      <w:pPr>
        <w:pStyle w:val="Heading3"/>
      </w:pPr>
      <w:r>
        <w:t xml:space="preserve">B. Nagi Reddi v. CIT, (2002) 258 ITR 719 (Madras)</w:t>
      </w:r>
    </w:p>
    <w:p>
      <w:pPr>
        <w:spacing w:after="120" w:line="264"/>
        <w:jc w:val="both"/>
      </w:pPr>
      <w:r>
        <w:rPr>
          <w:b/>
          <w:bCs/>
          <w:i w:val="false"/>
          <w:iCs w:val="false"/>
        </w:rPr>
        <w:t xml:space="preserve">Facts. </w:t>
      </w:r>
      <w:r>
        <w:rPr>
          <w:b w:val="false"/>
          <w:bCs w:val="false"/>
          <w:i w:val="false"/>
          <w:iCs w:val="false"/>
        </w:rPr>
        <w:t xml:space="preserve">The assessee received shooting-hire charges for permitting film producers to shoot their films in his garden.</w:t>
      </w:r>
    </w:p>
    <w:p>
      <w:pPr>
        <w:spacing w:after="120" w:line="264"/>
        <w:jc w:val="both"/>
      </w:pPr>
      <w:r>
        <w:rPr>
          <w:b/>
          <w:bCs/>
          <w:i w:val="false"/>
          <w:iCs w:val="false"/>
        </w:rPr>
        <w:t xml:space="preserve">Held. </w:t>
      </w:r>
      <w:r>
        <w:rPr>
          <w:b w:val="false"/>
          <w:bCs w:val="false"/>
          <w:i w:val="false"/>
          <w:iCs w:val="false"/>
        </w:rPr>
        <w:t xml:space="preserve">The receipts were not agricultural income.</w:t>
      </w:r>
    </w:p>
    <w:p>
      <w:pPr>
        <w:spacing w:after="120" w:line="264"/>
        <w:jc w:val="both"/>
      </w:pPr>
      <w:r>
        <w:rPr>
          <w:b/>
          <w:bCs/>
          <w:i w:val="false"/>
          <w:iCs w:val="false"/>
        </w:rPr>
        <w:t xml:space="preserve">Reasoning. </w:t>
      </w:r>
      <w:r>
        <w:rPr>
          <w:b w:val="false"/>
          <w:bCs w:val="false"/>
          <w:i w:val="false"/>
          <w:iCs w:val="false"/>
        </w:rPr>
        <w:t xml:space="preserve">Applying Benoy Kumar Sahas Roy, an activity that involves no basic operation on the land does not become agriculture merely because it has a relation to or a connection with the land. The shooting of films has no nexus whatever with agricultural operations or with the land, except that it is done on land which may be or has been agricultural land yielding some agricultural income.</w:t>
      </w:r>
    </w:p>
    <w:p>
      <w:pPr>
        <w:pStyle w:val="Heading3"/>
      </w:pPr>
      <w:r>
        <w:t xml:space="preserve">DCIT v. Inventaa Industries Pvt Ltd, (2018) ITAT Hyderabad, Special Bench</w:t>
      </w:r>
    </w:p>
    <w:p>
      <w:pPr>
        <w:spacing w:after="120" w:line="264"/>
        <w:jc w:val="both"/>
      </w:pPr>
      <w:r>
        <w:rPr>
          <w:b/>
          <w:bCs/>
          <w:i w:val="false"/>
          <w:iCs w:val="false"/>
        </w:rPr>
        <w:t xml:space="preserve">Facts. </w:t>
      </w:r>
      <w:r>
        <w:rPr>
          <w:b w:val="false"/>
          <w:bCs w:val="false"/>
          <w:i w:val="false"/>
          <w:iCs w:val="false"/>
        </w:rPr>
        <w:t xml:space="preserve">White button mushrooms were cultivated in controlled conditions, in trays or racks of specially prepared compost rather than in open soil.</w:t>
      </w:r>
    </w:p>
    <w:p>
      <w:pPr>
        <w:spacing w:after="120" w:line="264"/>
        <w:jc w:val="both"/>
      </w:pPr>
      <w:r>
        <w:rPr>
          <w:b/>
          <w:bCs/>
          <w:i w:val="false"/>
          <w:iCs w:val="false"/>
        </w:rPr>
        <w:t xml:space="preserve">Held. </w:t>
      </w:r>
      <w:r>
        <w:rPr>
          <w:b w:val="false"/>
          <w:bCs w:val="false"/>
          <w:i w:val="false"/>
          <w:iCs w:val="false"/>
        </w:rPr>
        <w:t xml:space="preserve">The income was agricultural income.</w:t>
      </w:r>
    </w:p>
    <w:p>
      <w:pPr>
        <w:spacing w:after="120" w:line="264"/>
        <w:jc w:val="both"/>
      </w:pPr>
      <w:r>
        <w:rPr>
          <w:b/>
          <w:bCs/>
          <w:i w:val="false"/>
          <w:iCs w:val="false"/>
        </w:rPr>
        <w:t xml:space="preserve">Reasoning. </w:t>
      </w:r>
      <w:r>
        <w:rPr>
          <w:b w:val="false"/>
          <w:bCs w:val="false"/>
          <w:i w:val="false"/>
          <w:iCs w:val="false"/>
        </w:rPr>
        <w:t xml:space="preserve">The requirement is that basic operations involving the expenditure of human skill and labour be performed on soil to produce a product of agriculture. The statute does not require the produce to be grown on the surface of the land, and the specially prepared compost was treated as soil for this purpose.</w:t>
      </w:r>
    </w:p>
    <w:p>
      <w:pPr>
        <w:spacing w:after="120" w:line="264"/>
        <w:jc w:val="both"/>
      </w:pPr>
      <w:r>
        <w:rPr>
          <w:b/>
          <w:bCs/>
          <w:i w:val="false"/>
          <w:iCs w:val="false"/>
        </w:rPr>
        <w:t xml:space="preserve">Weight. </w:t>
      </w:r>
      <w:r>
        <w:rPr>
          <w:b w:val="false"/>
          <w:bCs w:val="false"/>
          <w:i w:val="false"/>
          <w:iCs w:val="false"/>
        </w:rPr>
        <w:t xml:space="preserve">A tribunal decision, and therefore persuasive rather than binding.</w:t>
      </w:r>
    </w:p>
    <w:p>
      <w:pPr>
        <w:pStyle w:val="Heading3"/>
      </w:pPr>
      <w:r>
        <w:t xml:space="preserve">Defining the market</w:t>
      </w:r>
    </w:p>
    <w:p>
      <w:pPr>
        <w:spacing w:after="120" w:line="264"/>
        <w:jc w:val="both"/>
      </w:pPr>
      <w:r>
        <w:t xml:space="preserve">The relevant market is a market in India, and its extent is a question of fact. Perishable produce has a narrower market because it cannot travel; durable produce has a wider one. Market boundaries also change over time with transport, storage and demand.</w:t>
      </w:r>
    </w:p>
    <w:p>
      <w:pPr>
        <w:pStyle w:val="Heading3"/>
      </w:pPr>
      <w:r>
        <w:t xml:space="preserve">Partial integration</w:t>
      </w:r>
    </w:p>
    <w:p>
      <w:pPr>
        <w:spacing w:after="120" w:line="264"/>
        <w:jc w:val="both"/>
      </w:pPr>
      <w:r>
        <w:t xml:space="preserve">Agricultural income is exempt, but where a person has both agricultural and non-agricultural income, and the non-agricultural income exceeds the basic exemption limit while net agricultural income exceeds five thousand rupees, the two are aggregated only to fix the rate of tax. Tax is computed on the aggregate and then reduced by the tax on the agricultural income plus the exemption limit. So a person with salary of twenty-five lakh and agricultural income of seven lakh is not taxed on the seven lakh, but the rate applied to the salary is worked out as though his income were thirty-two lakh. The Union thus taxes only non-agricultural income and uses agricultural income only as a measure of capacity to pay. The mechanism comes from the Finance Act each year.</w:t>
      </w:r>
    </w:p>
    <w:p>
      <w:pPr>
        <w:pStyle w:val="Heading2"/>
      </w:pPr>
      <w:r>
        <w:t xml:space="preserve">3.12 Exemptions and deductions — section 11 and the Schedules [section 10]</w:t>
      </w:r>
    </w:p>
    <w:p>
      <w:pPr>
        <w:spacing w:after="120" w:line="264"/>
        <w:jc w:val="both"/>
      </w:pPr>
      <w:r>
        <w:t xml:space="preserve">If a receipt is income and is not exempt, it is taxable.</w:t>
      </w:r>
    </w:p>
    <w:p>
      <w:pPr>
        <w:spacing w:after="120" w:line="264"/>
        <w:jc w:val="both"/>
      </w:pPr>
      <w:r>
        <w:rPr>
          <w:b/>
          <w:bCs/>
          <w:i w:val="false"/>
          <w:iCs w:val="false"/>
        </w:rPr>
        <w:t xml:space="preserve">Exemption and deduction. </w:t>
      </w:r>
      <w:r>
        <w:rPr>
          <w:b w:val="false"/>
          <w:bCs w:val="false"/>
          <w:i w:val="false"/>
          <w:iCs w:val="false"/>
        </w:rPr>
        <w:t xml:space="preserve">Exempt income is not included in total income at all. A deduction works differently: the income first enters total income and is then reduced. This matters for gross total income, for set-off of losses, and for the many limits computed on total income.</w:t>
      </w:r>
    </w:p>
    <w:p>
      <w:pPr>
        <w:spacing w:after="120" w:line="264"/>
        <w:jc w:val="both"/>
      </w:pPr>
      <w:r>
        <w:rPr>
          <w:b/>
          <w:bCs/>
          <w:i w:val="false"/>
          <w:iCs w:val="false"/>
        </w:rPr>
        <w:t xml:space="preserve">Two classes of exemption. </w:t>
      </w:r>
      <w:r>
        <w:rPr>
          <w:b w:val="false"/>
          <w:bCs w:val="false"/>
          <w:i w:val="false"/>
          <w:iCs w:val="false"/>
        </w:rPr>
        <w:t xml:space="preserve">Some depend on the nature of the income and are open to any assessee, agricultural income being the clearest example. Others depend on the character or status of the assessee and are available only to those who satisfy the conditions. An exemption may be total or partial.</w:t>
      </w:r>
    </w:p>
    <w:p>
      <w:pPr>
        <w:spacing w:after="120" w:line="264"/>
        <w:jc w:val="both"/>
      </w:pPr>
      <w:r>
        <w:t xml:space="preserve">Section 11 provides that the incomes specified in Schedules II to VII are not included in total income, and section 12 deals with political parties and electoral trusts. Section 14 [14A] is the counterpart: expenditure incurred in relation to income which does not form part of total income is not deductible, and a loss of an exempt source cannot be set off against taxable income. Exemption therefore cuts both ways.</w:t>
      </w:r>
    </w:p>
    <w:p>
      <w:pPr>
        <w:spacing w:after="120" w:line="264"/>
        <w:jc w:val="both"/>
      </w:pPr>
      <w:r>
        <w:t xml:space="preserve">Examples in the Schedules include sums received by a member of a Hindu undivided family out of family income; a partner’s share in the income of the firm; payments from the National Pension System Trust within prescribed limits; daily allowances of Members of Parliament and of State Legislatures; house rent allowance; leave travel concession; and prescribed special allowances. Provident fund and approved superannuation fund items are in Schedule II. A scholarship granted to meet the cost of education is exempt.</w:t>
      </w:r>
    </w:p>
    <w:p>
      <w:pPr>
        <w:spacing w:after="120" w:line="264"/>
        <w:jc w:val="both"/>
      </w:pPr>
      <w:r>
        <w:t xml:space="preserve">House rent allowance shows how conditions work: it is exempt only to the extent prescribed and only where rent is actually paid for residential accommodation, so an employee who draws the allowance but pays no rent gets nothing.</w:t>
      </w:r>
    </w:p>
    <w:p>
      <w:pPr>
        <w:spacing w:after="120" w:line="264"/>
        <w:jc w:val="both"/>
      </w:pPr>
      <w:r>
        <w:rPr>
          <w:b/>
          <w:bCs/>
          <w:i w:val="false"/>
          <w:iCs w:val="false"/>
        </w:rPr>
        <w:t xml:space="preserve">Caution. </w:t>
      </w:r>
      <w:r>
        <w:rPr>
          <w:b w:val="false"/>
          <w:bCs w:val="false"/>
          <w:i w:val="false"/>
          <w:iCs w:val="false"/>
        </w:rPr>
        <w:t xml:space="preserve">Many exemptions and deductions are restricted under the default regime. State which regime your answer assumes.</w:t>
      </w:r>
    </w:p>
    <w:p>
      <w:pPr>
        <w:pStyle w:val="Heading1"/>
      </w:pPr>
      <w:r>
        <w:t xml:space="preserve">Unit IV — Income under the Head of Salary</w:t>
      </w:r>
    </w:p>
    <w:p>
      <w:pPr>
        <w:pStyle w:val="Heading2"/>
      </w:pPr>
      <w:r>
        <w:t xml:space="preserve">4.1 Heads of income, total income and deemed income — sections 13 and 14</w:t>
      </w:r>
    </w:p>
    <w:p>
      <w:pPr>
        <w:spacing w:after="120" w:line="264"/>
        <w:jc w:val="both"/>
      </w:pPr>
      <w:r>
        <w:t xml:space="preserve">Section 13 classifies all income, for the charge of tax and the computation of total income, under five heads: Salaries; Income from house property; Profits and gains of business or profession; Capital gains; and Income from other sources.</w:t>
      </w:r>
    </w:p>
    <w:p>
      <w:pPr>
        <w:spacing w:after="120" w:line="264"/>
        <w:jc w:val="both"/>
      </w:pPr>
      <w:r>
        <w:t xml:space="preserve">Classification is not a formality. The heads are mutually exclusive and each has its own charging provision, computation rules and deductions. Income falling specifically under one head is computed under that head alone, and a deduction available under one head cannot be claimed under another. What decides the head is the legal character of the source and of the relationship from which the income arises, not the name the parties give it.</w:t>
      </w:r>
    </w:p>
    <w:p>
      <w:pPr>
        <w:spacing w:after="120" w:line="264"/>
        <w:jc w:val="both"/>
      </w:pPr>
      <w:r>
        <w:t xml:space="preserve">Total income is the aggregate of income under the five heads, after set-off of losses and the deductions the Act allows. Deemed income means amounts the Act treats as income although they may not be income in the ordinary sense — within this syllabus, the notional annual value of house property and the income of a deemed owner. Section 14 [14A] disallows expenditure relating to income which does not form part of total income.</w:t>
      </w:r>
    </w:p>
    <w:p>
      <w:pPr>
        <w:pStyle w:val="Heading2"/>
      </w:pPr>
      <w:r>
        <w:t xml:space="preserve">4.2 Chargeability of salary — section 15</w:t>
      </w:r>
    </w:p>
    <w:p>
      <w:pPr>
        <w:spacing w:after="120" w:line="264"/>
        <w:jc w:val="both"/>
      </w:pPr>
      <w:r>
        <w:t xml:space="preserve">Chargeable as salary are: salary due from an employer in the tax year, whether paid or not; salary paid or allowed in the tax year though not due or before it became due; and arrears of salary paid or allowed in the tax year if not charged in an earlier year. "Employer" includes a former employer. Advance salary already taxed is not taxed again when it becomes due. Salary, bonus, commission or remuneration due to or received by a partner from his firm is not salary and is assessed as business income.</w:t>
      </w:r>
    </w:p>
    <w:p>
      <w:pPr>
        <w:spacing w:after="120" w:line="264"/>
        <w:jc w:val="both"/>
      </w:pPr>
      <w:r>
        <w:t xml:space="preserve">So salary is taxed on the earlier of becoming due or being received. That is why the date on which salary becomes due, fixed by the contract or the service rules, decides computation problems, and why a change of employer during the year with a different due date has to be worked out month by month.</w:t>
      </w:r>
    </w:p>
    <w:p>
      <w:pPr>
        <w:pStyle w:val="Heading3"/>
      </w:pPr>
      <w:r>
        <w:t xml:space="preserve">CIT v. L.W. Russel, AIR 1965 SC 49; (1964) 53 ITR 91</w:t>
      </w:r>
    </w:p>
    <w:p>
      <w:pPr>
        <w:spacing w:after="120" w:line="264"/>
        <w:jc w:val="both"/>
      </w:pPr>
      <w:r>
        <w:rPr>
          <w:b/>
          <w:bCs/>
          <w:i w:val="false"/>
          <w:iCs w:val="false"/>
        </w:rPr>
        <w:t xml:space="preserve">Facts. </w:t>
      </w:r>
      <w:r>
        <w:rPr>
          <w:b w:val="false"/>
          <w:bCs w:val="false"/>
          <w:i w:val="false"/>
          <w:iCs w:val="false"/>
        </w:rPr>
        <w:t xml:space="preserve">The employer made compulsory contributions to a scheme under which the employee, or his dependants, would receive benefits on his attaining the age of superannuation or on earlier death. Until then the employee had no present right to the money.</w:t>
      </w:r>
    </w:p>
    <w:p>
      <w:pPr>
        <w:spacing w:after="120" w:line="264"/>
        <w:jc w:val="both"/>
      </w:pPr>
      <w:r>
        <w:rPr>
          <w:b/>
          <w:bCs/>
          <w:i w:val="false"/>
          <w:iCs w:val="false"/>
        </w:rPr>
        <w:t xml:space="preserve">Issue. </w:t>
      </w:r>
      <w:r>
        <w:rPr>
          <w:b w:val="false"/>
          <w:bCs w:val="false"/>
          <w:i w:val="false"/>
          <w:iCs w:val="false"/>
        </w:rPr>
        <w:t xml:space="preserve">Whether the employer’s annual contribution was taxable in the employee’s hands as a perquisite when it was made.</w:t>
      </w:r>
    </w:p>
    <w:p>
      <w:pPr>
        <w:spacing w:after="120" w:line="264"/>
        <w:jc w:val="both"/>
      </w:pPr>
      <w:r>
        <w:rPr>
          <w:b/>
          <w:bCs/>
          <w:i w:val="false"/>
          <w:iCs w:val="false"/>
        </w:rPr>
        <w:t xml:space="preserve">Held. </w:t>
      </w:r>
      <w:r>
        <w:rPr>
          <w:b w:val="false"/>
          <w:bCs w:val="false"/>
          <w:i w:val="false"/>
          <w:iCs w:val="false"/>
        </w:rPr>
        <w:t xml:space="preserve">It was not taxable at that stage.</w:t>
      </w:r>
    </w:p>
    <w:p>
      <w:pPr>
        <w:spacing w:after="120" w:line="264"/>
        <w:jc w:val="both"/>
      </w:pPr>
      <w:r>
        <w:rPr>
          <w:b/>
          <w:bCs/>
          <w:i w:val="false"/>
          <w:iCs w:val="false"/>
        </w:rPr>
        <w:t xml:space="preserve">Reasoning. </w:t>
      </w:r>
      <w:r>
        <w:rPr>
          <w:b w:val="false"/>
          <w:bCs w:val="false"/>
          <w:i w:val="false"/>
          <w:iCs w:val="false"/>
        </w:rPr>
        <w:t xml:space="preserve">What the employee had was a contingent interest, which might never mature into anything. A benefit is chargeable only when a vested right in it arises; a contingency is not a benefit that has accrued or become due. The case is used both for the meaning of "due" and for the requirement of vesting in the law of perquisites.</w:t>
      </w:r>
    </w:p>
    <w:p>
      <w:pPr>
        <w:spacing w:after="120" w:line="264"/>
        <w:jc w:val="both"/>
      </w:pPr>
      <w:r>
        <w:rPr>
          <w:b/>
          <w:bCs/>
          <w:i w:val="false"/>
          <w:iCs w:val="false"/>
        </w:rPr>
        <w:t xml:space="preserve">Caution. </w:t>
      </w:r>
      <w:r>
        <w:rPr>
          <w:b w:val="false"/>
          <w:bCs w:val="false"/>
          <w:i w:val="false"/>
          <w:iCs w:val="false"/>
        </w:rPr>
        <w:t xml:space="preserve">Its application must now be read with the express words of section 17, which specifically charges certain employer contributions beyond prescribed limits.</w:t>
      </w:r>
    </w:p>
    <w:p>
      <w:pPr>
        <w:pStyle w:val="Heading2"/>
      </w:pPr>
      <w:r>
        <w:t xml:space="preserve">4.3 Basis of charge: the employer–employee relationship</w:t>
      </w:r>
    </w:p>
    <w:p>
      <w:pPr>
        <w:spacing w:after="120" w:line="264"/>
        <w:jc w:val="both"/>
      </w:pPr>
      <w:r>
        <w:t xml:space="preserve">Salary presupposes a relationship of employer and employee, that is, of master and servant.</w:t>
      </w:r>
    </w:p>
    <w:p>
      <w:pPr>
        <w:pStyle w:val="ListParagraph"/>
        <w:numPr>
          <w:ilvl w:val="0"/>
          <w:numId w:val="2"/>
        </w:numPr>
        <w:spacing w:after="60" w:line="264"/>
        <w:jc w:val="both"/>
      </w:pPr>
      <w:r>
        <w:t xml:space="preserve">A payment by a person other than the employer is not salary.</w:t>
      </w:r>
    </w:p>
    <w:p>
      <w:pPr>
        <w:pStyle w:val="ListParagraph"/>
        <w:numPr>
          <w:ilvl w:val="0"/>
          <w:numId w:val="2"/>
        </w:numPr>
        <w:spacing w:after="60" w:line="264"/>
        <w:jc w:val="both"/>
      </w:pPr>
      <w:r>
        <w:t xml:space="preserve">Whether the relationship exists is a question of fact, decided on the whole of the evidence.</w:t>
      </w:r>
    </w:p>
    <w:p>
      <w:pPr>
        <w:pStyle w:val="ListParagraph"/>
        <w:numPr>
          <w:ilvl w:val="0"/>
          <w:numId w:val="2"/>
        </w:numPr>
        <w:spacing w:after="60" w:line="264"/>
        <w:jc w:val="both"/>
      </w:pPr>
      <w:r>
        <w:t xml:space="preserve">Relevant factors are the degree of control and supervision over the person, the nature of the work, and the discretion he has in doing it.</w:t>
      </w:r>
    </w:p>
    <w:p>
      <w:pPr>
        <w:pStyle w:val="ListParagraph"/>
        <w:numPr>
          <w:ilvl w:val="0"/>
          <w:numId w:val="2"/>
        </w:numPr>
        <w:spacing w:after="60" w:line="264"/>
        <w:jc w:val="both"/>
      </w:pPr>
      <w:r>
        <w:t xml:space="preserve">No single factor is decisive in every case; the totality of the circumstances is considered.</w:t>
      </w:r>
    </w:p>
    <w:p>
      <w:pPr>
        <w:pStyle w:val="ListParagraph"/>
        <w:numPr>
          <w:ilvl w:val="0"/>
          <w:numId w:val="2"/>
        </w:numPr>
        <w:spacing w:after="60" w:line="264"/>
        <w:jc w:val="both"/>
      </w:pPr>
      <w:r>
        <w:t xml:space="preserve">The distinction is between a contract of service, which creates employment and produces salary, and a contract for service, which produces business or professional income.</w:t>
      </w:r>
    </w:p>
    <w:p>
      <w:pPr>
        <w:pStyle w:val="ListParagraph"/>
        <w:numPr>
          <w:ilvl w:val="0"/>
          <w:numId w:val="2"/>
        </w:numPr>
        <w:spacing w:after="60" w:line="264"/>
        <w:jc w:val="both"/>
      </w:pPr>
      <w:r>
        <w:t xml:space="preserve">The salary and allowances of Members of Parliament and State Legislatures are not salary under this head, because they are not employees; the office is elective and sui generis.</w:t>
      </w:r>
    </w:p>
    <w:p>
      <w:pPr>
        <w:pStyle w:val="Heading3"/>
      </w:pPr>
      <w:r>
        <w:t xml:space="preserve">Ram Pershad v. CIT, New Delhi, (1972) 2 SCC 696; (1972) 86 ITR 122</w:t>
      </w:r>
    </w:p>
    <w:p>
      <w:pPr>
        <w:spacing w:after="120" w:line="264"/>
        <w:jc w:val="both"/>
      </w:pPr>
      <w:r>
        <w:rPr>
          <w:b/>
          <w:bCs/>
          <w:i w:val="false"/>
          <w:iCs w:val="false"/>
        </w:rPr>
        <w:t xml:space="preserve">Facts. </w:t>
      </w:r>
      <w:r>
        <w:rPr>
          <w:b w:val="false"/>
          <w:bCs w:val="false"/>
          <w:i w:val="false"/>
          <w:iCs w:val="false"/>
        </w:rPr>
        <w:t xml:space="preserve">A managing director of a company was paid fixed remuneration together with ten per cent of the gross profits. The question was whether this was salary or the income of a person carrying on his own vocation.</w:t>
      </w:r>
    </w:p>
    <w:p>
      <w:pPr>
        <w:spacing w:after="120" w:line="264"/>
        <w:jc w:val="both"/>
      </w:pPr>
      <w:r>
        <w:rPr>
          <w:b/>
          <w:bCs/>
          <w:i w:val="false"/>
          <w:iCs w:val="false"/>
        </w:rPr>
        <w:t xml:space="preserve">Held. </w:t>
      </w:r>
      <w:r>
        <w:rPr>
          <w:b w:val="false"/>
          <w:bCs w:val="false"/>
          <w:i w:val="false"/>
          <w:iCs w:val="false"/>
        </w:rPr>
        <w:t xml:space="preserve">It was salary.</w:t>
      </w:r>
    </w:p>
    <w:p>
      <w:pPr>
        <w:spacing w:after="120" w:line="264"/>
        <w:jc w:val="both"/>
      </w:pPr>
      <w:r>
        <w:rPr>
          <w:b/>
          <w:bCs/>
          <w:i w:val="false"/>
          <w:iCs w:val="false"/>
        </w:rPr>
        <w:t xml:space="preserve">Reasoning. </w:t>
      </w:r>
      <w:r>
        <w:rPr>
          <w:b w:val="false"/>
          <w:bCs w:val="false"/>
          <w:i w:val="false"/>
          <w:iCs w:val="false"/>
        </w:rPr>
        <w:t xml:space="preserve">A managing director may occupy a dual capacity, as director and as employee. Whether he is an employee depends on the articles of association and the terms of his agreement. The test is the extent to which the company retains the power to control and supervise the manner in which he does his work: if it does, the contract is one of service; if he is left free to do the work in his own way and is answerable only for results, it is a contract for service. The designation used is not decisive.</w:t>
      </w:r>
    </w:p>
    <w:p>
      <w:pPr>
        <w:pStyle w:val="Heading3"/>
      </w:pPr>
      <w:r>
        <w:t xml:space="preserve">CIT v. Shiv Charan Mathur, (2008) 306 ITR 126 (Rajasthan)</w:t>
      </w:r>
    </w:p>
    <w:p>
      <w:pPr>
        <w:spacing w:after="120" w:line="264"/>
        <w:jc w:val="both"/>
      </w:pPr>
      <w:r>
        <w:rPr>
          <w:b/>
          <w:bCs/>
          <w:i w:val="false"/>
          <w:iCs w:val="false"/>
        </w:rPr>
        <w:t xml:space="preserve">Facts and issue. </w:t>
      </w:r>
      <w:r>
        <w:rPr>
          <w:b w:val="false"/>
          <w:bCs w:val="false"/>
          <w:i w:val="false"/>
          <w:iCs w:val="false"/>
        </w:rPr>
        <w:t xml:space="preserve">Whether the salary and allowances received by a Member of a Legislative Assembly, who was also a Minister, are chargeable under the head "Salaries".</w:t>
      </w:r>
    </w:p>
    <w:p>
      <w:pPr>
        <w:spacing w:after="120" w:line="264"/>
        <w:jc w:val="both"/>
      </w:pPr>
      <w:r>
        <w:rPr>
          <w:b/>
          <w:bCs/>
          <w:i w:val="false"/>
          <w:iCs w:val="false"/>
        </w:rPr>
        <w:t xml:space="preserve">Held. </w:t>
      </w:r>
      <w:r>
        <w:rPr>
          <w:b w:val="false"/>
          <w:bCs w:val="false"/>
          <w:i w:val="false"/>
          <w:iCs w:val="false"/>
        </w:rPr>
        <w:t xml:space="preserve">They are not; they are chargeable as income from other sources.</w:t>
      </w:r>
    </w:p>
    <w:p>
      <w:pPr>
        <w:spacing w:after="120" w:line="264"/>
        <w:jc w:val="both"/>
      </w:pPr>
      <w:r>
        <w:rPr>
          <w:b/>
          <w:bCs/>
          <w:i w:val="false"/>
          <w:iCs w:val="false"/>
        </w:rPr>
        <w:t xml:space="preserve">Reasoning. </w:t>
      </w:r>
      <w:r>
        <w:rPr>
          <w:b w:val="false"/>
          <w:bCs w:val="false"/>
          <w:i w:val="false"/>
          <w:iCs w:val="false"/>
        </w:rPr>
        <w:t xml:space="preserve">A legislator holds an elective constitutional office. There is no employer and no relationship of master and servant. Since the head of salary depends on that relationship, neither the charge under the salary head nor the perquisite provisions that follow it can apply, and the deductions and valuation rules peculiar to that head are unavailable.</w:t>
      </w:r>
    </w:p>
    <w:p>
      <w:pPr>
        <w:pStyle w:val="Heading2"/>
      </w:pPr>
      <w:r>
        <w:t xml:space="preserve">4.4 Meaning of salary — section 16 [17(1)]</w:t>
      </w:r>
    </w:p>
    <w:p>
      <w:pPr>
        <w:spacing w:after="120" w:line="264"/>
        <w:jc w:val="both"/>
      </w:pPr>
      <w:r>
        <w:t xml:space="preserve">"Salary" includes wages; any annuity or pension; any gratuity; any fees or commission; perquisites; profits in lieu of or in addition to any salary or wages; any advance of salary; any payment for a period of leave not availed of; the annual accretion to an employee’s balance in a recognised provident fund, to the extent chargeable; the transferred balance in such a fund, to the extent chargeable; the contribution made by the Central Government or any other employer to an employee’s account under a notified pension scheme referred to in section 124; and the Central Government’s contribution to the Agniveer Corpus Fund under the Agnipath Scheme referred to in section 125.</w:t>
      </w:r>
    </w:p>
    <w:p>
      <w:pPr>
        <w:spacing w:after="120" w:line="264"/>
        <w:jc w:val="both"/>
      </w:pPr>
      <w:r>
        <w:t xml:space="preserve">The definition is inclusive, so a receipt that flows from the employment is normally salary whatever it is called.</w:t>
      </w:r>
    </w:p>
    <w:p>
      <w:pPr>
        <w:pStyle w:val="Heading2"/>
      </w:pPr>
      <w:r>
        <w:t xml:space="preserve">4.5 Perquisites — section 17 [17(2)]</w:t>
      </w:r>
    </w:p>
    <w:p>
      <w:pPr>
        <w:spacing w:after="120" w:line="264"/>
        <w:jc w:val="both"/>
      </w:pPr>
      <w:r>
        <w:t xml:space="preserve">A perquisite is a benefit or amenity received by reason of employment, over and above salary in cash. "Perquisite" includes:</w:t>
      </w:r>
    </w:p>
    <w:p>
      <w:pPr>
        <w:pStyle w:val="ListParagraph"/>
        <w:numPr>
          <w:ilvl w:val="0"/>
          <w:numId w:val="2"/>
        </w:numPr>
        <w:spacing w:after="60" w:line="264"/>
        <w:jc w:val="both"/>
      </w:pPr>
      <w:r>
        <w:t xml:space="preserve">the value of rent-free accommodation provided by the employer, computed as prescribed;</w:t>
      </w:r>
    </w:p>
    <w:p>
      <w:pPr>
        <w:pStyle w:val="ListParagraph"/>
        <w:numPr>
          <w:ilvl w:val="0"/>
          <w:numId w:val="2"/>
        </w:numPr>
        <w:spacing w:after="60" w:line="264"/>
        <w:jc w:val="both"/>
      </w:pPr>
      <w:r>
        <w:t xml:space="preserve">the value of accommodation provided at a concessional rate, to the extent it exceeds the rent recoverable from the employee;</w:t>
      </w:r>
    </w:p>
    <w:p>
      <w:pPr>
        <w:pStyle w:val="ListParagraph"/>
        <w:numPr>
          <w:ilvl w:val="0"/>
          <w:numId w:val="2"/>
        </w:numPr>
        <w:spacing w:after="60" w:line="264"/>
        <w:jc w:val="both"/>
      </w:pPr>
      <w:r>
        <w:t xml:space="preserve">the value of any benefit or amenity granted free or at a concessional rate to a director, to an employee having a substantial interest in the company, or to any other employee whose income under the head "Salaries" by way of monetary payment exceeds the prescribed limit;</w:t>
      </w:r>
    </w:p>
    <w:p>
      <w:pPr>
        <w:pStyle w:val="ListParagraph"/>
        <w:numPr>
          <w:ilvl w:val="0"/>
          <w:numId w:val="2"/>
        </w:numPr>
        <w:spacing w:after="60" w:line="264"/>
        <w:jc w:val="both"/>
      </w:pPr>
      <w:r>
        <w:t xml:space="preserve">any sum paid by the employer in discharge of an obligation which the employee would otherwise have had to meet, including his income-tax;</w:t>
      </w:r>
    </w:p>
    <w:p>
      <w:pPr>
        <w:pStyle w:val="ListParagraph"/>
        <w:numPr>
          <w:ilvl w:val="0"/>
          <w:numId w:val="2"/>
        </w:numPr>
        <w:spacing w:after="60" w:line="264"/>
        <w:jc w:val="both"/>
      </w:pPr>
      <w:r>
        <w:t xml:space="preserve">any sum payable by the employer to effect an assurance on the employee’s life or a contract for an annuity;</w:t>
      </w:r>
    </w:p>
    <w:p>
      <w:pPr>
        <w:pStyle w:val="ListParagraph"/>
        <w:numPr>
          <w:ilvl w:val="0"/>
          <w:numId w:val="2"/>
        </w:numPr>
        <w:spacing w:after="60" w:line="264"/>
        <w:jc w:val="both"/>
      </w:pPr>
      <w:r>
        <w:t xml:space="preserve">the value of specified securities or sweat equity shares allotted free or at a concession;</w:t>
      </w:r>
    </w:p>
    <w:p>
      <w:pPr>
        <w:pStyle w:val="ListParagraph"/>
        <w:numPr>
          <w:ilvl w:val="0"/>
          <w:numId w:val="2"/>
        </w:numPr>
        <w:spacing w:after="60" w:line="264"/>
        <w:jc w:val="both"/>
      </w:pPr>
      <w:r>
        <w:t xml:space="preserve">the employer’s contribution to an approved superannuation fund beyond the prescribed limit; and</w:t>
      </w:r>
    </w:p>
    <w:p>
      <w:pPr>
        <w:pStyle w:val="ListParagraph"/>
        <w:numPr>
          <w:ilvl w:val="0"/>
          <w:numId w:val="2"/>
        </w:numPr>
        <w:spacing w:after="60" w:line="264"/>
        <w:jc w:val="both"/>
      </w:pPr>
      <w:r>
        <w:t xml:space="preserve">such other prescribed fringe benefits.</w:t>
      </w:r>
    </w:p>
    <w:p>
      <w:pPr>
        <w:spacing w:after="120" w:line="264"/>
        <w:jc w:val="both"/>
      </w:pPr>
      <w:r>
        <w:t xml:space="preserve">Two features matter: valuation follows prescribed rules and not anyone’s estimate of worth, and specified items such as prescribed medical treatment and travel concessions are excluded.</w:t>
      </w:r>
    </w:p>
    <w:p>
      <w:pPr>
        <w:pStyle w:val="Heading3"/>
      </w:pPr>
      <w:r>
        <w:t xml:space="preserve">CIT (TDS) v. Director, Delhi Public School, (2011), Punjab and Haryana High Court</w:t>
      </w:r>
    </w:p>
    <w:p>
      <w:pPr>
        <w:spacing w:after="120" w:line="264"/>
        <w:jc w:val="both"/>
      </w:pPr>
      <w:r>
        <w:rPr>
          <w:b/>
          <w:bCs/>
          <w:i w:val="false"/>
          <w:iCs w:val="false"/>
        </w:rPr>
        <w:t xml:space="preserve">Facts. </w:t>
      </w:r>
      <w:r>
        <w:rPr>
          <w:b w:val="false"/>
          <w:bCs w:val="false"/>
          <w:i w:val="false"/>
          <w:iCs w:val="false"/>
        </w:rPr>
        <w:t xml:space="preserve">A school provided free or concessional education to the children of its employees, and the question was the employer’s obligation to deduct tax at source on the value.</w:t>
      </w:r>
    </w:p>
    <w:p>
      <w:pPr>
        <w:spacing w:after="120" w:line="264"/>
        <w:jc w:val="both"/>
      </w:pPr>
      <w:r>
        <w:rPr>
          <w:b/>
          <w:bCs/>
          <w:i w:val="false"/>
          <w:iCs w:val="false"/>
        </w:rPr>
        <w:t xml:space="preserve">Reasoning. </w:t>
      </w:r>
      <w:r>
        <w:rPr>
          <w:b w:val="false"/>
          <w:bCs w:val="false"/>
          <w:i w:val="false"/>
          <w:iCs w:val="false"/>
        </w:rPr>
        <w:t xml:space="preserve">Under the valuation rules the perquisite is measured by the cost of comparable education in a similar institution in the locality, and the proviso exempts the value where it does not exceed one thousand rupees per month per child. The taxable perquisite is therefore only the excess over that amount, and the deduction of tax at source follows that computation.</w:t>
      </w:r>
    </w:p>
    <w:p>
      <w:pPr>
        <w:pStyle w:val="Heading3"/>
      </w:pPr>
      <w:r>
        <w:t xml:space="preserve">CIT-26 v. Shankar Krishnan, (2012) 349 ITR 316 (Bombay)</w:t>
      </w:r>
    </w:p>
    <w:p>
      <w:pPr>
        <w:spacing w:after="120" w:line="264"/>
        <w:jc w:val="both"/>
      </w:pPr>
      <w:r>
        <w:rPr>
          <w:b/>
          <w:bCs/>
          <w:i w:val="false"/>
          <w:iCs w:val="false"/>
        </w:rPr>
        <w:t xml:space="preserve">Point. </w:t>
      </w:r>
      <w:r>
        <w:rPr>
          <w:b w:val="false"/>
          <w:bCs w:val="false"/>
          <w:i w:val="false"/>
          <w:iCs w:val="false"/>
        </w:rPr>
        <w:t xml:space="preserve">Rent-free or concessional accommodation must be valued in accordance with the statutory rules applied to salary as defined for that purpose, and not by reference to the market rent of the premises. Where the rules prescribe a percentage of salary, that is the measure, however valuable the accommodation.</w:t>
      </w:r>
    </w:p>
    <w:p>
      <w:pPr>
        <w:pStyle w:val="Heading3"/>
      </w:pPr>
      <w:r>
        <w:t xml:space="preserve">ITC Ltd v. CIT (TDS), (2016) 384 ITR 14 (SC)</w:t>
      </w:r>
    </w:p>
    <w:p>
      <w:pPr>
        <w:spacing w:after="120" w:line="264"/>
        <w:jc w:val="both"/>
      </w:pPr>
      <w:r>
        <w:rPr>
          <w:b/>
          <w:bCs/>
          <w:i w:val="false"/>
          <w:iCs w:val="false"/>
        </w:rPr>
        <w:t xml:space="preserve">Facts. </w:t>
      </w:r>
      <w:r>
        <w:rPr>
          <w:b w:val="false"/>
          <w:bCs w:val="false"/>
          <w:i w:val="false"/>
          <w:iCs w:val="false"/>
        </w:rPr>
        <w:t xml:space="preserve">Hotels collected tips from customers, including amounts added to credit card bills, and distributed them to their employees without deducting tax at source. The Revenue treated the hotels as assessees in default under section 192.</w:t>
      </w:r>
    </w:p>
    <w:p>
      <w:pPr>
        <w:spacing w:after="120" w:line="264"/>
        <w:jc w:val="both"/>
      </w:pPr>
      <w:r>
        <w:rPr>
          <w:b/>
          <w:bCs/>
          <w:i w:val="false"/>
          <w:iCs w:val="false"/>
        </w:rPr>
        <w:t xml:space="preserve">Held. </w:t>
      </w:r>
      <w:r>
        <w:rPr>
          <w:b w:val="false"/>
          <w:bCs w:val="false"/>
          <w:i w:val="false"/>
          <w:iCs w:val="false"/>
        </w:rPr>
        <w:t xml:space="preserve">Tips are not salary, section 192 did not apply, and the employers were not in default.</w:t>
      </w:r>
    </w:p>
    <w:p>
      <w:pPr>
        <w:spacing w:after="120" w:line="264"/>
        <w:jc w:val="both"/>
      </w:pPr>
      <w:r>
        <w:rPr>
          <w:b/>
          <w:bCs/>
          <w:i w:val="false"/>
          <w:iCs w:val="false"/>
        </w:rPr>
        <w:t xml:space="preserve">Reasoning. </w:t>
      </w:r>
      <w:r>
        <w:rPr>
          <w:b w:val="false"/>
          <w:bCs w:val="false"/>
          <w:i w:val="false"/>
          <w:iCs w:val="false"/>
        </w:rPr>
        <w:t xml:space="preserve">Section 192 obliges an employer to deduct tax from income paid by it under the head "Salaries". Tips are voluntary payments made by customers and not by the employer; the employer receives them in a fiduciary capacity and merely passes them on. There is no reference to them in the contract of employment and the employee has no vested right to them, so they are not salary. They remain taxable in the employees’ hands as income from other sources.</w:t>
      </w:r>
    </w:p>
    <w:p>
      <w:pPr>
        <w:spacing w:after="120" w:line="264"/>
        <w:jc w:val="both"/>
      </w:pPr>
      <w:r>
        <w:rPr>
          <w:b/>
          <w:bCs/>
          <w:i w:val="false"/>
          <w:iCs w:val="false"/>
        </w:rPr>
        <w:t xml:space="preserve">Use. </w:t>
      </w:r>
      <w:r>
        <w:rPr>
          <w:b w:val="false"/>
          <w:bCs w:val="false"/>
          <w:i w:val="false"/>
          <w:iCs w:val="false"/>
        </w:rPr>
        <w:t xml:space="preserve">A useful contrast with the general rule that whatever is received by virtue of employment is salary: the payment must flow from the employer and from the contract of employment.</w:t>
      </w:r>
    </w:p>
    <w:p>
      <w:pPr>
        <w:pStyle w:val="Heading2"/>
      </w:pPr>
      <w:r>
        <w:t xml:space="preserve">4.6 Profits in lieu of salary — section 18 [17(3)]</w:t>
      </w:r>
    </w:p>
    <w:p>
      <w:pPr>
        <w:spacing w:after="120" w:line="264"/>
        <w:jc w:val="both"/>
      </w:pPr>
      <w:r>
        <w:t xml:space="preserve">Covers compensation for the termination or modification of the terms of employment, payments from a provident or other fund to the extent not exempt, sums under a keyman insurance policy, and amounts received before joining or after ceasing employment. The object is to stop an employment-related payment escaping tax merely because it is called compensation or ex gratia rather than salary.</w:t>
      </w:r>
    </w:p>
    <w:p>
      <w:pPr>
        <w:pStyle w:val="Heading2"/>
      </w:pPr>
      <w:r>
        <w:t xml:space="preserve">4.7 Permissible deductions and exemptions — section 19</w:t>
      </w:r>
    </w:p>
    <w:p>
      <w:pPr>
        <w:spacing w:after="120" w:line="264"/>
        <w:jc w:val="both"/>
      </w:pPr>
      <w:r>
        <w:t xml:space="preserve">The head is deliberately narrow: only the deductions the Act allows may be claimed, and expenditure incurred to earn salary is not otherwise deductible. Section 19 allows a standard deduction from salary of seventy-five thousand rupees under the default regime and fifty thousand rupees under the old regime, without proof of expenditure; a deduction for entertainment allowance within limits for Government employees; and a deduction for professional or employment tax actually paid.</w:t>
      </w:r>
    </w:p>
    <w:p>
      <w:pPr>
        <w:spacing w:after="120" w:line="264"/>
        <w:jc w:val="both"/>
      </w:pPr>
      <w:r>
        <w:t xml:space="preserve">Relief for retirement receipts — gratuity, commuted pension, leave encashment, retrenchment compensation and voluntary retirement compensation — is given by statutory formula subject to monetary ceilings, carried forward from section 10 of the Act of 1961 into section 19 read with the Schedules. House rent allowance, leave travel concession and specified allowances operate as exemptions under the Schedules. Most of these are restricted under the default regime.</w:t>
      </w:r>
    </w:p>
    <w:p>
      <w:pPr>
        <w:pStyle w:val="Heading2"/>
      </w:pPr>
      <w:r>
        <w:t xml:space="preserve">4.8 Allied issues</w:t>
      </w:r>
    </w:p>
    <w:p>
      <w:pPr>
        <w:spacing w:after="120" w:line="264"/>
        <w:jc w:val="both"/>
      </w:pPr>
      <w:r>
        <w:rPr>
          <w:b/>
          <w:bCs/>
          <w:i w:val="false"/>
          <w:iCs w:val="false"/>
        </w:rPr>
        <w:t xml:space="preserve">Advance salary and a loan against salary. </w:t>
      </w:r>
      <w:r>
        <w:rPr>
          <w:b w:val="false"/>
          <w:bCs w:val="false"/>
          <w:i w:val="false"/>
          <w:iCs w:val="false"/>
        </w:rPr>
        <w:t xml:space="preserve">Advance salary is salary paid before it falls due and is taxable on receipt, with the Act preventing a second charge when it becomes due. A loan against future salary is a debt that must be repaid; it is not taxable on receipt merely because salary secures it, and only the salary is taxed as it becomes due.</w:t>
      </w:r>
    </w:p>
    <w:p>
      <w:pPr>
        <w:spacing w:after="120" w:line="264"/>
        <w:jc w:val="both"/>
      </w:pPr>
      <w:r>
        <w:rPr>
          <w:b/>
          <w:bCs/>
          <w:i w:val="false"/>
          <w:iCs w:val="false"/>
        </w:rPr>
        <w:t xml:space="preserve">Leave encashment. </w:t>
      </w:r>
      <w:r>
        <w:rPr>
          <w:b w:val="false"/>
          <w:bCs w:val="false"/>
          <w:i w:val="false"/>
          <w:iCs w:val="false"/>
        </w:rPr>
        <w:t xml:space="preserve">Payment for leave not availed of during service is treated at par with salary and is fully taxable. Encashment at retirement attracts statutory relief within limits.</w:t>
      </w:r>
    </w:p>
    <w:p>
      <w:pPr>
        <w:spacing w:after="120" w:line="264"/>
        <w:jc w:val="both"/>
      </w:pPr>
      <w:r>
        <w:rPr>
          <w:b/>
          <w:bCs/>
          <w:i w:val="false"/>
          <w:iCs w:val="false"/>
        </w:rPr>
        <w:t xml:space="preserve">There is no tax-free salary. </w:t>
      </w:r>
      <w:r>
        <w:rPr>
          <w:b w:val="false"/>
          <w:bCs w:val="false"/>
          <w:i w:val="false"/>
          <w:iCs w:val="false"/>
        </w:rPr>
        <w:t xml:space="preserve">If the employer bears the employee’s tax, that payment discharges an obligation of the employee and is itself a benefit, so it is added to salary. Because the tax on the added amount is also a benefit, the figure must be grossed up. Class illustration: salary in hand twenty lakh, tax of two lakh borne by the employer, tax of twenty thousand on that two lakh, giving total salary of twenty-two lakh twenty thousand rupees.</w:t>
      </w:r>
    </w:p>
    <w:p>
      <w:pPr>
        <w:pStyle w:val="Heading1"/>
      </w:pPr>
      <w:r>
        <w:t xml:space="preserve">Unit V — Income from House Property</w:t>
      </w:r>
    </w:p>
    <w:p>
      <w:pPr>
        <w:pStyle w:val="Heading2"/>
      </w:pPr>
      <w:r>
        <w:t xml:space="preserve">5.1 Rationale of the charge</w:t>
      </w:r>
    </w:p>
    <w:p>
      <w:pPr>
        <w:spacing w:after="120" w:line="264"/>
        <w:jc w:val="both"/>
      </w:pPr>
      <w:r>
        <w:t xml:space="preserve">This head taxes the annual value of the property, that is its capacity to earn, and not merely what the owner actually receives. The reasons explain almost every rule that follows. The property itself, rather than any activity of the owner, is treated as the source, so income is attributed to ownership of the building. Taxing earning capacity prevents avoidance, because an owner who keeps a lettable property idle or lets it cheaply to a relative is left in the same position as one who lets it at a fair rent. Annual value is also an objective measure that can be fixed from municipal valuation, rent control standards and comparable rents without examining the owner’s accounts. In return the law allows a flat thirty per cent deduction for repairs without proof of expenditure, and a deduction for interest on capital borrowed for the property.</w:t>
      </w:r>
    </w:p>
    <w:p>
      <w:pPr>
        <w:pStyle w:val="Heading2"/>
      </w:pPr>
      <w:r>
        <w:t xml:space="preserve">5.2 Chargeability — section 20 [22]</w:t>
      </w:r>
    </w:p>
    <w:p>
      <w:pPr>
        <w:spacing w:after="120" w:line="264"/>
        <w:jc w:val="both"/>
      </w:pPr>
      <w:r>
        <w:t xml:space="preserve">Section 20(1): the annual value of property consisting of any buildings or lands appurtenant thereto, owned by the assessee, is chargeable under the head "Income from house property". Section 20(2): this does not apply to such portions of the property as the assessee may occupy for the purposes of his business or profession, the profits of which are chargeable to tax.</w:t>
      </w:r>
    </w:p>
    <w:p>
      <w:pPr>
        <w:spacing w:after="120" w:line="264"/>
        <w:jc w:val="both"/>
      </w:pPr>
      <w:r>
        <w:t xml:space="preserve">Three conditions: there must be a building, or land appurtenant to a building; the assessee must be the owner; and the property must not be occupied by him for his own business or profession whose profits are taxed. Income from vacant land alone is not charged under this head.</w:t>
      </w:r>
    </w:p>
    <w:p>
      <w:pPr>
        <w:spacing w:after="120" w:line="264"/>
        <w:jc w:val="both"/>
      </w:pPr>
      <w:r>
        <w:t xml:space="preserve">Land appurtenant means land attached to and enjoyed with the building as part of the same unit — a courtyard, garden, lawn, backyard, parking area or approach road, with the rights enjoyed along with the building.</w:t>
      </w:r>
    </w:p>
    <w:p>
      <w:pPr>
        <w:pStyle w:val="Heading3"/>
      </w:pPr>
      <w:r>
        <w:t xml:space="preserve">CIT v. Zaibunnisa Begum, (1985) 151 ITR 320 (Andhra Pradesh)</w:t>
      </w:r>
    </w:p>
    <w:p>
      <w:pPr>
        <w:spacing w:after="120" w:line="264"/>
        <w:jc w:val="both"/>
      </w:pPr>
      <w:r>
        <w:rPr>
          <w:b/>
          <w:bCs/>
          <w:i w:val="false"/>
          <w:iCs w:val="false"/>
        </w:rPr>
        <w:t xml:space="preserve">What the case was about. </w:t>
      </w:r>
      <w:r>
        <w:rPr>
          <w:b w:val="false"/>
          <w:bCs w:val="false"/>
          <w:i w:val="false"/>
          <w:iCs w:val="false"/>
        </w:rPr>
        <w:t xml:space="preserve">The case arose under section 54, on exemption from capital gains where a residential house is transferred and the proceeds reinvested. The assessee had sold a building together with a large extent of land, and the question was how much of that land was "appurtenant" to the building. It is therefore not itself a house property case; it is used for its analysis of the words "land appurtenant thereto", which appear in both provisions.</w:t>
      </w:r>
    </w:p>
    <w:p>
      <w:pPr>
        <w:spacing w:after="120" w:line="264"/>
        <w:jc w:val="both"/>
      </w:pPr>
      <w:r>
        <w:rPr>
          <w:b/>
          <w:bCs/>
          <w:i w:val="false"/>
          <w:iCs w:val="false"/>
        </w:rPr>
        <w:t xml:space="preserve">Reasoning. </w:t>
      </w:r>
      <w:r>
        <w:rPr>
          <w:b w:val="false"/>
          <w:bCs w:val="false"/>
          <w:i w:val="false"/>
          <w:iCs w:val="false"/>
        </w:rPr>
        <w:t xml:space="preserve">The Court laid down tests for identifying appurtenant land. If the building together with the land is treated as an indivisible unit and enjoyed as such by the persons occupying the building, that indicates the whole extent of land is appurtenant to it. But where the lands are extensive, an enquiry may be made whether any part of the land contiguous to the building can be put to independent use without causing detriment to the enjoyment of the building as such; land which can be so used is not appurtenant. Mere contiguity is therefore not enough.</w:t>
      </w:r>
    </w:p>
    <w:p>
      <w:pPr>
        <w:spacing w:after="120" w:line="264"/>
        <w:jc w:val="both"/>
      </w:pPr>
      <w:r>
        <w:rPr>
          <w:b/>
          <w:bCs/>
          <w:i w:val="false"/>
          <w:iCs w:val="false"/>
        </w:rPr>
        <w:t xml:space="preserve">Caution. </w:t>
      </w:r>
      <w:r>
        <w:rPr>
          <w:b w:val="false"/>
          <w:bCs w:val="false"/>
          <w:i w:val="false"/>
          <w:iCs w:val="false"/>
        </w:rPr>
        <w:t xml:space="preserve">The class note that agricultural or horticultural use makes land non-appurtenant follows the same logic of independent user, but could not be confirmed as an express holding. State it as an application of the independent-use test rather than as a separate rule.</w:t>
      </w:r>
    </w:p>
    <w:p>
      <w:pPr>
        <w:pStyle w:val="Heading2"/>
      </w:pPr>
      <w:r>
        <w:t xml:space="preserve">5.3 The heads are mutually exclusive</w:t>
      </w:r>
    </w:p>
    <w:p>
      <w:pPr>
        <w:pStyle w:val="Heading3"/>
      </w:pPr>
      <w:r>
        <w:t xml:space="preserve">East India Housing and Land Development Trust Ltd v. CIT, (1961) 42 ITR 49 (SC)</w:t>
      </w:r>
    </w:p>
    <w:p>
      <w:pPr>
        <w:spacing w:after="120" w:line="264"/>
        <w:jc w:val="both"/>
      </w:pPr>
      <w:r>
        <w:rPr>
          <w:b/>
          <w:bCs/>
          <w:i w:val="false"/>
          <w:iCs w:val="false"/>
        </w:rPr>
        <w:t xml:space="preserve">Facts. </w:t>
      </w:r>
      <w:r>
        <w:rPr>
          <w:b w:val="false"/>
          <w:bCs w:val="false"/>
          <w:i w:val="false"/>
          <w:iCs w:val="false"/>
        </w:rPr>
        <w:t xml:space="preserve">The company was incorporated to buy and develop land. It built a market on its land and let out the shops and stalls, and claimed the rent as business income because dealing in property was its business.</w:t>
      </w:r>
    </w:p>
    <w:p>
      <w:pPr>
        <w:spacing w:after="120" w:line="264"/>
        <w:jc w:val="both"/>
      </w:pPr>
      <w:r>
        <w:rPr>
          <w:b/>
          <w:bCs/>
          <w:i w:val="false"/>
          <w:iCs w:val="false"/>
        </w:rPr>
        <w:t xml:space="preserve">Held. </w:t>
      </w:r>
      <w:r>
        <w:rPr>
          <w:b w:val="false"/>
          <w:bCs w:val="false"/>
          <w:i w:val="false"/>
          <w:iCs w:val="false"/>
        </w:rPr>
        <w:t xml:space="preserve">The rental income was chargeable as income from house property.</w:t>
      </w:r>
    </w:p>
    <w:p>
      <w:pPr>
        <w:spacing w:after="120" w:line="264"/>
        <w:jc w:val="both"/>
      </w:pPr>
      <w:r>
        <w:rPr>
          <w:b/>
          <w:bCs/>
          <w:i w:val="false"/>
          <w:iCs w:val="false"/>
        </w:rPr>
        <w:t xml:space="preserve">Reasoning. </w:t>
      </w:r>
      <w:r>
        <w:rPr>
          <w:b w:val="false"/>
          <w:bCs w:val="false"/>
          <w:i w:val="false"/>
          <w:iCs w:val="false"/>
        </w:rPr>
        <w:t xml:space="preserve">The heads of income are specific and mutually exclusive. Where income falls squarely within the description of a particular head, it must be computed under that head, whatever the nature of the assessee’s business and however the income is treated in its accounts. What decides the head is the character of the income, not the character of the assessee.</w:t>
      </w:r>
    </w:p>
    <w:p>
      <w:pPr>
        <w:pStyle w:val="Heading2"/>
      </w:pPr>
      <w:r>
        <w:t xml:space="preserve">5.4 Ownership and deemed ownership</w:t>
      </w:r>
    </w:p>
    <w:p>
      <w:pPr>
        <w:spacing w:after="120" w:line="264"/>
        <w:jc w:val="both"/>
      </w:pPr>
      <w:r>
        <w:t xml:space="preserve">The charge falls on the owner, and ownership here is not tested by title deeds alone. What the courts look for is the person entitled to the income of the property in his own right.</w:t>
      </w:r>
    </w:p>
    <w:p>
      <w:pPr>
        <w:pStyle w:val="Heading3"/>
      </w:pPr>
      <w:r>
        <w:t xml:space="preserve">CIT v. Podar Cement Pvt Ltd, (1997) 226 ITR 625 (SC)</w:t>
      </w:r>
    </w:p>
    <w:p>
      <w:pPr>
        <w:spacing w:after="120" w:line="264"/>
        <w:jc w:val="both"/>
      </w:pPr>
      <w:r>
        <w:rPr>
          <w:b/>
          <w:bCs/>
          <w:i w:val="false"/>
          <w:iCs w:val="false"/>
        </w:rPr>
        <w:t xml:space="preserve">Facts. </w:t>
      </w:r>
      <w:r>
        <w:rPr>
          <w:b w:val="false"/>
          <w:bCs w:val="false"/>
          <w:i w:val="false"/>
          <w:iCs w:val="false"/>
        </w:rPr>
        <w:t xml:space="preserve">The assessees had paid the full price of flats and had been given possession, and were receiving the rent, but no conveyance had been registered in their favour. The Revenue argued that without a registered document they were not owners and could not be assessed under this head.</w:t>
      </w:r>
    </w:p>
    <w:p>
      <w:pPr>
        <w:spacing w:after="120" w:line="264"/>
        <w:jc w:val="both"/>
      </w:pPr>
      <w:r>
        <w:rPr>
          <w:b/>
          <w:bCs/>
          <w:i w:val="false"/>
          <w:iCs w:val="false"/>
        </w:rPr>
        <w:t xml:space="preserve">Held. </w:t>
      </w:r>
      <w:r>
        <w:rPr>
          <w:b w:val="false"/>
          <w:bCs w:val="false"/>
          <w:i w:val="false"/>
          <w:iCs w:val="false"/>
        </w:rPr>
        <w:t xml:space="preserve">They were the owners for the purposes of the charge.</w:t>
      </w:r>
    </w:p>
    <w:p>
      <w:pPr>
        <w:spacing w:after="120" w:line="264"/>
        <w:jc w:val="both"/>
      </w:pPr>
      <w:r>
        <w:rPr>
          <w:b/>
          <w:bCs/>
          <w:i w:val="false"/>
          <w:iCs w:val="false"/>
        </w:rPr>
        <w:t xml:space="preserve">Reasoning. </w:t>
      </w:r>
      <w:r>
        <w:rPr>
          <w:b w:val="false"/>
          <w:bCs w:val="false"/>
          <w:i w:val="false"/>
          <w:iCs w:val="false"/>
        </w:rPr>
        <w:t xml:space="preserve">For this head "owner" means the person who is entitled to receive income from the property in his own right. Registration of a conveyance is not a condition of ownership for tax purposes. A person who has paid the consideration, taken possession and enjoys the property as owner is the owner, because the provision is concerned with who in reality enjoys the income of the property. The decision has been consistently followed.</w:t>
      </w:r>
    </w:p>
    <w:p>
      <w:pPr>
        <w:pStyle w:val="Heading3"/>
      </w:pPr>
      <w:r>
        <w:t xml:space="preserve">R.B. Jodha Mal Kuthiala v. CIT, (1971) 82 ITR 570 (SC)</w:t>
      </w:r>
    </w:p>
    <w:p>
      <w:pPr>
        <w:spacing w:after="120" w:line="264"/>
        <w:jc w:val="both"/>
      </w:pPr>
      <w:r>
        <w:rPr>
          <w:b/>
          <w:bCs/>
          <w:i w:val="false"/>
          <w:iCs w:val="false"/>
        </w:rPr>
        <w:t xml:space="preserve">Facts. </w:t>
      </w:r>
      <w:r>
        <w:rPr>
          <w:b w:val="false"/>
          <w:bCs w:val="false"/>
          <w:i w:val="false"/>
          <w:iCs w:val="false"/>
        </w:rPr>
        <w:t xml:space="preserve">The assessee’s property in Lahore vested in the Custodian of Evacuee Property in Pakistan after Partition. The assessee could neither occupy the property nor receive its income, though he remained the title-holder.</w:t>
      </w:r>
    </w:p>
    <w:p>
      <w:pPr>
        <w:spacing w:after="120" w:line="264"/>
        <w:jc w:val="both"/>
      </w:pPr>
      <w:r>
        <w:rPr>
          <w:b/>
          <w:bCs/>
          <w:i w:val="false"/>
          <w:iCs w:val="false"/>
        </w:rPr>
        <w:t xml:space="preserve">Held. </w:t>
      </w:r>
      <w:r>
        <w:rPr>
          <w:b w:val="false"/>
          <w:bCs w:val="false"/>
          <w:i w:val="false"/>
          <w:iCs w:val="false"/>
        </w:rPr>
        <w:t xml:space="preserve">He was not the owner for the purpose of the charge.</w:t>
      </w:r>
    </w:p>
    <w:p>
      <w:pPr>
        <w:spacing w:after="120" w:line="264"/>
        <w:jc w:val="both"/>
      </w:pPr>
      <w:r>
        <w:rPr>
          <w:b/>
          <w:bCs/>
          <w:i w:val="false"/>
          <w:iCs w:val="false"/>
        </w:rPr>
        <w:t xml:space="preserve">Reasoning. </w:t>
      </w:r>
      <w:r>
        <w:rPr>
          <w:b w:val="false"/>
          <w:bCs w:val="false"/>
          <w:i w:val="false"/>
          <w:iCs w:val="false"/>
        </w:rPr>
        <w:t xml:space="preserve">The owner is the person who can exercise the rights of the owner, not on behalf of the owner but in his own right. Where the whole bundle of rights of ownership has passed to another, the person left holding a paper title is not taxable on the annual value.</w:t>
      </w:r>
    </w:p>
    <w:p>
      <w:pPr>
        <w:spacing w:after="120" w:line="264"/>
        <w:jc w:val="both"/>
      </w:pPr>
      <w:r>
        <w:rPr>
          <w:b/>
          <w:bCs/>
          <w:i w:val="false"/>
          <w:iCs w:val="false"/>
        </w:rPr>
        <w:t xml:space="preserve">Read with Podar Cement. </w:t>
      </w:r>
      <w:r>
        <w:rPr>
          <w:b w:val="false"/>
          <w:bCs w:val="false"/>
          <w:i w:val="false"/>
          <w:iCs w:val="false"/>
        </w:rPr>
        <w:t xml:space="preserve">The two are consistent: both reject a formal test of title and ask who really enjoys the rights and income of ownership. Podar Cement relied on this case. Together: a person without registered title may be the owner, and a person with registered title may not be.</w:t>
      </w:r>
    </w:p>
    <w:p>
      <w:pPr>
        <w:pStyle w:val="Heading3"/>
      </w:pPr>
      <w:r>
        <w:t xml:space="preserve">Maneklal Agarwal v. DCIT (Supreme Court, 14 July 2017)</w:t>
      </w:r>
    </w:p>
    <w:p>
      <w:pPr>
        <w:spacing w:after="120" w:line="264"/>
        <w:jc w:val="both"/>
      </w:pPr>
      <w:r>
        <w:rPr>
          <w:b/>
          <w:bCs/>
          <w:i w:val="false"/>
          <w:iCs w:val="false"/>
        </w:rPr>
        <w:t xml:space="preserve">Facts. </w:t>
      </w:r>
      <w:r>
        <w:rPr>
          <w:b w:val="false"/>
          <w:bCs w:val="false"/>
          <w:i w:val="false"/>
          <w:iCs w:val="false"/>
        </w:rPr>
        <w:t xml:space="preserve">For assessment year 1998-99 the assessee returned a total income of Rs 67,200. He had leased his property to his own wife, son and daughter-in-law at very nominal rates, and they in turn sub-leased it to outsiders at much higher rents. The assessing officer treated the rent received by the lessees as the assessee’s rental income, taking it at Rs 7,98,000 and assessing Rs 6,38,400 after the allowance for repairs. The appellate authorities found the leases bogus and the structures to have been raised by the assessee himself.</w:t>
      </w:r>
    </w:p>
    <w:p>
      <w:pPr>
        <w:spacing w:after="120" w:line="264"/>
        <w:jc w:val="both"/>
      </w:pPr>
      <w:r>
        <w:rPr>
          <w:b/>
          <w:bCs/>
          <w:i w:val="false"/>
          <w:iCs w:val="false"/>
        </w:rPr>
        <w:t xml:space="preserve">Held. </w:t>
      </w:r>
      <w:r>
        <w:rPr>
          <w:b w:val="false"/>
          <w:bCs w:val="false"/>
          <w:i w:val="false"/>
          <w:iCs w:val="false"/>
        </w:rPr>
        <w:t xml:space="preserve">The income was rightly taxed in the assessee’s hands. The appeals were disposed of on that basis.</w:t>
      </w:r>
    </w:p>
    <w:p>
      <w:pPr>
        <w:spacing w:after="120" w:line="264"/>
        <w:jc w:val="both"/>
      </w:pPr>
      <w:r>
        <w:rPr>
          <w:b/>
          <w:bCs/>
          <w:i w:val="false"/>
          <w:iCs w:val="false"/>
        </w:rPr>
        <w:t xml:space="preserve">Reasoning. </w:t>
      </w:r>
      <w:r>
        <w:rPr>
          <w:b w:val="false"/>
          <w:bCs w:val="false"/>
          <w:i w:val="false"/>
          <w:iCs w:val="false"/>
        </w:rPr>
        <w:t xml:space="preserve">On the findings of fact, a device had been adopted by the assessee to show a lesser income in his own hands, which was the only reason for the lease to his family members at nominal rates coupled with their sub-letting at much higher rents. Those findings could not be interfered with. Applying its earlier ruling that the assessing authority has the right to tax the "right person", once the income was found in fact to belong to the assessee he was the right person and it was permissible to tax it in his hands.</w:t>
      </w:r>
    </w:p>
    <w:p>
      <w:pPr>
        <w:spacing w:after="120" w:line="264"/>
        <w:jc w:val="both"/>
      </w:pPr>
      <w:r>
        <w:rPr>
          <w:b/>
          <w:bCs/>
          <w:i w:val="false"/>
          <w:iCs w:val="false"/>
        </w:rPr>
        <w:t xml:space="preserve">A further direction. </w:t>
      </w:r>
      <w:r>
        <w:rPr>
          <w:b w:val="false"/>
          <w:bCs w:val="false"/>
          <w:i w:val="false"/>
          <w:iCs w:val="false"/>
        </w:rPr>
        <w:t xml:space="preserve">The Court noted that the same income had also been taxed in the hands of the wife, son and daughter-in-law, who on the department’s own case were the wrong persons, and that there would thus be double taxation of the same income. It left it open to them to seek redress in appropriate proceedings.</w:t>
      </w:r>
    </w:p>
    <w:p>
      <w:pPr>
        <w:spacing w:after="120" w:line="264"/>
        <w:jc w:val="both"/>
      </w:pPr>
      <w:r>
        <w:rPr>
          <w:b/>
          <w:bCs/>
          <w:i w:val="false"/>
          <w:iCs w:val="false"/>
        </w:rPr>
        <w:t xml:space="preserve">Deemed owner — section 25 [27]. </w:t>
      </w:r>
      <w:r>
        <w:rPr>
          <w:b w:val="false"/>
          <w:bCs w:val="false"/>
          <w:i w:val="false"/>
          <w:iCs w:val="false"/>
        </w:rPr>
        <w:t xml:space="preserve">Certain persons are treated as owners though not the legal owners, to prevent avoidance by placing title elsewhere: an individual who transfers property to his or her spouse otherwise than for adequate consideration, except in connection with an agreement to live apart, or to a minor child otherwise than for adequate consideration, a married daughter excepted; the holder of an impartible estate; a member of a co-operative society, company or other association to whom a building or part of it is allotted or leased under a house building scheme; a person who has taken or retained possession in part performance of a contract of the nature referred to in section 53A of the Transfer of Property Act, 1882; and a person who acquires rights in a building under a lease for a term of not less than twelve years.</w:t>
      </w:r>
    </w:p>
    <w:p>
      <w:pPr>
        <w:spacing w:after="120" w:line="264"/>
        <w:jc w:val="both"/>
      </w:pPr>
      <w:r>
        <w:rPr>
          <w:b/>
          <w:bCs/>
          <w:i w:val="false"/>
          <w:iCs w:val="false"/>
        </w:rPr>
        <w:t xml:space="preserve">Co-owners — section 24 [26]. </w:t>
      </w:r>
      <w:r>
        <w:rPr>
          <w:b w:val="false"/>
          <w:bCs w:val="false"/>
          <w:i w:val="false"/>
          <w:iCs w:val="false"/>
        </w:rPr>
        <w:t xml:space="preserve">Where property is owned by two or more persons and their shares are definite and ascertainable, each is assessed separately on his share and not as an association of persons.</w:t>
      </w:r>
    </w:p>
    <w:p>
      <w:pPr>
        <w:pStyle w:val="Heading2"/>
      </w:pPr>
      <w:r>
        <w:t xml:space="preserve">5.5 Determination of annual value — section 21 [23]</w:t>
      </w:r>
    </w:p>
    <w:p>
      <w:pPr>
        <w:spacing w:after="120" w:line="264"/>
        <w:jc w:val="both"/>
      </w:pPr>
      <w:r>
        <w:rPr>
          <w:b/>
          <w:bCs/>
          <w:i w:val="false"/>
          <w:iCs w:val="false"/>
        </w:rPr>
        <w:t xml:space="preserve">Sub-section (1). </w:t>
      </w:r>
      <w:r>
        <w:rPr>
          <w:b w:val="false"/>
          <w:bCs w:val="false"/>
          <w:i w:val="false"/>
          <w:iCs w:val="false"/>
        </w:rPr>
        <w:t xml:space="preserve">Annual value is deemed to be the higher of the sum for which the property might reasonably be expected to let from year to year (expected rent), or the actual rent received or receivable by the owner if the property or any part of it is let. Expected rent is judged from the fair or market rent of comparable property, the municipal valuation, and the standard rent under rent control law where it applies. Taking the higher figure stops an artificially low rent from fixing the tax.</w:t>
      </w:r>
    </w:p>
    <w:p>
      <w:pPr>
        <w:spacing w:after="120" w:line="264"/>
        <w:jc w:val="both"/>
      </w:pPr>
      <w:r>
        <w:rPr>
          <w:b/>
          <w:bCs/>
          <w:i w:val="false"/>
          <w:iCs w:val="false"/>
        </w:rPr>
        <w:t xml:space="preserve">Sub-section (2). </w:t>
      </w:r>
      <w:r>
        <w:rPr>
          <w:b w:val="false"/>
          <w:bCs w:val="false"/>
          <w:i w:val="false"/>
          <w:iCs w:val="false"/>
        </w:rPr>
        <w:t xml:space="preserve">If a let property was vacant for the whole or part of the year and, because of the vacancy, the actual rent is less than the expected rent, the annual value is the actual rent received or receivable. The shortfall must be caused by the vacancy.</w:t>
      </w:r>
    </w:p>
    <w:p>
      <w:pPr>
        <w:spacing w:after="120" w:line="264"/>
        <w:jc w:val="both"/>
      </w:pPr>
      <w:r>
        <w:rPr>
          <w:b/>
          <w:bCs/>
          <w:i w:val="false"/>
          <w:iCs w:val="false"/>
        </w:rPr>
        <w:t xml:space="preserve">Sub-section (3). </w:t>
      </w:r>
      <w:r>
        <w:rPr>
          <w:b w:val="false"/>
          <w:bCs w:val="false"/>
          <w:i w:val="false"/>
          <w:iCs w:val="false"/>
        </w:rPr>
        <w:t xml:space="preserve">The annual value is reduced by taxes, including service taxes, levied by a local authority in respect of the property and actually paid during the tax year by the owner, whatever the year in which they became payable. Three conditions: levied by a local authority, actually paid, and paid by the owner. The deduction is on a payment basis.</w:t>
      </w:r>
    </w:p>
    <w:p>
      <w:pPr>
        <w:spacing w:after="120" w:line="264"/>
        <w:jc w:val="both"/>
      </w:pPr>
      <w:r>
        <w:rPr>
          <w:b/>
          <w:bCs/>
          <w:i w:val="false"/>
          <w:iCs w:val="false"/>
        </w:rPr>
        <w:t xml:space="preserve">Sub-section (4). </w:t>
      </w:r>
      <w:r>
        <w:rPr>
          <w:b w:val="false"/>
          <w:bCs w:val="false"/>
          <w:i w:val="false"/>
          <w:iCs w:val="false"/>
        </w:rPr>
        <w:t xml:space="preserve">Rent which cannot be realised by the owner is excluded from actual rent, subject to the prescribed conditions.</w:t>
      </w:r>
    </w:p>
    <w:p>
      <w:pPr>
        <w:spacing w:after="120" w:line="264"/>
        <w:jc w:val="both"/>
      </w:pPr>
      <w:r>
        <w:rPr>
          <w:b/>
          <w:bCs/>
          <w:i w:val="false"/>
          <w:iCs w:val="false"/>
        </w:rPr>
        <w:t xml:space="preserve">Sub-section (5). </w:t>
      </w:r>
      <w:r>
        <w:rPr>
          <w:b w:val="false"/>
          <w:bCs w:val="false"/>
          <w:i w:val="false"/>
          <w:iCs w:val="false"/>
        </w:rPr>
        <w:t xml:space="preserve">Where property is held as stock-in-trade and is not let at all during the tax year, its annual value is nil for up to two years from the end of the financial year in which the completion certificate was obtained. Class illustration: a builder completes 100 flats and sells 90; the 10 unsold flats have nil annual value for two years, after which section 21(1) applies and he is charged on expected rent although they remain unsold and unlet.</w:t>
      </w:r>
    </w:p>
    <w:p>
      <w:pPr>
        <w:spacing w:after="120" w:line="264"/>
        <w:jc w:val="both"/>
      </w:pPr>
      <w:r>
        <w:rPr>
          <w:b/>
          <w:bCs/>
          <w:i w:val="false"/>
          <w:iCs w:val="false"/>
        </w:rPr>
        <w:t xml:space="preserve">Sub-section (6). </w:t>
      </w:r>
      <w:r>
        <w:rPr>
          <w:b w:val="false"/>
          <w:bCs w:val="false"/>
          <w:i w:val="false"/>
          <w:iCs w:val="false"/>
        </w:rPr>
        <w:t xml:space="preserve">The annual value of a house or part of it is nil if the owner occupies it for his own residence or cannot actually occupy it for any reason, for example because his employment is elsewhere.</w:t>
      </w:r>
    </w:p>
    <w:p>
      <w:pPr>
        <w:spacing w:after="120" w:line="264"/>
        <w:jc w:val="both"/>
      </w:pPr>
      <w:r>
        <w:rPr>
          <w:b/>
          <w:bCs/>
          <w:i w:val="false"/>
          <w:iCs w:val="false"/>
        </w:rPr>
        <w:t xml:space="preserve">Sub-section (7). </w:t>
      </w:r>
      <w:r>
        <w:rPr>
          <w:b w:val="false"/>
          <w:bCs w:val="false"/>
          <w:i w:val="false"/>
          <w:iCs w:val="false"/>
        </w:rPr>
        <w:t xml:space="preserve">That nil valuation applies to only two such houses, as specified by the assessee; any further house is treated as let out and charged on expected rent. It does not apply to a house or part actually let during the year or in respect of which the owner derives any other benefit.</w:t>
      </w:r>
    </w:p>
    <w:p>
      <w:pPr>
        <w:pStyle w:val="Heading3"/>
      </w:pPr>
      <w:r>
        <w:t xml:space="preserve">CIT v. Biman Behari Shaw, Shebait, (1968) 68 ITR 815 (Calcutta)</w:t>
      </w:r>
    </w:p>
    <w:p>
      <w:pPr>
        <w:spacing w:after="120" w:line="264"/>
        <w:jc w:val="both"/>
      </w:pPr>
      <w:r>
        <w:rPr>
          <w:b/>
          <w:bCs/>
          <w:i w:val="false"/>
          <w:iCs w:val="false"/>
        </w:rPr>
        <w:t xml:space="preserve">Facts. </w:t>
      </w:r>
      <w:r>
        <w:rPr>
          <w:b w:val="false"/>
          <w:bCs w:val="false"/>
          <w:i w:val="false"/>
          <w:iCs w:val="false"/>
        </w:rPr>
        <w:t xml:space="preserve">A will of 1925 dedicated properties to two deities, creating a debutter estate. Two of them were temples in Calcutta, and clause 17 of the will barred anyone except the Brahmin performing the worship and the servants from residing there, and barred use of the premises for meetings or public functions. For the assessment years 1957-58 and 1958-59 the Income-tax Officer computed the annual value at what the premises would fetch if let in the open market. The Appellate Assistant Commissioner and the Tribunal deleted it, holding that as the premises were not let and the will forbade any other use, they had no letting value.</w:t>
      </w:r>
    </w:p>
    <w:p>
      <w:pPr>
        <w:spacing w:after="120" w:line="264"/>
        <w:jc w:val="both"/>
      </w:pPr>
      <w:r>
        <w:rPr>
          <w:b/>
          <w:bCs/>
          <w:i w:val="false"/>
          <w:iCs w:val="false"/>
        </w:rPr>
        <w:t xml:space="preserve">Issue. </w:t>
      </w:r>
      <w:r>
        <w:rPr>
          <w:b w:val="false"/>
          <w:bCs w:val="false"/>
          <w:i w:val="false"/>
          <w:iCs w:val="false"/>
        </w:rPr>
        <w:t xml:space="preserve">Whether the Tribunal was right in law in holding that the premises had no bona fide annual value within section 9(2) of the Act of 1922.</w:t>
      </w:r>
    </w:p>
    <w:p>
      <w:pPr>
        <w:spacing w:after="120" w:line="264"/>
        <w:jc w:val="both"/>
      </w:pPr>
      <w:r>
        <w:rPr>
          <w:b/>
          <w:bCs/>
          <w:i w:val="false"/>
          <w:iCs w:val="false"/>
        </w:rPr>
        <w:t xml:space="preserve">Held. </w:t>
      </w:r>
      <w:r>
        <w:rPr>
          <w:b w:val="false"/>
          <w:bCs w:val="false"/>
          <w:i w:val="false"/>
          <w:iCs w:val="false"/>
        </w:rPr>
        <w:t xml:space="preserve">The question was answered in favour of the Revenue. The Tribunal was wrong.</w:t>
      </w:r>
    </w:p>
    <w:p>
      <w:pPr>
        <w:spacing w:after="120" w:line="264"/>
        <w:jc w:val="both"/>
      </w:pPr>
      <w:r>
        <w:rPr>
          <w:b/>
          <w:bCs/>
          <w:i w:val="false"/>
          <w:iCs w:val="false"/>
        </w:rPr>
        <w:t xml:space="preserve">Reasoning. </w:t>
      </w:r>
      <w:r>
        <w:rPr>
          <w:b w:val="false"/>
          <w:bCs w:val="false"/>
          <w:i w:val="false"/>
          <w:iCs w:val="false"/>
        </w:rPr>
        <w:t xml:space="preserve">On the language of the provision, even where a property is not let and produces no income, the officer must proceed on a notional income which the property might reasonably be expected to yield from year to year; the word used is "might", not "can" or "is". The letting value of a property, whether let or not, can be ascertained objectively on a reasonable basis. If there are restrictions on letting, that may reduce the letting value, but it cannot be said, without more, that because of a restrictive clause no notional annual income can be deemed to arise. Following the earlier Bombay decision in D.M. Vakil, income from property is an artificially defined income and the liability arises from the fact of ownership; it does not depend on the owner’s power to let the property or on his capacity to receive its annual value.</w:t>
      </w:r>
    </w:p>
    <w:p>
      <w:pPr>
        <w:spacing w:after="120" w:line="264"/>
        <w:jc w:val="both"/>
      </w:pPr>
      <w:r>
        <w:rPr>
          <w:b/>
          <w:bCs/>
          <w:i w:val="false"/>
          <w:iCs w:val="false"/>
        </w:rPr>
        <w:t xml:space="preserve">Note the reservation. </w:t>
      </w:r>
      <w:r>
        <w:rPr>
          <w:b w:val="false"/>
          <w:bCs w:val="false"/>
          <w:i w:val="false"/>
          <w:iCs w:val="false"/>
        </w:rPr>
        <w:t xml:space="preserve">The Court expressly said it was not sure whether a temple wholly and exclusively occupied by or for a deity comes within the provision, and did not express an opinion, as the point did not arise. Do not cite the case for that proposition.</w:t>
      </w:r>
    </w:p>
    <w:p>
      <w:pPr>
        <w:spacing w:after="120" w:line="264"/>
        <w:jc w:val="both"/>
      </w:pPr>
      <w:r>
        <w:rPr>
          <w:b/>
          <w:bCs/>
          <w:i w:val="false"/>
          <w:iCs w:val="false"/>
        </w:rPr>
        <w:t xml:space="preserve">Use. </w:t>
      </w:r>
      <w:r>
        <w:rPr>
          <w:b w:val="false"/>
          <w:bCs w:val="false"/>
          <w:i w:val="false"/>
          <w:iCs w:val="false"/>
        </w:rPr>
        <w:t xml:space="preserve">This is the authority in your list for the notional character of annual value.</w:t>
      </w:r>
    </w:p>
    <w:p>
      <w:pPr>
        <w:pStyle w:val="Heading2"/>
      </w:pPr>
      <w:r>
        <w:t xml:space="preserve">5.6 Deductions — section 22 [24]</w:t>
      </w:r>
    </w:p>
    <w:p>
      <w:pPr>
        <w:spacing w:after="120" w:line="264"/>
        <w:jc w:val="both"/>
      </w:pPr>
      <w:r>
        <w:t xml:space="preserve">Only the deductions specified in section 22 may be claimed. Expenditure beyond these heads, however genuine, is not allowed.</w:t>
      </w:r>
    </w:p>
    <w:p>
      <w:pPr>
        <w:pStyle w:val="ListParagraph"/>
        <w:numPr>
          <w:ilvl w:val="0"/>
          <w:numId w:val="2"/>
        </w:numPr>
        <w:spacing w:after="60" w:line="264"/>
        <w:jc w:val="both"/>
      </w:pPr>
      <w:r>
        <w:rPr>
          <w:b/>
          <w:bCs/>
          <w:i w:val="false"/>
          <w:iCs w:val="false"/>
        </w:rPr>
        <w:t xml:space="preserve">Thirty per cent of the annual value. </w:t>
      </w:r>
      <w:r>
        <w:rPr>
          <w:b w:val="false"/>
          <w:bCs w:val="false"/>
          <w:i w:val="false"/>
          <w:iCs w:val="false"/>
        </w:rPr>
        <w:t xml:space="preserve">A flat allowance for repairs, collection and maintenance, given whether or not any expenditure is incurred, and no more may be claimed even if actual expenditure is higher. It is computed on the annual value as reduced by local taxes.</w:t>
      </w:r>
    </w:p>
    <w:p>
      <w:pPr>
        <w:pStyle w:val="ListParagraph"/>
        <w:numPr>
          <w:ilvl w:val="0"/>
          <w:numId w:val="2"/>
        </w:numPr>
        <w:spacing w:after="60" w:line="264"/>
        <w:jc w:val="both"/>
      </w:pPr>
      <w:r>
        <w:rPr>
          <w:b/>
          <w:bCs/>
          <w:i w:val="false"/>
          <w:iCs w:val="false"/>
        </w:rPr>
        <w:t xml:space="preserve">Interest on borrowed capital. </w:t>
      </w:r>
      <w:r>
        <w:rPr>
          <w:b w:val="false"/>
          <w:bCs w:val="false"/>
          <w:i w:val="false"/>
          <w:iCs w:val="false"/>
        </w:rPr>
        <w:t xml:space="preserve">Interest payable on capital borrowed for acquiring, constructing, repairing, renewing or reconstructing the property. It is allowed on accrual, so it is deductible even if not paid during the year.</w:t>
      </w:r>
    </w:p>
    <w:p>
      <w:pPr>
        <w:pStyle w:val="ListParagraph"/>
        <w:numPr>
          <w:ilvl w:val="0"/>
          <w:numId w:val="2"/>
        </w:numPr>
        <w:spacing w:after="60" w:line="264"/>
        <w:jc w:val="both"/>
      </w:pPr>
      <w:r>
        <w:rPr>
          <w:b/>
          <w:bCs/>
          <w:i w:val="false"/>
          <w:iCs w:val="false"/>
        </w:rPr>
        <w:t xml:space="preserve">Pre-construction interest. </w:t>
      </w:r>
      <w:r>
        <w:rPr>
          <w:b w:val="false"/>
          <w:bCs w:val="false"/>
          <w:i w:val="false"/>
          <w:iCs w:val="false"/>
        </w:rPr>
        <w:t xml:space="preserve">Where the capital was borrowed for a period before the tax year in which the property was acquired or constructed, the interest for that earlier period is allowed in five equal instalments, beginning with the tax year of acquisition or construction and continuing in each of the four following tax years.</w:t>
      </w:r>
    </w:p>
    <w:p>
      <w:pPr>
        <w:spacing w:after="120" w:line="264"/>
        <w:jc w:val="both"/>
      </w:pPr>
      <w:r>
        <w:rPr>
          <w:b/>
          <w:bCs/>
          <w:i w:val="false"/>
          <w:iCs w:val="false"/>
        </w:rPr>
        <w:t xml:space="preserve">Class illustration. </w:t>
      </w:r>
      <w:r>
        <w:rPr>
          <w:b w:val="false"/>
          <w:bCs w:val="false"/>
          <w:i w:val="false"/>
          <w:iCs w:val="false"/>
        </w:rPr>
        <w:t xml:space="preserve">A loan of one crore rupees is taken on 1 April 2023 for construction; the house is completed on 1 April 2026; interest for the pre-construction period is twenty-five lakh. Five lakh is deductible in each of five tax years, besides the current year’s interest. The rule spreads the deduction over time; it does not reduce the total.</w:t>
      </w:r>
    </w:p>
    <w:p>
      <w:pPr>
        <w:spacing w:after="120" w:line="264"/>
        <w:jc w:val="both"/>
      </w:pPr>
      <w:r>
        <w:t xml:space="preserve">For a self-occupied house whose annual value is nil, interest remains deductible subject to the statutory ceiling of two lakh rupees, reduced to thirty thousand rupees where the prescribed conditions as to purpose, date of borrowing or completion are not met. These ceilings are restricted under the default regime.</w:t>
      </w:r>
    </w:p>
    <w:p>
      <w:pPr>
        <w:spacing w:after="120" w:line="264"/>
        <w:jc w:val="both"/>
      </w:pPr>
      <w:r>
        <w:rPr>
          <w:b/>
          <w:bCs/>
          <w:i w:val="false"/>
          <w:iCs w:val="false"/>
        </w:rPr>
        <w:t xml:space="preserve">Arrears and unrealised rent — section 23 [25A]. </w:t>
      </w:r>
      <w:r>
        <w:rPr>
          <w:b w:val="false"/>
          <w:bCs w:val="false"/>
          <w:i w:val="false"/>
          <w:iCs w:val="false"/>
        </w:rPr>
        <w:t xml:space="preserve">Arrears of rent and unrealised rent later realised are charged in the tax year of receipt, whether or not the assessee still owns the property, after a deduction of thirty per cent.</w:t>
      </w:r>
    </w:p>
    <w:p>
      <w:pPr>
        <w:pStyle w:val="Heading2"/>
      </w:pPr>
      <w:r>
        <w:t xml:space="preserve">5.7 Computation at a glance</w:t>
      </w:r>
    </w:p>
    <w:p>
      <w:pPr>
        <w:pStyle w:val="ListParagraph"/>
        <w:numPr>
          <w:ilvl w:val="0"/>
          <w:numId w:val="2"/>
        </w:numPr>
        <w:spacing w:after="60" w:line="264"/>
        <w:jc w:val="both"/>
      </w:pPr>
      <w:r>
        <w:t xml:space="preserve">Gross annual value: higher of expected rent and actual rent, subject to the vacancy rule.</w:t>
      </w:r>
    </w:p>
    <w:p>
      <w:pPr>
        <w:pStyle w:val="ListParagraph"/>
        <w:numPr>
          <w:ilvl w:val="0"/>
          <w:numId w:val="2"/>
        </w:numPr>
        <w:spacing w:after="60" w:line="264"/>
        <w:jc w:val="both"/>
      </w:pPr>
      <w:r>
        <w:t xml:space="preserve">Less: local authority taxes actually paid by the owner during the year.</w:t>
      </w:r>
    </w:p>
    <w:p>
      <w:pPr>
        <w:pStyle w:val="ListParagraph"/>
        <w:numPr>
          <w:ilvl w:val="0"/>
          <w:numId w:val="2"/>
        </w:numPr>
        <w:spacing w:after="60" w:line="264"/>
        <w:jc w:val="both"/>
      </w:pPr>
      <w:r>
        <w:t xml:space="preserve">Equals: annual value.</w:t>
      </w:r>
    </w:p>
    <w:p>
      <w:pPr>
        <w:pStyle w:val="ListParagraph"/>
        <w:numPr>
          <w:ilvl w:val="0"/>
          <w:numId w:val="2"/>
        </w:numPr>
        <w:spacing w:after="60" w:line="264"/>
        <w:jc w:val="both"/>
      </w:pPr>
      <w:r>
        <w:t xml:space="preserve">Less: thirty per cent of the annual value.</w:t>
      </w:r>
    </w:p>
    <w:p>
      <w:pPr>
        <w:pStyle w:val="ListParagraph"/>
        <w:numPr>
          <w:ilvl w:val="0"/>
          <w:numId w:val="2"/>
        </w:numPr>
        <w:spacing w:after="60" w:line="264"/>
        <w:jc w:val="both"/>
      </w:pPr>
      <w:r>
        <w:t xml:space="preserve">Less: interest on borrowed capital, including one-fifth of pre-construction interest.</w:t>
      </w:r>
    </w:p>
    <w:p>
      <w:pPr>
        <w:pStyle w:val="ListParagraph"/>
        <w:numPr>
          <w:ilvl w:val="0"/>
          <w:numId w:val="2"/>
        </w:numPr>
        <w:spacing w:after="60" w:line="264"/>
        <w:jc w:val="both"/>
      </w:pPr>
      <w:r>
        <w:t xml:space="preserve">Equals: income from house property, which may be a loss where interest exceeds the net annual value.</w:t>
      </w:r>
    </w:p>
    <w:p>
      <w:r>
        <w:br w:type="page"/>
      </w:r>
    </w:p>
    <w:p>
      <w:pPr>
        <w:pStyle w:val="Heading1"/>
      </w:pPr>
      <w:r>
        <w:t xml:space="preserve">Table of Cases</w:t>
      </w:r>
    </w:p>
    <w:p>
      <w:pPr>
        <w:spacing w:after="120" w:line="264"/>
        <w:jc w:val="both"/>
      </w:pPr>
      <w:r>
        <w:t xml:space="preserve">Only cases named in the session plan or in the uploaded class materials are used in these notes. No other case has been added.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100"/>
        <w:gridCol w:w="2300"/>
        <w:gridCol w:w="2620"/>
      </w:tblGrid>
      <w:tr>
        <w:trPr>
          <w:tblHeader/>
        </w:trPr>
        <w:tc>
          <w:tcPr>
            <w:tcW w:type="dxa" w:w="4100"/>
            <w:shd w:fill="DCE6F1" w:color="auto" w:val="clear"/>
            <w:tcMar>
              <w:top w:type="dxa" w:w="45"/>
              <w:left w:type="dxa" w:w="100"/>
              <w:bottom w:type="dxa" w:w="45"/>
              <w:right w:type="dxa" w:w="100"/>
            </w:tcMar>
          </w:tcPr>
          <w:p>
            <w:pPr>
              <w:spacing w:after="0" w:line="225"/>
            </w:pPr>
            <w:r>
              <w:rPr>
                <w:b/>
                <w:bCs/>
                <w:i w:val="false"/>
                <w:iCs w:val="false"/>
                <w:sz w:val="19"/>
                <w:szCs w:val="19"/>
              </w:rPr>
              <w:t xml:space="preserve">Case</w:t>
            </w:r>
          </w:p>
        </w:tc>
        <w:tc>
          <w:tcPr>
            <w:tcW w:type="dxa" w:w="2300"/>
            <w:shd w:fill="DCE6F1" w:color="auto" w:val="clear"/>
            <w:tcMar>
              <w:top w:type="dxa" w:w="45"/>
              <w:left w:type="dxa" w:w="100"/>
              <w:bottom w:type="dxa" w:w="45"/>
              <w:right w:type="dxa" w:w="100"/>
            </w:tcMar>
          </w:tcPr>
          <w:p>
            <w:pPr>
              <w:spacing w:after="0" w:line="225"/>
            </w:pPr>
            <w:r>
              <w:rPr>
                <w:b/>
                <w:bCs/>
                <w:i w:val="false"/>
                <w:iCs w:val="false"/>
                <w:sz w:val="19"/>
                <w:szCs w:val="19"/>
              </w:rPr>
              <w:t xml:space="preserve">Citation</w:t>
            </w:r>
          </w:p>
        </w:tc>
        <w:tc>
          <w:tcPr>
            <w:tcW w:type="dxa" w:w="2620"/>
            <w:shd w:fill="DCE6F1" w:color="auto" w:val="clear"/>
            <w:tcMar>
              <w:top w:type="dxa" w:w="45"/>
              <w:left w:type="dxa" w:w="100"/>
              <w:bottom w:type="dxa" w:w="45"/>
              <w:right w:type="dxa" w:w="100"/>
            </w:tcMar>
          </w:tcPr>
          <w:p>
            <w:pPr>
              <w:spacing w:after="0" w:line="225"/>
            </w:pPr>
            <w:r>
              <w:rPr>
                <w:b/>
                <w:bCs/>
                <w:i w:val="false"/>
                <w:iCs w:val="false"/>
                <w:sz w:val="19"/>
                <w:szCs w:val="19"/>
              </w:rPr>
              <w:t xml:space="preserve">Where discussed</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Bacha F. Guzdar v. CIT, Bombay</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(1955) 27 ITR 1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Agricultural income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Bangalore Club v. 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(2013) 5 SCC 509</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Mutuality 3.4</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B. Nagi Reddi v. 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(2002) 258 ITR 719 (Mad)</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Agricultural income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Biman Behari Shaw, Shebait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(1968) 68 ITR 815 (Cal)</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Annual value 5.5</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H.G. Date</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(1971) 82 ITR 71 (Bom)</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Agricultural income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K. Thangamani</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(2009) 309 ITR 15 (Mad)</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Concept of income 3.2</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Kamakshya Narain Singh</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(1948) 16 ITR 325 (PC)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Agricultural income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L.W. Russel</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AIR 1965 SC 49; (1964) 53 ITR 91</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Salary 4.2</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Maddi Venkatasubbayya</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(1951) 20 ITR 151 (Mad)</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Agricultural income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Podar Cement Pvt Ltd</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(1997) 226 ITR 625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Ownership 5.4</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Shiv Charan Mathur</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(2008) 306 ITR 126 (Raj)</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Salary 4.3</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Sunil J. Kinariwala</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(2003) 259 ITR 10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Diversion 3.3</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v. Zaibunnisa Begum</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(1985) 151 ITR 320 (AP)</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Land appurtenant 5.2</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Bombay City I v. Shoorji Vallabhdas</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(1962) 46 ITR 144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Real income 3.2</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Bombay City II v. Sitaldas Tirathdas</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(1961) 41 ITR 367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Diversion 3.3</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Madras v. G.R. Karthikeyan</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(1993) 201 ITR 866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Concept of income 3.2</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WB v. Raja Benoy Kumar Sahas Roy</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(1957) 32 ITR 466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 (TDS) v. Director, Delhi Public School</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(2011) P&amp;H</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Perquisite 4.5</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CIT-26 v. Shankar Krishnan</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(2012) 349 ITR 316 (Bom)</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Perquisite 4.5</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DCIT v. Inventaa Industries Pvt Ltd</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(2018) ITAT Hyd (SB)</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Agricultural income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Delhi Race Club Ltd v. Union of India</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(2012) 8 SCC 680</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Tax and fee 1.7</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East India Housing &amp; Land Devt Trust v. 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(1961) 42 ITR 49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Heads exclusive 5.3</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ITC Ltd v. CIT (TDS)</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(2016) 384 ITR 14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Tips not salary 4.5</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K. Lakshmanan &amp; Co. v. 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(1999) 239 ITR 597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Agricultural income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Knowlton v. Moore</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178 U.S. 41 (1900)</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Transfer taxes 1.4</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Maneklal Agarwal v. DCIT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SC, 14 July 2017</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Right person 5.4</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McDowell &amp; Co. Ltd v. CTO</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(1985) 3 SCC 230</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Avoidance 1.6</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Mustafa Ali Khan v. 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(1948) 16 ITR 330 (PC)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Narottam &amp; Parekh Ltd v. CIT, Bombay City</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AIR 1954 Bom 67; 25 ITR 40</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Residence 3.9</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Premier Construction Co. Ltd v. 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(1948) 16 ITR 380 (PC)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Agricultural income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R.B. Jodha Mal Kuthiala v. 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(1971) 82 ITR 570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Ownership 5.4</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Ram Pershad v. CIT, New Delhi</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(1972) 2 SCC 696; 86 ITR 122</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Salary 4.3</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Sakarlal Balabhai &amp; Co. v. CIT, Gujarat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(1968) 69 ITR 186 (Guj)</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Market process 3.11</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Styles v. New York Life Insurance Co.</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(1889) 14 App Cas 381</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Mutuality 3.4</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V.V.R.N.M. Subbayya Chettiar v. CIT</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(1951) 19 ITR 168 (SC)</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Residence 3.9</w:t>
            </w:r>
          </w:p>
        </w:tc>
      </w:tr>
      <w:tr>
        <w:trPr>
          <w:tblHeader w:val="false"/>
        </w:trPr>
        <w:tc>
          <w:tcPr>
            <w:tcW w:type="dxa" w:w="4100"/>
            <w:tcMar>
              <w:top w:type="dxa" w:w="45"/>
              <w:left w:type="dxa" w:w="100"/>
              <w:bottom w:type="dxa" w:w="45"/>
              <w:right w:type="dxa" w:w="100"/>
            </w:tcMar>
          </w:tcPr>
          <w:p>
            <w:pPr>
              <w:spacing w:after="0" w:line="225"/>
            </w:pPr>
            <w:r>
              <w:rPr>
                <w:b w:val="false"/>
                <w:bCs w:val="false"/>
                <w:i/>
                <w:iCs/>
                <w:sz w:val="19"/>
                <w:szCs w:val="19"/>
              </w:rPr>
              <w:t xml:space="preserve">Vodafone International Holdings v. UoI</w:t>
            </w:r>
          </w:p>
        </w:tc>
        <w:tc>
          <w:tcPr>
            <w:tcW w:type="dxa" w:w="2300"/>
            <w:tcMar>
              <w:top w:type="dxa" w:w="45"/>
              <w:left w:type="dxa" w:w="100"/>
              <w:bottom w:type="dxa" w:w="45"/>
              <w:right w:type="dxa" w:w="100"/>
            </w:tcMar>
          </w:tcPr>
          <w:p>
            <w:pPr>
              <w:spacing w:after="0" w:line="225"/>
            </w:pPr>
            <w:r>
              <w:rPr>
                <w:b w:val="false"/>
                <w:bCs w:val="false"/>
                <w:i w:val="false"/>
                <w:iCs w:val="false"/>
                <w:sz w:val="19"/>
                <w:szCs w:val="19"/>
              </w:rPr>
              <w:t xml:space="preserve">(2012) 6 SCC 613</w:t>
            </w:r>
          </w:p>
        </w:tc>
        <w:tc>
          <w:tcPr>
            <w:tcW w:type="dxa" w:w="2620"/>
            <w:tcMar>
              <w:top w:type="dxa" w:w="45"/>
              <w:left w:type="dxa" w:w="100"/>
              <w:bottom w:type="dxa" w:w="45"/>
              <w:right w:type="dxa" w:w="100"/>
            </w:tcMar>
          </w:tcPr>
          <w:p>
            <w:pPr>
              <w:spacing w:after="0" w:line="225"/>
            </w:pPr>
            <w:r>
              <w:rPr>
                <w:b w:val="false"/>
                <w:bCs w:val="false"/>
                <w:i w:val="false"/>
                <w:iCs w:val="false"/>
                <w:sz w:val="19"/>
                <w:szCs w:val="19"/>
              </w:rPr>
              <w:t xml:space="preserve">Section 9 3.10</w:t>
            </w:r>
          </w:p>
        </w:tc>
      </w:tr>
    </w:tbl>
    <w:p>
      <w:pPr>
        <w:spacing w:after="180"/>
      </w:pPr>
    </w:p>
    <w:p>
      <w:pPr>
        <w:pStyle w:val="Heading1"/>
      </w:pPr>
      <w:r>
        <w:t xml:space="preserve">Cases in Your Syllabus Not Written Up</w:t>
      </w:r>
    </w:p>
    <w:p>
      <w:pPr>
        <w:spacing w:after="120" w:line="264"/>
        <w:jc w:val="both"/>
      </w:pPr>
      <w:r>
        <w:t xml:space="preserve">The following are named in your session plan or notes, but the judgment could not be verified from an authoritative source. Nothing has been written about their facts or holdings, because a guess would be worse than a gap. Read them on MANU before using them.</w:t>
      </w:r>
    </w:p>
    <w:p>
      <w:pPr>
        <w:pStyle w:val="ListParagraph"/>
        <w:numPr>
          <w:ilvl w:val="0"/>
          <w:numId w:val="2"/>
        </w:numPr>
        <w:spacing w:after="60" w:line="264"/>
        <w:jc w:val="both"/>
      </w:pPr>
      <w:r>
        <w:t xml:space="preserve">CIT v. Delhi Cloth and General Mills Co. Ltd., MANU/PH/0103/1955 — listed for house property. Several decisions share this party name, so the specific 1955 decision must be identified before it is cited.</w:t>
      </w:r>
    </w:p>
    <w:p>
      <w:pPr>
        <w:pStyle w:val="ListParagraph"/>
        <w:numPr>
          <w:ilvl w:val="0"/>
          <w:numId w:val="2"/>
        </w:numPr>
        <w:spacing w:after="60" w:line="264"/>
        <w:jc w:val="both"/>
      </w:pPr>
      <w:r>
        <w:t xml:space="preserve">M.M. Ipoh and Ors. v. CIT, Madras, MANU/SC/0166/1967 — listed under basis of charge, residence, person and assessee. The proposition it establishes could not be confirmed.</w:t>
      </w:r>
    </w:p>
    <w:p>
      <w:pPr>
        <w:pStyle w:val="ListParagraph"/>
        <w:numPr>
          <w:ilvl w:val="0"/>
          <w:numId w:val="2"/>
        </w:numPr>
        <w:spacing w:after="60" w:line="264"/>
        <w:jc w:val="both"/>
      </w:pPr>
      <w:r>
        <w:t xml:space="preserve">CIT v. B. Gupta (Tea) Private Ltd., MANU/WB/0168/1969 — listed under agricultural income.</w:t>
      </w:r>
    </w:p>
    <w:p>
      <w:pPr>
        <w:pStyle w:val="ListParagraph"/>
        <w:numPr>
          <w:ilvl w:val="0"/>
          <w:numId w:val="2"/>
        </w:numPr>
        <w:spacing w:after="60" w:line="264"/>
        <w:jc w:val="both"/>
      </w:pPr>
      <w:r>
        <w:t xml:space="preserve">Jayanti Botanical Gardens v. ITO, MANU/IL/0076/2021 — listed under agricultural income.</w:t>
      </w:r>
    </w:p>
    <w:p>
      <w:pPr>
        <w:pStyle w:val="ListParagraph"/>
        <w:numPr>
          <w:ilvl w:val="0"/>
          <w:numId w:val="2"/>
        </w:numPr>
        <w:spacing w:after="60" w:line="264"/>
        <w:jc w:val="both"/>
      </w:pPr>
      <w:r>
        <w:t xml:space="preserve">PCIT-1 v. British Agro Products (India) Pvt. Ltd., MANU/TN/2102/2025 — listed under agricultural income.</w:t>
      </w:r>
    </w:p>
    <w:p>
      <w:pPr>
        <w:pStyle w:val="ListParagraph"/>
        <w:numPr>
          <w:ilvl w:val="0"/>
          <w:numId w:val="2"/>
        </w:numPr>
        <w:spacing w:after="60" w:line="264"/>
        <w:jc w:val="both"/>
      </w:pPr>
      <w:r>
        <w:t xml:space="preserve">Jayaram Rangan v. ACIT, MANU/IX/0179/2022 — listed under salary.</w:t>
      </w:r>
    </w:p>
    <w:p>
      <w:pPr>
        <w:pStyle w:val="ListParagraph"/>
        <w:numPr>
          <w:ilvl w:val="0"/>
          <w:numId w:val="2"/>
        </w:numPr>
        <w:spacing w:after="60" w:line="264"/>
        <w:jc w:val="both"/>
      </w:pPr>
      <w:r>
        <w:t xml:space="preserve">Milan Arvindbhai Patel v. ACIT, MANU/GJ/0807/2023 — listed under salary.</w:t>
      </w:r>
    </w:p>
    <w:p>
      <w:pPr>
        <w:pStyle w:val="ListParagraph"/>
        <w:numPr>
          <w:ilvl w:val="0"/>
          <w:numId w:val="2"/>
        </w:numPr>
        <w:spacing w:after="60" w:line="264"/>
        <w:jc w:val="both"/>
      </w:pPr>
      <w:r>
        <w:t xml:space="preserve">The "Dooars Tea case" in your notes, to which three propositions on marketing processes are attributed. The case name could not be verified. The three propositions themselves are sound and are covered above through Sakarlal Balabhai, K. Lakshmanan and H.G. Date, so use those instead.</w:t>
      </w:r>
    </w:p>
    <w:p>
      <w:pPr>
        <w:pStyle w:val="Heading1"/>
      </w:pPr>
      <w:r>
        <w:t xml:space="preserve">Corrections to the Class Notes</w:t>
      </w:r>
    </w:p>
    <w:p>
      <w:pPr>
        <w:pStyle w:val="ListParagraph"/>
        <w:numPr>
          <w:ilvl w:val="0"/>
          <w:numId w:val="2"/>
        </w:numPr>
        <w:spacing w:after="60" w:line="264"/>
        <w:jc w:val="both"/>
      </w:pPr>
      <w:r>
        <w:t xml:space="preserve">Income tax in India was introduced in 1860. 1857 is the date of the revolt that occasioned it.</w:t>
      </w:r>
    </w:p>
    <w:p>
      <w:pPr>
        <w:pStyle w:val="ListParagraph"/>
        <w:numPr>
          <w:ilvl w:val="0"/>
          <w:numId w:val="2"/>
        </w:numPr>
        <w:spacing w:after="60" w:line="264"/>
        <w:jc w:val="both"/>
      </w:pPr>
      <w:r>
        <w:t xml:space="preserve">The taxation entries in List II run from Entry 45 to Entry 63, not to Entry 68.</w:t>
      </w:r>
    </w:p>
    <w:p>
      <w:pPr>
        <w:pStyle w:val="ListParagraph"/>
        <w:numPr>
          <w:ilvl w:val="0"/>
          <w:numId w:val="2"/>
        </w:numPr>
        <w:spacing w:after="60" w:line="264"/>
        <w:jc w:val="both"/>
      </w:pPr>
      <w:r>
        <w:t xml:space="preserve">Octroi and entry tax (Entry 52) and Entry 55 were State List entries, omitted by the 101st Amendment. They were not Union entries.</w:t>
      </w:r>
    </w:p>
    <w:p>
      <w:pPr>
        <w:pStyle w:val="ListParagraph"/>
        <w:numPr>
          <w:ilvl w:val="0"/>
          <w:numId w:val="2"/>
        </w:numPr>
        <w:spacing w:after="60" w:line="264"/>
        <w:jc w:val="both"/>
      </w:pPr>
      <w:r>
        <w:t xml:space="preserve">The correct party name is Sakarlal Balabhai &amp; Co., not "Sakarlal Narandal".</w:t>
      </w:r>
    </w:p>
    <w:p>
      <w:pPr>
        <w:pStyle w:val="ListParagraph"/>
        <w:numPr>
          <w:ilvl w:val="0"/>
          <w:numId w:val="2"/>
        </w:numPr>
        <w:spacing w:after="60" w:line="264"/>
        <w:jc w:val="both"/>
      </w:pPr>
      <w:r>
        <w:t xml:space="preserve">The leading decision in Premier Construction is that of the Privy Council, (1948) 16 ITR 380. The 1944 Bombay High Court decision is an earlier stage of the same litigation.</w:t>
      </w:r>
    </w:p>
    <w:p>
      <w:pPr>
        <w:pStyle w:val="ListParagraph"/>
        <w:numPr>
          <w:ilvl w:val="0"/>
          <w:numId w:val="2"/>
        </w:numPr>
        <w:spacing w:after="60" w:line="264"/>
        <w:jc w:val="both"/>
      </w:pPr>
      <w:r>
        <w:t xml:space="preserve">Under the Act of 2025, section 13 contains the heads of income and section 14 is the provision on expenditure relating to exempt income. Deemed ownership of house property is carried into sections 21 and 25.</w:t>
      </w:r>
    </w:p>
    <w:p>
      <w:pPr>
        <w:pStyle w:val="ListParagraph"/>
        <w:numPr>
          <w:ilvl w:val="0"/>
          <w:numId w:val="2"/>
        </w:numPr>
        <w:spacing w:after="60" w:line="264"/>
        <w:jc w:val="both"/>
      </w:pPr>
      <w:r>
        <w:t xml:space="preserve">CIT v. Zaibunnisa Begum is a section 54 capital gains case. Its value here is its analysis of "land appurtenant thereto", which is applied by analogy to the house property head.</w:t>
      </w:r>
    </w:p>
    <w:p>
      <w:pPr>
        <w:pStyle w:val="ListParagraph"/>
        <w:numPr>
          <w:ilvl w:val="0"/>
          <w:numId w:val="2"/>
        </w:numPr>
        <w:spacing w:after="60" w:line="264"/>
        <w:jc w:val="both"/>
      </w:pPr>
      <w:r>
        <w:t xml:space="preserve">CIT v. Biman Behari Shaw, Shebait decides that a restrictive clause in a will does not remove the notional annual value of a property. It does not decide in whose hands or in what capacity the income of debutter property is assessable.</w:t>
      </w:r>
    </w:p>
    <w:p>
      <w:pPr>
        <w:pStyle w:val="ListParagraph"/>
        <w:numPr>
          <w:ilvl w:val="0"/>
          <w:numId w:val="2"/>
        </w:numPr>
        <w:spacing w:after="60" w:line="264"/>
        <w:jc w:val="both"/>
      </w:pPr>
      <w:r>
        <w:t xml:space="preserve">In G.R. Karthikeyan the verified figure is the prize of twenty-two thousand rupees. The rally distance of 6,500 kilometres is not verified and should not be quoted.</w:t>
      </w:r>
    </w:p>
    <w:p>
      <w:pPr>
        <w:pStyle w:val="Heading1"/>
      </w:pPr>
      <w:r>
        <w:t xml:space="preserve">Table of Statutes</w:t>
      </w:r>
    </w:p>
    <w:p>
      <w:pPr>
        <w:pStyle w:val="Heading2"/>
      </w:pPr>
      <w:r>
        <w:t xml:space="preserve">Constitution of India</w:t>
      </w:r>
    </w:p>
    <w:p>
      <w:pPr>
        <w:spacing w:after="120" w:line="264"/>
        <w:jc w:val="both"/>
      </w:pPr>
      <w:r>
        <w:t xml:space="preserve">Articles 14, 19(1)(g), 19(6), 27, 110, 245, 246, 246A, 248, 265, 268, 269, 269A, 270, 271, 275, 279, 279A, 280, 281, 282, 292, 293 and 300A. Seventh Schedule: List I Entries 82 to 92B and 97; List II Entries 45 to 63, especially 46; List III Entry 44. Constitution (101st Amendment) Act, 2016.</w:t>
      </w:r>
    </w:p>
    <w:p>
      <w:pPr>
        <w:pStyle w:val="Heading2"/>
      </w:pPr>
      <w:r>
        <w:t xml:space="preserve">Income-tax Act, 2025 (Act 30 of 2025)</w:t>
      </w:r>
    </w:p>
    <w:p>
      <w:pPr>
        <w:spacing w:after="120" w:line="264"/>
        <w:jc w:val="both"/>
      </w:pPr>
      <w:r>
        <w:t xml:space="preserve">Sections 2(5), 2(11), 2(49), 2(77), 3, 4, 5, 6, 9, 11, 12, 13, 14, 15, 16, 17, 18, 19, 20, 21, 22, 23, 24, 25, 124, 125 and 178 to 184; Schedules II and III.</w:t>
      </w:r>
    </w:p>
    <w:p>
      <w:pPr>
        <w:pStyle w:val="Heading2"/>
      </w:pPr>
      <w:r>
        <w:t xml:space="preserve">Other legislation and rules</w:t>
      </w:r>
    </w:p>
    <w:p>
      <w:pPr>
        <w:pStyle w:val="ListParagraph"/>
        <w:numPr>
          <w:ilvl w:val="0"/>
          <w:numId w:val="2"/>
        </w:numPr>
        <w:spacing w:after="60" w:line="264"/>
        <w:jc w:val="both"/>
      </w:pPr>
      <w:r>
        <w:t xml:space="preserve">Income-tax Act, 1961 — sections 2(1A), 2(7), 2(24), 2(31), 3 to 6, 9, 10, 14, 14A, 15 to 17, 22 to 27, 54, 95 to 102.</w:t>
      </w:r>
    </w:p>
    <w:p>
      <w:pPr>
        <w:pStyle w:val="ListParagraph"/>
        <w:numPr>
          <w:ilvl w:val="0"/>
          <w:numId w:val="2"/>
        </w:numPr>
        <w:spacing w:after="60" w:line="264"/>
        <w:jc w:val="both"/>
      </w:pPr>
      <w:r>
        <w:t xml:space="preserve">Indian Income-tax Act, 1922 — sections 4A(b) and 4A(c) (Subbayya Chettiar and Narottam and Parekh), and section 9 (Biman Behari Shaw and Jodha Mal).</w:t>
      </w:r>
    </w:p>
    <w:p>
      <w:pPr>
        <w:pStyle w:val="ListParagraph"/>
        <w:numPr>
          <w:ilvl w:val="0"/>
          <w:numId w:val="2"/>
        </w:numPr>
        <w:spacing w:after="60" w:line="264"/>
        <w:jc w:val="both"/>
      </w:pPr>
      <w:r>
        <w:t xml:space="preserve">The annual Finance Act — rates of tax and partial integration of agricultural income.</w:t>
      </w:r>
    </w:p>
    <w:p>
      <w:pPr>
        <w:pStyle w:val="ListParagraph"/>
        <w:numPr>
          <w:ilvl w:val="0"/>
          <w:numId w:val="2"/>
        </w:numPr>
        <w:spacing w:after="60" w:line="264"/>
        <w:jc w:val="both"/>
      </w:pPr>
      <w:r>
        <w:t xml:space="preserve">Taxation Laws (Amendment) Act, 2021 — withdrawal of retrospective demands on indirect transfers.</w:t>
      </w:r>
    </w:p>
    <w:p>
      <w:pPr>
        <w:pStyle w:val="ListParagraph"/>
        <w:numPr>
          <w:ilvl w:val="0"/>
          <w:numId w:val="2"/>
        </w:numPr>
        <w:spacing w:after="60" w:line="264"/>
        <w:jc w:val="both"/>
      </w:pPr>
      <w:r>
        <w:t xml:space="preserve">Transfer of Property Act, 1882, section 53A — deemed ownership.</w:t>
      </w:r>
    </w:p>
    <w:p>
      <w:pPr>
        <w:pStyle w:val="ListParagraph"/>
        <w:numPr>
          <w:ilvl w:val="0"/>
          <w:numId w:val="2"/>
        </w:numPr>
        <w:spacing w:after="60" w:line="264"/>
        <w:jc w:val="both"/>
      </w:pPr>
      <w:r>
        <w:t xml:space="preserve">Income-tax Rules — valuation of perquisites, apportionment of composite tea income, and the monetary threshold for GAAR.</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Principles of Taxation Law (IP61015)  |  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70" w:before="380"/>
    </w:pPr>
    <w:rPr>
      <w:rFonts w:ascii="Calibri" w:cs="Calibri" w:eastAsia="Calibri" w:hAnsi="Calibri"/>
      <w:b/>
      <w:bCs/>
      <w:color w:val="17365D"/>
      <w:sz w:val="32"/>
      <w:szCs w:val="32"/>
    </w:rPr>
  </w:style>
  <w:style w:type="paragraph" w:styleId="Heading2">
    <w:name w:val="Heading 2"/>
    <w:basedOn w:val="Normal"/>
    <w:next w:val="Normal"/>
    <w:qFormat/>
    <w:pPr>
      <w:keepNext/>
      <w:spacing w:after="110" w:before="270"/>
    </w:pPr>
    <w:rPr>
      <w:rFonts w:ascii="Calibri" w:cs="Calibri" w:eastAsia="Calibri" w:hAnsi="Calibri"/>
      <w:b/>
      <w:bCs/>
      <w:color w:val="1F4E79"/>
      <w:sz w:val="26"/>
      <w:szCs w:val="26"/>
    </w:rPr>
  </w:style>
  <w:style w:type="paragraph" w:styleId="Heading3">
    <w:name w:val="Heading 3"/>
    <w:basedOn w:val="Normal"/>
    <w:next w:val="Normal"/>
    <w:qFormat/>
    <w:pPr>
      <w:keepNext/>
      <w:spacing w:after="80" w:before="200"/>
    </w:pPr>
    <w:rPr>
      <w:rFonts w:ascii="Calibri" w:cs="Calibri" w:eastAsia="Calibri" w:hAnsi="Calibri"/>
      <w:b/>
      <w:bCs/>
      <w:color w:val="2E5B8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2026-09-18T16:34:46.200Z</dcterms:created>
  <dcterms:modified xsi:type="dcterms:W3CDTF">2026-09-18T16:34:46.212Z</dcterms:modified>
</cp:coreProperties>
</file>

<file path=docProps/custom.xml><?xml version="1.0" encoding="utf-8"?>
<Properties xmlns="http://schemas.openxmlformats.org/officeDocument/2006/custom-properties" xmlns:vt="http://schemas.openxmlformats.org/officeDocument/2006/docPropsVTypes"/>
</file>