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r>
        <w:t xml:space="preserve"/>
      </w:r>
    </w:p>
    <w:p>
      <w:pPr>
        <w:spacing w:after="200"/>
        <w:jc w:val="center"/>
      </w:pPr>
      <w:r>
        <w:rPr>
          <w:rFonts w:ascii="Arial" w:cs="Arial" w:eastAsia="Arial" w:hAnsi="Arial"/>
          <w:b/>
          <w:bCs/>
          <w:color w:val="1F3864"/>
          <w:sz w:val="34"/>
          <w:szCs w:val="34"/>
        </w:rPr>
        <w:t xml:space="preserve">ALTERNATIVE DISPUTE RESOLUTION</w:t>
      </w:r>
    </w:p>
    <w:p>
      <w:pPr>
        <w:spacing w:after="620"/>
        <w:jc w:val="center"/>
      </w:pPr>
      <w:r>
        <w:rPr>
          <w:rFonts w:ascii="Arial" w:cs="Arial" w:eastAsia="Arial" w:hAnsi="Arial"/>
          <w:color w:val="1F3864"/>
          <w:sz w:val="26"/>
          <w:szCs w:val="26"/>
        </w:rPr>
        <w:t xml:space="preserve">Answers to the Practice Questions</w:t>
      </w:r>
    </w:p>
    <w:p>
      <w:pPr>
        <w:jc w:val="center"/>
      </w:pPr>
      <w:r>
        <w:rPr>
          <w:rFonts w:ascii="Arial" w:cs="Arial" w:eastAsia="Arial" w:hAnsi="Arial"/>
          <w:sz w:val="24"/>
          <w:szCs w:val="24"/>
        </w:rPr>
        <w:t xml:space="preserve">Surendra Mundvadiya</w:t>
      </w:r>
    </w:p>
    <w:p>
      <w:r>
        <w:br w:type="page"/>
      </w:r>
    </w:p>
    <w:p>
      <w:pPr>
        <w:spacing w:after="120" w:line="264"/>
        <w:jc w:val="both"/>
      </w:pPr>
      <w:r>
        <w:t xml:space="preserve">This volume answers every question set in Part B of the companion document, in the same order and with the same numbering. </w:t>
      </w:r>
      <w:r>
        <w:rPr>
          <w:b/>
          <w:bCs/>
        </w:rPr>
        <w:t xml:space="preserve">Long answers</w:t>
      </w:r>
      <w:r>
        <w:t xml:space="preserve"> are written at ten-mark length. </w:t>
      </w:r>
      <w:r>
        <w:rPr>
          <w:b/>
          <w:bCs/>
        </w:rPr>
        <w:t xml:space="preserve">Short notes</w:t>
      </w:r>
      <w:r>
        <w:t xml:space="preserve"> are at four to five marks. </w:t>
      </w:r>
      <w:r>
        <w:rPr>
          <w:b/>
          <w:bCs/>
        </w:rPr>
        <w:t xml:space="preserve">Problems</w:t>
      </w:r>
      <w:r>
        <w:t xml:space="preserve"> follow the issue, rule, application and conclusion pattern.</w:t>
      </w:r>
    </w:p>
    <w:p>
      <w:pPr>
        <w:pStyle w:val="Heading1"/>
        <w:keepNext/>
        <w:pBdr>
          <w:bottom w:val="single" w:color="1F3864" w:sz="6" w:space="4"/>
        </w:pBdr>
        <w:spacing w:after="160" w:before="420"/>
      </w:pPr>
      <w:r>
        <w:t xml:space="preserve">Long Answers</w:t>
      </w:r>
    </w:p>
    <w:p>
      <w:pPr>
        <w:pStyle w:val="Heading2"/>
        <w:keepNext/>
        <w:spacing w:after="100" w:before="250"/>
      </w:pPr>
      <w:r>
        <w:t xml:space="preserve">L1.  The application of Part I to arbitrations seated outside India</w:t>
      </w:r>
    </w:p>
    <w:p>
      <w:pPr>
        <w:pStyle w:val="Heading3"/>
        <w:keepNext/>
        <w:spacing w:after="80" w:before="180"/>
      </w:pPr>
      <w:r>
        <w:t xml:space="preserve">The structural problem</w:t>
      </w:r>
    </w:p>
    <w:p>
      <w:pPr>
        <w:spacing w:after="120" w:line="264"/>
        <w:jc w:val="both"/>
      </w:pPr>
      <w:r>
        <w:t xml:space="preserve">Part I of the Act contains the working machinery — the definitions, s. 9 for interim measures and s. 34 for setting an award aside. Part II governs foreign awards. </w:t>
      </w:r>
      <w:r>
        <w:rPr>
          <w:b/>
          <w:bCs/>
        </w:rPr>
        <w:t xml:space="preserve">Part II has no set-aside provision at all.</w:t>
      </w:r>
      <w:r>
        <w:t xml:space="preserve"> It has </w:t>
      </w:r>
      <w:r>
        <w:rPr>
          <w:b/>
          <w:bCs/>
        </w:rPr>
        <w:t xml:space="preserve">s. 48</w:t>
      </w:r>
      <w:r>
        <w:t xml:space="preserve">, which lists the narrow grounds on which an Indian court may refuse to enforce a foreign award.</w:t>
      </w:r>
    </w:p>
    <w:p>
      <w:pPr>
        <w:spacing w:after="120" w:line="264"/>
        <w:jc w:val="both"/>
      </w:pPr>
      <w:r>
        <w:rPr>
          <w:b/>
          <w:bCs/>
        </w:rPr>
        <w:t xml:space="preserve">Section 2(2)</w:t>
      </w:r>
      <w:r>
        <w:t xml:space="preserve"> says Part I “shall apply where the place of arbitration is India”, and </w:t>
      </w:r>
      <w:r>
        <w:rPr>
          <w:b/>
          <w:bCs/>
        </w:rPr>
        <w:t xml:space="preserve">s. 2(7)</w:t>
      </w:r>
      <w:r>
        <w:t xml:space="preserve"> says an award made under Part I is a domestic award. The controversy was purely textual: </w:t>
      </w:r>
      <w:r>
        <w:rPr>
          <w:b/>
          <w:bCs/>
          <w:shd w:fill="FFF2CC" w:color="auto" w:val="clear"/>
        </w:rPr>
        <w:t xml:space="preserve">s. 2(2) does not say that Part I applies only where the seat is India.</w:t>
      </w:r>
      <w:r>
        <w:t xml:space="preserve"> From that missing word a large body of law grew.</w:t>
      </w:r>
    </w:p>
    <w:p>
      <w:pPr>
        <w:pStyle w:val="Heading3"/>
        <w:keepNext/>
        <w:spacing w:after="80" w:before="180"/>
      </w:pPr>
      <w:r>
        <w:t xml:space="preserve">Stage 1 — the expansive reading</w:t>
      </w:r>
    </w:p>
    <w:p>
      <w:pPr>
        <w:spacing w:after="120" w:line="264"/>
        <w:jc w:val="both"/>
      </w:pPr>
      <w:r>
        <w:rPr>
          <w:b/>
          <w:bCs/>
          <w:i/>
          <w:iCs/>
        </w:rPr>
        <w:t xml:space="preserve">Bhatia International v. Bulk Trading S.A.</w:t>
      </w:r>
      <w:r>
        <w:t xml:space="preserve">, (2002) 4 SCC 105 (3 Judges), concerned an ICC arbitration seated in Paris. One party sought an injunction under s. 9 from the District Court at Indore. The Court held that Part I applies to </w:t>
      </w:r>
      <w:r>
        <w:rPr>
          <w:b/>
          <w:bCs/>
        </w:rPr>
        <w:t xml:space="preserve">all</w:t>
      </w:r>
      <w:r>
        <w:t xml:space="preserve"> arbitrations: compulsorily where the seat is India, and to a foreign-seated international commercial arbitration unless the parties exclude it expressly or by implication.</w:t>
      </w:r>
    </w:p>
    <w:p>
      <w:pPr>
        <w:spacing w:after="120" w:line="264"/>
        <w:jc w:val="both"/>
      </w:pPr>
      <w:r>
        <w:rPr>
          <w:b/>
          <w:bCs/>
          <w:i/>
          <w:iCs/>
        </w:rPr>
        <w:t xml:space="preserve">Venture Global Engineering v. Satyam Computer Services Ltd.</w:t>
      </w:r>
      <w:r>
        <w:t xml:space="preserve">, (2008) 4 SCC 190, carried that to its conclusion. If Part I applies, s. 34 applies with it, so an Indian court could </w:t>
      </w:r>
      <w:r>
        <w:rPr>
          <w:b/>
          <w:bCs/>
        </w:rPr>
        <w:t xml:space="preserve">set aside a foreign award</w:t>
      </w:r>
      <w:r>
        <w:t xml:space="preserve">.</w:t>
      </w:r>
    </w:p>
    <w:p>
      <w:pPr>
        <w:spacing w:after="120" w:line="264"/>
        <w:jc w:val="both"/>
      </w:pPr>
      <w:r>
        <w:rPr>
          <w:b/>
          <w:bCs/>
        </w:rPr>
        <w:t xml:space="preserve">Why this was unsustainable.</w:t>
      </w:r>
      <w:r>
        <w:t xml:space="preserve"> It cut across the New York Convention, 1958. Under that treaty a State may </w:t>
      </w:r>
      <w:r>
        <w:rPr>
          <w:b/>
          <w:bCs/>
        </w:rPr>
        <w:t xml:space="preserve">refuse to enforce</w:t>
      </w:r>
      <w:r>
        <w:t xml:space="preserve"> a foreign award on the Article V grounds, but only the courts of the </w:t>
      </w:r>
      <w:r>
        <w:rPr>
          <w:b/>
          <w:bCs/>
        </w:rPr>
        <w:t xml:space="preserve">seat</w:t>
      </w:r>
      <w:r>
        <w:t xml:space="preserve"> may set it aside. The difference is one of degree and kind: refusal affects only the forum where enforcement was sought, whereas </w:t>
      </w:r>
      <w:r>
        <w:rPr>
          <w:b/>
          <w:bCs/>
          <w:shd w:fill="FFF2CC" w:color="auto" w:val="clear"/>
        </w:rPr>
        <w:t xml:space="preserve">setting an award aside destroys it everywhere.</w:t>
      </w:r>
      <w:r>
        <w:t xml:space="preserve"> The Indian position exposed foreign parties to a challenge in a forum they had never chosen.</w:t>
      </w:r>
    </w:p>
    <w:p>
      <w:pPr>
        <w:pStyle w:val="Heading3"/>
        <w:keepNext/>
        <w:spacing w:after="80" w:before="180"/>
      </w:pPr>
      <w:r>
        <w:t xml:space="preserve">Stage 2 — the territorial correction</w:t>
      </w:r>
    </w:p>
    <w:p>
      <w:pPr>
        <w:spacing w:after="120" w:line="264"/>
        <w:jc w:val="both"/>
      </w:pPr>
      <w:r>
        <w:rPr>
          <w:b/>
          <w:bCs/>
          <w:i/>
          <w:iCs/>
        </w:rPr>
        <w:t xml:space="preserve">Bharat Aluminium Co. v. Kaiser Aluminium Technical Services Inc.</w:t>
      </w:r>
      <w:r>
        <w:t xml:space="preserve"> (BALCO), (2012) 9 SCC 552, a Constitution Bench of five Judges, held that </w:t>
      </w:r>
      <w:r>
        <w:rPr>
          <w:b/>
          <w:bCs/>
          <w:shd w:fill="FFF2CC" w:color="auto" w:val="clear"/>
        </w:rPr>
        <w:t xml:space="preserve">Part I applies only to arbitrations seated in India,</w:t>
      </w:r>
      <w:r>
        <w:t xml:space="preserve"> and overruled both earlier decisions. The Court adopted a </w:t>
      </w:r>
      <w:r>
        <w:rPr>
          <w:b/>
          <w:bCs/>
        </w:rPr>
        <w:t xml:space="preserve">seat-centric</w:t>
      </w:r>
      <w:r>
        <w:t xml:space="preserve"> rather than a subject-matter-centric approach: the seat determines the governing procedural law and the supervising courts.</w:t>
      </w:r>
    </w:p>
    <w:p>
      <w:pPr>
        <w:spacing w:after="120" w:line="264"/>
        <w:jc w:val="both"/>
      </w:pPr>
      <w:r>
        <w:t xml:space="preserve">Two consequences followed for foreign-seated arbitrations: no set-aside under s. 34, and, as the law then stood, </w:t>
      </w:r>
      <w:r>
        <w:rPr>
          <w:b/>
          <w:bCs/>
        </w:rPr>
        <w:t xml:space="preserve">no court-ordered interim relief</w:t>
      </w:r>
      <w:r>
        <w:t xml:space="preserve"> either.</w:t>
      </w:r>
    </w:p>
    <w:p>
      <w:pPr>
        <w:spacing w:after="120" w:line="264"/>
        <w:jc w:val="both"/>
      </w:pPr>
      <w:r>
        <w:rPr>
          <w:b/>
          <w:bCs/>
        </w:rPr>
        <w:t xml:space="preserve">Two qualifications must always be stated with BALCO.</w:t>
      </w:r>
      <w:r>
        <w:t xml:space="preserve"> First, the ruling was given </w:t>
      </w:r>
      <w:r>
        <w:rPr>
          <w:b/>
          <w:bCs/>
        </w:rPr>
        <w:t xml:space="preserve">prospective effect</w:t>
      </w:r>
      <w:r>
        <w:t xml:space="preserve"> under Article 142, so it applies only to arbitration agreements executed </w:t>
      </w:r>
      <w:r>
        <w:rPr>
          <w:b/>
          <w:bCs/>
          <w:shd w:fill="FFF2CC" w:color="auto" w:val="clear"/>
        </w:rPr>
        <w:t xml:space="preserve">on or after 6 September 2012.</w:t>
      </w:r>
      <w:r>
        <w:t xml:space="preserve"> Agreements made earlier remain governed by </w:t>
      </w:r>
      <w:r>
        <w:rPr>
          <w:b/>
          <w:bCs/>
          <w:i/>
          <w:iCs/>
        </w:rPr>
        <w:t xml:space="preserve">Bhatia International</w:t>
      </w:r>
      <w:r>
        <w:t xml:space="preserve">, and this still matters for long-running contracts. Secondly, the second consequence has since been reversed by Parliament.</w:t>
      </w:r>
    </w:p>
    <w:p>
      <w:pPr>
        <w:pStyle w:val="Heading3"/>
        <w:keepNext/>
        <w:spacing w:after="80" w:before="180"/>
      </w:pPr>
      <w:r>
        <w:t xml:space="preserve">Stage 3 — the statutory restoration</w:t>
      </w:r>
    </w:p>
    <w:p>
      <w:pPr>
        <w:spacing w:after="120" w:line="264"/>
        <w:jc w:val="both"/>
      </w:pPr>
      <w:r>
        <w:t xml:space="preserve">The 2015 Amendment inserted a </w:t>
      </w:r>
      <w:r>
        <w:rPr>
          <w:b/>
          <w:bCs/>
        </w:rPr>
        <w:t xml:space="preserve">proviso to s. 2(2)</w:t>
      </w:r>
      <w:r>
        <w:t xml:space="preserve">. Subject to agreement to the contrary, it applies </w:t>
      </w:r>
      <w:r>
        <w:rPr>
          <w:b/>
          <w:bCs/>
          <w:shd w:fill="FFF2CC" w:color="auto" w:val="clear"/>
        </w:rPr>
        <w:t xml:space="preserve">ss. 9, 27 and 37(1)(a) and (3)</w:t>
      </w:r>
      <w:r>
        <w:t xml:space="preserve"> to international commercial arbitration even where the place of arbitration is outside India.</w:t>
      </w:r>
    </w:p>
    <w:p>
      <w:pPr>
        <w:spacing w:after="120" w:line="264"/>
        <w:jc w:val="both"/>
      </w:pPr>
      <w:r>
        <w:t xml:space="preserve">The policy is easy to see. Denying interim relief altogether left an Indian-based defendant free to dissipate assets while a foreign arbitration ran its course. The proviso restores </w:t>
      </w:r>
      <w:r>
        <w:rPr>
          <w:b/>
          <w:bCs/>
        </w:rPr>
        <w:t xml:space="preserve">court support</w:t>
      </w:r>
      <w:r>
        <w:t xml:space="preserve"> without restoring </w:t>
      </w:r>
      <w:r>
        <w:rPr>
          <w:b/>
          <w:bCs/>
        </w:rPr>
        <w:t xml:space="preserve">court supervision</w:t>
      </w:r>
      <w:r>
        <w:t xml:space="preserve">.</w:t>
      </w:r>
    </w:p>
    <w:p>
      <w:pPr>
        <w:pStyle w:val="Heading3"/>
        <w:keepNext/>
        <w:spacing w:after="80" w:before="180"/>
      </w:pPr>
      <w:r>
        <w:t xml:space="preserve">A later refinement</w:t>
      </w:r>
    </w:p>
    <w:p>
      <w:pPr>
        <w:spacing w:after="120" w:line="264"/>
        <w:jc w:val="both"/>
      </w:pPr>
      <w:r>
        <w:t xml:space="preserve">In </w:t>
      </w:r>
      <w:r>
        <w:rPr>
          <w:b/>
          <w:bCs/>
          <w:i/>
          <w:iCs/>
        </w:rPr>
        <w:t xml:space="preserve">PASL Wind Solutions Pvt. Ltd. v. GE Power Conversion India Pvt. Ltd.</w:t>
      </w:r>
      <w:r>
        <w:t xml:space="preserve">, a three-Judge Bench decided in April 2021, the Court held that </w:t>
      </w:r>
      <w:r>
        <w:rPr>
          <w:b/>
          <w:bCs/>
        </w:rPr>
        <w:t xml:space="preserve">two Indian parties may validly choose a foreign seat</w:t>
      </w:r>
      <w:r>
        <w:t xml:space="preserve">, that the resulting award is a </w:t>
      </w:r>
      <w:r>
        <w:rPr>
          <w:b/>
          <w:bCs/>
        </w:rPr>
        <w:t xml:space="preserve">foreign award</w:t>
      </w:r>
      <w:r>
        <w:t xml:space="preserve"> enforceable under Part II, and that </w:t>
      </w:r>
      <w:r>
        <w:rPr>
          <w:b/>
          <w:bCs/>
          <w:shd w:fill="FFF2CC" w:color="auto" w:val="clear"/>
        </w:rPr>
        <w:t xml:space="preserve">s. 9 relief remains available to them,</w:t>
      </w:r>
      <w:r>
        <w:t xml:space="preserve"> because the words “international commercial arbitration” in the proviso to s. 2(2) are used in a seat-centric sense and are not confined to the definition in s. 2(1)(f).</w:t>
      </w:r>
    </w:p>
    <w:p>
      <w:pPr>
        <w:pStyle w:val="Heading3"/>
        <w:keepNext/>
        <w:spacing w:after="80" w:before="180"/>
      </w:pPr>
      <w:r>
        <w:t xml:space="preserve">Conclusion</w:t>
      </w:r>
    </w:p>
    <w:p>
      <w:pPr>
        <w:spacing w:after="120" w:line="264"/>
        <w:jc w:val="both"/>
      </w:pPr>
      <w:r>
        <w:t xml:space="preserve">The present position may be stated in three sentences. Part I applies to arbitrations seated in India. For arbitrations seated abroad, only ss. 9, 27 and 37(1)(a) and (3) apply, unless excluded. </w:t>
      </w:r>
      <w:r>
        <w:rPr>
          <w:b/>
          <w:bCs/>
        </w:rPr>
        <w:t xml:space="preserve">An Indian court may assist a foreign-seated arbitration, but it may not set aside the award, which is a matter for the courts of the seat.</w:t>
      </w:r>
    </w:p>
    <w:p>
      <w:pPr>
        <w:pStyle w:val="Heading2"/>
        <w:keepNext/>
        <w:spacing w:after="100" w:before="250"/>
      </w:pPr>
      <w:r>
        <w:t xml:space="preserve">L2.  “The court supports arbitration; it does not supervise it.” Interim measures under ss. 9 and 17</w:t>
      </w:r>
    </w:p>
    <w:p>
      <w:pPr>
        <w:pStyle w:val="Heading3"/>
        <w:keepNext/>
        <w:spacing w:after="80" w:before="180"/>
      </w:pPr>
      <w:r>
        <w:t xml:space="preserve">Why interim measures exist</w:t>
      </w:r>
    </w:p>
    <w:p>
      <w:pPr>
        <w:spacing w:after="120" w:line="264"/>
        <w:jc w:val="both"/>
      </w:pPr>
      <w:r>
        <w:t xml:space="preserve">An arbitration takes months or years. In that time the subject matter may be sold, damaged, removed or dissipated, and money may be put beyond reach. </w:t>
      </w:r>
      <w:r>
        <w:rPr>
          <w:b/>
          <w:bCs/>
        </w:rPr>
        <w:t xml:space="preserve">An award obtained at the end of that process may be worthless.</w:t>
      </w:r>
      <w:r>
        <w:t xml:space="preserve"> Interim measures preserve the position so that the eventual award has something to operate on.</w:t>
      </w:r>
    </w:p>
    <w:p>
      <w:pPr>
        <w:pStyle w:val="Heading3"/>
        <w:keepNext/>
        <w:spacing w:after="80" w:before="180"/>
      </w:pPr>
      <w:r>
        <w:t xml:space="preserve">Section 9 — the court's power</w:t>
      </w:r>
    </w:p>
    <w:p>
      <w:pPr>
        <w:spacing w:after="120" w:line="264"/>
        <w:jc w:val="both"/>
      </w:pPr>
      <w:r>
        <w:t xml:space="preserve">A party may apply </w:t>
      </w:r>
      <w:r>
        <w:rPr>
          <w:b/>
          <w:bCs/>
        </w:rPr>
        <w:t xml:space="preserve">before or during the arbitral proceedings, or after the award but before enforcement under s. 36</w:t>
      </w:r>
      <w:r>
        <w:t xml:space="preserve">. The relief available is the appointment of a guardian for a minor or person of unsound mind, or an interim measure of protection in respect of five matters: preservation, custody or sale of goods; </w:t>
      </w:r>
      <w:r>
        <w:rPr>
          <w:b/>
          <w:bCs/>
        </w:rPr>
        <w:t xml:space="preserve">securing the amount in dispute</w:t>
      </w:r>
      <w:r>
        <w:t xml:space="preserve">; detention, preservation or inspection of property, with powers of entry and sampling; </w:t>
      </w:r>
      <w:r>
        <w:rPr>
          <w:b/>
          <w:bCs/>
        </w:rPr>
        <w:t xml:space="preserve">injunction or receiver</w:t>
      </w:r>
      <w:r>
        <w:t xml:space="preserve">; and any other measure that appears </w:t>
      </w:r>
      <w:r>
        <w:rPr>
          <w:b/>
          <w:bCs/>
        </w:rPr>
        <w:t xml:space="preserve">just and convenient</w:t>
      </w:r>
      <w:r>
        <w:t xml:space="preserve">. The last is the residuary head. For these purposes the court has the same powers as in a suit.</w:t>
      </w:r>
    </w:p>
    <w:p>
      <w:pPr>
        <w:spacing w:after="120" w:line="264"/>
        <w:jc w:val="both"/>
      </w:pPr>
      <w:r>
        <w:rPr>
          <w:b/>
          <w:bCs/>
        </w:rPr>
        <w:t xml:space="preserve">Relief before the arbitration begins.</w:t>
      </w:r>
      <w:r>
        <w:t xml:space="preserve"> In </w:t>
      </w:r>
      <w:r>
        <w:rPr>
          <w:b/>
          <w:bCs/>
          <w:i/>
          <w:iCs/>
        </w:rPr>
        <w:t xml:space="preserve">Sundaram Finance Ltd. v. NEPC India Ltd.</w:t>
      </w:r>
      <w:r>
        <w:t xml:space="preserve">, (1999) 2 SCC 479, machinery taken on hire-purchase was at risk and an Advocate-Commissioner was appointed under s. 9 before any arbitrator existed. The Court held the application maintainable: the words “before or during arbitral proceedings” must be given effect, a s. 21 notice need not be issued first, and </w:t>
      </w:r>
      <w:r>
        <w:rPr>
          <w:b/>
          <w:bCs/>
          <w:shd w:fill="FFF2CC" w:color="auto" w:val="clear"/>
        </w:rPr>
        <w:t xml:space="preserve">what is required is a manifest intention to take recourse to arbitration.</w:t>
      </w:r>
      <w:r>
        <w:t xml:space="preserve"> The court must satisfy itself that a valid agreement exists, and may make its order </w:t>
      </w:r>
      <w:r>
        <w:rPr>
          <w:b/>
          <w:bCs/>
        </w:rPr>
        <w:t xml:space="preserve">conditional</w:t>
      </w:r>
      <w:r>
        <w:t xml:space="preserve"> to ensure the arbitration actually follows. </w:t>
      </w:r>
      <w:r>
        <w:rPr>
          <w:b/>
          <w:bCs/>
          <w:i/>
          <w:iCs/>
        </w:rPr>
        <w:t xml:space="preserve">Firm Ashok Traders v. Gurumukh Das Saluja</w:t>
      </w:r>
      <w:r>
        <w:t xml:space="preserve">, (2004) 3 SCC 155, adds that the right is </w:t>
      </w:r>
      <w:r>
        <w:rPr>
          <w:b/>
          <w:bCs/>
        </w:rPr>
        <w:t xml:space="preserve">statutory, not contractual</w:t>
      </w:r>
      <w:r>
        <w:t xml:space="preserve">, and available only to a party.</w:t>
      </w:r>
    </w:p>
    <w:p>
      <w:pPr>
        <w:pStyle w:val="Heading3"/>
        <w:keepNext/>
        <w:spacing w:after="80" w:before="180"/>
      </w:pPr>
      <w:r>
        <w:t xml:space="preserve">The two restrictions added in 2015</w:t>
      </w:r>
    </w:p>
    <w:p>
      <w:pPr>
        <w:spacing w:after="70" w:line="264"/>
        <w:ind w:left="547" w:hanging="547"/>
        <w:jc w:val="both"/>
      </w:pPr>
      <w:r>
        <w:rPr>
          <w:b/>
          <w:bCs/>
        </w:rPr>
        <w:t xml:space="preserve">Section 9(2).</w:t>
      </w:r>
      <w:r>
        <w:t xml:space="preserve"> Where an order is made before commencement, the arbitration must begin within </w:t>
      </w:r>
      <w:r>
        <w:rPr>
          <w:b/>
          <w:bCs/>
          <w:shd w:fill="FFF2CC" w:color="auto" w:val="clear"/>
        </w:rPr>
        <w:t xml:space="preserve">ninety days</w:t>
      </w:r>
      <w:r>
        <w:t xml:space="preserve"> of the order, or such further time as the court allows. This is the statutory replacement for the conditional order that </w:t>
      </w:r>
      <w:r>
        <w:rPr>
          <w:b/>
          <w:bCs/>
          <w:i/>
          <w:iCs/>
        </w:rPr>
        <w:t xml:space="preserve">Sundaram Finance</w:t>
      </w:r>
      <w:r>
        <w:t xml:space="preserve"> had left to judicial discretion.</w:t>
      </w:r>
    </w:p>
    <w:p>
      <w:pPr>
        <w:spacing w:after="70" w:line="264"/>
        <w:ind w:left="547" w:hanging="547"/>
        <w:jc w:val="both"/>
      </w:pPr>
      <w:r>
        <w:rPr>
          <w:b/>
          <w:bCs/>
        </w:rPr>
        <w:t xml:space="preserve">Section 9(3).</w:t>
      </w:r>
      <w:r>
        <w:t xml:space="preserve"> Once the tribunal is constituted, </w:t>
      </w:r>
      <w:r>
        <w:rPr>
          <w:b/>
          <w:bCs/>
          <w:shd w:fill="FFF2CC" w:color="auto" w:val="clear"/>
        </w:rPr>
        <w:t xml:space="preserve">the court shall not entertain a s. 9 application unless it finds circumstances that may render the s. 17 remedy not efficacious.</w:t>
      </w:r>
      <w:r>
        <w:t xml:space="preserve"> The burden lies on the applicant.</w:t>
      </w:r>
    </w:p>
    <w:p>
      <w:pPr>
        <w:pStyle w:val="Heading3"/>
        <w:keepNext/>
        <w:spacing w:after="80" w:before="180"/>
      </w:pPr>
      <w:r>
        <w:t xml:space="preserve">Section 17 — before and after 2015</w:t>
      </w:r>
    </w:p>
    <w:p>
      <w:pPr>
        <w:spacing w:after="120" w:line="264"/>
        <w:jc w:val="both"/>
      </w:pPr>
      <w:r>
        <w:rPr>
          <w:b/>
          <w:bCs/>
        </w:rPr>
        <w:t xml:space="preserve">Before 2015</w:t>
      </w:r>
      <w:r>
        <w:t xml:space="preserve">, the tribunal could order interim protection and require security. Its powers overlapped with s. 9, but s. 9 was far wider because it covered the periods before and after the arbitration. The fatal weakness was different: </w:t>
      </w:r>
      <w:r>
        <w:rPr>
          <w:b/>
          <w:bCs/>
          <w:shd w:fill="FFF2CC" w:color="auto" w:val="clear"/>
        </w:rPr>
        <w:t xml:space="preserve">the tribunal had no machinery to enforce its own orders,</w:t>
      </w:r>
      <w:r>
        <w:t xml:space="preserve"> so a party could ignore them and the aggrieved party had to go to court anyway. Tribunal orders were therefore always liable to be superseded.</w:t>
      </w:r>
    </w:p>
    <w:p>
      <w:pPr>
        <w:spacing w:after="120" w:line="264"/>
        <w:jc w:val="both"/>
      </w:pPr>
      <w:r>
        <w:rPr>
          <w:b/>
          <w:bCs/>
        </w:rPr>
        <w:t xml:space="preserve">After 2015</w:t>
      </w:r>
      <w:r>
        <w:t xml:space="preserve">, two changes reversed the position. The tribunal's powers were </w:t>
      </w:r>
      <w:r>
        <w:rPr>
          <w:b/>
          <w:bCs/>
        </w:rPr>
        <w:t xml:space="preserve">aligned with the court's</w:t>
      </w:r>
      <w:r>
        <w:t xml:space="preserve"> — the same guardian provision, the same five heads, and the same power of making orders as a court has in a suit. And </w:t>
      </w:r>
      <w:r>
        <w:rPr>
          <w:b/>
          <w:bCs/>
        </w:rPr>
        <w:t xml:space="preserve">s. 17(2)</w:t>
      </w:r>
      <w:r>
        <w:t xml:space="preserve"> provides that, subject to any order in appeal under s. 37, a tribunal order </w:t>
      </w:r>
      <w:r>
        <w:rPr>
          <w:b/>
          <w:bCs/>
          <w:shd w:fill="FFF2CC" w:color="auto" w:val="clear"/>
        </w:rPr>
        <w:t xml:space="preserve">is deemed an order of the court for all purposes and is enforceable in the same manner</w:t>
      </w:r>
      <w:r>
        <w:t xml:space="preserve"> under the Code of Civil Procedure, 1908.</w:t>
      </w:r>
    </w:p>
    <w:p>
      <w:pPr>
        <w:spacing w:after="120" w:line="264"/>
        <w:jc w:val="both"/>
      </w:pPr>
      <w:r>
        <w:rPr>
          <w:b/>
          <w:bCs/>
        </w:rPr>
        <w:t xml:space="preserve">One limit survives.</w:t>
      </w:r>
      <w:r>
        <w:t xml:space="preserve"> Section 17 operates only </w:t>
      </w:r>
      <w:r>
        <w:rPr>
          <w:b/>
          <w:bCs/>
        </w:rPr>
        <w:t xml:space="preserve">during the arbitral proceedings</w:t>
      </w:r>
      <w:r>
        <w:t xml:space="preserve">. Once the award is made the tribunal is </w:t>
      </w:r>
      <w:r>
        <w:rPr>
          <w:i/>
          <w:iCs/>
        </w:rPr>
        <w:t xml:space="preserve">functus officio</w:t>
      </w:r>
      <w:r>
        <w:t xml:space="preserve">. A party needing protection between the award and its enforcement must therefore return to the court under s. 9, which expressly covers that period. </w:t>
      </w:r>
      <w:r>
        <w:rPr>
          <w:b/>
          <w:bCs/>
        </w:rPr>
        <w:t xml:space="preserve">This is the residual and important function that s. 9 retains.</w:t>
      </w:r>
    </w:p>
    <w:p>
      <w:pPr>
        <w:pStyle w:val="Heading3"/>
        <w:keepNext/>
        <w:spacing w:after="80" w:before="180"/>
      </w:pPr>
      <w:r>
        <w:t xml:space="preserve">Appeals</w:t>
      </w:r>
    </w:p>
    <w:p>
      <w:pPr>
        <w:spacing w:after="120" w:line="264"/>
        <w:jc w:val="both"/>
      </w:pPr>
      <w:r>
        <w:t xml:space="preserve">An order under s. 9 is appealable under </w:t>
      </w:r>
      <w:r>
        <w:rPr>
          <w:b/>
          <w:bCs/>
        </w:rPr>
        <w:t xml:space="preserve">s. 37(1)(b)</w:t>
      </w:r>
      <w:r>
        <w:t xml:space="preserve">; an order under s. 17 under </w:t>
      </w:r>
      <w:r>
        <w:rPr>
          <w:b/>
          <w:bCs/>
        </w:rPr>
        <w:t xml:space="preserve">s. 37(2)(b)</w:t>
      </w:r>
      <w:r>
        <w:t xml:space="preserve">.</w:t>
      </w:r>
    </w:p>
    <w:p>
      <w:pPr>
        <w:pStyle w:val="Heading3"/>
        <w:keepNext/>
        <w:spacing w:after="80" w:before="180"/>
      </w:pPr>
      <w:r>
        <w:t xml:space="preserve">Conclusion</w:t>
      </w:r>
    </w:p>
    <w:p>
      <w:pPr>
        <w:spacing w:after="120" w:line="264"/>
        <w:jc w:val="both"/>
      </w:pPr>
      <w:r>
        <w:t xml:space="preserve">The statement in the question is accurate, and the 2015 Amendment made it more accurate than before. </w:t>
      </w:r>
      <w:r>
        <w:rPr>
          <w:b/>
          <w:bCs/>
          <w:shd w:fill="FFF2CC" w:color="auto" w:val="clear"/>
        </w:rPr>
        <w:t xml:space="preserve">The court's role has been reduced to filling the two gaps the tribunal cannot fill: before it exists, and after it is functus officio, together with the case where its own remedy would be ineffective.</w:t>
      </w:r>
      <w:r>
        <w:t xml:space="preserve"> Everything in between now belongs to the tribunal, and for the first time the tribunal's orders have teeth.</w:t>
      </w:r>
    </w:p>
    <w:p>
      <w:pPr>
        <w:pStyle w:val="Heading2"/>
        <w:keepNext/>
        <w:spacing w:after="100" w:before="250"/>
      </w:pPr>
      <w:r>
        <w:t xml:space="preserve">L3.  Competence-competence and separability under s. 16, and their relationship with ss. 8 and 11</w:t>
      </w:r>
    </w:p>
    <w:p>
      <w:pPr>
        <w:pStyle w:val="Heading3"/>
        <w:keepNext/>
        <w:spacing w:after="80" w:before="180"/>
      </w:pPr>
      <w:r>
        <w:t xml:space="preserve">The problem</w:t>
      </w:r>
    </w:p>
    <w:p>
      <w:pPr>
        <w:spacing w:after="120" w:line="264"/>
        <w:jc w:val="both"/>
      </w:pPr>
      <w:r>
        <w:t xml:space="preserve">The tribunal's authority comes only from the arbitration agreement. If a party denies that a valid agreement exists, the question is circular. Were the tribunal to decide, it would appear to assume the very authority in dispute. Were only a court able to decide, </w:t>
      </w:r>
      <w:r>
        <w:rPr>
          <w:b/>
          <w:bCs/>
        </w:rPr>
        <w:t xml:space="preserve">every arbitration could be halted at the threshold</w:t>
      </w:r>
      <w:r>
        <w:t xml:space="preserve"> by raising the objection.</w:t>
      </w:r>
    </w:p>
    <w:p>
      <w:pPr>
        <w:pStyle w:val="Heading3"/>
        <w:keepNext/>
        <w:spacing w:after="80" w:before="180"/>
      </w:pPr>
      <w:r>
        <w:t xml:space="preserve">The two doctrines</w:t>
      </w:r>
    </w:p>
    <w:p>
      <w:pPr>
        <w:spacing w:after="120" w:line="264"/>
        <w:jc w:val="both"/>
      </w:pPr>
      <w:r>
        <w:rPr>
          <w:b/>
          <w:bCs/>
        </w:rPr>
        <w:t xml:space="preserve">Competence-competence</w:t>
      </w:r>
      <w:r>
        <w:t xml:space="preserve"> gives the tribunal power to rule on its own jurisdiction, including on the existence or validity of the agreement. </w:t>
      </w:r>
      <w:r>
        <w:rPr>
          <w:b/>
          <w:bCs/>
        </w:rPr>
        <w:t xml:space="preserve">Separability</w:t>
      </w:r>
      <w:r>
        <w:t xml:space="preserve"> makes that coherent: under s. 16(1)(a) an arbitration clause forming part of a contract </w:t>
      </w:r>
      <w:r>
        <w:rPr>
          <w:b/>
          <w:bCs/>
          <w:shd w:fill="FFF2CC" w:color="auto" w:val="clear"/>
        </w:rPr>
        <w:t xml:space="preserve">is treated as an agreement independent of the other terms of the contract,</w:t>
      </w:r>
      <w:r>
        <w:t xml:space="preserve"> and under s. 16(1)(b) a decision that the contract is null and void does </w:t>
      </w:r>
      <w:r>
        <w:rPr>
          <w:b/>
          <w:bCs/>
        </w:rPr>
        <w:t xml:space="preserve">not</w:t>
      </w:r>
      <w:r>
        <w:t xml:space="preserve"> entail </w:t>
      </w:r>
      <w:r>
        <w:rPr>
          <w:i/>
          <w:iCs/>
        </w:rPr>
        <w:t xml:space="preserve">ipso jure</w:t>
      </w:r>
      <w:r>
        <w:t xml:space="preserve"> — automatically, by operation of law — the invalidity of the clause.</w:t>
      </w:r>
    </w:p>
    <w:p>
      <w:pPr>
        <w:spacing w:after="120" w:line="264"/>
        <w:jc w:val="both"/>
      </w:pPr>
      <w:r>
        <w:rPr>
          <w:b/>
          <w:bCs/>
        </w:rPr>
        <w:t xml:space="preserve">The practical effect.</w:t>
      </w:r>
      <w:r>
        <w:t xml:space="preserve"> Where the contract is said to be void, rescinded or obtained by fraud, the tribunal keeps jurisdiction and decides those very questions. </w:t>
      </w:r>
      <w:r>
        <w:rPr>
          <w:b/>
          <w:bCs/>
          <w:shd w:fill="FFF2CC" w:color="auto" w:val="clear"/>
        </w:rPr>
        <w:t xml:space="preserve">The position is different where the attack is aimed at the arbitration clause itself.</w:t>
      </w:r>
      <w:r>
        <w:t xml:space="preserve"> Separability protects the clause from the fate of the contract; it cannot protect a clause that is itself invalid.</w:t>
      </w:r>
    </w:p>
    <w:p>
      <w:pPr>
        <w:pStyle w:val="Heading3"/>
        <w:keepNext/>
        <w:spacing w:after="80" w:before="180"/>
      </w:pPr>
      <w:r>
        <w:t xml:space="preserve">Timing of the two pleas</w:t>
      </w:r>
    </w:p>
    <w:p>
      <w:pPr>
        <w:spacing w:after="70" w:line="264"/>
        <w:ind w:left="547" w:hanging="547"/>
        <w:jc w:val="both"/>
      </w:pPr>
      <w:r>
        <w:rPr>
          <w:b/>
          <w:bCs/>
        </w:rPr>
        <w:t xml:space="preserve">Section 16(2).</w:t>
      </w:r>
      <w:r>
        <w:t xml:space="preserve"> A plea that the tribunal has </w:t>
      </w:r>
      <w:r>
        <w:rPr>
          <w:b/>
          <w:bCs/>
        </w:rPr>
        <w:t xml:space="preserve">no jurisdiction at all</w:t>
      </w:r>
      <w:r>
        <w:t xml:space="preserve"> must be raised </w:t>
      </w:r>
      <w:r>
        <w:rPr>
          <w:b/>
          <w:bCs/>
          <w:shd w:fill="FFF2CC" w:color="auto" w:val="clear"/>
        </w:rPr>
        <w:t xml:space="preserve">not later than the submission of the statement of defence.</w:t>
      </w:r>
      <w:r>
        <w:t xml:space="preserve"> The proviso is important: a party is not precluded merely because it appointed, or participated in appointing, an arbitrator. </w:t>
      </w:r>
      <w:r>
        <w:rPr>
          <w:b/>
          <w:bCs/>
        </w:rPr>
        <w:t xml:space="preserve">Participation in constituting the tribunal is not submission to its jurisdiction.</w:t>
      </w:r>
    </w:p>
    <w:p>
      <w:pPr>
        <w:spacing w:after="70" w:line="264"/>
        <w:ind w:left="547" w:hanging="547"/>
        <w:jc w:val="both"/>
      </w:pPr>
      <w:r>
        <w:rPr>
          <w:b/>
          <w:bCs/>
        </w:rPr>
        <w:t xml:space="preserve">Section 16(3).</w:t>
      </w:r>
      <w:r>
        <w:t xml:space="preserve"> A plea that the tribunal is </w:t>
      </w:r>
      <w:r>
        <w:rPr>
          <w:b/>
          <w:bCs/>
        </w:rPr>
        <w:t xml:space="preserve">exceeding the scope of its authority</w:t>
      </w:r>
      <w:r>
        <w:t xml:space="preserve"> must be raised </w:t>
      </w:r>
      <w:r>
        <w:rPr>
          <w:b/>
          <w:bCs/>
        </w:rPr>
        <w:t xml:space="preserve">as soon as the matter arises</w:t>
      </w:r>
      <w:r>
        <w:t xml:space="preserve">, because excess may occur at any stage.</w:t>
      </w:r>
    </w:p>
    <w:p>
      <w:pPr>
        <w:spacing w:after="70" w:line="264"/>
        <w:ind w:left="547" w:hanging="547"/>
        <w:jc w:val="both"/>
      </w:pPr>
      <w:r>
        <w:rPr>
          <w:b/>
          <w:bCs/>
        </w:rPr>
        <w:t xml:space="preserve">Section 16(4).</w:t>
      </w:r>
      <w:r>
        <w:t xml:space="preserve"> The tribunal may admit a later plea in either case if it considers the </w:t>
      </w:r>
      <w:r>
        <w:rPr>
          <w:b/>
          <w:bCs/>
        </w:rPr>
        <w:t xml:space="preserve">delay justified</w:t>
      </w:r>
      <w:r>
        <w:t xml:space="preserve">.</w:t>
      </w:r>
    </w:p>
    <w:p>
      <w:pPr>
        <w:spacing w:after="120" w:line="264"/>
        <w:jc w:val="both"/>
      </w:pPr>
      <w:r>
        <w:t xml:space="preserve">The contrast with civil procedure is instructive. There a plea to jurisdiction may often be taken late; here the outer limit is fixed and the sanction is loss of the plea. The policy is the same as s. 4: </w:t>
      </w:r>
      <w:r>
        <w:rPr>
          <w:b/>
          <w:bCs/>
        </w:rPr>
        <w:t xml:space="preserve">an objection may not be kept in reserve for later use.</w:t>
      </w:r>
    </w:p>
    <w:p>
      <w:pPr>
        <w:pStyle w:val="Heading3"/>
        <w:keepNext/>
        <w:spacing w:after="80" w:before="180"/>
      </w:pPr>
      <w:r>
        <w:t xml:space="preserve">Consequences, and the asymmetry</w:t>
      </w:r>
    </w:p>
    <w:p>
      <w:pPr>
        <w:spacing w:after="120" w:line="264"/>
        <w:jc w:val="both"/>
      </w:pPr>
      <w:r>
        <w:t xml:space="preserve">Under s. 16(5), where the tribunal </w:t>
      </w:r>
      <w:r>
        <w:rPr>
          <w:b/>
          <w:bCs/>
        </w:rPr>
        <w:t xml:space="preserve">rejects</w:t>
      </w:r>
      <w:r>
        <w:t xml:space="preserve"> the plea it continues and makes an award, and under s. 16(6) the remedy is an application under </w:t>
      </w:r>
      <w:r>
        <w:rPr>
          <w:b/>
          <w:bCs/>
        </w:rPr>
        <w:t xml:space="preserve">s. 34</w:t>
      </w:r>
      <w:r>
        <w:t xml:space="preserve">. There is therefore </w:t>
      </w:r>
      <w:r>
        <w:rPr>
          <w:b/>
          <w:bCs/>
        </w:rPr>
        <w:t xml:space="preserve">no immediate appeal against rejection</w:t>
      </w:r>
      <w:r>
        <w:t xml:space="preserve"> — the objector must sit through the whole arbitration.</w:t>
      </w:r>
    </w:p>
    <w:p>
      <w:pPr>
        <w:spacing w:after="120" w:line="264"/>
        <w:jc w:val="both"/>
      </w:pPr>
      <w:r>
        <w:t xml:space="preserve">Where the tribunal </w:t>
      </w:r>
      <w:r>
        <w:rPr>
          <w:b/>
          <w:bCs/>
        </w:rPr>
        <w:t xml:space="preserve">accepts</w:t>
      </w:r>
      <w:r>
        <w:t xml:space="preserve"> the plea, the arbitration ends, and that order is appealable at once under </w:t>
      </w:r>
      <w:r>
        <w:rPr>
          <w:b/>
          <w:bCs/>
        </w:rPr>
        <w:t xml:space="preserve">s. 37(2)(a)</w:t>
      </w:r>
      <w:r>
        <w:t xml:space="preserve">. </w:t>
      </w:r>
      <w:r>
        <w:rPr>
          <w:b/>
          <w:bCs/>
          <w:shd w:fill="FFF2CC" w:color="auto" w:val="clear"/>
        </w:rPr>
        <w:t xml:space="preserve">The asymmetry is deliberate: a running arbitration is not to be interrupted by an appeal about jurisdiction.</w:t>
      </w:r>
    </w:p>
    <w:p>
      <w:pPr>
        <w:pStyle w:val="Heading3"/>
        <w:keepNext/>
        <w:spacing w:after="80" w:before="180"/>
      </w:pPr>
      <w:r>
        <w:t xml:space="preserve">Relationship with ss. 8 and 11</w:t>
      </w:r>
    </w:p>
    <w:p>
      <w:pPr>
        <w:spacing w:after="120" w:line="264"/>
        <w:jc w:val="both"/>
      </w:pPr>
      <w:r>
        <w:t xml:space="preserve">Section 16 is the source of the </w:t>
      </w:r>
      <w:r>
        <w:rPr>
          <w:b/>
          <w:bCs/>
        </w:rPr>
        <w:t xml:space="preserve">rule of first priority</w:t>
      </w:r>
      <w:r>
        <w:t xml:space="preserve">. Where existence or validity is in issue the tribunal has the right of first decision. Accordingly the court's function under </w:t>
      </w:r>
      <w:r>
        <w:rPr>
          <w:b/>
          <w:bCs/>
        </w:rPr>
        <w:t xml:space="preserve">s. 8</w:t>
      </w:r>
      <w:r>
        <w:t xml:space="preserve"> is confined to a </w:t>
      </w:r>
      <w:r>
        <w:rPr>
          <w:i/>
          <w:iCs/>
        </w:rPr>
        <w:t xml:space="preserve">prima facie</w:t>
      </w:r>
      <w:r>
        <w:t xml:space="preserve"> view — hence the rule that </w:t>
      </w:r>
      <w:r>
        <w:rPr>
          <w:b/>
          <w:bCs/>
        </w:rPr>
        <w:t xml:space="preserve">no mini-trial is permissible at the reference stage</w:t>
      </w:r>
      <w:r>
        <w:t xml:space="preserve"> — and under </w:t>
      </w:r>
      <w:r>
        <w:rPr>
          <w:b/>
          <w:bCs/>
        </w:rPr>
        <w:t xml:space="preserve">s. 11</w:t>
      </w:r>
      <w:r>
        <w:t xml:space="preserve"> it is confined by s. 11(6A) to the examination of the existence of the agreement, as </w:t>
      </w:r>
      <w:r>
        <w:rPr>
          <w:b/>
          <w:bCs/>
          <w:i/>
          <w:iCs/>
        </w:rPr>
        <w:t xml:space="preserve">Duro Felguera</w:t>
      </w:r>
      <w:r>
        <w:t xml:space="preserve"> and </w:t>
      </w:r>
      <w:r>
        <w:rPr>
          <w:b/>
          <w:bCs/>
          <w:i/>
          <w:iCs/>
        </w:rPr>
        <w:t xml:space="preserve">Mayavati Trading</w:t>
      </w:r>
      <w:r>
        <w:t xml:space="preserve"> hold and </w:t>
      </w:r>
      <w:r>
        <w:rPr>
          <w:b/>
          <w:bCs/>
          <w:i/>
          <w:iCs/>
        </w:rPr>
        <w:t xml:space="preserve">In Re: Interplay</w:t>
      </w:r>
      <w:r>
        <w:t xml:space="preserve"> (2023, 7 Judges) reaffirms.</w:t>
      </w:r>
    </w:p>
    <w:p>
      <w:pPr>
        <w:pStyle w:val="Heading3"/>
        <w:keepNext/>
        <w:spacing w:after="80" w:before="180"/>
      </w:pPr>
      <w:r>
        <w:t xml:space="preserve">A candid assessment</w:t>
      </w:r>
    </w:p>
    <w:p>
      <w:pPr>
        <w:spacing w:after="120" w:line="264"/>
        <w:jc w:val="both"/>
      </w:pPr>
      <w:r>
        <w:t xml:space="preserve">The scheme is not perfect, and saying so earns marks. If the court's </w:t>
      </w:r>
      <w:r>
        <w:rPr>
          <w:i/>
          <w:iCs/>
        </w:rPr>
        <w:t xml:space="preserve">prima facie</w:t>
      </w:r>
      <w:r>
        <w:t xml:space="preserve"> view is wrong one way, a tribunal is constituted with no consensual basis. If it is wrong the other way, a valid agreement goes unenforced. </w:t>
      </w:r>
      <w:r>
        <w:rPr>
          <w:b/>
          <w:bCs/>
        </w:rPr>
        <w:t xml:space="preserve">The Act accepts that risk in preference to the greater mischief of a full trial on jurisdiction before the arbitration can even begin, and relies on s. 34 as the corrective.</w:t>
      </w:r>
    </w:p>
    <w:p>
      <w:pPr>
        <w:pStyle w:val="Heading2"/>
        <w:keepNext/>
        <w:spacing w:after="100" w:before="250"/>
      </w:pPr>
      <w:r>
        <w:t xml:space="preserve">L4.  Non-arbitrability in Indian law</w:t>
      </w:r>
    </w:p>
    <w:p>
      <w:pPr>
        <w:pStyle w:val="Heading3"/>
        <w:keepNext/>
        <w:spacing w:after="80" w:before="180"/>
      </w:pPr>
      <w:r>
        <w:t xml:space="preserve">Meaning and source</w:t>
      </w:r>
    </w:p>
    <w:p>
      <w:pPr>
        <w:spacing w:after="120" w:line="264"/>
        <w:jc w:val="both"/>
      </w:pPr>
      <w:r>
        <w:t xml:space="preserve">Non-arbitrability asks whether the </w:t>
      </w:r>
      <w:r>
        <w:rPr>
          <w:b/>
          <w:bCs/>
        </w:rPr>
        <w:t xml:space="preserve">subject matter</w:t>
      </w:r>
      <w:r>
        <w:t xml:space="preserve"> of a dispute is capable of being decided by a private tribunal at all. It is not a question of the size of the claim or the complexity of the facts. </w:t>
      </w:r>
      <w:r>
        <w:rPr>
          <w:b/>
          <w:bCs/>
          <w:shd w:fill="FFF2CC" w:color="auto" w:val="clear"/>
        </w:rPr>
        <w:t xml:space="preserve">It is qualitative, and it depends on the nature of the right in issue.</w:t>
      </w:r>
    </w:p>
    <w:p>
      <w:pPr>
        <w:spacing w:after="120" w:line="264"/>
        <w:jc w:val="both"/>
      </w:pPr>
      <w:r>
        <w:t xml:space="preserve">The Act nowhere lists non-arbitrable disputes. The doctrine operates as a limit on </w:t>
      </w:r>
      <w:r>
        <w:rPr>
          <w:b/>
          <w:bCs/>
        </w:rPr>
        <w:t xml:space="preserve">s. 8</w:t>
      </w:r>
      <w:r>
        <w:t xml:space="preserve"> and </w:t>
      </w:r>
      <w:r>
        <w:rPr>
          <w:b/>
          <w:bCs/>
        </w:rPr>
        <w:t xml:space="preserve">s. 11</w:t>
      </w:r>
      <w:r>
        <w:t xml:space="preserve">: a court will not refer parties to arbitration where the law does not permit the dispute to be arbitrated.</w:t>
      </w:r>
    </w:p>
    <w:p>
      <w:pPr>
        <w:pStyle w:val="Heading3"/>
        <w:keepNext/>
        <w:spacing w:after="80" w:before="180"/>
      </w:pPr>
      <w:r>
        <w:t xml:space="preserve">The Booz Allen approach</w:t>
      </w:r>
    </w:p>
    <w:p>
      <w:pPr>
        <w:spacing w:after="120" w:line="264"/>
        <w:jc w:val="both"/>
      </w:pPr>
      <w:r>
        <w:rPr>
          <w:b/>
          <w:bCs/>
          <w:i/>
          <w:iCs/>
        </w:rPr>
        <w:t xml:space="preserve">Booz Allen &amp; Hamilton Inc. v. SBI Home Finance Ltd.</w:t>
      </w:r>
      <w:r>
        <w:t xml:space="preserve">, (2011) 5 SCC 532, framed the test around the distinction between a right </w:t>
      </w:r>
      <w:r>
        <w:rPr>
          <w:b/>
          <w:bCs/>
          <w:i/>
          <w:iCs/>
        </w:rPr>
        <w:t xml:space="preserve">in rem</w:t>
      </w:r>
      <w:r>
        <w:t xml:space="preserve">, which is good against the world, and a right </w:t>
      </w:r>
      <w:r>
        <w:rPr>
          <w:b/>
          <w:bCs/>
          <w:i/>
          <w:iCs/>
        </w:rPr>
        <w:t xml:space="preserve">in personam</w:t>
      </w:r>
      <w:r>
        <w:t xml:space="preserve">, which is good against a particular person. Rights </w:t>
      </w:r>
      <w:r>
        <w:rPr>
          <w:i/>
          <w:iCs/>
        </w:rPr>
        <w:t xml:space="preserve">in rem</w:t>
      </w:r>
      <w:r>
        <w:t xml:space="preserve"> are generally for public fora; subordinate rights </w:t>
      </w:r>
      <w:r>
        <w:rPr>
          <w:i/>
          <w:iCs/>
        </w:rPr>
        <w:t xml:space="preserve">in personam</w:t>
      </w:r>
      <w:r>
        <w:t xml:space="preserve"> arising from rights </w:t>
      </w:r>
      <w:r>
        <w:rPr>
          <w:i/>
          <w:iCs/>
        </w:rPr>
        <w:t xml:space="preserve">in rem</w:t>
      </w:r>
      <w:r>
        <w:t xml:space="preserve"> are generally arbitrable. The Court gave an illustrative, and expressly not exhaustive, list of excluded categories, which is commonly reproduced as criminal offences, matrimonial disputes, guardianship matters, insolvency and winding up, testamentary matters, and eviction or tenancy governed by special statutes.</w:t>
      </w:r>
    </w:p>
    <w:p>
      <w:pPr>
        <w:pStyle w:val="Heading3"/>
        <w:keepNext/>
        <w:spacing w:after="80" w:before="180"/>
      </w:pPr>
      <w:r>
        <w:t xml:space="preserve">The fourfold test</w:t>
      </w:r>
    </w:p>
    <w:p>
      <w:pPr>
        <w:spacing w:after="120" w:line="264"/>
        <w:jc w:val="both"/>
      </w:pPr>
      <w:r>
        <w:rPr>
          <w:b/>
          <w:bCs/>
          <w:i/>
          <w:iCs/>
        </w:rPr>
        <w:t xml:space="preserve">Vidya Drolia v. Durga Trading Corporation</w:t>
      </w:r>
      <w:r>
        <w:t xml:space="preserve">, (2021) 2 SCC 1 (3 Judges), restated the law. A dispute is non-arbitrable where its cause of action or subject matter —</w:t>
      </w:r>
    </w:p>
    <w:p>
      <w:pPr>
        <w:pStyle w:val="ListParagraph"/>
        <w:numPr>
          <w:ilvl w:val="0"/>
          <w:numId w:val="2"/>
        </w:numPr>
        <w:spacing w:after="70" w:line="264"/>
        <w:jc w:val="both"/>
      </w:pPr>
      <w:r>
        <w:t xml:space="preserve">relates to an action </w:t>
      </w:r>
      <w:r>
        <w:rPr>
          <w:b/>
          <w:bCs/>
          <w:i/>
          <w:iCs/>
        </w:rPr>
        <w:t xml:space="preserve">in rem</w:t>
      </w:r>
      <w:r>
        <w:t xml:space="preserve">, rather than a subordinate right </w:t>
      </w:r>
      <w:r>
        <w:rPr>
          <w:i/>
          <w:iCs/>
        </w:rPr>
        <w:t xml:space="preserve">in personam</w:t>
      </w:r>
      <w:r>
        <w:t xml:space="preserve"> arising from a right </w:t>
      </w:r>
      <w:r>
        <w:rPr>
          <w:i/>
          <w:iCs/>
        </w:rPr>
        <w:t xml:space="preserve">in rem</w:t>
      </w:r>
      <w:r>
        <w:t xml:space="preserve">;</w:t>
      </w:r>
    </w:p>
    <w:p>
      <w:pPr>
        <w:pStyle w:val="ListParagraph"/>
        <w:numPr>
          <w:ilvl w:val="0"/>
          <w:numId w:val="2"/>
        </w:numPr>
        <w:spacing w:after="70" w:line="264"/>
        <w:jc w:val="both"/>
      </w:pPr>
      <w:r>
        <w:t xml:space="preserve">affects </w:t>
      </w:r>
      <w:r>
        <w:rPr>
          <w:b/>
          <w:bCs/>
        </w:rPr>
        <w:t xml:space="preserve">third-party rights</w:t>
      </w:r>
      <w:r>
        <w:t xml:space="preserve">, has an </w:t>
      </w:r>
      <w:r>
        <w:rPr>
          <w:i/>
          <w:iCs/>
        </w:rPr>
        <w:t xml:space="preserve">erga omnes</w:t>
      </w:r>
      <w:r>
        <w:t xml:space="preserve"> effect, or requires </w:t>
      </w:r>
      <w:r>
        <w:rPr>
          <w:b/>
          <w:bCs/>
        </w:rPr>
        <w:t xml:space="preserve">centralised adjudication</w:t>
      </w:r>
      <w:r>
        <w:t xml:space="preserve"> unsuited to a private tribunal;</w:t>
      </w:r>
    </w:p>
    <w:p>
      <w:pPr>
        <w:pStyle w:val="ListParagraph"/>
        <w:numPr>
          <w:ilvl w:val="0"/>
          <w:numId w:val="2"/>
        </w:numPr>
        <w:spacing w:after="70" w:line="264"/>
        <w:jc w:val="both"/>
      </w:pPr>
      <w:r>
        <w:t xml:space="preserve">relates to an </w:t>
      </w:r>
      <w:r>
        <w:rPr>
          <w:b/>
          <w:bCs/>
        </w:rPr>
        <w:t xml:space="preserve">inalienable sovereign or public-interest function</w:t>
      </w:r>
      <w:r>
        <w:t xml:space="preserve"> of the State; or</w:t>
      </w:r>
    </w:p>
    <w:p>
      <w:pPr>
        <w:pStyle w:val="ListParagraph"/>
        <w:numPr>
          <w:ilvl w:val="0"/>
          <w:numId w:val="2"/>
        </w:numPr>
        <w:spacing w:after="70" w:line="264"/>
        <w:jc w:val="both"/>
      </w:pPr>
      <w:r>
        <w:t xml:space="preserve">is expressly or by necessary implication made </w:t>
      </w:r>
      <w:r>
        <w:rPr>
          <w:b/>
          <w:bCs/>
        </w:rPr>
        <w:t xml:space="preserve">non-arbitrable by statute</w:t>
      </w:r>
      <w:r>
        <w:t xml:space="preserve">.</w:t>
      </w:r>
    </w:p>
    <w:p>
      <w:pPr>
        <w:pStyle w:val="Heading3"/>
        <w:keepNext/>
        <w:spacing w:after="80" w:before="180"/>
      </w:pPr>
      <w:r>
        <w:t xml:space="preserve">The leading illustration</w:t>
      </w:r>
    </w:p>
    <w:p>
      <w:pPr>
        <w:spacing w:after="120" w:line="264"/>
        <w:jc w:val="both"/>
      </w:pPr>
      <w:r>
        <w:rPr>
          <w:b/>
          <w:bCs/>
          <w:i/>
          <w:iCs/>
        </w:rPr>
        <w:t xml:space="preserve">Emaar MGF Land Ltd. v. Aftab Singh</w:t>
      </w:r>
      <w:r>
        <w:t xml:space="preserve">, (2019) 12 SCC 751, is the standard example of the fourth limb. Flat buyers complained of delayed possession to the consumer commission, and the builder applied under s. 8. The Court held that </w:t>
      </w:r>
      <w:r>
        <w:rPr>
          <w:b/>
          <w:bCs/>
          <w:shd w:fill="FFF2CC" w:color="auto" w:val="clear"/>
        </w:rPr>
        <w:t xml:space="preserve">consumer disputes cannot be arbitrated,</w:t>
      </w:r>
      <w:r>
        <w:t xml:space="preserve"> and that the consumer forum was not obliged to refer. The Consumer Protection Act creates a </w:t>
      </w:r>
      <w:r>
        <w:rPr>
          <w:b/>
          <w:bCs/>
        </w:rPr>
        <w:t xml:space="preserve">special and additional remedy</w:t>
      </w:r>
      <w:r>
        <w:t xml:space="preserve"> for a class the legislature intended to protect, its provisions being “in addition to and not in derogation of” any other law. Such a remedy cannot be displaced by a private arbitration clause, and the amended s. 8 was never intended to override special statutory fora.</w:t>
      </w:r>
    </w:p>
    <w:p>
      <w:pPr>
        <w:spacing w:after="120" w:line="264"/>
        <w:jc w:val="both"/>
      </w:pPr>
      <w:r>
        <w:rPr>
          <w:b/>
          <w:bCs/>
        </w:rPr>
        <w:t xml:space="preserve">The wider principle is worth stating:</w:t>
      </w:r>
      <w:r>
        <w:t xml:space="preserve"> beneficent legislation, such as consumer and rent control statutes, cannot be circumvented by an arbitration clause.</w:t>
      </w:r>
    </w:p>
    <w:p>
      <w:pPr>
        <w:pStyle w:val="Heading3"/>
        <w:keepNext/>
        <w:spacing w:after="80" w:before="180"/>
      </w:pPr>
      <w:r>
        <w:t xml:space="preserve">Who decides arbitrability</w:t>
      </w:r>
    </w:p>
    <w:p>
      <w:pPr>
        <w:spacing w:after="120" w:line="264"/>
        <w:jc w:val="both"/>
      </w:pPr>
      <w:r>
        <w:t xml:space="preserve">Consistently with the rule of first priority, </w:t>
      </w:r>
      <w:r>
        <w:rPr>
          <w:b/>
          <w:bCs/>
          <w:shd w:fill="FFF2CC" w:color="auto" w:val="clear"/>
        </w:rPr>
        <w:t xml:space="preserve">arbitrability is ordinarily for the tribunal under s. 16.</w:t>
      </w:r>
      <w:r>
        <w:t xml:space="preserve"> The court may decline reference only where the claim is </w:t>
      </w:r>
      <w:r>
        <w:rPr>
          <w:i/>
          <w:iCs/>
        </w:rPr>
        <w:t xml:space="preserve">ex facie</w:t>
      </w:r>
      <w:r>
        <w:t xml:space="preserve"> or manifestly non-arbitrable. This follows from the narrow enquiry mandated by s. 11(6A) and from the </w:t>
      </w:r>
      <w:r>
        <w:rPr>
          <w:i/>
          <w:iCs/>
        </w:rPr>
        <w:t xml:space="preserve">prima facie</w:t>
      </w:r>
      <w:r>
        <w:t xml:space="preserve"> standard in s. 8.</w:t>
      </w:r>
    </w:p>
    <w:p>
      <w:pPr>
        <w:pStyle w:val="Heading3"/>
        <w:keepNext/>
        <w:spacing w:after="80" w:before="180"/>
      </w:pPr>
      <w:r>
        <w:t xml:space="preserve">Conclusion</w:t>
      </w:r>
    </w:p>
    <w:p>
      <w:pPr>
        <w:spacing w:after="120" w:line="264"/>
        <w:jc w:val="both"/>
      </w:pPr>
      <w:r>
        <w:t xml:space="preserve">Non-arbitrability protects two things: </w:t>
      </w:r>
      <w:r>
        <w:rPr>
          <w:b/>
          <w:bCs/>
        </w:rPr>
        <w:t xml:space="preserve">rights that affect people who are not before the tribunal</w:t>
      </w:r>
      <w:r>
        <w:t xml:space="preserve">, and </w:t>
      </w:r>
      <w:r>
        <w:rPr>
          <w:b/>
          <w:bCs/>
        </w:rPr>
        <w:t xml:space="preserve">statutory schemes enacted to protect a weaker class</w:t>
      </w:r>
      <w:r>
        <w:t xml:space="preserve">. The fourfold test in </w:t>
      </w:r>
      <w:r>
        <w:rPr>
          <w:b/>
          <w:bCs/>
          <w:i/>
          <w:iCs/>
        </w:rPr>
        <w:t xml:space="preserve">Vidya Drolia</w:t>
      </w:r>
      <w:r>
        <w:t xml:space="preserve"> is the operative statement of the law, and </w:t>
      </w:r>
      <w:r>
        <w:rPr>
          <w:b/>
          <w:bCs/>
          <w:i/>
          <w:iCs/>
        </w:rPr>
        <w:t xml:space="preserve">Emaar MGF</w:t>
      </w:r>
      <w:r>
        <w:t xml:space="preserve"> the clearest application of it.</w:t>
      </w:r>
    </w:p>
    <w:p>
      <w:pPr>
        <w:pStyle w:val="Heading2"/>
        <w:keepNext/>
        <w:spacing w:after="100" w:before="250"/>
      </w:pPr>
      <w:r>
        <w:t xml:space="preserve">L5.  “The 2015 Amendment shifted the law from challenge to disqualification.” Examine</w:t>
      </w:r>
    </w:p>
    <w:p>
      <w:pPr>
        <w:pStyle w:val="Heading3"/>
        <w:keepNext/>
        <w:spacing w:after="80" w:before="180"/>
      </w:pPr>
      <w:r>
        <w:t xml:space="preserve">The position before 2015</w:t>
      </w:r>
    </w:p>
    <w:p>
      <w:pPr>
        <w:spacing w:after="120" w:line="264"/>
        <w:jc w:val="both"/>
      </w:pPr>
      <w:r>
        <w:t xml:space="preserve">The original scheme was built entirely on </w:t>
      </w:r>
      <w:r>
        <w:rPr>
          <w:b/>
          <w:bCs/>
        </w:rPr>
        <w:t xml:space="preserve">challenge</w:t>
      </w:r>
      <w:r>
        <w:t xml:space="preserve">. An arbitrator disclosed circumstances likely to give rise to justifiable doubts, and if a party objected, the objection was decided under s. 13. </w:t>
      </w:r>
      <w:r>
        <w:rPr>
          <w:b/>
          <w:bCs/>
        </w:rPr>
        <w:t xml:space="preserve">The system therefore depended on a party raising it</w:t>
      </w:r>
      <w:r>
        <w:t xml:space="preserve">, and on the tribunal itself upholding the objection.</w:t>
      </w:r>
    </w:p>
    <w:p>
      <w:pPr>
        <w:spacing w:after="120" w:line="264"/>
        <w:jc w:val="both"/>
      </w:pPr>
      <w:r>
        <w:t xml:space="preserve">That was inadequate in one recurring situation: the </w:t>
      </w:r>
      <w:r>
        <w:rPr>
          <w:b/>
          <w:bCs/>
        </w:rPr>
        <w:t xml:space="preserve">departmental arbitrator</w:t>
      </w:r>
      <w:r>
        <w:t xml:space="preserve">. Public sector undertakings and government departments routinely provided that one of their own officers, or that officer's nominee, would arbitrate. In </w:t>
      </w:r>
      <w:r>
        <w:rPr>
          <w:b/>
          <w:bCs/>
          <w:i/>
          <w:iCs/>
        </w:rPr>
        <w:t xml:space="preserve">Indian Oil Corporation Ltd. v. Raja Transport Pvt. Ltd.</w:t>
      </w:r>
      <w:r>
        <w:t xml:space="preserve">, (2009) 8 SCC 520, the Court held that an employee is </w:t>
      </w:r>
      <w:r>
        <w:rPr>
          <w:b/>
          <w:bCs/>
        </w:rPr>
        <w:t xml:space="preserve">not per se disqualified</w:t>
      </w:r>
      <w:r>
        <w:t xml:space="preserve">, and that a named senior officer is presumed independent unless a </w:t>
      </w:r>
      <w:r>
        <w:rPr>
          <w:b/>
          <w:bCs/>
        </w:rPr>
        <w:t xml:space="preserve">reasonable apprehension of bias</w:t>
      </w:r>
      <w:r>
        <w:t xml:space="preserve"> is made out on the facts. In practice such clauses survived.</w:t>
      </w:r>
    </w:p>
    <w:p>
      <w:pPr>
        <w:pStyle w:val="Heading3"/>
        <w:keepNext/>
        <w:spacing w:after="80" w:before="180"/>
      </w:pPr>
      <w:r>
        <w:t xml:space="preserve">What the 2015 Amendment did</w:t>
      </w:r>
    </w:p>
    <w:p>
      <w:pPr>
        <w:pStyle w:val="ListParagraph"/>
        <w:numPr>
          <w:ilvl w:val="0"/>
          <w:numId w:val="3"/>
        </w:numPr>
        <w:spacing w:after="70" w:line="264"/>
        <w:jc w:val="both"/>
      </w:pPr>
      <w:r>
        <w:rPr>
          <w:b/>
          <w:bCs/>
        </w:rPr>
        <w:t xml:space="preserve">Recast s. 12(1).</w:t>
      </w:r>
      <w:r>
        <w:t xml:space="preserve"> Disclosure must now specify the </w:t>
      </w:r>
      <w:r>
        <w:rPr>
          <w:b/>
          <w:bCs/>
        </w:rPr>
        <w:t xml:space="preserve">kinds of relationship and interest</w:t>
      </w:r>
      <w:r>
        <w:t xml:space="preserve"> involved, and must additionally cover </w:t>
      </w:r>
      <w:r>
        <w:rPr>
          <w:b/>
          <w:bCs/>
        </w:rPr>
        <w:t xml:space="preserve">availability</w:t>
      </w:r>
      <w:r>
        <w:t xml:space="preserve">, in particular the ability to complete the arbitration within twelve months.</w:t>
      </w:r>
    </w:p>
    <w:p>
      <w:pPr>
        <w:pStyle w:val="ListParagraph"/>
        <w:numPr>
          <w:ilvl w:val="0"/>
          <w:numId w:val="3"/>
        </w:numPr>
        <w:spacing w:after="70" w:line="264"/>
        <w:jc w:val="both"/>
      </w:pPr>
      <w:r>
        <w:rPr>
          <w:b/>
          <w:bCs/>
        </w:rPr>
        <w:t xml:space="preserve">Standardised disclosure.</w:t>
      </w:r>
      <w:r>
        <w:t xml:space="preserve"> Explanation 2 requires the </w:t>
      </w:r>
      <w:r>
        <w:rPr>
          <w:b/>
          <w:bCs/>
        </w:rPr>
        <w:t xml:space="preserve">Sixth Schedule</w:t>
      </w:r>
      <w:r>
        <w:t xml:space="preserve"> form, so disclosure is no longer left to the arbitrator's own wording.</w:t>
      </w:r>
    </w:p>
    <w:p>
      <w:pPr>
        <w:pStyle w:val="ListParagraph"/>
        <w:numPr>
          <w:ilvl w:val="0"/>
          <w:numId w:val="3"/>
        </w:numPr>
        <w:spacing w:after="70" w:line="264"/>
        <w:jc w:val="both"/>
      </w:pPr>
      <w:r>
        <w:rPr>
          <w:b/>
          <w:bCs/>
        </w:rPr>
        <w:t xml:space="preserve">Inserted the Fifth Schedule</w:t>
      </w:r>
      <w:r>
        <w:t xml:space="preserve"> as the guide to what gives rise to justifiable doubts, drawn from the IBA Guidelines on Conflicts of Interest.</w:t>
      </w:r>
    </w:p>
    <w:p>
      <w:pPr>
        <w:pStyle w:val="ListParagraph"/>
        <w:numPr>
          <w:ilvl w:val="0"/>
          <w:numId w:val="3"/>
        </w:numPr>
        <w:spacing w:after="70" w:line="264"/>
        <w:jc w:val="both"/>
      </w:pPr>
      <w:r>
        <w:rPr>
          <w:b/>
          <w:bCs/>
        </w:rPr>
        <w:t xml:space="preserve">Inserted s. 12(5) and the Seventh Schedule.</w:t>
      </w:r>
      <w:r>
        <w:t xml:space="preserve"> </w:t>
      </w:r>
      <w:r>
        <w:rPr>
          <w:b/>
          <w:bCs/>
          <w:shd w:fill="FFF2CC" w:color="auto" w:val="clear"/>
        </w:rPr>
        <w:t xml:space="preserve">A person whose relationship with the parties, counsel or subject matter falls within the Seventh Schedule is ineligible to be appointed, notwithstanding any prior agreement to the contrary.</w:t>
      </w:r>
    </w:p>
    <w:p>
      <w:pPr>
        <w:pStyle w:val="ListParagraph"/>
        <w:numPr>
          <w:ilvl w:val="0"/>
          <w:numId w:val="3"/>
        </w:numPr>
        <w:spacing w:after="70" w:line="264"/>
        <w:jc w:val="both"/>
      </w:pPr>
      <w:r>
        <w:rPr>
          <w:b/>
          <w:bCs/>
        </w:rPr>
        <w:t xml:space="preserve">Created a strict waiver rule.</w:t>
      </w:r>
      <w:r>
        <w:t xml:space="preserve"> Under the proviso, ineligibility may be waived </w:t>
      </w:r>
      <w:r>
        <w:rPr>
          <w:b/>
          <w:bCs/>
        </w:rPr>
        <w:t xml:space="preserve">only by an express agreement in writing made after the dispute has arisen</w:t>
      </w:r>
      <w:r>
        <w:t xml:space="preserve">.</w:t>
      </w:r>
    </w:p>
    <w:p>
      <w:pPr>
        <w:pStyle w:val="Heading3"/>
        <w:keepNext/>
        <w:spacing w:after="80" w:before="180"/>
      </w:pPr>
      <w:r>
        <w:t xml:space="preserve">Why this is a shift in kind, not degree</w:t>
      </w:r>
    </w:p>
    <w:p>
      <w:pPr>
        <w:spacing w:after="120" w:line="264"/>
        <w:jc w:val="both"/>
      </w:pPr>
      <w:r>
        <w:t xml:space="preserve">Sub-section (3) creates a </w:t>
      </w:r>
      <w:r>
        <w:rPr>
          <w:b/>
          <w:bCs/>
        </w:rPr>
        <w:t xml:space="preserve">ground of challenge</w:t>
      </w:r>
      <w:r>
        <w:t xml:space="preserve">: somebody must object, and somebody must decide. Sub-section (5) creates a </w:t>
      </w:r>
      <w:r>
        <w:rPr>
          <w:b/>
          <w:bCs/>
        </w:rPr>
        <w:t xml:space="preserve">disqualification operating in law</w:t>
      </w:r>
      <w:r>
        <w:t xml:space="preserve">. Its non obstante clause overrides the contract itself, including the very clause that named the arbitrator, and no objection is strictly necessary to make it operate. </w:t>
      </w:r>
      <w:r>
        <w:rPr>
          <w:b/>
          <w:bCs/>
          <w:shd w:fill="FFF2CC" w:color="auto" w:val="clear"/>
        </w:rPr>
        <w:t xml:space="preserve">The statute, rather than the objecting party, now does the work.</w:t>
      </w:r>
    </w:p>
    <w:p>
      <w:pPr>
        <w:pStyle w:val="Heading3"/>
        <w:keepNext/>
        <w:spacing w:after="80" w:before="180"/>
      </w:pPr>
      <w:r>
        <w:t xml:space="preserve">How the courts developed it</w:t>
      </w:r>
    </w:p>
    <w:p>
      <w:pPr>
        <w:pStyle w:val="ListParagraph"/>
        <w:numPr>
          <w:ilvl w:val="0"/>
          <w:numId w:val="4"/>
        </w:numPr>
        <w:spacing w:after="70" w:line="264"/>
        <w:jc w:val="both"/>
      </w:pPr>
      <w:r>
        <w:rPr>
          <w:b/>
          <w:bCs/>
          <w:i/>
          <w:iCs/>
        </w:rPr>
        <w:t xml:space="preserve">TRF Ltd. v. Energo Engineering Projects Ltd.</w:t>
      </w:r>
      <w:r>
        <w:t xml:space="preserve">, (2017) 8 SCC 377 (3 Judges) — a person himself ineligible </w:t>
      </w:r>
      <w:r>
        <w:rPr>
          <w:b/>
          <w:bCs/>
        </w:rPr>
        <w:t xml:space="preserve">cannot nominate</w:t>
      </w:r>
      <w:r>
        <w:t xml:space="preserve"> an arbitrator, because he cannot delegate an authority he does not possess.</w:t>
      </w:r>
    </w:p>
    <w:p>
      <w:pPr>
        <w:pStyle w:val="ListParagraph"/>
        <w:numPr>
          <w:ilvl w:val="0"/>
          <w:numId w:val="4"/>
        </w:numPr>
        <w:spacing w:after="70" w:line="264"/>
        <w:jc w:val="both"/>
      </w:pPr>
      <w:r>
        <w:rPr>
          <w:b/>
          <w:bCs/>
          <w:i/>
          <w:iCs/>
        </w:rPr>
        <w:t xml:space="preserve">Perkins Eastman Architects DPC v. HSCC (India) Ltd.</w:t>
      </w:r>
      <w:r>
        <w:t xml:space="preserve">, (2020) 20 SCC 760 — a party interested in the outcome </w:t>
      </w:r>
      <w:r>
        <w:rPr>
          <w:b/>
          <w:bCs/>
        </w:rPr>
        <w:t xml:space="preserve">cannot unilaterally appoint</w:t>
      </w:r>
      <w:r>
        <w:t xml:space="preserve"> the sole arbitrator. The interest that disqualifies a person from deciding equally disqualifies him from choosing who decides.</w:t>
      </w:r>
    </w:p>
    <w:p>
      <w:pPr>
        <w:pStyle w:val="ListParagraph"/>
        <w:numPr>
          <w:ilvl w:val="0"/>
          <w:numId w:val="4"/>
        </w:numPr>
        <w:spacing w:after="70" w:line="264"/>
        <w:jc w:val="both"/>
      </w:pPr>
      <w:r>
        <w:rPr>
          <w:b/>
          <w:bCs/>
          <w:i/>
          <w:iCs/>
        </w:rPr>
        <w:t xml:space="preserve">Bharat Broadband Network Ltd. v. United Telecoms Ltd.</w:t>
      </w:r>
      <w:r>
        <w:t xml:space="preserve">, (2019) 5 SCC 755 — ineligibility is </w:t>
      </w:r>
      <w:r>
        <w:rPr>
          <w:b/>
          <w:bCs/>
          <w:i/>
          <w:iCs/>
        </w:rPr>
        <w:t xml:space="preserve">de jure</w:t>
      </w:r>
      <w:r>
        <w:t xml:space="preserve">; filing a statement of claim without reservation is </w:t>
      </w:r>
      <w:r>
        <w:rPr>
          <w:b/>
          <w:bCs/>
        </w:rPr>
        <w:t xml:space="preserve">not</w:t>
      </w:r>
      <w:r>
        <w:t xml:space="preserve"> waiver; and the mandate terminates under </w:t>
      </w:r>
      <w:r>
        <w:rPr>
          <w:b/>
          <w:bCs/>
        </w:rPr>
        <w:t xml:space="preserve">s. 14</w:t>
      </w:r>
      <w:r>
        <w:t xml:space="preserve">, whereupon a substitute is appointed under s. 15(2).</w:t>
      </w:r>
    </w:p>
    <w:p>
      <w:pPr>
        <w:pStyle w:val="ListParagraph"/>
        <w:numPr>
          <w:ilvl w:val="0"/>
          <w:numId w:val="4"/>
        </w:numPr>
        <w:spacing w:after="70" w:line="264"/>
        <w:jc w:val="both"/>
      </w:pPr>
      <w:r>
        <w:rPr>
          <w:b/>
          <w:bCs/>
          <w:i/>
          <w:iCs/>
        </w:rPr>
        <w:t xml:space="preserve">Central Organisation for Railway Electrification v. ECI-SPIC-SMO-MCML (JV)</w:t>
      </w:r>
      <w:r>
        <w:t xml:space="preserve"> (CORE-II), 2024 INSC 857 (Constitution Bench of 5, 8 November 2024) — </w:t>
      </w:r>
      <w:r>
        <w:rPr>
          <w:b/>
          <w:bCs/>
          <w:shd w:fill="FFF2CC" w:color="auto" w:val="clear"/>
        </w:rPr>
        <w:t xml:space="preserve">unilateral appointment clauses in public-private contracts violate Article 14 of the Constitution,</w:t>
      </w:r>
      <w:r>
        <w:t xml:space="preserve"> with prospective effect. CORE-I, (2020) 14 SCC 712, is overruled on the point.</w:t>
      </w:r>
    </w:p>
    <w:p>
      <w:pPr>
        <w:pStyle w:val="Heading3"/>
        <w:keepNext/>
        <w:spacing w:after="80" w:before="180"/>
      </w:pPr>
      <w:r>
        <w:t xml:space="preserve">Assessment</w:t>
      </w:r>
    </w:p>
    <w:p>
      <w:pPr>
        <w:spacing w:after="120" w:line="264"/>
        <w:jc w:val="both"/>
      </w:pPr>
      <w:r>
        <w:t xml:space="preserve">The statement in the question is correct, and the case law has carried the shift further than the text alone required. </w:t>
      </w:r>
      <w:r>
        <w:rPr>
          <w:b/>
          <w:bCs/>
          <w:shd w:fill="FFF2CC" w:color="auto" w:val="clear"/>
        </w:rPr>
        <w:t xml:space="preserve">The result is that the departmental arbitrator, as traditionally practised, can no longer survive.</w:t>
      </w:r>
      <w:r>
        <w:t xml:space="preserve"> The Seventh Schedule draws no distinction between governmental and private organisations; it speaks in terms of relationships and applies to both.</w:t>
      </w:r>
    </w:p>
    <w:p>
      <w:pPr>
        <w:spacing w:after="120" w:line="264"/>
        <w:jc w:val="both"/>
      </w:pPr>
      <w:r>
        <w:rPr>
          <w:b/>
          <w:bCs/>
        </w:rPr>
        <w:t xml:space="preserve">A balanced answer notes the cost.</w:t>
      </w:r>
      <w:r>
        <w:t xml:space="preserve"> Departmental arbitrators were defended on the ground that officers understand the technical subject matter of engineering and defence contracts. That advantage has been surrendered. The answer of the Constitution Bench is that </w:t>
      </w:r>
      <w:r>
        <w:rPr>
          <w:b/>
          <w:bCs/>
        </w:rPr>
        <w:t xml:space="preserve">equality before the law is not a price worth paying for technical familiarity</w:t>
      </w:r>
      <w:r>
        <w:t xml:space="preserve">, and that expertise can be secured by appointing an independent expert arbitrator instead.</w:t>
      </w:r>
    </w:p>
    <w:p>
      <w:pPr>
        <w:pStyle w:val="Heading2"/>
        <w:keepNext/>
        <w:spacing w:after="100" w:before="250"/>
      </w:pPr>
      <w:r>
        <w:t xml:space="preserve">L6.  Conduct of arbitral proceedings under Chapter V: flexibility against due process</w:t>
      </w:r>
    </w:p>
    <w:p>
      <w:pPr>
        <w:pStyle w:val="Heading3"/>
        <w:keepNext/>
        <w:spacing w:after="80" w:before="180"/>
      </w:pPr>
      <w:r>
        <w:t xml:space="preserve">The two objectives</w:t>
      </w:r>
    </w:p>
    <w:p>
      <w:pPr>
        <w:spacing w:after="120" w:line="264"/>
        <w:jc w:val="both"/>
      </w:pPr>
      <w:r>
        <w:t xml:space="preserve">Chapter V (ss. 18 to 26) pulls in two directions and reconciles them. </w:t>
      </w:r>
      <w:r>
        <w:rPr>
          <w:b/>
          <w:bCs/>
        </w:rPr>
        <w:t xml:space="preserve">Flexibility</w:t>
      </w:r>
      <w:r>
        <w:t xml:space="preserve"> frees the tribunal from rigid court procedure so that arbitration can be quicker and shaped to the dispute. </w:t>
      </w:r>
      <w:r>
        <w:rPr>
          <w:b/>
          <w:bCs/>
        </w:rPr>
        <w:t xml:space="preserve">Due process</w:t>
      </w:r>
      <w:r>
        <w:t xml:space="preserve"> insists that whatever procedure is adopted must treat the parties equally and hear each properly. Almost every section is expressed to operate “unless otherwise agreed by the parties”; </w:t>
      </w:r>
      <w:r>
        <w:rPr>
          <w:b/>
          <w:bCs/>
          <w:shd w:fill="FFF2CC" w:color="auto" w:val="clear"/>
        </w:rPr>
        <w:t xml:space="preserve">s. 18 is the non-derogable core.</w:t>
      </w:r>
    </w:p>
    <w:p>
      <w:pPr>
        <w:pStyle w:val="Heading3"/>
        <w:keepNext/>
        <w:spacing w:after="80" w:before="180"/>
      </w:pPr>
      <w:r>
        <w:t xml:space="preserve">The provisions serving flexibility</w:t>
      </w:r>
    </w:p>
    <w:p>
      <w:pPr>
        <w:spacing w:after="120" w:line="264"/>
        <w:jc w:val="both"/>
      </w:pPr>
      <w:r>
        <w:rPr>
          <w:b/>
          <w:bCs/>
        </w:rPr>
        <w:t xml:space="preserve">Section 19</w:t>
      </w:r>
      <w:r>
        <w:t xml:space="preserve"> is the engine. The tribunal is </w:t>
      </w:r>
      <w:r>
        <w:rPr>
          <w:b/>
          <w:bCs/>
        </w:rPr>
        <w:t xml:space="preserve">not bound</w:t>
      </w:r>
      <w:r>
        <w:t xml:space="preserve"> by the Code of Civil Procedure, 1908 or by the law of evidence, because technical court procedure lengthens proceedings and would defeat the purpose of arbitration. The parties may agree the procedure; failing that the tribunal adopts what it considers appropriate; and under s. 19(4) it determines the </w:t>
      </w:r>
      <w:r>
        <w:rPr>
          <w:b/>
          <w:bCs/>
        </w:rPr>
        <w:t xml:space="preserve">admissibility, relevance, materiality and weight</w:t>
      </w:r>
      <w:r>
        <w:t xml:space="preserve"> of evidence, which makes it master of the evidence in its own case. Note the nuance: </w:t>
      </w:r>
      <w:r>
        <w:rPr>
          <w:b/>
          <w:bCs/>
        </w:rPr>
        <w:t xml:space="preserve">not bound does not mean forbidden</w:t>
      </w:r>
      <w:r>
        <w:t xml:space="preserve">, and tribunals commonly borrow the principles of those enactments.</w:t>
      </w:r>
    </w:p>
    <w:p>
      <w:pPr>
        <w:spacing w:after="120" w:line="264"/>
        <w:jc w:val="both"/>
      </w:pPr>
      <w:r>
        <w:rPr>
          <w:b/>
          <w:bCs/>
        </w:rPr>
        <w:t xml:space="preserve">Section 20</w:t>
      </w:r>
      <w:r>
        <w:t xml:space="preserve"> allows the parties to choose the seat and the tribunal to meet anywhere convenient. </w:t>
      </w:r>
      <w:r>
        <w:rPr>
          <w:b/>
          <w:bCs/>
        </w:rPr>
        <w:t xml:space="preserve">Section 22</w:t>
      </w:r>
      <w:r>
        <w:t xml:space="preserve"> allows the language to be chosen. </w:t>
      </w:r>
      <w:r>
        <w:rPr>
          <w:b/>
          <w:bCs/>
        </w:rPr>
        <w:t xml:space="preserve">Section 24(1)</w:t>
      </w:r>
      <w:r>
        <w:t xml:space="preserve"> allows a </w:t>
      </w:r>
      <w:r>
        <w:rPr>
          <w:b/>
          <w:bCs/>
        </w:rPr>
        <w:t xml:space="preserve">documents-only arbitration</w:t>
      </w:r>
      <w:r>
        <w:t xml:space="preserve"> where oral evidence is unnecessary. </w:t>
      </w:r>
      <w:r>
        <w:rPr>
          <w:b/>
          <w:bCs/>
        </w:rPr>
        <w:t xml:space="preserve">Section 23(3)</w:t>
      </w:r>
      <w:r>
        <w:t xml:space="preserve"> allows pleadings to be amended freely, refusal being the exception.</w:t>
      </w:r>
    </w:p>
    <w:p>
      <w:pPr>
        <w:pStyle w:val="Heading3"/>
        <w:keepNext/>
        <w:spacing w:after="80" w:before="180"/>
      </w:pPr>
      <w:r>
        <w:t xml:space="preserve">The provisions serving due process</w:t>
      </w:r>
    </w:p>
    <w:p>
      <w:pPr>
        <w:spacing w:after="120" w:line="264"/>
        <w:jc w:val="both"/>
      </w:pPr>
      <w:r>
        <w:rPr>
          <w:b/>
          <w:bCs/>
        </w:rPr>
        <w:t xml:space="preserve">Section 18</w:t>
      </w:r>
      <w:r>
        <w:t xml:space="preserve"> requires that the parties be treated with equality and each be given a </w:t>
      </w:r>
      <w:r>
        <w:rPr>
          <w:b/>
          <w:bCs/>
        </w:rPr>
        <w:t xml:space="preserve">full opportunity</w:t>
      </w:r>
      <w:r>
        <w:t xml:space="preserve"> to present his case. It is the arbitral form of </w:t>
      </w:r>
      <w:r>
        <w:rPr>
          <w:i/>
          <w:iCs/>
        </w:rPr>
        <w:t xml:space="preserve">audi alteram partem</w:t>
      </w:r>
      <w:r>
        <w:t xml:space="preserve">, and its breach is the substance of </w:t>
      </w:r>
      <w:r>
        <w:rPr>
          <w:b/>
          <w:bCs/>
        </w:rPr>
        <w:t xml:space="preserve">s. 34(2)(a)(iii)</w:t>
      </w:r>
      <w:r>
        <w:t xml:space="preserve">.</w:t>
      </w:r>
    </w:p>
    <w:p>
      <w:pPr>
        <w:spacing w:after="120" w:line="264"/>
        <w:jc w:val="both"/>
      </w:pPr>
      <w:r>
        <w:t xml:space="preserve">Three provisions put s. 18 into practical operation. </w:t>
      </w:r>
      <w:r>
        <w:rPr>
          <w:b/>
          <w:bCs/>
        </w:rPr>
        <w:t xml:space="preserve">Section 24(2)</w:t>
      </w:r>
      <w:r>
        <w:t xml:space="preserve"> requires </w:t>
      </w:r>
      <w:r>
        <w:rPr>
          <w:b/>
          <w:bCs/>
        </w:rPr>
        <w:t xml:space="preserve">sufficient advance notice</w:t>
      </w:r>
      <w:r>
        <w:t xml:space="preserve"> of hearings and inspections. </w:t>
      </w:r>
      <w:r>
        <w:rPr>
          <w:b/>
          <w:bCs/>
        </w:rPr>
        <w:t xml:space="preserve">Section 24(3)</w:t>
      </w:r>
      <w:r>
        <w:t xml:space="preserve"> requires everything supplied to the tribunal by one party to be communicated to the other, and </w:t>
      </w:r>
      <w:r>
        <w:rPr>
          <w:b/>
          <w:bCs/>
          <w:shd w:fill="FFF2CC" w:color="auto" w:val="clear"/>
        </w:rPr>
        <w:t xml:space="preserve">bars the tribunal from relying on material the parties have not seen.</w:t>
      </w:r>
      <w:r>
        <w:t xml:space="preserve"> </w:t>
      </w:r>
      <w:r>
        <w:rPr>
          <w:b/>
          <w:bCs/>
        </w:rPr>
        <w:t xml:space="preserve">Section 26(2) and (3)</w:t>
      </w:r>
      <w:r>
        <w:t xml:space="preserve"> carry the same idea into expert evidence: a tribunal-appointed expert must attend for questioning if a party asks, the parties may present their own experts, and the material underlying the report must be made available for inspection.</w:t>
      </w:r>
    </w:p>
    <w:p>
      <w:pPr>
        <w:spacing w:after="120" w:line="264"/>
        <w:jc w:val="both"/>
      </w:pPr>
      <w:r>
        <w:rPr>
          <w:b/>
          <w:bCs/>
        </w:rPr>
        <w:t xml:space="preserve">Section 25(b)</w:t>
      </w:r>
      <w:r>
        <w:t xml:space="preserve"> deserves separate notice. Since 2015, where the respondent files no defence the tribunal must continue </w:t>
      </w:r>
      <w:r>
        <w:rPr>
          <w:b/>
          <w:bCs/>
          <w:shd w:fill="FFF2CC" w:color="auto" w:val="clear"/>
        </w:rPr>
        <w:t xml:space="preserve">without treating that failure in itself as an admission of the claimant's allegations.</w:t>
      </w:r>
      <w:r>
        <w:t xml:space="preserve"> The claimant must still prove its case. This is a due process protection given to a defaulting party.</w:t>
      </w:r>
    </w:p>
    <w:p>
      <w:pPr>
        <w:pStyle w:val="Heading3"/>
        <w:keepNext/>
        <w:spacing w:after="80" w:before="180"/>
      </w:pPr>
      <w:r>
        <w:t xml:space="preserve">The provisions imposing discipline</w:t>
      </w:r>
    </w:p>
    <w:p>
      <w:pPr>
        <w:spacing w:after="120" w:line="264"/>
        <w:jc w:val="both"/>
      </w:pPr>
      <w:r>
        <w:t xml:space="preserve">Flexibility must not become delay, so the Chapter also contains hard rules. </w:t>
      </w:r>
      <w:r>
        <w:rPr>
          <w:b/>
          <w:bCs/>
        </w:rPr>
        <w:t xml:space="preserve">Section 23(4)</w:t>
      </w:r>
      <w:r>
        <w:t xml:space="preserve"> requires claim and defence to be completed within </w:t>
      </w:r>
      <w:r>
        <w:rPr>
          <w:b/>
          <w:bCs/>
        </w:rPr>
        <w:t xml:space="preserve">six months</w:t>
      </w:r>
      <w:r>
        <w:t xml:space="preserve">. The second proviso to </w:t>
      </w:r>
      <w:r>
        <w:rPr>
          <w:b/>
          <w:bCs/>
        </w:rPr>
        <w:t xml:space="preserve">section 24(1)</w:t>
      </w:r>
      <w:r>
        <w:t xml:space="preserve"> requires hearings on a </w:t>
      </w:r>
      <w:r>
        <w:rPr>
          <w:b/>
          <w:bCs/>
        </w:rPr>
        <w:t xml:space="preserve">day-to-day basis</w:t>
      </w:r>
      <w:r>
        <w:t xml:space="preserve"> so far as possible, forbids adjournment without sufficient cause, and permits </w:t>
      </w:r>
      <w:r>
        <w:rPr>
          <w:b/>
          <w:bCs/>
          <w:shd w:fill="FFF2CC" w:color="auto" w:val="clear"/>
        </w:rPr>
        <w:t xml:space="preserve">exemplary costs on a party seeking an adjournment without cause.</w:t>
      </w:r>
      <w:r>
        <w:t xml:space="preserve"> </w:t>
      </w:r>
      <w:r>
        <w:rPr>
          <w:b/>
          <w:bCs/>
        </w:rPr>
        <w:t xml:space="preserve">Section 25(a)</w:t>
      </w:r>
      <w:r>
        <w:t xml:space="preserve"> requires the tribunal to terminate where the claimant files no claim at all.</w:t>
      </w:r>
    </w:p>
    <w:p>
      <w:pPr>
        <w:pStyle w:val="Heading3"/>
        <w:keepNext/>
        <w:spacing w:after="80" w:before="180"/>
      </w:pPr>
      <w:r>
        <w:t xml:space="preserve">How the reconciliation works</w:t>
      </w:r>
    </w:p>
    <w:p>
      <w:pPr>
        <w:spacing w:after="120" w:line="264"/>
        <w:jc w:val="both"/>
      </w:pPr>
      <w:r>
        <w:t xml:space="preserve">The key is that </w:t>
      </w:r>
      <w:r>
        <w:rPr>
          <w:b/>
          <w:bCs/>
        </w:rPr>
        <w:t xml:space="preserve">s. 19(3) operates “subject to this Part”, and therefore subject to s. 18</w:t>
      </w:r>
      <w:r>
        <w:t xml:space="preserve">. Procedural freedom is real, but it is granted on terms. </w:t>
      </w:r>
      <w:r>
        <w:rPr>
          <w:b/>
          <w:bCs/>
          <w:shd w:fill="FFF2CC" w:color="auto" w:val="clear"/>
        </w:rPr>
        <w:t xml:space="preserve">A tribunal may design any procedure it likes, provided the procedure treats the parties equally and gives each a full opportunity to be heard.</w:t>
      </w:r>
      <w:r>
        <w:t xml:space="preserve"> Flexibility is the rule; fairness is the limit; and s. 34 is the sanction.</w:t>
      </w:r>
    </w:p>
    <w:p>
      <w:pPr>
        <w:pStyle w:val="Heading2"/>
        <w:keepNext/>
        <w:spacing w:after="100" w:before="250"/>
      </w:pPr>
      <w:r>
        <w:t xml:space="preserve">L7.  Seat and venue distinguished, and why the distinction matters</w:t>
      </w:r>
    </w:p>
    <w:p>
      <w:pPr>
        <w:pStyle w:val="Heading3"/>
        <w:keepNext/>
        <w:spacing w:after="80" w:before="180"/>
      </w:pPr>
      <w:r>
        <w:t xml:space="preserve">The statutory text</w:t>
      </w:r>
    </w:p>
    <w:p>
      <w:pPr>
        <w:spacing w:after="120" w:line="264"/>
        <w:jc w:val="both"/>
      </w:pPr>
      <w:r>
        <w:rPr>
          <w:b/>
          <w:bCs/>
        </w:rPr>
        <w:t xml:space="preserve">Section 20(1)</w:t>
      </w:r>
      <w:r>
        <w:t xml:space="preserve"> allows the parties to agree the place of arbitration. </w:t>
      </w:r>
      <w:r>
        <w:rPr>
          <w:b/>
          <w:bCs/>
        </w:rPr>
        <w:t xml:space="preserve">Section 20(2)</w:t>
      </w:r>
      <w:r>
        <w:t xml:space="preserve"> provides that, failing agreement, the tribunal determines it having regard to the circumstances of the case, </w:t>
      </w:r>
      <w:r>
        <w:rPr>
          <w:b/>
          <w:bCs/>
        </w:rPr>
        <w:t xml:space="preserve">including the convenience of the parties</w:t>
      </w:r>
      <w:r>
        <w:t xml:space="preserve">. </w:t>
      </w:r>
      <w:r>
        <w:rPr>
          <w:b/>
          <w:bCs/>
        </w:rPr>
        <w:t xml:space="preserve">Section 20(3)</w:t>
      </w:r>
      <w:r>
        <w:t xml:space="preserve"> provides that, notwithstanding sub-sections (1) and (2), the tribunal may, unless otherwise agreed, </w:t>
      </w:r>
      <w:r>
        <w:rPr>
          <w:b/>
          <w:bCs/>
        </w:rPr>
        <w:t xml:space="preserve">meet at any place</w:t>
      </w:r>
      <w:r>
        <w:t xml:space="preserve"> it considers appropriate for consultation among its members, for hearing witnesses, experts or the parties, or for inspection.</w:t>
      </w:r>
    </w:p>
    <w:p>
      <w:pPr>
        <w:spacing w:after="120" w:line="264"/>
        <w:jc w:val="both"/>
      </w:pPr>
      <w:r>
        <w:t xml:space="preserve">The Act uses only the word “place”. </w:t>
      </w:r>
      <w:r>
        <w:rPr>
          <w:b/>
          <w:bCs/>
        </w:rPr>
        <w:t xml:space="preserve">The seat and venue distinction is judge-made</w:t>
      </w:r>
      <w:r>
        <w:t xml:space="preserve">, and Indian practice reads “place” in sub-sections (1) and (2) as the </w:t>
      </w:r>
      <w:r>
        <w:rPr>
          <w:b/>
          <w:bCs/>
        </w:rPr>
        <w:t xml:space="preserve">seat</w:t>
      </w:r>
      <w:r>
        <w:t xml:space="preserve">, and sub-section (3) as permitting a different </w:t>
      </w:r>
      <w:r>
        <w:rPr>
          <w:b/>
          <w:bCs/>
        </w:rPr>
        <w:t xml:space="preserve">venue</w:t>
      </w:r>
      <w:r>
        <w:t xml:space="preserve">.</w:t>
      </w:r>
    </w:p>
    <w:p>
      <w:pPr>
        <w:pStyle w:val="Heading3"/>
        <w:keepNext/>
        <w:spacing w:after="80" w:before="180"/>
      </w:pPr>
      <w:r>
        <w:t xml:space="preserve">What the seat is</w:t>
      </w:r>
    </w:p>
    <w:p>
      <w:pPr>
        <w:spacing w:after="120" w:line="264"/>
        <w:jc w:val="both"/>
      </w:pPr>
      <w:r>
        <w:t xml:space="preserve">The seat is a </w:t>
      </w:r>
      <w:r>
        <w:rPr>
          <w:b/>
          <w:bCs/>
        </w:rPr>
        <w:t xml:space="preserve">legal concept, not a geographical one</w:t>
      </w:r>
      <w:r>
        <w:t xml:space="preserve">. It does two things. </w:t>
      </w:r>
      <w:r>
        <w:rPr>
          <w:b/>
          <w:bCs/>
          <w:shd w:fill="FFF2CC" w:color="auto" w:val="clear"/>
        </w:rPr>
        <w:t xml:space="preserve">It fixes the procedural law of the arbitration, the lex arbitri, and it identifies the courts that exercise supervisory jurisdiction, including the court that may set the award aside under s. 34.</w:t>
      </w:r>
    </w:p>
    <w:p>
      <w:pPr>
        <w:pStyle w:val="Heading3"/>
        <w:keepNext/>
        <w:spacing w:after="80" w:before="180"/>
      </w:pPr>
      <w:r>
        <w:t xml:space="preserve">What the venue is</w:t>
      </w:r>
    </w:p>
    <w:p>
      <w:pPr>
        <w:spacing w:after="120" w:line="264"/>
        <w:jc w:val="both"/>
      </w:pPr>
      <w:r>
        <w:t xml:space="preserve">The venue is simply where the tribunal physically sits. A tribunal seated in India may hear witnesses in Singapore because that is where they live, and may deliberate wherever its members happen to be. </w:t>
      </w:r>
      <w:r>
        <w:rPr>
          <w:b/>
          <w:bCs/>
        </w:rPr>
        <w:t xml:space="preserve">The legal consequences follow the seat, and the venue does not move them.</w:t>
      </w:r>
    </w:p>
    <w:p>
      <w:pPr>
        <w:pStyle w:val="Heading3"/>
        <w:keepNext/>
        <w:spacing w:after="80" w:before="180"/>
      </w:pPr>
      <w:r>
        <w:t xml:space="preserve">Why the distinction matters</w:t>
      </w:r>
    </w:p>
    <w:p>
      <w:pPr>
        <w:pStyle w:val="ListParagraph"/>
        <w:numPr>
          <w:ilvl w:val="0"/>
          <w:numId w:val="5"/>
        </w:numPr>
        <w:spacing w:after="70" w:line="264"/>
        <w:jc w:val="both"/>
      </w:pPr>
      <w:r>
        <w:rPr>
          <w:b/>
          <w:bCs/>
        </w:rPr>
        <w:t xml:space="preserve">Which law governs the arbitration.</w:t>
      </w:r>
      <w:r>
        <w:t xml:space="preserve"> The </w:t>
      </w:r>
      <w:r>
        <w:rPr>
          <w:i/>
          <w:iCs/>
        </w:rPr>
        <w:t xml:space="preserve">lex arbitri</w:t>
      </w:r>
      <w:r>
        <w:t xml:space="preserve"> follows the seat, and may differ from the substantive law chosen for the contract.</w:t>
      </w:r>
    </w:p>
    <w:p>
      <w:pPr>
        <w:pStyle w:val="ListParagraph"/>
        <w:numPr>
          <w:ilvl w:val="0"/>
          <w:numId w:val="5"/>
        </w:numPr>
        <w:spacing w:after="70" w:line="264"/>
        <w:jc w:val="both"/>
      </w:pPr>
      <w:r>
        <w:rPr>
          <w:b/>
          <w:bCs/>
        </w:rPr>
        <w:t xml:space="preserve">Which courts supervise.</w:t>
      </w:r>
      <w:r>
        <w:t xml:space="preserve"> Only the courts of the seat may set the award aside. This was the whole point of </w:t>
      </w:r>
      <w:r>
        <w:rPr>
          <w:b/>
          <w:bCs/>
          <w:i/>
          <w:iCs/>
        </w:rPr>
        <w:t xml:space="preserve">BALCO</w:t>
      </w:r>
      <w:r>
        <w:t xml:space="preserve">, (2012) 9 SCC 552, which adopted a </w:t>
      </w:r>
      <w:r>
        <w:rPr>
          <w:b/>
          <w:bCs/>
        </w:rPr>
        <w:t xml:space="preserve">seat-centric</w:t>
      </w:r>
      <w:r>
        <w:t xml:space="preserve"> approach to the reach of Part I.</w:t>
      </w:r>
    </w:p>
    <w:p>
      <w:pPr>
        <w:pStyle w:val="ListParagraph"/>
        <w:numPr>
          <w:ilvl w:val="0"/>
          <w:numId w:val="5"/>
        </w:numPr>
        <w:spacing w:after="70" w:line="264"/>
        <w:jc w:val="both"/>
      </w:pPr>
      <w:r>
        <w:rPr>
          <w:b/>
          <w:bCs/>
        </w:rPr>
        <w:t xml:space="preserve">Whether Part I applies.</w:t>
      </w:r>
      <w:r>
        <w:t xml:space="preserve"> If the seat is India, Part I applies in full. If it is abroad, only ss. 9, 27 and 37(1)(a) and (3) apply, under the proviso to s. 2(2).</w:t>
      </w:r>
    </w:p>
    <w:p>
      <w:pPr>
        <w:pStyle w:val="ListParagraph"/>
        <w:numPr>
          <w:ilvl w:val="0"/>
          <w:numId w:val="5"/>
        </w:numPr>
        <w:spacing w:after="70" w:line="264"/>
        <w:jc w:val="both"/>
      </w:pPr>
      <w:r>
        <w:rPr>
          <w:b/>
          <w:bCs/>
        </w:rPr>
        <w:t xml:space="preserve">Whether the award is domestic or foreign.</w:t>
      </w:r>
      <w:r>
        <w:t xml:space="preserve"> An award made in an arbitration seated abroad is a </w:t>
      </w:r>
      <w:r>
        <w:rPr>
          <w:b/>
          <w:bCs/>
        </w:rPr>
        <w:t xml:space="preserve">foreign award</w:t>
      </w:r>
      <w:r>
        <w:t xml:space="preserve"> governed by Part II, where the only question is refusal of enforcement under s. 48.</w:t>
      </w:r>
    </w:p>
    <w:p>
      <w:pPr>
        <w:pStyle w:val="Heading3"/>
        <w:keepNext/>
        <w:spacing w:after="80" w:before="180"/>
      </w:pPr>
      <w:r>
        <w:t xml:space="preserve">Where the parties have chosen nothing</w:t>
      </w:r>
    </w:p>
    <w:p>
      <w:pPr>
        <w:spacing w:after="120" w:line="264"/>
        <w:jc w:val="both"/>
      </w:pPr>
      <w:r>
        <w:t xml:space="preserve">The tribunal determines the seat from the circumstances, convenience being expressly relevant. </w:t>
      </w:r>
      <w:r>
        <w:rPr>
          <w:b/>
          <w:bCs/>
        </w:rPr>
        <w:t xml:space="preserve">Illustration:</w:t>
      </w:r>
      <w:r>
        <w:t xml:space="preserve"> where the same parties' earlier contracts expressly named a seat and the present contract is silent, the tribunal may reasonably infer that the same seat was intended. </w:t>
      </w:r>
      <w:r>
        <w:rPr>
          <w:b/>
          <w:bCs/>
          <w:shd w:fill="FFF2CC" w:color="auto" w:val="clear"/>
        </w:rPr>
        <w:t xml:space="preserve">That is an inference drawn from facts, not a presumption of law.</w:t>
      </w:r>
    </w:p>
    <w:p>
      <w:pPr>
        <w:pStyle w:val="Heading3"/>
        <w:keepNext/>
        <w:spacing w:after="80" w:before="180"/>
      </w:pPr>
      <w:r>
        <w:t xml:space="preserve">Conclusion</w:t>
      </w:r>
    </w:p>
    <w:p>
      <w:pPr>
        <w:spacing w:after="120" w:line="264"/>
        <w:jc w:val="both"/>
      </w:pPr>
      <w:r>
        <w:rPr>
          <w:b/>
          <w:bCs/>
        </w:rPr>
        <w:t xml:space="preserve">The seat answers the question “whose law and whose courts?”; the venue answers only “where are we sitting today?”</w:t>
      </w:r>
      <w:r>
        <w:t xml:space="preserve"> Confusing the two is the commonest error in this area, because a clause naming a city for hearings is often mistaken for a choice of seat.</w:t>
      </w:r>
    </w:p>
    <w:p>
      <w:pPr>
        <w:pStyle w:val="Heading2"/>
        <w:keepNext/>
        <w:spacing w:after="100" w:before="250"/>
      </w:pPr>
      <w:r>
        <w:t xml:space="preserve">L8.  Termination of an arbitrator's mandate, and appointment of a substitute</w:t>
      </w:r>
    </w:p>
    <w:p>
      <w:pPr>
        <w:pStyle w:val="Heading3"/>
        <w:keepNext/>
        <w:spacing w:after="80" w:before="180"/>
      </w:pPr>
      <w:r>
        <w:t xml:space="preserve">The scheme</w:t>
      </w:r>
    </w:p>
    <w:p>
      <w:pPr>
        <w:spacing w:after="120" w:line="264"/>
        <w:jc w:val="both"/>
      </w:pPr>
      <w:r>
        <w:t xml:space="preserve">Three sections operate together, and s. 15(1) makes clear that they are </w:t>
      </w:r>
      <w:r>
        <w:rPr>
          <w:b/>
          <w:bCs/>
        </w:rPr>
        <w:t xml:space="preserve">cumulative</w:t>
      </w:r>
      <w:r>
        <w:t xml:space="preserve"> and not alternatives: s. 13 (successful challenge), s. 14 (inability or failure to act) and s. 15 (withdrawal for any reason, or agreement). </w:t>
      </w:r>
      <w:r>
        <w:rPr>
          <w:b/>
          <w:bCs/>
        </w:rPr>
        <w:t xml:space="preserve">The object throughout is replacement, not collapse of the arbitration.</w:t>
      </w:r>
    </w:p>
    <w:p>
      <w:pPr>
        <w:pStyle w:val="Heading3"/>
        <w:keepNext/>
        <w:spacing w:after="80" w:before="180"/>
      </w:pPr>
      <w:r>
        <w:t xml:space="preserve">Section 14 — inability and failure to act</w:t>
      </w:r>
    </w:p>
    <w:p>
      <w:pPr>
        <w:spacing w:after="120" w:line="264"/>
        <w:jc w:val="both"/>
      </w:pPr>
      <w:r>
        <w:t xml:space="preserve">Under s. 14(1) the mandate terminates, and the arbitrator </w:t>
      </w:r>
      <w:r>
        <w:rPr>
          <w:b/>
          <w:bCs/>
        </w:rPr>
        <w:t xml:space="preserve">must be substituted</w:t>
      </w:r>
      <w:r>
        <w:t xml:space="preserve">, where he becomes </w:t>
      </w:r>
      <w:r>
        <w:rPr>
          <w:b/>
          <w:bCs/>
        </w:rPr>
        <w:t xml:space="preserve">unable in law or in fact</w:t>
      </w:r>
      <w:r>
        <w:t xml:space="preserve"> to perform his functions, or for other reasons </w:t>
      </w:r>
      <w:r>
        <w:rPr>
          <w:b/>
          <w:bCs/>
        </w:rPr>
        <w:t xml:space="preserve">fails to act without undue delay</w:t>
      </w:r>
      <w:r>
        <w:t xml:space="preserve">; and where he </w:t>
      </w:r>
      <w:r>
        <w:rPr>
          <w:b/>
          <w:bCs/>
        </w:rPr>
        <w:t xml:space="preserve">withdraws</w:t>
      </w:r>
      <w:r>
        <w:t xml:space="preserve"> or </w:t>
      </w:r>
      <w:r>
        <w:rPr>
          <w:b/>
          <w:bCs/>
        </w:rPr>
        <w:t xml:space="preserve">the parties agree</w:t>
      </w:r>
      <w:r>
        <w:t xml:space="preserve"> to termination. The words directing substitution were added in 2015, making explicit what s. 15(2) already implied.</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2050"/>
        <w:gridCol w:w="6800"/>
      </w:tblGrid>
      <w:tr>
        <w:trPr>
          <w:tblHeader/>
        </w:trPr>
        <w:tc>
          <w:tcPr>
            <w:tcW w:type="dxa" w:w="2050"/>
            <w:tcMar>
              <w:top w:type="dxa" w:w="70"/>
              <w:left w:type="dxa" w:w="100"/>
              <w:bottom w:type="dxa" w:w="70"/>
              <w:right w:type="dxa" w:w="100"/>
            </w:tcMar>
          </w:tcPr>
          <w:p>
            <w:pPr>
              <w:spacing w:after="0" w:line="240"/>
            </w:pPr>
            <w:r>
              <w:rPr>
                <w:b/>
                <w:bCs/>
                <w:color w:val="1F3864"/>
                <w:sz w:val="18"/>
                <w:szCs w:val="18"/>
              </w:rPr>
              <w:t xml:space="preserve">Category</w:t>
            </w:r>
          </w:p>
        </w:tc>
        <w:tc>
          <w:tcPr>
            <w:tcW w:type="dxa" w:w="6800"/>
            <w:tcMar>
              <w:top w:type="dxa" w:w="70"/>
              <w:left w:type="dxa" w:w="100"/>
              <w:bottom w:type="dxa" w:w="70"/>
              <w:right w:type="dxa" w:w="100"/>
            </w:tcMar>
          </w:tcPr>
          <w:p>
            <w:pPr>
              <w:spacing w:after="0" w:line="240"/>
            </w:pPr>
            <w:r>
              <w:rPr>
                <w:b/>
                <w:bCs/>
                <w:color w:val="1F3864"/>
                <w:sz w:val="18"/>
                <w:szCs w:val="18"/>
              </w:rPr>
              <w:t xml:space="preserve">Meaning and illustrations</w:t>
            </w:r>
          </w:p>
        </w:tc>
      </w:tr>
      <w:tr>
        <w:tc>
          <w:tcPr>
            <w:tcW w:type="dxa" w:w="2050"/>
            <w:tcMar>
              <w:top w:type="dxa" w:w="70"/>
              <w:left w:type="dxa" w:w="100"/>
              <w:bottom w:type="dxa" w:w="70"/>
              <w:right w:type="dxa" w:w="100"/>
            </w:tcMar>
          </w:tcPr>
          <w:p>
            <w:pPr>
              <w:spacing w:after="0" w:line="240"/>
            </w:pPr>
            <w:r>
              <w:rPr>
                <w:b/>
                <w:bCs/>
                <w:sz w:val="18"/>
                <w:szCs w:val="18"/>
              </w:rPr>
              <w:t xml:space="preserve">Unable in law</w:t>
            </w:r>
            <w:r>
              <w:rPr>
                <w:sz w:val="18"/>
                <w:szCs w:val="18"/>
              </w:rPr>
              <w:t xml:space="preserve"> (</w:t>
            </w:r>
            <w:r>
              <w:rPr>
                <w:i/>
                <w:iCs/>
                <w:sz w:val="18"/>
                <w:szCs w:val="18"/>
              </w:rPr>
              <w:t xml:space="preserve">de jure</w:t>
            </w:r>
            <w:r>
              <w:rPr>
                <w:sz w:val="18"/>
                <w:szCs w:val="18"/>
              </w:rPr>
              <w:t xml:space="preserve">)</w:t>
            </w:r>
          </w:p>
        </w:tc>
        <w:tc>
          <w:tcPr>
            <w:tcW w:type="dxa" w:w="6800"/>
            <w:tcMar>
              <w:top w:type="dxa" w:w="70"/>
              <w:left w:type="dxa" w:w="100"/>
              <w:bottom w:type="dxa" w:w="70"/>
              <w:right w:type="dxa" w:w="100"/>
            </w:tcMar>
          </w:tcPr>
          <w:p>
            <w:pPr>
              <w:spacing w:after="0" w:line="240"/>
            </w:pPr>
            <w:r>
              <w:rPr>
                <w:sz w:val="18"/>
                <w:szCs w:val="18"/>
              </w:rPr>
              <w:t xml:space="preserve">His legal position disqualifies him, whatever his health or willingness. The traditional illustration is </w:t>
            </w:r>
            <w:r>
              <w:rPr>
                <w:b/>
                <w:bCs/>
                <w:sz w:val="18"/>
                <w:szCs w:val="18"/>
              </w:rPr>
              <w:t xml:space="preserve">insolvency</w:t>
            </w:r>
            <w:r>
              <w:rPr>
                <w:sz w:val="18"/>
                <w:szCs w:val="18"/>
              </w:rPr>
              <w:t xml:space="preserve">. The important modern instance is </w:t>
            </w:r>
            <w:r>
              <w:rPr>
                <w:b/>
                <w:bCs/>
                <w:sz w:val="18"/>
                <w:szCs w:val="18"/>
                <w:shd w:fill="FFF2CC" w:color="auto" w:val="clear"/>
              </w:rPr>
              <w:t xml:space="preserve">ineligibility under s. 12(5),</w:t>
            </w:r>
            <w:r>
              <w:rPr>
                <w:sz w:val="18"/>
                <w:szCs w:val="18"/>
              </w:rPr>
              <w:t xml:space="preserve"> which </w:t>
            </w:r>
            <w:r>
              <w:rPr>
                <w:b/>
                <w:bCs/>
                <w:i/>
                <w:iCs/>
                <w:sz w:val="18"/>
                <w:szCs w:val="18"/>
              </w:rPr>
              <w:t xml:space="preserve">Bharat Broadband</w:t>
            </w:r>
            <w:r>
              <w:rPr>
                <w:sz w:val="18"/>
                <w:szCs w:val="18"/>
              </w:rPr>
              <w:t xml:space="preserve"> holds to be de jure inability.</w:t>
            </w:r>
          </w:p>
        </w:tc>
      </w:tr>
      <w:tr>
        <w:tc>
          <w:tcPr>
            <w:tcW w:type="dxa" w:w="2050"/>
            <w:tcMar>
              <w:top w:type="dxa" w:w="70"/>
              <w:left w:type="dxa" w:w="100"/>
              <w:bottom w:type="dxa" w:w="70"/>
              <w:right w:type="dxa" w:w="100"/>
            </w:tcMar>
          </w:tcPr>
          <w:p>
            <w:pPr>
              <w:spacing w:after="0" w:line="240"/>
            </w:pPr>
            <w:r>
              <w:rPr>
                <w:b/>
                <w:bCs/>
                <w:sz w:val="18"/>
                <w:szCs w:val="18"/>
              </w:rPr>
              <w:t xml:space="preserve">Unable in fact</w:t>
            </w:r>
            <w:r>
              <w:rPr>
                <w:sz w:val="18"/>
                <w:szCs w:val="18"/>
              </w:rPr>
              <w:t xml:space="preserve"> (</w:t>
            </w:r>
            <w:r>
              <w:rPr>
                <w:i/>
                <w:iCs/>
                <w:sz w:val="18"/>
                <w:szCs w:val="18"/>
              </w:rPr>
              <w:t xml:space="preserve">de facto</w:t>
            </w:r>
            <w:r>
              <w:rPr>
                <w:sz w:val="18"/>
                <w:szCs w:val="18"/>
              </w:rPr>
              <w:t xml:space="preserve">)</w:t>
            </w:r>
          </w:p>
        </w:tc>
        <w:tc>
          <w:tcPr>
            <w:tcW w:type="dxa" w:w="6800"/>
            <w:tcMar>
              <w:top w:type="dxa" w:w="70"/>
              <w:left w:type="dxa" w:w="100"/>
              <w:bottom w:type="dxa" w:w="70"/>
              <w:right w:type="dxa" w:w="100"/>
            </w:tcMar>
          </w:tcPr>
          <w:p>
            <w:pPr>
              <w:spacing w:after="0" w:line="240"/>
            </w:pPr>
            <w:r>
              <w:rPr>
                <w:sz w:val="18"/>
                <w:szCs w:val="18"/>
              </w:rPr>
              <w:t xml:space="preserve">Still qualified in law, but unable to carry out the office — </w:t>
            </w:r>
            <w:r>
              <w:rPr>
                <w:b/>
                <w:bCs/>
                <w:sz w:val="18"/>
                <w:szCs w:val="18"/>
              </w:rPr>
              <w:t xml:space="preserve">detention or arrest, serious illness, unsoundness of mind</w:t>
            </w:r>
            <w:r>
              <w:rPr>
                <w:sz w:val="18"/>
                <w:szCs w:val="18"/>
              </w:rPr>
              <w:t xml:space="preserve">. The test is practical: can he hear witnesses, read the papers, deliberate and decide?</w:t>
            </w:r>
          </w:p>
        </w:tc>
      </w:tr>
      <w:tr>
        <w:tc>
          <w:tcPr>
            <w:tcW w:type="dxa" w:w="2050"/>
            <w:tcMar>
              <w:top w:type="dxa" w:w="70"/>
              <w:left w:type="dxa" w:w="100"/>
              <w:bottom w:type="dxa" w:w="70"/>
              <w:right w:type="dxa" w:w="100"/>
            </w:tcMar>
          </w:tcPr>
          <w:p>
            <w:pPr>
              <w:spacing w:after="0" w:line="240"/>
            </w:pPr>
            <w:r>
              <w:rPr>
                <w:b/>
                <w:bCs/>
                <w:sz w:val="18"/>
                <w:szCs w:val="18"/>
              </w:rPr>
              <w:t xml:space="preserve">Failure to act without undue delay</w:t>
            </w:r>
          </w:p>
        </w:tc>
        <w:tc>
          <w:tcPr>
            <w:tcW w:type="dxa" w:w="6800"/>
            <w:tcMar>
              <w:top w:type="dxa" w:w="70"/>
              <w:left w:type="dxa" w:w="100"/>
              <w:bottom w:type="dxa" w:w="70"/>
              <w:right w:type="dxa" w:w="100"/>
            </w:tcMar>
          </w:tcPr>
          <w:p>
            <w:pPr>
              <w:spacing w:after="0" w:line="240"/>
            </w:pPr>
            <w:r>
              <w:rPr>
                <w:sz w:val="18"/>
                <w:szCs w:val="18"/>
              </w:rPr>
              <w:t xml:space="preserve">He is able but does not act within a reasonable time. </w:t>
            </w:r>
            <w:r>
              <w:rPr>
                <w:b/>
                <w:bCs/>
                <w:sz w:val="18"/>
                <w:szCs w:val="18"/>
              </w:rPr>
              <w:t xml:space="preserve">A failure of performance, not an incapacity.</w:t>
            </w:r>
          </w:p>
        </w:tc>
      </w:tr>
    </w:tbl>
    <w:p>
      <w:pPr>
        <w:spacing w:after="120"/>
      </w:pPr>
      <w:r>
        <w:rPr>
          <w:sz w:val="10"/>
          <w:szCs w:val="10"/>
        </w:rPr>
        <w:t xml:space="preserve"/>
      </w:r>
    </w:p>
    <w:p>
      <w:pPr>
        <w:spacing w:after="120" w:line="264"/>
        <w:jc w:val="both"/>
      </w:pPr>
      <w:r>
        <w:rPr>
          <w:b/>
          <w:bCs/>
        </w:rPr>
        <w:t xml:space="preserve">Section 14(2)</w:t>
      </w:r>
      <w:r>
        <w:t xml:space="preserve"> allows a party, unless otherwise agreed, to apply to </w:t>
      </w:r>
      <w:r>
        <w:rPr>
          <w:b/>
          <w:bCs/>
        </w:rPr>
        <w:t xml:space="preserve">the court</w:t>
      </w:r>
      <w:r>
        <w:t xml:space="preserve"> to decide on termination where a controversy remains about any ground in clause (a). This is one of the instances in which Part I expressly authorises court intervention, and it is therefore consistent with s. 5.</w:t>
      </w:r>
    </w:p>
    <w:p>
      <w:pPr>
        <w:spacing w:after="120" w:line="264"/>
        <w:jc w:val="both"/>
      </w:pPr>
      <w:r>
        <w:rPr>
          <w:b/>
          <w:bCs/>
        </w:rPr>
        <w:t xml:space="preserve">Section 14(3)</w:t>
      </w:r>
      <w:r>
        <w:t xml:space="preserve"> provides that withdrawal, or a party's agreement to termination, </w:t>
      </w:r>
      <w:r>
        <w:rPr>
          <w:b/>
          <w:bCs/>
          <w:shd w:fill="FFF2CC" w:color="auto" w:val="clear"/>
        </w:rPr>
        <w:t xml:space="preserve">does not imply acceptance of the validity of any ground</w:t>
      </w:r>
      <w:r>
        <w:t xml:space="preserve"> in s. 14 or s. 12(3). The purpose is practical: without it, an arbitrator facing an allegation of bias could never resign quietly, because resignation would look like a confession.</w:t>
      </w:r>
    </w:p>
    <w:p>
      <w:pPr>
        <w:pStyle w:val="Heading3"/>
        <w:keepNext/>
        <w:spacing w:after="80" w:before="180"/>
      </w:pPr>
      <w:r>
        <w:t xml:space="preserve">Section 15 — substitution and its consequences</w:t>
      </w:r>
    </w:p>
    <w:p>
      <w:pPr>
        <w:spacing w:after="70" w:line="264"/>
        <w:ind w:left="547" w:hanging="547"/>
        <w:jc w:val="both"/>
      </w:pPr>
      <w:r>
        <w:rPr>
          <w:b/>
          <w:bCs/>
        </w:rPr>
        <w:t xml:space="preserve">15(1)</w:t>
      </w:r>
      <w:r>
        <w:t xml:space="preserve"> In addition to ss. 13 and 14, the mandate ends on withdrawal for </w:t>
      </w:r>
      <w:r>
        <w:rPr>
          <w:b/>
          <w:bCs/>
        </w:rPr>
        <w:t xml:space="preserve">any reason</w:t>
      </w:r>
      <w:r>
        <w:t xml:space="preserve">, or by agreement of the parties.</w:t>
      </w:r>
    </w:p>
    <w:p>
      <w:pPr>
        <w:spacing w:after="70" w:line="264"/>
        <w:ind w:left="547" w:hanging="547"/>
        <w:jc w:val="both"/>
      </w:pPr>
      <w:r>
        <w:rPr>
          <w:b/>
          <w:bCs/>
        </w:rPr>
        <w:t xml:space="preserve">15(2)</w:t>
      </w:r>
      <w:r>
        <w:t xml:space="preserve"> A substitute is appointed </w:t>
      </w:r>
      <w:r>
        <w:rPr>
          <w:b/>
          <w:bCs/>
          <w:shd w:fill="FFF2CC" w:color="auto" w:val="clear"/>
        </w:rPr>
        <w:t xml:space="preserve">according to the rules that were applicable to the appointment of the arbitrator being replaced.</w:t>
      </w:r>
      <w:r>
        <w:t xml:space="preserve"> If the original came in under the parties' procedure, so does the substitute; if under s. 11, then under s. 11. </w:t>
      </w:r>
      <w:r>
        <w:rPr>
          <w:b/>
          <w:bCs/>
        </w:rPr>
        <w:t xml:space="preserve">This is why s. 11 continues to matter long after the tribunal is first constituted.</w:t>
      </w:r>
    </w:p>
    <w:p>
      <w:pPr>
        <w:spacing w:after="70" w:line="264"/>
        <w:ind w:left="547" w:hanging="547"/>
        <w:jc w:val="both"/>
      </w:pPr>
      <w:r>
        <w:rPr>
          <w:b/>
          <w:bCs/>
        </w:rPr>
        <w:t xml:space="preserve">15(3)</w:t>
      </w:r>
      <w:r>
        <w:t xml:space="preserve"> Unless otherwise agreed, hearings previously held </w:t>
      </w:r>
      <w:r>
        <w:rPr>
          <w:b/>
          <w:bCs/>
        </w:rPr>
        <w:t xml:space="preserve">may be repeated at the discretion of the tribunal</w:t>
      </w:r>
      <w:r>
        <w:t xml:space="preserve">. The discretion belongs to the tribunal, not to a party, and will normally be exercised where the reconstituted tribunal cannot fairly decide on a record it did not hear — the </w:t>
      </w:r>
      <w:r>
        <w:rPr>
          <w:b/>
          <w:bCs/>
          <w:i/>
          <w:iCs/>
        </w:rPr>
        <w:t xml:space="preserve">Gullapalli-I</w:t>
      </w:r>
      <w:r>
        <w:t xml:space="preserve"> principle that he who decides must hear.</w:t>
      </w:r>
    </w:p>
    <w:p>
      <w:pPr>
        <w:spacing w:after="70" w:line="264"/>
        <w:ind w:left="547" w:hanging="547"/>
        <w:jc w:val="both"/>
      </w:pPr>
      <w:r>
        <w:rPr>
          <w:b/>
          <w:bCs/>
        </w:rPr>
        <w:t xml:space="preserve">15(4)</w:t>
      </w:r>
      <w:r>
        <w:t xml:space="preserve"> Unless otherwise agreed, an order made before the replacement is </w:t>
      </w:r>
      <w:r>
        <w:rPr>
          <w:b/>
          <w:bCs/>
        </w:rPr>
        <w:t xml:space="preserve">not invalid solely</w:t>
      </w:r>
      <w:r>
        <w:t xml:space="preserve"> because the composition has changed. Without this, every substitution would unravel the interlocutory history.</w:t>
      </w:r>
    </w:p>
    <w:p>
      <w:pPr>
        <w:pStyle w:val="Heading3"/>
        <w:keepNext/>
        <w:spacing w:after="80" w:before="180"/>
      </w:pPr>
      <w:r>
        <w:t xml:space="preserve">Conclusion</w:t>
      </w:r>
    </w:p>
    <w:p>
      <w:pPr>
        <w:spacing w:after="120" w:line="264"/>
        <w:jc w:val="both"/>
      </w:pPr>
      <w:r>
        <w:t xml:space="preserve">The routes to termination are a successful challenge under ss. 12 and 13; inability or failure to act under s. 14, with recourse to the court under s. 14(2); withdrawal or agreement under ss. 14(1)(b) and 15(1); statutory ineligibility under s. 12(5), which operates through s. 14; and expiry of the s. 29A period. </w:t>
      </w:r>
      <w:r>
        <w:rPr>
          <w:b/>
          <w:bCs/>
          <w:shd w:fill="FFF2CC" w:color="auto" w:val="clear"/>
        </w:rPr>
        <w:t xml:space="preserve">In every case a substitute follows by the same route as the original appointment, and the arbitration continues.</w:t>
      </w:r>
    </w:p>
    <w:p>
      <w:pPr>
        <w:pStyle w:val="Heading2"/>
        <w:keepNext/>
        <w:spacing w:after="100" w:before="250"/>
      </w:pPr>
      <w:r>
        <w:t xml:space="preserve">L9.  Requirements of a valid arbitration agreement</w:t>
      </w:r>
    </w:p>
    <w:p>
      <w:pPr>
        <w:pStyle w:val="Heading3"/>
        <w:keepNext/>
        <w:spacing w:after="80" w:before="180"/>
      </w:pPr>
      <w:r>
        <w:t xml:space="preserve">Why the requirements matter</w:t>
      </w:r>
    </w:p>
    <w:p>
      <w:pPr>
        <w:spacing w:after="120" w:line="264"/>
        <w:jc w:val="both"/>
      </w:pPr>
      <w:r>
        <w:t xml:space="preserve">An arbitrator has no inherent authority over anyone. </w:t>
      </w:r>
      <w:r>
        <w:rPr>
          <w:b/>
          <w:bCs/>
        </w:rPr>
        <w:t xml:space="preserve">His authority comes entirely from the parties' consent, and the arbitration agreement is the record of that consent.</w:t>
      </w:r>
      <w:r>
        <w:t xml:space="preserve"> Without one there is nothing for s. 8 or s. 11 to act on, and an award is made without jurisdiction.</w:t>
      </w:r>
    </w:p>
    <w:p>
      <w:pPr>
        <w:pStyle w:val="Heading3"/>
        <w:keepNext/>
        <w:spacing w:after="80" w:before="180"/>
      </w:pPr>
      <w:r>
        <w:t xml:space="preserve">The statutory requirements</w:t>
      </w:r>
    </w:p>
    <w:p>
      <w:pPr>
        <w:spacing w:after="70" w:line="264"/>
        <w:ind w:left="547" w:hanging="547"/>
        <w:jc w:val="both"/>
      </w:pPr>
      <w:r>
        <w:rPr>
          <w:b/>
          <w:bCs/>
        </w:rPr>
        <w:t xml:space="preserve">7(1)</w:t>
      </w:r>
      <w:r>
        <w:t xml:space="preserve"> An agreement to submit to arbitration all or certain disputes, </w:t>
      </w:r>
      <w:r>
        <w:rPr>
          <w:b/>
          <w:bCs/>
        </w:rPr>
        <w:t xml:space="preserve">present or future</w:t>
      </w:r>
      <w:r>
        <w:t xml:space="preserve">, arising in respect of a </w:t>
      </w:r>
      <w:r>
        <w:rPr>
          <w:b/>
          <w:bCs/>
        </w:rPr>
        <w:t xml:space="preserve">defined legal relationship, whether contractual or not</w:t>
      </w:r>
      <w:r>
        <w:t xml:space="preserve">. A concluded contract is unnecessary; an MoU, partnership, bailment or agency will serve.</w:t>
      </w:r>
    </w:p>
    <w:p>
      <w:pPr>
        <w:spacing w:after="70" w:line="264"/>
        <w:ind w:left="547" w:hanging="547"/>
        <w:jc w:val="both"/>
      </w:pPr>
      <w:r>
        <w:rPr>
          <w:b/>
          <w:bCs/>
        </w:rPr>
        <w:t xml:space="preserve">7(2)</w:t>
      </w:r>
      <w:r>
        <w:t xml:space="preserve"> It may be a </w:t>
      </w:r>
      <w:r>
        <w:rPr>
          <w:b/>
          <w:bCs/>
        </w:rPr>
        <w:t xml:space="preserve">clause in a contract</w:t>
      </w:r>
      <w:r>
        <w:t xml:space="preserve"> or a </w:t>
      </w:r>
      <w:r>
        <w:rPr>
          <w:b/>
          <w:bCs/>
        </w:rPr>
        <w:t xml:space="preserve">separate agreement</w:t>
      </w:r>
      <w:r>
        <w:t xml:space="preserve">. Validity is unaffected; the distinction matters only for separability under s. 16.</w:t>
      </w:r>
    </w:p>
    <w:p>
      <w:pPr>
        <w:spacing w:after="70" w:line="264"/>
        <w:ind w:left="547" w:hanging="547"/>
        <w:jc w:val="both"/>
      </w:pPr>
      <w:r>
        <w:rPr>
          <w:b/>
          <w:bCs/>
        </w:rPr>
        <w:t xml:space="preserve">7(3)</w:t>
      </w:r>
      <w:r>
        <w:t xml:space="preserve"> It must be </w:t>
      </w:r>
      <w:r>
        <w:rPr>
          <w:b/>
          <w:bCs/>
        </w:rPr>
        <w:t xml:space="preserve">in writing</w:t>
      </w:r>
      <w:r>
        <w:t xml:space="preserve">.</w:t>
      </w:r>
    </w:p>
    <w:p>
      <w:pPr>
        <w:spacing w:after="70" w:line="264"/>
        <w:ind w:left="547" w:hanging="547"/>
        <w:jc w:val="both"/>
      </w:pPr>
      <w:r>
        <w:rPr>
          <w:b/>
          <w:bCs/>
        </w:rPr>
        <w:t xml:space="preserve">7(4)</w:t>
      </w:r>
      <w:r>
        <w:t xml:space="preserve"> It is in writing if contained in (a) a document </w:t>
      </w:r>
      <w:r>
        <w:rPr>
          <w:b/>
          <w:bCs/>
        </w:rPr>
        <w:t xml:space="preserve">signed</w:t>
      </w:r>
      <w:r>
        <w:t xml:space="preserve"> by the parties; (b) an </w:t>
      </w:r>
      <w:r>
        <w:rPr>
          <w:b/>
          <w:bCs/>
        </w:rPr>
        <w:t xml:space="preserve">exchange of communications</w:t>
      </w:r>
      <w:r>
        <w:t xml:space="preserve">, including electronic means, providing a record; or (c) </w:t>
      </w:r>
      <w:r>
        <w:rPr>
          <w:b/>
          <w:bCs/>
          <w:shd w:fill="FFF2CC" w:color="auto" w:val="clear"/>
        </w:rPr>
        <w:t xml:space="preserve">an exchange of statements of claim and defence in which one party alleges the agreement and the other does not deny it.</w:t>
      </w:r>
    </w:p>
    <w:p>
      <w:pPr>
        <w:spacing w:after="70" w:line="264"/>
        <w:ind w:left="547" w:hanging="547"/>
        <w:jc w:val="both"/>
      </w:pPr>
      <w:r>
        <w:rPr>
          <w:b/>
          <w:bCs/>
        </w:rPr>
        <w:t xml:space="preserve">7(5)</w:t>
      </w:r>
      <w:r>
        <w:t xml:space="preserve"> </w:t>
      </w:r>
      <w:r>
        <w:rPr>
          <w:b/>
          <w:bCs/>
        </w:rPr>
        <w:t xml:space="preserve">Incorporation by reference</w:t>
      </w:r>
      <w:r>
        <w:t xml:space="preserve"> — a written contract referring to another document containing an arbitration clause, where the reference is such as to make that clause part of the contract.</w:t>
      </w:r>
    </w:p>
    <w:p>
      <w:pPr>
        <w:spacing w:after="120" w:line="264"/>
        <w:jc w:val="both"/>
      </w:pPr>
      <w:r>
        <w:rPr>
          <w:b/>
          <w:bCs/>
        </w:rPr>
        <w:t xml:space="preserve">On the writing requirement.</w:t>
      </w:r>
      <w:r>
        <w:t xml:space="preserve"> It is a requirement of </w:t>
      </w:r>
      <w:r>
        <w:rPr>
          <w:b/>
          <w:bCs/>
        </w:rPr>
        <w:t xml:space="preserve">record, not formality</w:t>
      </w:r>
      <w:r>
        <w:t xml:space="preserve">. The 2006 revision of the Model Law absorbed the rules on electronic commerce, so an electronic communication suffices if the information is accessible for later reference. Clause (c) is the most surprising: </w:t>
      </w:r>
      <w:r>
        <w:rPr>
          <w:b/>
          <w:bCs/>
        </w:rPr>
        <w:t xml:space="preserve">the pleadings themselves may constitute the agreement</w:t>
      </w:r>
      <w:r>
        <w:t xml:space="preserve">.</w:t>
      </w:r>
    </w:p>
    <w:p>
      <w:pPr>
        <w:pStyle w:val="Heading3"/>
        <w:keepNext/>
        <w:spacing w:after="80" w:before="180"/>
      </w:pPr>
      <w:r>
        <w:t xml:space="preserve">The judicially developed requirements</w:t>
      </w:r>
    </w:p>
    <w:p>
      <w:pPr>
        <w:spacing w:after="120" w:line="264"/>
        <w:jc w:val="both"/>
      </w:pPr>
      <w:r>
        <w:t xml:space="preserve">The decisive question in practice is whether the clause creates an </w:t>
      </w:r>
      <w:r>
        <w:rPr>
          <w:b/>
          <w:bCs/>
        </w:rPr>
        <w:t xml:space="preserve">obligation</w:t>
      </w:r>
      <w:r>
        <w:t xml:space="preserve"> to arbitrate or merely a </w:t>
      </w:r>
      <w:r>
        <w:rPr>
          <w:b/>
          <w:bCs/>
        </w:rPr>
        <w:t xml:space="preserve">possibility</w:t>
      </w:r>
      <w:r>
        <w:t xml:space="preserve">.</w:t>
      </w:r>
    </w:p>
    <w:p>
      <w:pPr>
        <w:spacing w:after="120" w:line="264"/>
        <w:jc w:val="both"/>
      </w:pPr>
      <w:r>
        <w:t xml:space="preserve">In </w:t>
      </w:r>
      <w:r>
        <w:rPr>
          <w:b/>
          <w:bCs/>
          <w:i/>
          <w:iCs/>
        </w:rPr>
        <w:t xml:space="preserve">Jagdish Chander v. Ramesh Chander</w:t>
      </w:r>
      <w:r>
        <w:t xml:space="preserve">, (2007) 5 SCC 719, clause 16 of a partnership deed said disputes “shall be mutually decided by the partners </w:t>
      </w:r>
      <w:r>
        <w:rPr>
          <w:b/>
          <w:bCs/>
        </w:rPr>
        <w:t xml:space="preserve">or shall be referred for arbitration if the parties so determine</w:t>
      </w:r>
      <w:r>
        <w:t xml:space="preserve">”. The High Court had appointed an arbitrator, reasoning that the clause would be pointless otherwise and should be read generously to encourage arbitration. The Supreme Court disagreed and set the appointment aside. </w:t>
      </w:r>
      <w:r>
        <w:rPr>
          <w:b/>
          <w:bCs/>
          <w:shd w:fill="FFF2CC" w:color="auto" w:val="clear"/>
        </w:rPr>
        <w:t xml:space="preserve">The words must disclose a determination and an obligation to arbitrate, not merely the possibility of doing so.</w:t>
      </w:r>
      <w:r>
        <w:t xml:space="preserve"> “If the parties so determine” looks forward to a further agreement that may never be made. The Court followed </w:t>
      </w:r>
      <w:r>
        <w:rPr>
          <w:b/>
          <w:bCs/>
          <w:i/>
          <w:iCs/>
        </w:rPr>
        <w:t xml:space="preserve">Wellington Associates Ltd. v. Kirit Mehta</w:t>
      </w:r>
      <w:r>
        <w:t xml:space="preserve">, (2000) 4 SCC 272, where “may be referred to arbitration” was held merely enabling.</w:t>
      </w:r>
    </w:p>
    <w:p>
      <w:pPr>
        <w:pStyle w:val="Heading3"/>
        <w:keepNext/>
        <w:spacing w:after="80" w:before="180"/>
      </w:pPr>
      <w:r>
        <w:t xml:space="preserve">The four essential attributes</w:t>
      </w:r>
    </w:p>
    <w:p>
      <w:pPr>
        <w:pStyle w:val="ListParagraph"/>
        <w:numPr>
          <w:ilvl w:val="0"/>
          <w:numId w:val="6"/>
        </w:numPr>
        <w:spacing w:after="70" w:line="264"/>
        <w:jc w:val="both"/>
      </w:pPr>
      <w:r>
        <w:t xml:space="preserve">The agreement must be </w:t>
      </w:r>
      <w:r>
        <w:rPr>
          <w:b/>
          <w:bCs/>
        </w:rPr>
        <w:t xml:space="preserve">in writing</w:t>
      </w:r>
      <w:r>
        <w:t xml:space="preserve">.</w:t>
      </w:r>
    </w:p>
    <w:p>
      <w:pPr>
        <w:pStyle w:val="ListParagraph"/>
        <w:numPr>
          <w:ilvl w:val="0"/>
          <w:numId w:val="6"/>
        </w:numPr>
        <w:spacing w:after="70" w:line="264"/>
        <w:jc w:val="both"/>
      </w:pPr>
      <w:r>
        <w:t xml:space="preserve">The parties must have agreed to refer disputes, present or future, to a </w:t>
      </w:r>
      <w:r>
        <w:rPr>
          <w:b/>
          <w:bCs/>
        </w:rPr>
        <w:t xml:space="preserve">private tribunal</w:t>
      </w:r>
      <w:r>
        <w:t xml:space="preserve">.</w:t>
      </w:r>
    </w:p>
    <w:p>
      <w:pPr>
        <w:pStyle w:val="ListParagraph"/>
        <w:numPr>
          <w:ilvl w:val="0"/>
          <w:numId w:val="6"/>
        </w:numPr>
        <w:spacing w:after="70" w:line="264"/>
        <w:jc w:val="both"/>
      </w:pPr>
      <w:r>
        <w:t xml:space="preserve">That tribunal must be empowered to adjudicate </w:t>
      </w:r>
      <w:r>
        <w:rPr>
          <w:b/>
          <w:bCs/>
        </w:rPr>
        <w:t xml:space="preserve">impartially</w:t>
      </w:r>
      <w:r>
        <w:t xml:space="preserve">, giving both sides due opportunity to present their case.</w:t>
      </w:r>
    </w:p>
    <w:p>
      <w:pPr>
        <w:pStyle w:val="ListParagraph"/>
        <w:numPr>
          <w:ilvl w:val="0"/>
          <w:numId w:val="6"/>
        </w:numPr>
        <w:spacing w:after="70" w:line="264"/>
        <w:jc w:val="both"/>
      </w:pPr>
      <w:r>
        <w:t xml:space="preserve">The parties must have agreed that the decision will be </w:t>
      </w:r>
      <w:r>
        <w:rPr>
          <w:b/>
          <w:bCs/>
        </w:rPr>
        <w:t xml:space="preserve">binding</w:t>
      </w:r>
      <w:r>
        <w:t xml:space="preserve">.</w:t>
      </w:r>
    </w:p>
    <w:p>
      <w:pPr>
        <w:spacing w:after="120" w:line="264"/>
        <w:jc w:val="both"/>
      </w:pPr>
      <w:r>
        <w:rPr>
          <w:b/>
          <w:bCs/>
        </w:rPr>
        <w:t xml:space="preserve">Four further propositions.</w:t>
      </w:r>
      <w:r>
        <w:t xml:space="preserve"> There is </w:t>
      </w:r>
      <w:r>
        <w:rPr>
          <w:b/>
          <w:bCs/>
        </w:rPr>
        <w:t xml:space="preserve">no prescribed form</w:t>
      </w:r>
      <w:r>
        <w:t xml:space="preserve">, so the words “arbitration” and “arbitrator” need not appear. Where the intention is direct and specific, the attributes need not be spelt out. Where the clause excludes any attribute, it is not an arbitration agreement. And by way of illustration, a clause is not one if it allows decision </w:t>
      </w:r>
      <w:r>
        <w:rPr>
          <w:b/>
          <w:bCs/>
        </w:rPr>
        <w:t xml:space="preserve">without a hearing</w:t>
      </w:r>
      <w:r>
        <w:t xml:space="preserve">, requires the authority to act in the interests of </w:t>
      </w:r>
      <w:r>
        <w:rPr>
          <w:b/>
          <w:bCs/>
        </w:rPr>
        <w:t xml:space="preserve">one party only</w:t>
      </w:r>
      <w:r>
        <w:t xml:space="preserve">, provides that the decision is </w:t>
      </w:r>
      <w:r>
        <w:rPr>
          <w:b/>
          <w:bCs/>
        </w:rPr>
        <w:t xml:space="preserve">not final and binding</w:t>
      </w:r>
      <w:r>
        <w:t xml:space="preserve">, or permits a dissatisfied party to </w:t>
      </w:r>
      <w:r>
        <w:rPr>
          <w:b/>
          <w:bCs/>
        </w:rPr>
        <w:t xml:space="preserve">file a civil suit</w:t>
      </w:r>
      <w:r>
        <w:t xml:space="preserve">. </w:t>
      </w:r>
      <w:r>
        <w:rPr>
          <w:b/>
          <w:bCs/>
          <w:shd w:fill="FFF2CC" w:color="auto" w:val="clear"/>
        </w:rPr>
        <w:t xml:space="preserve">Substance governs, not the label.</w:t>
      </w:r>
    </w:p>
    <w:p>
      <w:pPr>
        <w:pStyle w:val="Heading3"/>
        <w:keepNext/>
        <w:spacing w:after="80" w:before="180"/>
      </w:pPr>
      <w:r>
        <w:t xml:space="preserve">Two matters settled recently</w:t>
      </w:r>
    </w:p>
    <w:p>
      <w:pPr>
        <w:spacing w:after="120" w:line="264"/>
        <w:jc w:val="both"/>
      </w:pPr>
      <w:r>
        <w:rPr>
          <w:b/>
          <w:bCs/>
        </w:rPr>
        <w:t xml:space="preserve">Stamping.</w:t>
      </w:r>
      <w:r>
        <w:t xml:space="preserve"> </w:t>
      </w:r>
      <w:r>
        <w:rPr>
          <w:b/>
          <w:bCs/>
          <w:i/>
          <w:iCs/>
        </w:rPr>
        <w:t xml:space="preserve">In Re: Interplay</w:t>
      </w:r>
      <w:r>
        <w:t xml:space="preserve">, 2023 INSC 1066 (7 Judges), holds that an unstamped or insufficiently stamped instrument is </w:t>
      </w:r>
      <w:r>
        <w:rPr>
          <w:b/>
          <w:bCs/>
        </w:rPr>
        <w:t xml:space="preserve">inadmissible but not void</w:t>
      </w:r>
      <w:r>
        <w:t xml:space="preserve">, the defect is curable, and stamping is a matter for the tribunal rather than for the court at the s. 8 or s. 11 stage. It overruled </w:t>
      </w:r>
      <w:r>
        <w:rPr>
          <w:b/>
          <w:bCs/>
          <w:i/>
          <w:iCs/>
        </w:rPr>
        <w:t xml:space="preserve">N.N. Global</w:t>
      </w:r>
      <w:r>
        <w:t xml:space="preserve">, </w:t>
      </w:r>
      <w:r>
        <w:rPr>
          <w:b/>
          <w:bCs/>
          <w:i/>
          <w:iCs/>
        </w:rPr>
        <w:t xml:space="preserve">SMS Tea Estates</w:t>
      </w:r>
      <w:r>
        <w:t xml:space="preserve">, and paragraphs 22 and 29 of </w:t>
      </w:r>
      <w:r>
        <w:rPr>
          <w:b/>
          <w:bCs/>
          <w:i/>
          <w:iCs/>
        </w:rPr>
        <w:t xml:space="preserve">Garware Wall Ropes</w:t>
      </w:r>
      <w:r>
        <w:t xml:space="preserve">.</w:t>
      </w:r>
    </w:p>
    <w:p>
      <w:pPr>
        <w:spacing w:after="120" w:line="264"/>
        <w:jc w:val="both"/>
      </w:pPr>
      <w:r>
        <w:rPr>
          <w:b/>
          <w:bCs/>
        </w:rPr>
        <w:t xml:space="preserve">Non-signatories.</w:t>
      </w:r>
      <w:r>
        <w:t xml:space="preserve"> </w:t>
      </w:r>
      <w:r>
        <w:rPr>
          <w:b/>
          <w:bCs/>
          <w:i/>
          <w:iCs/>
        </w:rPr>
        <w:t xml:space="preserve">Cox and Kings Ltd. v. SAP India Pvt. Ltd.</w:t>
      </w:r>
      <w:r>
        <w:t xml:space="preserve">, 2023 INSC 1051 (Constitution Bench of 5), holds that the </w:t>
      </w:r>
      <w:r>
        <w:rPr>
          <w:b/>
          <w:bCs/>
        </w:rPr>
        <w:t xml:space="preserve">group of companies doctrine</w:t>
      </w:r>
      <w:r>
        <w:t xml:space="preserve"> is part of Indian law, resting on the definition of “parties” in s. 2(1)(h) read with s. 7 and on the mutual intention to bind a non-signatory.</w:t>
      </w:r>
    </w:p>
    <w:p>
      <w:pPr>
        <w:pStyle w:val="Heading2"/>
        <w:keepNext/>
        <w:spacing w:after="100" w:before="250"/>
      </w:pPr>
      <w:r>
        <w:t xml:space="preserve">L10.  Salient features of international commercial arbitration, and the role of the Model Law</w:t>
      </w:r>
    </w:p>
    <w:p>
      <w:pPr>
        <w:pStyle w:val="Heading3"/>
        <w:keepNext/>
        <w:spacing w:after="80" w:before="180"/>
      </w:pPr>
      <w:r>
        <w:t xml:space="preserve">The salient features</w:t>
      </w:r>
    </w:p>
    <w:p>
      <w:pPr>
        <w:pStyle w:val="ListParagraph"/>
        <w:numPr>
          <w:ilvl w:val="0"/>
          <w:numId w:val="7"/>
        </w:numPr>
        <w:spacing w:after="70" w:line="264"/>
        <w:jc w:val="both"/>
      </w:pPr>
      <w:r>
        <w:rPr>
          <w:b/>
          <w:bCs/>
        </w:rPr>
        <w:t xml:space="preserve">A private process</w:t>
      </w:r>
      <w:r>
        <w:t xml:space="preserve"> designed for the needs of international commerce, existing outside national court systems.</w:t>
      </w:r>
    </w:p>
    <w:p>
      <w:pPr>
        <w:pStyle w:val="ListParagraph"/>
        <w:numPr>
          <w:ilvl w:val="0"/>
          <w:numId w:val="7"/>
        </w:numPr>
        <w:spacing w:after="70" w:line="264"/>
        <w:jc w:val="both"/>
      </w:pPr>
      <w:r>
        <w:rPr>
          <w:b/>
          <w:bCs/>
        </w:rPr>
        <w:t xml:space="preserve">Consent, with party autonomy as the foundation.</w:t>
      </w:r>
      <w:r>
        <w:t xml:space="preserve"> The parties choose the tribunal, the procedure, the seat, the language and the applicable law. Autonomy stops at the non-derogable provisions, of which s. 34 is the leading example.</w:t>
      </w:r>
    </w:p>
    <w:p>
      <w:pPr>
        <w:pStyle w:val="ListParagraph"/>
        <w:numPr>
          <w:ilvl w:val="0"/>
          <w:numId w:val="7"/>
        </w:numPr>
        <w:spacing w:after="70" w:line="264"/>
        <w:jc w:val="both"/>
      </w:pPr>
      <w:r>
        <w:rPr>
          <w:b/>
          <w:bCs/>
        </w:rPr>
        <w:t xml:space="preserve">State support through an enabling statute</w:t>
      </w:r>
      <w:r>
        <w:t xml:space="preserve">, ouster of civil court jurisdiction over matters covered by the agreement, and court-annexed reference under s. 89 of the Code of Civil Procedure, 1908.</w:t>
      </w:r>
    </w:p>
    <w:p>
      <w:pPr>
        <w:pStyle w:val="ListParagraph"/>
        <w:numPr>
          <w:ilvl w:val="0"/>
          <w:numId w:val="7"/>
        </w:numPr>
        <w:spacing w:after="70" w:line="264"/>
        <w:jc w:val="both"/>
      </w:pPr>
      <w:r>
        <w:rPr>
          <w:b/>
          <w:bCs/>
        </w:rPr>
        <w:t xml:space="preserve">Legislative uniformity</w:t>
      </w:r>
      <w:r>
        <w:t xml:space="preserve">, because national statutes follow the Model Law, and predictability is what persuades parties to trade and invest across borders.</w:t>
      </w:r>
    </w:p>
    <w:p>
      <w:pPr>
        <w:pStyle w:val="ListParagraph"/>
        <w:numPr>
          <w:ilvl w:val="0"/>
          <w:numId w:val="7"/>
        </w:numPr>
        <w:spacing w:after="70" w:line="264"/>
        <w:jc w:val="both"/>
      </w:pPr>
      <w:r>
        <w:rPr>
          <w:b/>
          <w:bCs/>
        </w:rPr>
        <w:t xml:space="preserve">Exclusion of judicial intervention</w:t>
      </w:r>
      <w:r>
        <w:t xml:space="preserve"> — Article 5 of the Model Law, enacted in India as </w:t>
      </w:r>
      <w:r>
        <w:rPr>
          <w:b/>
          <w:bCs/>
        </w:rPr>
        <w:t xml:space="preserve">s. 5</w:t>
      </w:r>
      <w:r>
        <w:t xml:space="preserve">.</w:t>
      </w:r>
    </w:p>
    <w:p>
      <w:pPr>
        <w:pStyle w:val="ListParagraph"/>
        <w:numPr>
          <w:ilvl w:val="0"/>
          <w:numId w:val="7"/>
        </w:numPr>
        <w:spacing w:after="70" w:line="264"/>
        <w:jc w:val="both"/>
      </w:pPr>
      <w:r>
        <w:rPr>
          <w:b/>
          <w:bCs/>
        </w:rPr>
        <w:t xml:space="preserve">A supportive, not supervisory, role for courts</w:t>
      </w:r>
      <w:r>
        <w:t xml:space="preserve"> — interim measures under s. 9, evidence under s. 27, and enforcement.</w:t>
      </w:r>
    </w:p>
    <w:p>
      <w:pPr>
        <w:pStyle w:val="ListParagraph"/>
        <w:numPr>
          <w:ilvl w:val="0"/>
          <w:numId w:val="7"/>
        </w:numPr>
        <w:spacing w:after="70" w:line="264"/>
        <w:jc w:val="both"/>
      </w:pPr>
      <w:r>
        <w:rPr>
          <w:b/>
          <w:bCs/>
        </w:rPr>
        <w:t xml:space="preserve">Competence-competence and separability</w:t>
      </w:r>
      <w:r>
        <w:t xml:space="preserve"> under s. 16.</w:t>
      </w:r>
    </w:p>
    <w:p>
      <w:pPr>
        <w:pStyle w:val="ListParagraph"/>
        <w:numPr>
          <w:ilvl w:val="0"/>
          <w:numId w:val="7"/>
        </w:numPr>
        <w:spacing w:after="70" w:line="264"/>
        <w:jc w:val="both"/>
      </w:pPr>
      <w:r>
        <w:rPr>
          <w:b/>
          <w:bCs/>
        </w:rPr>
        <w:t xml:space="preserve">A reasoned award, with narrow recourse.</w:t>
      </w:r>
      <w:r>
        <w:t xml:space="preserve"> The award must be in writing and signed and must give reasons unless the parties agree otherwise or it records a settlement. </w:t>
      </w:r>
      <w:r>
        <w:rPr>
          <w:b/>
          <w:bCs/>
          <w:shd w:fill="FFF2CC" w:color="auto" w:val="clear"/>
        </w:rPr>
        <w:t xml:space="preserve">There is no review on the merits, so even an erroneous award is enforceable.</w:t>
      </w:r>
    </w:p>
    <w:p>
      <w:pPr>
        <w:pStyle w:val="ListParagraph"/>
        <w:numPr>
          <w:ilvl w:val="0"/>
          <w:numId w:val="7"/>
        </w:numPr>
        <w:spacing w:after="70" w:line="264"/>
        <w:jc w:val="both"/>
      </w:pPr>
      <w:r>
        <w:rPr>
          <w:b/>
          <w:bCs/>
        </w:rPr>
        <w:t xml:space="preserve">Two presumptive obligations</w:t>
      </w:r>
      <w:r>
        <w:t xml:space="preserve"> — to recognise and give effect to the arbitration agreement, and to recognise and enforce the award.</w:t>
      </w:r>
    </w:p>
    <w:p>
      <w:pPr>
        <w:spacing w:after="120" w:line="264"/>
        <w:jc w:val="both"/>
      </w:pPr>
      <w:r>
        <w:rPr>
          <w:b/>
          <w:bCs/>
        </w:rPr>
        <w:t xml:space="preserve">Two features require qualification.</w:t>
      </w:r>
      <w:r>
        <w:t xml:space="preserve"> </w:t>
      </w:r>
      <w:r>
        <w:rPr>
          <w:i/>
          <w:iCs/>
        </w:rPr>
        <w:t xml:space="preserve">Confidentiality</w:t>
      </w:r>
      <w:r>
        <w:t xml:space="preserve"> is the feature commercial users value most, but it is not universal: investment treaty awards are commonly published, and transparency duties may arise in environmental matters. </w:t>
      </w:r>
      <w:r>
        <w:rPr>
          <w:i/>
          <w:iCs/>
        </w:rPr>
        <w:t xml:space="preserve">Limited appeals</w:t>
      </w:r>
      <w:r>
        <w:t xml:space="preserve"> holds within the Act, but Articles 226, 227 and 32 of the Constitution survive it.</w:t>
      </w:r>
    </w:p>
    <w:p>
      <w:pPr>
        <w:pStyle w:val="Heading3"/>
        <w:keepNext/>
        <w:spacing w:after="80" w:before="180"/>
      </w:pPr>
      <w:r>
        <w:t xml:space="preserve">The role of the UNCITRAL Model Law</w:t>
      </w:r>
    </w:p>
    <w:p>
      <w:pPr>
        <w:spacing w:after="120" w:line="264"/>
        <w:jc w:val="both"/>
      </w:pPr>
      <w:r>
        <w:t xml:space="preserve">The Model Law on International Commercial Arbitration is a </w:t>
      </w:r>
      <w:r>
        <w:rPr>
          <w:b/>
          <w:bCs/>
        </w:rPr>
        <w:t xml:space="preserve">model statute published by a United Nations body</w:t>
      </w:r>
      <w:r>
        <w:t xml:space="preserve">, intended to be adopted by States so that arbitration law becomes broadly the same everywhere. The Indian Act of 1996 is based on it, and the Preamble and Statement of Objects record that purpose.</w:t>
      </w:r>
    </w:p>
    <w:p>
      <w:pPr>
        <w:spacing w:after="120" w:line="264"/>
        <w:jc w:val="both"/>
      </w:pPr>
      <w:r>
        <w:rPr>
          <w:b/>
          <w:bCs/>
        </w:rPr>
        <w:t xml:space="preserve">Its influence is visible in the text.</w:t>
      </w:r>
      <w:r>
        <w:t xml:space="preserve"> Article 5 became s. 5. The competence-competence and separability provisions became s. 16. The justifiable-doubts standard for challenging an arbitrator became s. 12(3). The equal-treatment guarantee became s. 18. And the 2006 revision, which absorbed the Model Law on Electronic Commerce, is reflected in the treatment of electronic communications in s. 7(4)(b).</w:t>
      </w:r>
    </w:p>
    <w:p>
      <w:pPr>
        <w:spacing w:after="120" w:line="264"/>
        <w:jc w:val="both"/>
      </w:pPr>
      <w:r>
        <w:rPr>
          <w:b/>
          <w:bCs/>
        </w:rPr>
        <w:t xml:space="preserve">India also departed from it in places</w:t>
      </w:r>
      <w:r>
        <w:t xml:space="preserve">, and those departures caused difficulty. The Model Law gives the appointment power to a </w:t>
      </w:r>
      <w:r>
        <w:rPr>
          <w:b/>
          <w:bCs/>
        </w:rPr>
        <w:t xml:space="preserve">court</w:t>
      </w:r>
      <w:r>
        <w:t xml:space="preserve">; India gave it to the </w:t>
      </w:r>
      <w:r>
        <w:rPr>
          <w:b/>
          <w:bCs/>
        </w:rPr>
        <w:t xml:space="preserve">Chief Justice</w:t>
      </w:r>
      <w:r>
        <w:t xml:space="preserve">, and that produced the litigation from </w:t>
      </w:r>
      <w:r>
        <w:rPr>
          <w:b/>
          <w:bCs/>
          <w:i/>
          <w:iCs/>
        </w:rPr>
        <w:t xml:space="preserve">Mehul Construction</w:t>
      </w:r>
      <w:r>
        <w:t xml:space="preserve"> to </w:t>
      </w:r>
      <w:r>
        <w:rPr>
          <w:b/>
          <w:bCs/>
          <w:i/>
          <w:iCs/>
        </w:rPr>
        <w:t xml:space="preserve">Patel Engineering</w:t>
      </w:r>
      <w:r>
        <w:t xml:space="preserve">. The Model Law's default is </w:t>
      </w:r>
      <w:r>
        <w:rPr>
          <w:b/>
          <w:bCs/>
        </w:rPr>
        <w:t xml:space="preserve">three</w:t>
      </w:r>
      <w:r>
        <w:t xml:space="preserve"> arbitrators; India's default under s. 10(2) is </w:t>
      </w:r>
      <w:r>
        <w:rPr>
          <w:b/>
          <w:bCs/>
        </w:rPr>
        <w:t xml:space="preserve">one</w:t>
      </w:r>
      <w:r>
        <w:t xml:space="preserve">.</w:t>
      </w:r>
    </w:p>
    <w:p>
      <w:pPr>
        <w:pStyle w:val="Heading3"/>
        <w:keepNext/>
        <w:spacing w:after="80" w:before="180"/>
      </w:pPr>
      <w:r>
        <w:t xml:space="preserve">The Conventions, and the statutory history</w:t>
      </w:r>
    </w:p>
    <w:p>
      <w:pPr>
        <w:spacing w:after="120" w:line="264"/>
        <w:jc w:val="both"/>
      </w:pPr>
      <w:r>
        <w:t xml:space="preserve">The 1996 Act repealed and consolidated three enactments: the </w:t>
      </w:r>
      <w:r>
        <w:rPr>
          <w:b/>
          <w:bCs/>
        </w:rPr>
        <w:t xml:space="preserve">Arbitration Act, 1940</w:t>
      </w:r>
      <w:r>
        <w:t xml:space="preserve"> (domestic), the </w:t>
      </w:r>
      <w:r>
        <w:rPr>
          <w:b/>
          <w:bCs/>
        </w:rPr>
        <w:t xml:space="preserve">Arbitration (Protocol and Convention) Act, 1937</w:t>
      </w:r>
      <w:r>
        <w:t xml:space="preserve"> (Geneva), and the </w:t>
      </w:r>
      <w:r>
        <w:rPr>
          <w:b/>
          <w:bCs/>
        </w:rPr>
        <w:t xml:space="preserve">Foreign Awards (Recognition and Enforcement) Act, 1961</w:t>
      </w:r>
      <w:r>
        <w:t xml:space="preserve"> (New York).</w:t>
      </w:r>
    </w:p>
    <w:p>
      <w:pPr>
        <w:spacing w:after="120" w:line="264"/>
        <w:jc w:val="both"/>
      </w:pPr>
      <w:r>
        <w:rPr>
          <w:b/>
          <w:bCs/>
        </w:rPr>
        <w:t xml:space="preserve">Geneva and New York distinguished.</w:t>
      </w:r>
      <w:r>
        <w:t xml:space="preserve"> Under the Geneva regime a rule of </w:t>
      </w:r>
      <w:r>
        <w:rPr>
          <w:b/>
          <w:bCs/>
        </w:rPr>
        <w:t xml:space="preserve">double exequatur</w:t>
      </w:r>
      <w:r>
        <w:t xml:space="preserve"> applied: an award had first to be confirmed by the courts of the seat before it could be enforced elsewhere. </w:t>
      </w:r>
      <w:r>
        <w:rPr>
          <w:b/>
          <w:bCs/>
          <w:shd w:fill="FFF2CC" w:color="auto" w:val="clear"/>
        </w:rPr>
        <w:t xml:space="preserve">The New York Convention, 1958, abolished that requirement,</w:t>
      </w:r>
      <w:r>
        <w:t xml:space="preserve"> so an award becomes directly enforceable, subject only to the limited grounds on which recognition may be refused.</w:t>
      </w:r>
    </w:p>
    <w:p>
      <w:pPr>
        <w:pStyle w:val="Heading2"/>
        <w:keepNext/>
        <w:spacing w:after="100" w:before="250"/>
      </w:pPr>
      <w:r>
        <w:t xml:space="preserve">L11.  Excessive judicial intervention and international responsibility</w:t>
      </w:r>
    </w:p>
    <w:p>
      <w:pPr>
        <w:pStyle w:val="Heading3"/>
        <w:keepNext/>
        <w:spacing w:after="80" w:before="180"/>
      </w:pPr>
      <w:r>
        <w:t xml:space="preserve">The domestic rule, and its outward-facing counterpart</w:t>
      </w:r>
    </w:p>
    <w:p>
      <w:pPr>
        <w:spacing w:after="120" w:line="264"/>
        <w:jc w:val="both"/>
      </w:pPr>
      <w:r>
        <w:t xml:space="preserve">Section 5 confines judicial intervention to what Part I permits. Seen from inside Indian law, that is a rule of statutory discipline. </w:t>
      </w:r>
      <w:r>
        <w:rPr>
          <w:b/>
          <w:bCs/>
        </w:rPr>
        <w:t xml:space="preserve">Seen from outside, it protects India from a different kind of liability.</w:t>
      </w:r>
      <w:r>
        <w:t xml:space="preserve"> Where the courts of a State obstruct an arbitration, or simply fail to decide for years, the State may incur responsibility under international law.</w:t>
      </w:r>
    </w:p>
    <w:p>
      <w:pPr>
        <w:spacing w:after="120" w:line="264"/>
        <w:jc w:val="both"/>
      </w:pPr>
      <w:r>
        <w:t xml:space="preserve">Both of the leading illustrations arose under a </w:t>
      </w:r>
      <w:r>
        <w:rPr>
          <w:b/>
          <w:bCs/>
        </w:rPr>
        <w:t xml:space="preserve">bilateral investment treaty</w:t>
      </w:r>
      <w:r>
        <w:t xml:space="preserve">, a treaty between two States promising fair treatment to each other's investors, under which an investor may sue the State directly before an arbitral tribunal.</w:t>
      </w:r>
    </w:p>
    <w:p>
      <w:pPr>
        <w:pStyle w:val="Heading3"/>
        <w:keepNext/>
        <w:spacing w:after="80" w:before="180"/>
      </w:pPr>
      <w:r>
        <w:t xml:space="preserve">Obstruction: the Saipem award</w:t>
      </w:r>
    </w:p>
    <w:p>
      <w:pPr>
        <w:spacing w:after="120" w:line="264"/>
        <w:jc w:val="both"/>
      </w:pPr>
      <w:r>
        <w:t xml:space="preserve">In </w:t>
      </w:r>
      <w:r>
        <w:rPr>
          <w:b/>
          <w:bCs/>
          <w:i/>
          <w:iCs/>
        </w:rPr>
        <w:t xml:space="preserve">Saipem S.p.A. v. People's Republic of Bangladesh</w:t>
      </w:r>
      <w:r>
        <w:t xml:space="preserve">, ICSID Case No. ARB/05/7, Award of 30 June 2009, an Italian contractor had an ICC arbitration clause with a Bangladeshi State entity. When the arbitration began, the Bangladeshi courts </w:t>
      </w:r>
      <w:r>
        <w:rPr>
          <w:b/>
          <w:bCs/>
        </w:rPr>
        <w:t xml:space="preserve">revoked the tribunal's authority</w:t>
      </w:r>
      <w:r>
        <w:t xml:space="preserve"> and restrained the proceedings. The tribunal declined to give effect to that reasoning and made an award, whereupon the courts treated the award as a </w:t>
      </w:r>
      <w:r>
        <w:rPr>
          <w:b/>
          <w:bCs/>
        </w:rPr>
        <w:t xml:space="preserve">nullity</w:t>
      </w:r>
      <w:r>
        <w:t xml:space="preserve"> so that it could not be enforced.</w:t>
      </w:r>
    </w:p>
    <w:p>
      <w:pPr>
        <w:spacing w:after="120" w:line="264"/>
        <w:jc w:val="both"/>
      </w:pPr>
      <w:r>
        <w:t xml:space="preserve">The tribunal held that Bangladesh had </w:t>
      </w:r>
      <w:r>
        <w:rPr>
          <w:b/>
          <w:bCs/>
        </w:rPr>
        <w:t xml:space="preserve">expropriated</w:t>
      </w:r>
      <w:r>
        <w:t xml:space="preserve"> Saipem's rights. </w:t>
      </w:r>
      <w:r>
        <w:rPr>
          <w:b/>
          <w:bCs/>
          <w:shd w:fill="FFF2CC" w:color="auto" w:val="clear"/>
        </w:rPr>
        <w:t xml:space="preserve">The residual contractual rights crystallised in an arbitral award are an intangible asset capable of expropriation,</w:t>
      </w:r>
      <w:r>
        <w:t xml:space="preserve"> and court action that substantially deprives the award-holder of the benefit of the award, without legitimate justification, engages the State's treaty obligations. The tribunal also found the conduct inconsistent with the New York Convention and an abuse of rights, and awarded the sum due with interest.</w:t>
      </w:r>
    </w:p>
    <w:p>
      <w:pPr>
        <w:pStyle w:val="Heading3"/>
        <w:keepNext/>
        <w:spacing w:after="80" w:before="180"/>
      </w:pPr>
      <w:r>
        <w:t xml:space="preserve">Delay: the White Industries award</w:t>
      </w:r>
    </w:p>
    <w:p>
      <w:pPr>
        <w:spacing w:after="120" w:line="264"/>
        <w:jc w:val="both"/>
      </w:pPr>
      <w:r>
        <w:t xml:space="preserve">In </w:t>
      </w:r>
      <w:r>
        <w:rPr>
          <w:b/>
          <w:bCs/>
          <w:i/>
          <w:iCs/>
        </w:rPr>
        <w:t xml:space="preserve">White Industries Australia Ltd. v. Republic of India</w:t>
      </w:r>
      <w:r>
        <w:t xml:space="preserve">, Final Award of 30 November 2011, the claimant obtained a Paris-seated ICC award against Coal India in 2002. Set-aside and enforcement proceedings then ran in the Indian courts for </w:t>
      </w:r>
      <w:r>
        <w:rPr>
          <w:b/>
          <w:bCs/>
        </w:rPr>
        <w:t xml:space="preserve">about nine years</w:t>
      </w:r>
      <w:r>
        <w:t xml:space="preserve"> without resolution. White Industries commenced treaty arbitration under the UNCITRAL Rules, India not being a party to the ICSID Convention.</w:t>
      </w:r>
    </w:p>
    <w:p>
      <w:pPr>
        <w:spacing w:after="120" w:line="264"/>
        <w:jc w:val="both"/>
      </w:pPr>
      <w:r>
        <w:t xml:space="preserve">The tribunal held that India had breached its obligation to provide </w:t>
      </w:r>
      <w:r>
        <w:rPr>
          <w:b/>
          <w:bCs/>
        </w:rPr>
        <w:t xml:space="preserve">effective means of asserting claims and enforcing rights</w:t>
      </w:r>
      <w:r>
        <w:t xml:space="preserve">. That standard was not in the Australia–India treaty at all; it was imported through the </w:t>
      </w:r>
      <w:r>
        <w:rPr>
          <w:b/>
          <w:bCs/>
        </w:rPr>
        <w:t xml:space="preserve">most-favoured-nation clause</w:t>
      </w:r>
      <w:r>
        <w:t xml:space="preserve"> from the India–Kuwait treaty. Claims of expropriation and of denial of fair and equitable treatment were rejected. </w:t>
      </w:r>
      <w:r>
        <w:rPr>
          <w:b/>
          <w:bCs/>
          <w:shd w:fill="FFF2CC" w:color="auto" w:val="clear"/>
        </w:rPr>
        <w:t xml:space="preserve">Prolonged judicial delay in enforcement denies an investor effective means, and the State answers for it.</w:t>
      </w:r>
    </w:p>
    <w:p>
      <w:pPr>
        <w:pStyle w:val="Heading3"/>
        <w:keepNext/>
        <w:spacing w:after="80" w:before="180"/>
      </w:pPr>
      <w:r>
        <w:t xml:space="preserve">The two read together</w:t>
      </w:r>
    </w:p>
    <w:p>
      <w:pPr>
        <w:spacing w:after="120" w:line="264"/>
        <w:jc w:val="both"/>
      </w:pPr>
      <w:r>
        <w:rPr>
          <w:b/>
          <w:bCs/>
        </w:rPr>
        <w:t xml:space="preserve">Saipem is active obstruction; White Industries is inaction.</w:t>
      </w:r>
      <w:r>
        <w:t xml:space="preserve"> Between them they cover both ways in which a court system can defeat an arbitration, and they show that neither is merely an internal irregularity.</w:t>
      </w:r>
    </w:p>
    <w:p>
      <w:pPr>
        <w:pStyle w:val="Heading3"/>
        <w:keepNext/>
        <w:spacing w:after="80" w:before="180"/>
      </w:pPr>
      <w:r>
        <w:t xml:space="preserve">Effect on Indian law</w:t>
      </w:r>
    </w:p>
    <w:p>
      <w:pPr>
        <w:spacing w:after="120" w:line="264"/>
        <w:jc w:val="both"/>
      </w:pPr>
      <w:r>
        <w:t xml:space="preserve">These awards are part of the background to the reform of the Act. The 2015 Amendment tightened the reference standard in s. 8 to a </w:t>
      </w:r>
      <w:r>
        <w:rPr>
          <w:i/>
          <w:iCs/>
        </w:rPr>
        <w:t xml:space="preserve">prima facie</w:t>
      </w:r>
      <w:r>
        <w:t xml:space="preserve"> enquiry, confined the appointment enquiry by s. 11(6A), imposed the </w:t>
      </w:r>
      <w:r>
        <w:rPr>
          <w:b/>
          <w:bCs/>
        </w:rPr>
        <w:t xml:space="preserve">ninety-day rule</w:t>
      </w:r>
      <w:r>
        <w:t xml:space="preserve"> in s. 9(2), and inserted the </w:t>
      </w:r>
      <w:r>
        <w:rPr>
          <w:b/>
          <w:bCs/>
        </w:rPr>
        <w:t xml:space="preserve">twelve-month limit</w:t>
      </w:r>
      <w:r>
        <w:t xml:space="preserve"> in s. 29A; the 2019 Amendment added the </w:t>
      </w:r>
      <w:r>
        <w:rPr>
          <w:b/>
          <w:bCs/>
        </w:rPr>
        <w:t xml:space="preserve">six-month pleadings limit</w:t>
      </w:r>
      <w:r>
        <w:t xml:space="preserve"> in s. 23(4). </w:t>
      </w:r>
      <w:r>
        <w:rPr>
          <w:b/>
          <w:bCs/>
        </w:rPr>
        <w:t xml:space="preserve">Each is a response, in part, to the criticism that Indian arbitration was slow and over-judicialised.</w:t>
      </w:r>
    </w:p>
    <w:p>
      <w:pPr>
        <w:pStyle w:val="Heading3"/>
        <w:keepNext/>
        <w:spacing w:after="80" w:before="180"/>
      </w:pPr>
      <w:r>
        <w:t xml:space="preserve">A note on their status</w:t>
      </w:r>
    </w:p>
    <w:p>
      <w:pPr>
        <w:spacing w:after="120" w:line="264"/>
        <w:jc w:val="both"/>
      </w:pPr>
      <w:r>
        <w:t xml:space="preserve">Both are decisions of </w:t>
      </w:r>
      <w:r>
        <w:rPr>
          <w:b/>
          <w:bCs/>
        </w:rPr>
        <w:t xml:space="preserve">arbitral tribunals</w:t>
      </w:r>
      <w:r>
        <w:t xml:space="preserve">, not of courts. </w:t>
      </w:r>
      <w:r>
        <w:rPr>
          <w:b/>
          <w:bCs/>
          <w:shd w:fill="FFF2CC" w:color="auto" w:val="clear"/>
        </w:rPr>
        <w:t xml:space="preserve">They are persuasive on the standards they apply and important as illustrations, but they do not bind Indian courts.</w:t>
      </w:r>
    </w:p>
    <w:p>
      <w:pPr>
        <w:pStyle w:val="Heading2"/>
        <w:keepNext/>
        <w:spacing w:after="100" w:before="250"/>
      </w:pPr>
      <w:r>
        <w:t xml:space="preserve">L12.  Number of arbitrators, and whether s. 10 is mandatory</w:t>
      </w:r>
    </w:p>
    <w:p>
      <w:pPr>
        <w:pStyle w:val="Heading3"/>
        <w:keepNext/>
        <w:spacing w:after="80" w:before="180"/>
      </w:pPr>
      <w:r>
        <w:t xml:space="preserve">The provision</w:t>
      </w:r>
    </w:p>
    <w:p>
      <w:pPr>
        <w:spacing w:after="120" w:line="264"/>
        <w:jc w:val="both"/>
      </w:pPr>
      <w:r>
        <w:rPr>
          <w:b/>
          <w:bCs/>
        </w:rPr>
        <w:t xml:space="preserve">Section 10(1)</w:t>
      </w:r>
      <w:r>
        <w:t xml:space="preserve"> permits the parties to determine the number of arbitrators, </w:t>
      </w:r>
      <w:r>
        <w:rPr>
          <w:b/>
          <w:bCs/>
          <w:shd w:fill="FFF2CC" w:color="auto" w:val="clear"/>
        </w:rPr>
        <w:t xml:space="preserve">provided that the number shall not be an even number.</w:t>
      </w:r>
      <w:r>
        <w:t xml:space="preserve"> </w:t>
      </w:r>
      <w:r>
        <w:rPr>
          <w:b/>
          <w:bCs/>
        </w:rPr>
        <w:t xml:space="preserve">Section 10(2)</w:t>
      </w:r>
      <w:r>
        <w:t xml:space="preserve"> provides that, failing such determination, the tribunal shall consist of a </w:t>
      </w:r>
      <w:r>
        <w:rPr>
          <w:b/>
          <w:bCs/>
        </w:rPr>
        <w:t xml:space="preserve">sole arbitrator</w:t>
      </w:r>
      <w:r>
        <w:t xml:space="preserve">.</w:t>
      </w:r>
    </w:p>
    <w:p>
      <w:pPr>
        <w:spacing w:after="120" w:line="264"/>
        <w:jc w:val="both"/>
      </w:pPr>
      <w:r>
        <w:rPr>
          <w:b/>
          <w:bCs/>
        </w:rPr>
        <w:t xml:space="preserve">The reason for the odd-number rule is practical.</w:t>
      </w:r>
      <w:r>
        <w:t xml:space="preserve"> An even-numbered tribunal may divide equally, and a deadlocked tribunal cannot make an award at all.</w:t>
      </w:r>
    </w:p>
    <w:p>
      <w:pPr>
        <w:pStyle w:val="Heading3"/>
        <w:keepNext/>
        <w:spacing w:after="80" w:before="180"/>
      </w:pPr>
      <w:r>
        <w:t xml:space="preserve">Two points of comparison</w:t>
      </w:r>
    </w:p>
    <w:p>
      <w:pPr>
        <w:spacing w:after="120" w:line="264"/>
        <w:jc w:val="both"/>
      </w:pPr>
      <w:r>
        <w:rPr>
          <w:b/>
          <w:bCs/>
        </w:rPr>
        <w:t xml:space="preserve">The default differs from the Model Law.</w:t>
      </w:r>
      <w:r>
        <w:t xml:space="preserve"> India's default is </w:t>
      </w:r>
      <w:r>
        <w:rPr>
          <w:b/>
          <w:bCs/>
        </w:rPr>
        <w:t xml:space="preserve">one</w:t>
      </w:r>
      <w:r>
        <w:t xml:space="preserve"> arbitrator; the Model Law's is </w:t>
      </w:r>
      <w:r>
        <w:rPr>
          <w:b/>
          <w:bCs/>
        </w:rPr>
        <w:t xml:space="preserve">three</w:t>
      </w:r>
      <w:r>
        <w:t xml:space="preserve">. A sole arbitrator is cheaper and faster, which suits the volume of ordinary commercial disputes.</w:t>
      </w:r>
    </w:p>
    <w:p>
      <w:pPr>
        <w:spacing w:after="120" w:line="264"/>
        <w:jc w:val="both"/>
      </w:pPr>
      <w:r>
        <w:rPr>
          <w:b/>
          <w:bCs/>
        </w:rPr>
        <w:t xml:space="preserve">The presiding arbitrator is not an umpire.</w:t>
      </w:r>
      <w:r>
        <w:t xml:space="preserve"> Under the older law an umpire stepped in and decided when the arbitrators disagreed, and he was not part of the original tribunal. There is </w:t>
      </w:r>
      <w:r>
        <w:rPr>
          <w:b/>
          <w:bCs/>
        </w:rPr>
        <w:t xml:space="preserve">no umpire under this Act</w:t>
      </w:r>
      <w:r>
        <w:t xml:space="preserve">. Where three are appointed, the third, chosen by the two party nominees, is the </w:t>
      </w:r>
      <w:r>
        <w:rPr>
          <w:b/>
          <w:bCs/>
        </w:rPr>
        <w:t xml:space="preserve">presiding arbitrator</w:t>
      </w:r>
      <w:r>
        <w:t xml:space="preserve">: he sits and decides with the others, and his view prevails where there is no majority.</w:t>
      </w:r>
    </w:p>
    <w:p>
      <w:pPr>
        <w:pStyle w:val="Heading3"/>
        <w:keepNext/>
        <w:spacing w:after="80" w:before="180"/>
      </w:pPr>
      <w:r>
        <w:t xml:space="preserve">Is the requirement mandatory?</w:t>
      </w:r>
    </w:p>
    <w:p>
      <w:pPr>
        <w:spacing w:after="120" w:line="264"/>
        <w:jc w:val="both"/>
      </w:pPr>
      <w:r>
        <w:t xml:space="preserve">Section 10(1) is prohibitory in form. If it is mandatory, an award made by two arbitrators comes from a tribunal constituted in breach of the Act and must fall. If it is derogable, the parties may agree on an even number, and a party who went along with it cannot complain afterwards.</w:t>
      </w:r>
    </w:p>
    <w:p>
      <w:pPr>
        <w:spacing w:after="120" w:line="264"/>
        <w:jc w:val="both"/>
      </w:pPr>
      <w:r>
        <w:rPr>
          <w:b/>
          <w:bCs/>
          <w:i/>
          <w:iCs/>
        </w:rPr>
        <w:t xml:space="preserve">Narayan Prasad Lohia v. Nikunj Kumar Lohia</w:t>
      </w:r>
      <w:r>
        <w:t xml:space="preserve">, (2002) 3 SCC 572 (3 Judges), decided the question. A family in dispute over its businesses and properties agreed on </w:t>
      </w:r>
      <w:r>
        <w:rPr>
          <w:b/>
          <w:bCs/>
        </w:rPr>
        <w:t xml:space="preserve">two</w:t>
      </w:r>
      <w:r>
        <w:t xml:space="preserve"> named arbitrators, who made an award. The losing side argued that this breached s. 10, so the tribunal was void and the award unenforceable.</w:t>
      </w:r>
    </w:p>
    <w:p>
      <w:pPr>
        <w:spacing w:after="120" w:line="264"/>
        <w:jc w:val="both"/>
      </w:pPr>
      <w:r>
        <w:rPr>
          <w:b/>
          <w:bCs/>
        </w:rPr>
        <w:t xml:space="preserve">The Court upheld the award and held s. 10 derogable.</w:t>
      </w:r>
      <w:r>
        <w:t xml:space="preserve"> The argument rested on </w:t>
      </w:r>
      <w:r>
        <w:rPr>
          <w:b/>
          <w:bCs/>
        </w:rPr>
        <w:t xml:space="preserve">s. 34(2)(a)(v)</w:t>
      </w:r>
      <w:r>
        <w:t xml:space="preserve">, which allows an award to be set aside where the composition of the tribunal, or the procedure, did not accord with the parties' agreement — unless that agreement conflicted with a non-derogable provision — or, </w:t>
      </w:r>
      <w:r>
        <w:rPr>
          <w:b/>
          <w:bCs/>
        </w:rPr>
        <w:t xml:space="preserve">“failing such agreement”</w:t>
      </w:r>
      <w:r>
        <w:t xml:space="preserve">, did not accord with Part I. </w:t>
      </w:r>
      <w:r>
        <w:rPr>
          <w:b/>
          <w:bCs/>
          <w:shd w:fill="FFF2CC" w:color="auto" w:val="clear"/>
        </w:rPr>
        <w:t xml:space="preserve">The Court held that the words “failing such agreement” come into play only where the parties have agreed nothing about composition or procedure.</w:t>
      </w:r>
      <w:r>
        <w:t xml:space="preserve"> Here they had agreed on two arbitrators, and that agreement had been followed. So long as the composition and procedure accord with the parties' agreement, s. 34 does not permit a challenge merely because the composition conflicted with a provision of Part I.</w:t>
      </w:r>
    </w:p>
    <w:p>
      <w:pPr>
        <w:spacing w:after="120" w:line="264"/>
        <w:jc w:val="both"/>
      </w:pPr>
      <w:r>
        <w:rPr>
          <w:b/>
          <w:bCs/>
        </w:rPr>
        <w:t xml:space="preserve">The Court added a second, independent ground.</w:t>
      </w:r>
      <w:r>
        <w:t xml:space="preserve"> An objection to the tribunal's competence must be raised under </w:t>
      </w:r>
      <w:r>
        <w:rPr>
          <w:b/>
          <w:bCs/>
        </w:rPr>
        <w:t xml:space="preserve">s. 16(2)</w:t>
      </w:r>
      <w:r>
        <w:t xml:space="preserve">, not later than the statement of defence. A party who fails to do so is deemed to have waived it, the scheme of s. 16 read with </w:t>
      </w:r>
      <w:r>
        <w:rPr>
          <w:b/>
          <w:bCs/>
        </w:rPr>
        <w:t xml:space="preserve">s. 4</w:t>
      </w:r>
      <w:r>
        <w:t xml:space="preserve"> producing that result. The decision was followed in </w:t>
      </w:r>
      <w:r>
        <w:rPr>
          <w:b/>
          <w:bCs/>
          <w:i/>
          <w:iCs/>
        </w:rPr>
        <w:t xml:space="preserve">Quippo Construction Equipment Ltd. v. Janardan Nirman Pvt. Ltd.</w:t>
      </w:r>
      <w:r>
        <w:t xml:space="preserve">, (2020) 18 SCC 277, which reads ss. 10 and 16 conjointly with s. 4.</w:t>
      </w:r>
    </w:p>
    <w:p>
      <w:pPr>
        <w:pStyle w:val="Heading3"/>
        <w:keepNext/>
        <w:spacing w:after="80" w:before="180"/>
      </w:pPr>
      <w:r>
        <w:t xml:space="preserve">Conclusion, and the wider lesson</w:t>
      </w:r>
    </w:p>
    <w:p>
      <w:pPr>
        <w:spacing w:after="120" w:line="264"/>
        <w:jc w:val="both"/>
      </w:pPr>
      <w:r>
        <w:t xml:space="preserve">Section 10 is </w:t>
      </w:r>
      <w:r>
        <w:rPr>
          <w:b/>
          <w:bCs/>
        </w:rPr>
        <w:t xml:space="preserve">directory in the sense that the parties may contract out of it</w:t>
      </w:r>
      <w:r>
        <w:t xml:space="preserve">, and an even-numbered tribunal constituted by agreement is validly constituted. The wider lesson is the more valuable one for an examination: </w:t>
      </w:r>
      <w:r>
        <w:rPr>
          <w:b/>
          <w:bCs/>
          <w:shd w:fill="FFF2CC" w:color="auto" w:val="clear"/>
        </w:rPr>
        <w:t xml:space="preserve">to decide whether a provision is non-derogable, do not look at how strong the language sounds. Ask whether the Act permits the parties to agree otherwise.</w:t>
      </w:r>
    </w:p>
    <w:p>
      <w:r>
        <w:br w:type="page"/>
      </w:r>
    </w:p>
    <w:p>
      <w:pPr>
        <w:pStyle w:val="Heading1"/>
        <w:keepNext/>
        <w:pBdr>
          <w:bottom w:val="single" w:color="1F3864" w:sz="6" w:space="4"/>
        </w:pBdr>
        <w:spacing w:after="160" w:before="420"/>
      </w:pPr>
      <w:r>
        <w:t xml:space="preserve">Short Notes</w:t>
      </w:r>
    </w:p>
    <w:p>
      <w:pPr>
        <w:pStyle w:val="Heading2"/>
        <w:keepNext/>
        <w:spacing w:after="100" w:before="250"/>
      </w:pPr>
      <w:r>
        <w:t xml:space="preserve">1.  Rule of first priority</w:t>
      </w:r>
    </w:p>
    <w:p>
      <w:pPr>
        <w:spacing w:after="120" w:line="264"/>
        <w:jc w:val="both"/>
      </w:pPr>
      <w:r>
        <w:t xml:space="preserve">Where a party denies that a valid arbitration agreement exists, two forums could decide that question: the court under s. 8 or s. 11, and the tribunal under s. 16. </w:t>
      </w:r>
      <w:r>
        <w:rPr>
          <w:b/>
          <w:bCs/>
          <w:shd w:fill="FFF2CC" w:color="auto" w:val="clear"/>
        </w:rPr>
        <w:t xml:space="preserve">The Act gives the tribunal the right of first decision.</w:t>
      </w:r>
      <w:r>
        <w:t xml:space="preserve"> This is the rule of first priority, and it follows from competence-competence.</w:t>
      </w:r>
    </w:p>
    <w:p>
      <w:pPr>
        <w:spacing w:after="120" w:line="264"/>
        <w:jc w:val="both"/>
      </w:pPr>
      <w:r>
        <w:t xml:space="preserve">The consequence is that the court's function at the threshold is limited. Under </w:t>
      </w:r>
      <w:r>
        <w:rPr>
          <w:b/>
          <w:bCs/>
        </w:rPr>
        <w:t xml:space="preserve">s. 8</w:t>
      </w:r>
      <w:r>
        <w:t xml:space="preserve"> it takes a </w:t>
      </w:r>
      <w:r>
        <w:rPr>
          <w:i/>
          <w:iCs/>
        </w:rPr>
        <w:t xml:space="preserve">prima facie</w:t>
      </w:r>
      <w:r>
        <w:t xml:space="preserve"> view only, and under </w:t>
      </w:r>
      <w:r>
        <w:rPr>
          <w:b/>
          <w:bCs/>
        </w:rPr>
        <w:t xml:space="preserve">s. 11(6A)</w:t>
      </w:r>
      <w:r>
        <w:t xml:space="preserve"> it confines itself to the </w:t>
      </w:r>
      <w:r>
        <w:rPr>
          <w:b/>
          <w:bCs/>
        </w:rPr>
        <w:t xml:space="preserve">existence</w:t>
      </w:r>
      <w:r>
        <w:t xml:space="preserve"> of the agreement. </w:t>
      </w:r>
      <w:r>
        <w:rPr>
          <w:b/>
          <w:bCs/>
        </w:rPr>
        <w:t xml:space="preserve">A mini-trial at the reference or appointment stage is therefore impermissible.</w:t>
      </w:r>
      <w:r>
        <w:t xml:space="preserve"> The court's fuller consideration comes later, under s. 34, and even then within that section's narrow grounds. The rule is imperfect, because a wrong first view either constitutes a tribunal with no consensual basis or leaves a valid agreement unenforced, but the Act prefers that risk to a full trial on jurisdiction before the arbitration can begin.</w:t>
      </w:r>
    </w:p>
    <w:p>
      <w:pPr>
        <w:pStyle w:val="Heading2"/>
        <w:keepNext/>
        <w:spacing w:after="100" w:before="250"/>
      </w:pPr>
      <w:r>
        <w:t xml:space="preserve">2.  </w:t>
      </w:r>
      <w:r>
        <w:rPr>
          <w:i/>
          <w:iCs/>
        </w:rPr>
        <w:t xml:space="preserve">Scott v. Avery</w:t>
      </w:r>
      <w:r>
        <w:t xml:space="preserve"> clause</w:t>
      </w:r>
    </w:p>
    <w:p>
      <w:pPr>
        <w:spacing w:after="120" w:line="264"/>
        <w:jc w:val="both"/>
      </w:pPr>
      <w:r>
        <w:t xml:space="preserve">Named after </w:t>
      </w:r>
      <w:r>
        <w:rPr>
          <w:b/>
          <w:bCs/>
          <w:i/>
          <w:iCs/>
        </w:rPr>
        <w:t xml:space="preserve">Scott v. Avery</w:t>
      </w:r>
      <w:r>
        <w:t xml:space="preserve">, (1856) 5 HL Cas 811; 10 ER 1121 (House of Lords), this is a clause making the obtaining of an award, or the satisfaction of some other stipulated step, a </w:t>
      </w:r>
      <w:r>
        <w:rPr>
          <w:b/>
          <w:bCs/>
          <w:shd w:fill="FFF2CC" w:color="auto" w:val="clear"/>
        </w:rPr>
        <w:t xml:space="preserve">condition precedent to the right to sue.</w:t>
      </w:r>
    </w:p>
    <w:p>
      <w:pPr>
        <w:spacing w:after="120" w:line="264"/>
        <w:jc w:val="both"/>
      </w:pPr>
      <w:r>
        <w:t xml:space="preserve">The House of Lords held such a clause </w:t>
      </w:r>
      <w:r>
        <w:rPr>
          <w:b/>
          <w:bCs/>
        </w:rPr>
        <w:t xml:space="preserve">valid</w:t>
      </w:r>
      <w:r>
        <w:t xml:space="preserve">. It does not oust the jurisdiction of the court, because it does not bar recourse to the court altogether; it merely </w:t>
      </w:r>
      <w:r>
        <w:rPr>
          <w:b/>
          <w:bCs/>
        </w:rPr>
        <w:t xml:space="preserve">postpones</w:t>
      </w:r>
      <w:r>
        <w:t xml:space="preserve"> that recourse until the contractual condition has been fulfilled.</w:t>
      </w:r>
    </w:p>
    <w:p>
      <w:pPr>
        <w:spacing w:after="120" w:line="264"/>
        <w:jc w:val="both"/>
      </w:pPr>
      <w:r>
        <w:rPr>
          <w:b/>
          <w:bCs/>
        </w:rPr>
        <w:t xml:space="preserve">Illustration.</w:t>
      </w:r>
      <w:r>
        <w:t xml:space="preserve"> In construction contracts, entitlement to a stage payment is made subject to certification by the architect or engineer; the certificate is the condition. The clause is relevant to </w:t>
      </w:r>
      <w:r>
        <w:rPr>
          <w:b/>
          <w:bCs/>
        </w:rPr>
        <w:t xml:space="preserve">s. 4(b)</w:t>
      </w:r>
      <w:r>
        <w:t xml:space="preserve">, which covers requirements arising under the arbitration agreement: a party who knows the condition was not observed, but proceeds without objecting, loses the point. </w:t>
      </w:r>
      <w:r>
        <w:rPr>
          <w:b/>
          <w:bCs/>
        </w:rPr>
        <w:t xml:space="preserve">Note that this is an English decision describing a type of clause, not an Indian statutory rule.</w:t>
      </w:r>
    </w:p>
    <w:p>
      <w:pPr>
        <w:pStyle w:val="Heading2"/>
        <w:keepNext/>
        <w:spacing w:after="100" w:before="250"/>
      </w:pPr>
      <w:r>
        <w:t xml:space="preserve">3.  Seat and venue</w:t>
      </w:r>
    </w:p>
    <w:p>
      <w:pPr>
        <w:spacing w:after="120" w:line="264"/>
        <w:jc w:val="both"/>
      </w:pPr>
      <w:r>
        <w:t xml:space="preserve">Section 20 uses only the word “place”. Indian practice reads “place” in sub-sections (1) and (2) as the </w:t>
      </w:r>
      <w:r>
        <w:rPr>
          <w:b/>
          <w:bCs/>
        </w:rPr>
        <w:t xml:space="preserve">seat</w:t>
      </w:r>
      <w:r>
        <w:t xml:space="preserve">, and sub-section (3) as permitting a different </w:t>
      </w:r>
      <w:r>
        <w:rPr>
          <w:b/>
          <w:bCs/>
        </w:rPr>
        <w:t xml:space="preserve">venue</w:t>
      </w:r>
      <w:r>
        <w:t xml:space="preserve">.</w:t>
      </w:r>
    </w:p>
    <w:p>
      <w:pPr>
        <w:spacing w:after="120" w:line="264"/>
        <w:jc w:val="both"/>
      </w:pPr>
      <w:r>
        <w:rPr>
          <w:b/>
          <w:bCs/>
          <w:shd w:fill="FFF2CC" w:color="auto" w:val="clear"/>
        </w:rPr>
        <w:t xml:space="preserve">The seat fixes the procedural law of the arbitration, the lex arbitri, and identifies the courts that supervise it, including the court that may set the award aside.</w:t>
      </w:r>
      <w:r>
        <w:t xml:space="preserve"> It is a legal concept, not a geographical one.</w:t>
      </w:r>
    </w:p>
    <w:p>
      <w:pPr>
        <w:spacing w:after="120" w:line="264"/>
        <w:jc w:val="both"/>
      </w:pPr>
      <w:r>
        <w:t xml:space="preserve">The </w:t>
      </w:r>
      <w:r>
        <w:rPr>
          <w:b/>
          <w:bCs/>
        </w:rPr>
        <w:t xml:space="preserve">venue</w:t>
      </w:r>
      <w:r>
        <w:t xml:space="preserve"> is merely where the tribunal sits. Section 20(3) allows it to meet anywhere convenient for consultation, for hearing witnesses or for inspection, without disturbing the seat. So a tribunal seated in India may hold hearings abroad, and the legal consequences still follow the seat. The distinction underlies </w:t>
      </w:r>
      <w:r>
        <w:rPr>
          <w:b/>
          <w:bCs/>
          <w:i/>
          <w:iCs/>
        </w:rPr>
        <w:t xml:space="preserve">BALCO</w:t>
      </w:r>
      <w:r>
        <w:t xml:space="preserve">, which decided the reach of Part I by reference to the seat. Where no seat is chosen, the tribunal infers one from the circumstances, including the convenience of the parties.</w:t>
      </w:r>
    </w:p>
    <w:p>
      <w:pPr>
        <w:pStyle w:val="Heading2"/>
        <w:keepNext/>
        <w:spacing w:after="100" w:before="250"/>
      </w:pPr>
      <w:r>
        <w:t xml:space="preserve">4.  Separability of the arbitration clause</w:t>
      </w:r>
    </w:p>
    <w:p>
      <w:pPr>
        <w:spacing w:after="120" w:line="264"/>
        <w:jc w:val="both"/>
      </w:pPr>
      <w:r>
        <w:t xml:space="preserve">Under </w:t>
      </w:r>
      <w:r>
        <w:rPr>
          <w:b/>
          <w:bCs/>
        </w:rPr>
        <w:t xml:space="preserve">s. 16(1)(a)</w:t>
      </w:r>
      <w:r>
        <w:t xml:space="preserve"> an arbitration clause forming part of a contract </w:t>
      </w:r>
      <w:r>
        <w:rPr>
          <w:b/>
          <w:bCs/>
          <w:shd w:fill="FFF2CC" w:color="auto" w:val="clear"/>
        </w:rPr>
        <w:t xml:space="preserve">is treated as an agreement independent of the other terms of the contract,</w:t>
      </w:r>
      <w:r>
        <w:t xml:space="preserve"> and under </w:t>
      </w:r>
      <w:r>
        <w:rPr>
          <w:b/>
          <w:bCs/>
        </w:rPr>
        <w:t xml:space="preserve">s. 16(1)(b)</w:t>
      </w:r>
      <w:r>
        <w:t xml:space="preserve"> a decision that the contract is null and void does not entail </w:t>
      </w:r>
      <w:r>
        <w:rPr>
          <w:i/>
          <w:iCs/>
        </w:rPr>
        <w:t xml:space="preserve">ipso jure</w:t>
      </w:r>
      <w:r>
        <w:t xml:space="preserve"> — automatically — the invalidity of the clause.</w:t>
      </w:r>
    </w:p>
    <w:p>
      <w:pPr>
        <w:spacing w:after="120" w:line="264"/>
        <w:jc w:val="both"/>
      </w:pPr>
      <w:r>
        <w:rPr>
          <w:b/>
          <w:bCs/>
        </w:rPr>
        <w:t xml:space="preserve">The purpose is to make competence-competence workable.</w:t>
      </w:r>
      <w:r>
        <w:t xml:space="preserve"> If the clause fell with the contract, a party could destroy the tribunal's authority simply by alleging that the contract was void. Because the clause survives, the tribunal retains jurisdiction to decide whether the contract is void, was rescinded, or was obtained by fraud, and to determine the consequences.</w:t>
      </w:r>
    </w:p>
    <w:p>
      <w:pPr>
        <w:spacing w:after="120" w:line="264"/>
        <w:jc w:val="both"/>
      </w:pPr>
      <w:r>
        <w:rPr>
          <w:b/>
          <w:bCs/>
        </w:rPr>
        <w:t xml:space="preserve">The limit.</w:t>
      </w:r>
      <w:r>
        <w:t xml:space="preserve"> Separability protects the clause from the fate of the contract; it does not protect a clause that is </w:t>
      </w:r>
      <w:r>
        <w:rPr>
          <w:b/>
          <w:bCs/>
        </w:rPr>
        <w:t xml:space="preserve">itself</w:t>
      </w:r>
      <w:r>
        <w:t xml:space="preserve"> invalid. Where the attack is directed at the arbitration agreement as such, the tribunal's authority is genuinely in issue.</w:t>
      </w:r>
    </w:p>
    <w:p>
      <w:pPr>
        <w:pStyle w:val="Heading2"/>
        <w:keepNext/>
        <w:spacing w:after="100" w:before="250"/>
      </w:pPr>
      <w:r>
        <w:t xml:space="preserve">5.  Presiding arbitrator and umpire distinguished</w:t>
      </w:r>
    </w:p>
    <w:p>
      <w:pPr>
        <w:spacing w:after="120" w:line="264"/>
        <w:jc w:val="both"/>
      </w:pPr>
      <w:r>
        <w:t xml:space="preserve">Where the parties agree on three arbitrators, each appoints one and the two so appointed appoint the third, who acts as the </w:t>
      </w:r>
      <w:r>
        <w:rPr>
          <w:b/>
          <w:bCs/>
        </w:rPr>
        <w:t xml:space="preserve">presiding arbitrator</w:t>
      </w:r>
      <w:r>
        <w:t xml:space="preserve"> (s. 11(3)).</w:t>
      </w:r>
    </w:p>
    <w:p>
      <w:pPr>
        <w:spacing w:after="120" w:line="264"/>
        <w:jc w:val="both"/>
      </w:pPr>
      <w:r>
        <w:rPr>
          <w:b/>
          <w:bCs/>
          <w:shd w:fill="FFF2CC" w:color="auto" w:val="clear"/>
        </w:rPr>
        <w:t xml:space="preserve">The presiding arbitrator is a full member of the tribunal.</w:t>
      </w:r>
      <w:r>
        <w:t xml:space="preserve"> He sits through the proceedings, deliberates with the other two, and his view prevails where there is no majority.</w:t>
      </w:r>
    </w:p>
    <w:p>
      <w:pPr>
        <w:spacing w:after="120" w:line="264"/>
        <w:jc w:val="both"/>
      </w:pPr>
      <w:r>
        <w:t xml:space="preserve">The </w:t>
      </w:r>
      <w:r>
        <w:rPr>
          <w:b/>
          <w:bCs/>
        </w:rPr>
        <w:t xml:space="preserve">umpire</w:t>
      </w:r>
      <w:r>
        <w:t xml:space="preserve"> was a different institution under the older law. He did not form part of the tribunal at the outset. He stepped in and decided only when the arbitrators disagreed, so the reference effectively passed to him at that point. </w:t>
      </w:r>
      <w:r>
        <w:rPr>
          <w:b/>
          <w:bCs/>
        </w:rPr>
        <w:t xml:space="preserve">There is no umpire under the Arbitration and Conciliation Act, 1996.</w:t>
      </w:r>
      <w:r>
        <w:t xml:space="preserve"> The distinction matters because the presiding arbitrator hears everything from the beginning, which is consistent with the principle that the person who decides must have heard.</w:t>
      </w:r>
    </w:p>
    <w:p>
      <w:pPr>
        <w:pStyle w:val="Heading2"/>
        <w:keepNext/>
        <w:spacing w:after="100" w:before="250"/>
      </w:pPr>
      <w:r>
        <w:t xml:space="preserve">6.  The Fifth, Sixth and Seventh Schedules</w:t>
      </w:r>
    </w:p>
    <w:p>
      <w:pPr>
        <w:spacing w:after="120" w:line="264"/>
        <w:jc w:val="both"/>
      </w:pPr>
      <w:r>
        <w:t xml:space="preserve">All three were inserted by the 2015 Amendment and all three concern the independence and impartiality of arbitrators.</w:t>
      </w:r>
    </w:p>
    <w:p>
      <w:pPr>
        <w:pStyle w:val="ListParagraph"/>
        <w:numPr>
          <w:ilvl w:val="0"/>
          <w:numId w:val="8"/>
        </w:numPr>
        <w:spacing w:after="70" w:line="264"/>
        <w:jc w:val="both"/>
      </w:pPr>
      <w:r>
        <w:rPr>
          <w:b/>
          <w:bCs/>
        </w:rPr>
        <w:t xml:space="preserve">Fifth Schedule</w:t>
      </w:r>
      <w:r>
        <w:t xml:space="preserve"> — a list of grounds that </w:t>
      </w:r>
      <w:r>
        <w:rPr>
          <w:b/>
          <w:bCs/>
        </w:rPr>
        <w:t xml:space="preserve">guide</w:t>
      </w:r>
      <w:r>
        <w:t xml:space="preserve"> the determination whether circumstances exist which give rise to justifiable doubts as to independence or impartiality (Explanation 1 to s. 12(1)). It is a guide, not a bar.</w:t>
      </w:r>
    </w:p>
    <w:p>
      <w:pPr>
        <w:pStyle w:val="ListParagraph"/>
        <w:numPr>
          <w:ilvl w:val="0"/>
          <w:numId w:val="8"/>
        </w:numPr>
        <w:spacing w:after="70" w:line="264"/>
        <w:jc w:val="both"/>
      </w:pPr>
      <w:r>
        <w:rPr>
          <w:b/>
          <w:bCs/>
        </w:rPr>
        <w:t xml:space="preserve">Sixth Schedule</w:t>
      </w:r>
      <w:r>
        <w:t xml:space="preserve"> — the </w:t>
      </w:r>
      <w:r>
        <w:rPr>
          <w:b/>
          <w:bCs/>
        </w:rPr>
        <w:t xml:space="preserve">form</w:t>
      </w:r>
      <w:r>
        <w:t xml:space="preserve"> in which the disclosure under s. 12(1) must be made (Explanation 2). It standardises disclosure so that it is no longer left to the arbitrator's own wording.</w:t>
      </w:r>
    </w:p>
    <w:p>
      <w:pPr>
        <w:pStyle w:val="ListParagraph"/>
        <w:numPr>
          <w:ilvl w:val="0"/>
          <w:numId w:val="8"/>
        </w:numPr>
        <w:spacing w:after="70" w:line="264"/>
        <w:jc w:val="both"/>
      </w:pPr>
      <w:r>
        <w:rPr>
          <w:b/>
          <w:bCs/>
        </w:rPr>
        <w:t xml:space="preserve">Seventh Schedule</w:t>
      </w:r>
      <w:r>
        <w:t xml:space="preserve"> — a list of relationships which render a person </w:t>
      </w:r>
      <w:r>
        <w:rPr>
          <w:b/>
          <w:bCs/>
          <w:shd w:fill="FFF2CC" w:color="auto" w:val="clear"/>
        </w:rPr>
        <w:t xml:space="preserve">ineligible to be appointed</w:t>
      </w:r>
      <w:r>
        <w:t xml:space="preserve"> under s. 12(5), notwithstanding any prior agreement.</w:t>
      </w:r>
    </w:p>
    <w:p>
      <w:pPr>
        <w:spacing w:after="120" w:line="264"/>
        <w:jc w:val="both"/>
      </w:pPr>
      <w:r>
        <w:t xml:space="preserve">All three draw on the </w:t>
      </w:r>
      <w:r>
        <w:rPr>
          <w:b/>
          <w:bCs/>
        </w:rPr>
        <w:t xml:space="preserve">IBA Guidelines on Conflicts of Interest in International Arbitration</w:t>
      </w:r>
      <w:r>
        <w:t xml:space="preserve">, but those Guidelines are guidance only and are not enacted as law.</w:t>
      </w:r>
    </w:p>
    <w:p>
      <w:pPr>
        <w:pStyle w:val="Heading2"/>
        <w:keepNext/>
        <w:spacing w:after="100" w:before="250"/>
      </w:pPr>
      <w:r>
        <w:t xml:space="preserve">7.  Statutory ineligibility under s. 12(5)</w:t>
      </w:r>
    </w:p>
    <w:p>
      <w:pPr>
        <w:spacing w:after="120" w:line="264"/>
        <w:jc w:val="both"/>
      </w:pPr>
      <w:r>
        <w:t xml:space="preserve">Section 12(5), inserted in 2015, provides that </w:t>
      </w:r>
      <w:r>
        <w:rPr>
          <w:b/>
          <w:bCs/>
          <w:shd w:fill="FFF2CC" w:color="auto" w:val="clear"/>
        </w:rPr>
        <w:t xml:space="preserve">notwithstanding any prior agreement to the contrary, a person whose relationship with the parties, counsel or the subject matter falls within the Seventh Schedule is ineligible to be appointed as an arbitrator.</w:t>
      </w:r>
    </w:p>
    <w:p>
      <w:pPr>
        <w:spacing w:after="120" w:line="264"/>
        <w:jc w:val="both"/>
      </w:pPr>
      <w:r>
        <w:rPr>
          <w:b/>
          <w:bCs/>
        </w:rPr>
        <w:t xml:space="preserve">It differs fundamentally from s. 12(3).</w:t>
      </w:r>
      <w:r>
        <w:t xml:space="preserve"> Sub-section (3) creates a ground of </w:t>
      </w:r>
      <w:r>
        <w:rPr>
          <w:b/>
          <w:bCs/>
        </w:rPr>
        <w:t xml:space="preserve">challenge</w:t>
      </w:r>
      <w:r>
        <w:t xml:space="preserve">, which somebody must raise and the tribunal must decide. Sub-section (5) creates a </w:t>
      </w:r>
      <w:r>
        <w:rPr>
          <w:b/>
          <w:bCs/>
        </w:rPr>
        <w:t xml:space="preserve">disqualification operating in law</w:t>
      </w:r>
      <w:r>
        <w:t xml:space="preserve">, and its non obstante clause overrides the contract itself, including the very clause that named him.</w:t>
      </w:r>
    </w:p>
    <w:p>
      <w:pPr>
        <w:spacing w:after="120" w:line="264"/>
        <w:jc w:val="both"/>
      </w:pPr>
      <w:r>
        <w:rPr>
          <w:b/>
          <w:bCs/>
        </w:rPr>
        <w:t xml:space="preserve">Waiver is tightly controlled.</w:t>
      </w:r>
      <w:r>
        <w:t xml:space="preserve"> The proviso permits it </w:t>
      </w:r>
      <w:r>
        <w:rPr>
          <w:b/>
          <w:bCs/>
        </w:rPr>
        <w:t xml:space="preserve">only by an express agreement in writing entered into after the dispute has arisen</w:t>
      </w:r>
      <w:r>
        <w:t xml:space="preserve">. In </w:t>
      </w:r>
      <w:r>
        <w:rPr>
          <w:b/>
          <w:bCs/>
          <w:i/>
          <w:iCs/>
        </w:rPr>
        <w:t xml:space="preserve">Bharat Broadband Network Ltd. v. United Telecoms Ltd.</w:t>
      </w:r>
      <w:r>
        <w:t xml:space="preserve">, (2019) 5 SCC 755, filing a statement of claim without reservation was held </w:t>
      </w:r>
      <w:r>
        <w:rPr>
          <w:b/>
          <w:bCs/>
        </w:rPr>
        <w:t xml:space="preserve">not</w:t>
      </w:r>
      <w:r>
        <w:t xml:space="preserve"> to be such an agreement. The section produces </w:t>
      </w:r>
      <w:r>
        <w:rPr>
          <w:i/>
          <w:iCs/>
        </w:rPr>
        <w:t xml:space="preserve">de jure</w:t>
      </w:r>
      <w:r>
        <w:t xml:space="preserve"> inability, so the mandate terminates under </w:t>
      </w:r>
      <w:r>
        <w:rPr>
          <w:b/>
          <w:bCs/>
        </w:rPr>
        <w:t xml:space="preserve">s. 14</w:t>
      </w:r>
      <w:r>
        <w:t xml:space="preserve"> and a substitute is appointed under s. 15(2).</w:t>
      </w:r>
    </w:p>
    <w:p>
      <w:pPr>
        <w:pStyle w:val="Heading2"/>
        <w:keepNext/>
        <w:spacing w:after="100" w:before="250"/>
      </w:pPr>
      <w:r>
        <w:t xml:space="preserve">8.  </w:t>
      </w:r>
      <w:r>
        <w:rPr>
          <w:i/>
          <w:iCs/>
        </w:rPr>
        <w:t xml:space="preserve">De jure</w:t>
      </w:r>
      <w:r>
        <w:t xml:space="preserve"> and </w:t>
      </w:r>
      <w:r>
        <w:rPr>
          <w:i/>
          <w:iCs/>
        </w:rPr>
        <w:t xml:space="preserve">de facto</w:t>
      </w:r>
      <w:r>
        <w:t xml:space="preserve"> inability to act</w:t>
      </w:r>
    </w:p>
    <w:p>
      <w:pPr>
        <w:spacing w:after="120" w:line="264"/>
        <w:jc w:val="both"/>
      </w:pPr>
      <w:r>
        <w:t xml:space="preserve">Section 14(1)(a) terminates an arbitrator's mandate where he becomes unable </w:t>
      </w:r>
      <w:r>
        <w:rPr>
          <w:b/>
          <w:bCs/>
        </w:rPr>
        <w:t xml:space="preserve">in law</w:t>
      </w:r>
      <w:r>
        <w:t xml:space="preserve"> or </w:t>
      </w:r>
      <w:r>
        <w:rPr>
          <w:b/>
          <w:bCs/>
        </w:rPr>
        <w:t xml:space="preserve">in fact</w:t>
      </w:r>
      <w:r>
        <w:t xml:space="preserve"> to perform his functions.</w:t>
      </w:r>
    </w:p>
    <w:p>
      <w:pPr>
        <w:spacing w:after="120" w:line="264"/>
        <w:jc w:val="both"/>
      </w:pPr>
      <w:r>
        <w:rPr>
          <w:b/>
          <w:bCs/>
        </w:rPr>
        <w:t xml:space="preserve">Unable in law</w:t>
      </w:r>
      <w:r>
        <w:t xml:space="preserve"> (</w:t>
      </w:r>
      <w:r>
        <w:rPr>
          <w:i/>
          <w:iCs/>
        </w:rPr>
        <w:t xml:space="preserve">de jure</w:t>
      </w:r>
      <w:r>
        <w:t xml:space="preserve">) means his legal position stops him, whatever his health or willingness. The traditional illustration is </w:t>
      </w:r>
      <w:r>
        <w:rPr>
          <w:b/>
          <w:bCs/>
        </w:rPr>
        <w:t xml:space="preserve">insolvency</w:t>
      </w:r>
      <w:r>
        <w:t xml:space="preserve">. The important modern instance is </w:t>
      </w:r>
      <w:r>
        <w:rPr>
          <w:b/>
          <w:bCs/>
          <w:shd w:fill="FFF2CC" w:color="auto" w:val="clear"/>
        </w:rPr>
        <w:t xml:space="preserve">ineligibility under s. 12(5),</w:t>
      </w:r>
      <w:r>
        <w:t xml:space="preserve"> which </w:t>
      </w:r>
      <w:r>
        <w:rPr>
          <w:b/>
          <w:bCs/>
          <w:i/>
          <w:iCs/>
        </w:rPr>
        <w:t xml:space="preserve">Bharat Broadband</w:t>
      </w:r>
      <w:r>
        <w:t xml:space="preserve"> holds to be exactly this kind of inability.</w:t>
      </w:r>
    </w:p>
    <w:p>
      <w:pPr>
        <w:spacing w:after="120" w:line="264"/>
        <w:jc w:val="both"/>
      </w:pPr>
      <w:r>
        <w:rPr>
          <w:b/>
          <w:bCs/>
        </w:rPr>
        <w:t xml:space="preserve">Unable in fact</w:t>
      </w:r>
      <w:r>
        <w:t xml:space="preserve"> (</w:t>
      </w:r>
      <w:r>
        <w:rPr>
          <w:i/>
          <w:iCs/>
        </w:rPr>
        <w:t xml:space="preserve">de facto</w:t>
      </w:r>
      <w:r>
        <w:t xml:space="preserve">) means he remains perfectly qualified in law but cannot carry out the office — </w:t>
      </w:r>
      <w:r>
        <w:rPr>
          <w:b/>
          <w:bCs/>
        </w:rPr>
        <w:t xml:space="preserve">detention or arrest, serious illness, unsoundness of mind</w:t>
      </w:r>
      <w:r>
        <w:t xml:space="preserve">. The test is practical: can he hear witnesses, read the documents, deliberate and decide?</w:t>
      </w:r>
    </w:p>
    <w:p>
      <w:pPr>
        <w:spacing w:after="120" w:line="264"/>
        <w:jc w:val="both"/>
      </w:pPr>
      <w:r>
        <w:rPr>
          <w:b/>
          <w:bCs/>
        </w:rPr>
        <w:t xml:space="preserve">Failure to act without undue delay</w:t>
      </w:r>
      <w:r>
        <w:t xml:space="preserve"> is a third and separate limb. He is able to act but simply does not, within any reasonable time. </w:t>
      </w:r>
      <w:r>
        <w:rPr>
          <w:b/>
          <w:bCs/>
        </w:rPr>
        <w:t xml:space="preserve">That is a failure of performance, not an incapacity.</w:t>
      </w:r>
      <w:r>
        <w:t xml:space="preserve"> Where a controversy remains on any of these grounds, s. 14(2) allows a party to apply to the court.</w:t>
      </w:r>
    </w:p>
    <w:p>
      <w:pPr>
        <w:pStyle w:val="Heading2"/>
        <w:keepNext/>
        <w:spacing w:after="100" w:before="250"/>
      </w:pPr>
      <w:r>
        <w:t xml:space="preserve">9.  Commencement of arbitral proceedings (s. 21)</w:t>
      </w:r>
    </w:p>
    <w:p>
      <w:pPr>
        <w:spacing w:after="120" w:line="264"/>
        <w:jc w:val="both"/>
      </w:pPr>
      <w:r>
        <w:t xml:space="preserve">Unless otherwise agreed, arbitral proceedings in respect of a particular dispute commence </w:t>
      </w:r>
      <w:r>
        <w:rPr>
          <w:b/>
          <w:bCs/>
          <w:shd w:fill="FFF2CC" w:color="auto" w:val="clear"/>
        </w:rPr>
        <w:t xml:space="preserve">on the date on which a request for that dispute to be referred to arbitration is received by the respondent.</w:t>
      </w:r>
    </w:p>
    <w:p>
      <w:pPr>
        <w:spacing w:after="120" w:line="264"/>
        <w:jc w:val="both"/>
      </w:pPr>
      <w:r>
        <w:rPr>
          <w:b/>
          <w:bCs/>
        </w:rPr>
        <w:t xml:space="preserve">Three points follow.</w:t>
      </w:r>
      <w:r>
        <w:t xml:space="preserve"> The trigger is </w:t>
      </w:r>
      <w:r>
        <w:rPr>
          <w:b/>
          <w:bCs/>
        </w:rPr>
        <w:t xml:space="preserve">receipt</w:t>
      </w:r>
      <w:r>
        <w:t xml:space="preserve"> by the respondent, not despatch by the claimant. The request must relate to the </w:t>
      </w:r>
      <w:r>
        <w:rPr>
          <w:b/>
          <w:bCs/>
        </w:rPr>
        <w:t xml:space="preserve">particular dispute</w:t>
      </w:r>
      <w:r>
        <w:t xml:space="preserve">, so a general letter reserving rights will not do. And this request is the </w:t>
      </w:r>
      <w:r>
        <w:rPr>
          <w:b/>
          <w:bCs/>
        </w:rPr>
        <w:t xml:space="preserve">notice of arbitration</w:t>
      </w:r>
      <w:r>
        <w:t xml:space="preserve">, which must be distinguished from a </w:t>
      </w:r>
      <w:r>
        <w:rPr>
          <w:b/>
          <w:bCs/>
        </w:rPr>
        <w:t xml:space="preserve">notice of dispute</w:t>
      </w:r>
      <w:r>
        <w:t xml:space="preserve"> or a demand for payment: the latter merely asserts a grievance, whereas the former invokes the arbitration agreement, and in practice comes much later.</w:t>
      </w:r>
    </w:p>
    <w:p>
      <w:pPr>
        <w:spacing w:after="120" w:line="264"/>
        <w:jc w:val="both"/>
      </w:pPr>
      <w:r>
        <w:rPr>
          <w:b/>
          <w:bCs/>
        </w:rPr>
        <w:t xml:space="preserve">Why the date matters.</w:t>
      </w:r>
      <w:r>
        <w:t xml:space="preserve"> The ninety-day period in s. 9(2) is measured against it, limitation ceases to run on it, and the tribunal's power under s. 17 operates from it.</w:t>
      </w:r>
    </w:p>
    <w:p>
      <w:pPr>
        <w:pStyle w:val="Heading2"/>
        <w:keepNext/>
        <w:spacing w:after="100" w:before="250"/>
      </w:pPr>
      <w:r>
        <w:t xml:space="preserve">10.  Counterclaim and set-off (s. 23(2A))</w:t>
      </w:r>
    </w:p>
    <w:p>
      <w:pPr>
        <w:spacing w:after="120" w:line="264"/>
        <w:jc w:val="both"/>
      </w:pPr>
      <w:r>
        <w:t xml:space="preserve">Inserted by the 2015 Amendment, s. 23(2A) provides that the respondent may, in support of his case, also submit a </w:t>
      </w:r>
      <w:r>
        <w:rPr>
          <w:b/>
          <w:bCs/>
        </w:rPr>
        <w:t xml:space="preserve">counterclaim</w:t>
      </w:r>
      <w:r>
        <w:t xml:space="preserve"> or plead a </w:t>
      </w:r>
      <w:r>
        <w:rPr>
          <w:b/>
          <w:bCs/>
        </w:rPr>
        <w:t xml:space="preserve">set-off</w:t>
      </w:r>
      <w:r>
        <w:t xml:space="preserve">, which shall be adjudicated upon by the tribunal </w:t>
      </w:r>
      <w:r>
        <w:rPr>
          <w:b/>
          <w:bCs/>
          <w:shd w:fill="FFF2CC" w:color="auto" w:val="clear"/>
        </w:rPr>
        <w:t xml:space="preserve">if it falls within the scope of the arbitration agreement.</w:t>
      </w:r>
    </w:p>
    <w:p>
      <w:pPr>
        <w:spacing w:after="120" w:line="264"/>
        <w:jc w:val="both"/>
      </w:pPr>
      <w:r>
        <w:rPr>
          <w:b/>
          <w:bCs/>
        </w:rPr>
        <w:t xml:space="preserve">The qualification is essential</w:t>
      </w:r>
      <w:r>
        <w:t xml:space="preserve">, because the tribunal's jurisdiction is consensual. A counterclaim or set-off falling outside the arbitration agreement cannot be entertained at all.</w:t>
      </w:r>
    </w:p>
    <w:p>
      <w:pPr>
        <w:spacing w:after="120" w:line="264"/>
        <w:jc w:val="both"/>
      </w:pPr>
      <w:r>
        <w:rPr>
          <w:b/>
          <w:bCs/>
        </w:rPr>
        <w:t xml:space="preserve">The two are not the same.</w:t>
      </w:r>
      <w:r>
        <w:t xml:space="preserve"> A </w:t>
      </w:r>
      <w:r>
        <w:rPr>
          <w:b/>
          <w:bCs/>
        </w:rPr>
        <w:t xml:space="preserve">counterclaim</w:t>
      </w:r>
      <w:r>
        <w:t xml:space="preserve"> is an independent claim by the respondent against the claimant, on which the respondent may recover affirmatively, so it may exceed the claim. A </w:t>
      </w:r>
      <w:r>
        <w:rPr>
          <w:b/>
          <w:bCs/>
        </w:rPr>
        <w:t xml:space="preserve">set-off</w:t>
      </w:r>
      <w:r>
        <w:t xml:space="preserve"> is defensive: it operates to reduce or extinguish the claimant's claim, and in its pure form yields no independent recovery. The provision saves the parties from having to run two separate arbitrations on connected matters.</w:t>
      </w:r>
    </w:p>
    <w:p>
      <w:pPr>
        <w:pStyle w:val="Heading2"/>
        <w:keepNext/>
        <w:spacing w:after="100" w:before="250"/>
      </w:pPr>
      <w:r>
        <w:t xml:space="preserve">11.  Documents-only arbitration</w:t>
      </w:r>
    </w:p>
    <w:p>
      <w:pPr>
        <w:spacing w:after="120" w:line="264"/>
        <w:jc w:val="both"/>
      </w:pPr>
      <w:r>
        <w:t xml:space="preserve">Under </w:t>
      </w:r>
      <w:r>
        <w:rPr>
          <w:b/>
          <w:bCs/>
        </w:rPr>
        <w:t xml:space="preserve">s. 24(1)</w:t>
      </w:r>
      <w:r>
        <w:t xml:space="preserve">, unless the parties agree otherwise, the tribunal decides whether to hold oral hearings for the presentation of evidence or for oral argument, or whether to conduct the proceedings </w:t>
      </w:r>
      <w:r>
        <w:rPr>
          <w:b/>
          <w:bCs/>
        </w:rPr>
        <w:t xml:space="preserve">on the basis of documents and other materials</w:t>
      </w:r>
      <w:r>
        <w:t xml:space="preserve">. An arbitration conducted wholly on the papers is called a documents-only arbitration, and it is a common feature of fast-track procedure.</w:t>
      </w:r>
    </w:p>
    <w:p>
      <w:pPr>
        <w:spacing w:after="120" w:line="264"/>
        <w:jc w:val="both"/>
      </w:pPr>
      <w:r>
        <w:rPr>
          <w:b/>
          <w:bCs/>
        </w:rPr>
        <w:t xml:space="preserve">The discretion is heavily qualified.</w:t>
      </w:r>
      <w:r>
        <w:t xml:space="preserve"> Under the first proviso, the tribunal </w:t>
      </w:r>
      <w:r>
        <w:rPr>
          <w:b/>
          <w:bCs/>
          <w:shd w:fill="FFF2CC" w:color="auto" w:val="clear"/>
        </w:rPr>
        <w:t xml:space="preserve">shall hold oral hearings, at an appropriate stage, on a request by a party,</w:t>
      </w:r>
      <w:r>
        <w:t xml:space="preserve"> unless the parties have agreed that none shall be held. In effect a party is entitled to an oral hearing simply by asking for one.</w:t>
      </w:r>
    </w:p>
    <w:p>
      <w:pPr>
        <w:spacing w:after="120" w:line="264"/>
        <w:jc w:val="both"/>
      </w:pPr>
      <w:r>
        <w:rPr>
          <w:b/>
          <w:bCs/>
        </w:rPr>
        <w:t xml:space="preserve">So documents-only is the exception, not the rule.</w:t>
      </w:r>
      <w:r>
        <w:t xml:space="preserve"> It requires either the parties' agreement or a case genuinely capable of decision on the papers. A dispute turning on complicated questions of fact calls for oral evidence; a dispute about the construction of a document may not.</w:t>
      </w:r>
    </w:p>
    <w:p>
      <w:pPr>
        <w:pStyle w:val="Heading2"/>
        <w:keepNext/>
        <w:spacing w:after="100" w:before="250"/>
      </w:pPr>
      <w:r>
        <w:t xml:space="preserve">12.  Default of a party (s. 25)</w:t>
      </w:r>
    </w:p>
    <w:p>
      <w:pPr>
        <w:spacing w:after="120" w:line="264"/>
        <w:jc w:val="both"/>
      </w:pPr>
      <w:r>
        <w:t xml:space="preserve">Unless otherwise agreed, and where the defaulting party shows </w:t>
      </w:r>
      <w:r>
        <w:rPr>
          <w:b/>
          <w:bCs/>
        </w:rPr>
        <w:t xml:space="preserve">no sufficient cause</w:t>
      </w:r>
      <w:r>
        <w:t xml:space="preserve">, s. 25 provides three different consequences.</w:t>
      </w:r>
    </w:p>
    <w:p>
      <w:pPr>
        <w:pStyle w:val="ListParagraph"/>
        <w:numPr>
          <w:ilvl w:val="0"/>
          <w:numId w:val="9"/>
        </w:numPr>
        <w:spacing w:after="70" w:line="264"/>
        <w:jc w:val="both"/>
      </w:pPr>
      <w:r>
        <w:t xml:space="preserve">The </w:t>
      </w:r>
      <w:r>
        <w:rPr>
          <w:b/>
          <w:bCs/>
        </w:rPr>
        <w:t xml:space="preserve">claimant</w:t>
      </w:r>
      <w:r>
        <w:t xml:space="preserve"> fails to communicate his statement of claim — the tribunal </w:t>
      </w:r>
      <w:r>
        <w:rPr>
          <w:b/>
          <w:bCs/>
        </w:rPr>
        <w:t xml:space="preserve">shall terminate</w:t>
      </w:r>
      <w:r>
        <w:t xml:space="preserve"> the proceedings. There is no claim to try.</w:t>
      </w:r>
    </w:p>
    <w:p>
      <w:pPr>
        <w:pStyle w:val="ListParagraph"/>
        <w:numPr>
          <w:ilvl w:val="0"/>
          <w:numId w:val="9"/>
        </w:numPr>
        <w:spacing w:after="70" w:line="264"/>
        <w:jc w:val="both"/>
      </w:pPr>
      <w:r>
        <w:t xml:space="preserve">The </w:t>
      </w:r>
      <w:r>
        <w:rPr>
          <w:b/>
          <w:bCs/>
        </w:rPr>
        <w:t xml:space="preserve">respondent</w:t>
      </w:r>
      <w:r>
        <w:t xml:space="preserve"> fails to communicate his statement of defence — the tribunal </w:t>
      </w:r>
      <w:r>
        <w:rPr>
          <w:b/>
          <w:bCs/>
        </w:rPr>
        <w:t xml:space="preserve">shall continue</w:t>
      </w:r>
      <w:r>
        <w:t xml:space="preserve">, </w:t>
      </w:r>
      <w:r>
        <w:rPr>
          <w:b/>
          <w:bCs/>
          <w:shd w:fill="FFF2CC" w:color="auto" w:val="clear"/>
        </w:rPr>
        <w:t xml:space="preserve">without treating that failure in itself as an admission of the claimant's allegations,</w:t>
      </w:r>
      <w:r>
        <w:t xml:space="preserve"> and has a discretion to treat the right to file the defence as forfeited.</w:t>
      </w:r>
    </w:p>
    <w:p>
      <w:pPr>
        <w:pStyle w:val="ListParagraph"/>
        <w:numPr>
          <w:ilvl w:val="0"/>
          <w:numId w:val="9"/>
        </w:numPr>
        <w:spacing w:after="70" w:line="264"/>
        <w:jc w:val="both"/>
      </w:pPr>
      <w:r>
        <w:t xml:space="preserve">A party </w:t>
      </w:r>
      <w:r>
        <w:rPr>
          <w:b/>
          <w:bCs/>
        </w:rPr>
        <w:t xml:space="preserve">fails to appear</w:t>
      </w:r>
      <w:r>
        <w:t xml:space="preserve"> at an oral hearing or to produce documentary evidence — the tribunal </w:t>
      </w:r>
      <w:r>
        <w:rPr>
          <w:b/>
          <w:bCs/>
        </w:rPr>
        <w:t xml:space="preserve">may continue</w:t>
      </w:r>
      <w:r>
        <w:t xml:space="preserve"> and make the award </w:t>
      </w:r>
      <w:r>
        <w:rPr>
          <w:b/>
          <w:bCs/>
        </w:rPr>
        <w:t xml:space="preserve">on the evidence before it</w:t>
      </w:r>
      <w:r>
        <w:t xml:space="preserve">.</w:t>
      </w:r>
    </w:p>
    <w:p>
      <w:pPr>
        <w:spacing w:after="120" w:line="264"/>
        <w:jc w:val="both"/>
      </w:pPr>
      <w:r>
        <w:rPr>
          <w:b/>
          <w:bCs/>
        </w:rPr>
        <w:t xml:space="preserve">Clause (b) is the examinable point.</w:t>
      </w:r>
      <w:r>
        <w:t xml:space="preserve"> The words about not treating default as an admission were added in 2015. A respondent who files nothing has </w:t>
      </w:r>
      <w:r>
        <w:rPr>
          <w:b/>
          <w:bCs/>
        </w:rPr>
        <w:t xml:space="preserve">not</w:t>
      </w:r>
      <w:r>
        <w:t xml:space="preserve"> conceded the claim; the claimant must still prove its case and the tribunal must still decide on the evidence. Forfeiture and costs are </w:t>
      </w:r>
      <w:r>
        <w:rPr>
          <w:b/>
          <w:bCs/>
        </w:rPr>
        <w:t xml:space="preserve">procedural consequences designed to keep the arbitration moving, not punishments</w:t>
      </w:r>
      <w:r>
        <w:t xml:space="preserve">.</w:t>
      </w:r>
    </w:p>
    <w:p>
      <w:pPr>
        <w:pStyle w:val="Heading2"/>
        <w:keepNext/>
        <w:spacing w:after="100" w:before="250"/>
      </w:pPr>
      <w:r>
        <w:t xml:space="preserve">13.  Expert appointed by the arbitral tribunal (s. 26)</w:t>
      </w:r>
    </w:p>
    <w:p>
      <w:pPr>
        <w:spacing w:after="120" w:line="264"/>
        <w:jc w:val="both"/>
      </w:pPr>
      <w:r>
        <w:t xml:space="preserve">Two kinds of expert appear in arbitration. A </w:t>
      </w:r>
      <w:r>
        <w:rPr>
          <w:b/>
          <w:bCs/>
        </w:rPr>
        <w:t xml:space="preserve">party-appointed expert</w:t>
      </w:r>
      <w:r>
        <w:t xml:space="preserve"> is retained by one side and gives evidence supporting it; he is a </w:t>
      </w:r>
      <w:r>
        <w:rPr>
          <w:b/>
          <w:bCs/>
        </w:rPr>
        <w:t xml:space="preserve">witness</w:t>
      </w:r>
      <w:r>
        <w:t xml:space="preserve">, tested by cross-examination. A </w:t>
      </w:r>
      <w:r>
        <w:rPr>
          <w:b/>
          <w:bCs/>
        </w:rPr>
        <w:t xml:space="preserve">tribunal-appointed expert</w:t>
      </w:r>
      <w:r>
        <w:t xml:space="preserve"> is chosen by the tribunal itself under s. 26.</w:t>
      </w:r>
    </w:p>
    <w:p>
      <w:pPr>
        <w:spacing w:after="120" w:line="264"/>
        <w:jc w:val="both"/>
      </w:pPr>
      <w:r>
        <w:t xml:space="preserve">Unless otherwise agreed, the tribunal may appoint one or more experts to report on </w:t>
      </w:r>
      <w:r>
        <w:rPr>
          <w:b/>
          <w:bCs/>
        </w:rPr>
        <w:t xml:space="preserve">specific issues to be determined by the tribunal</w:t>
      </w:r>
      <w:r>
        <w:t xml:space="preserve">, and may require a party to give the expert information or access to documents, goods or property.</w:t>
      </w:r>
    </w:p>
    <w:p>
      <w:pPr>
        <w:spacing w:after="120" w:line="264"/>
        <w:jc w:val="both"/>
      </w:pPr>
      <w:r>
        <w:rPr>
          <w:b/>
          <w:bCs/>
        </w:rPr>
        <w:t xml:space="preserve">Because the tribunal commissioned the report and may rely on it, s. 26 builds in safeguards.</w:t>
      </w:r>
      <w:r>
        <w:t xml:space="preserve"> If a party requests, or the tribunal considers it necessary, the expert must </w:t>
      </w:r>
      <w:r>
        <w:rPr>
          <w:b/>
          <w:bCs/>
        </w:rPr>
        <w:t xml:space="preserve">participate in an oral hearing</w:t>
      </w:r>
      <w:r>
        <w:t xml:space="preserve"> where the parties may question him and present their own experts. And on a party's request the expert must </w:t>
      </w:r>
      <w:r>
        <w:rPr>
          <w:b/>
          <w:bCs/>
        </w:rPr>
        <w:t xml:space="preserve">make available for examination</w:t>
      </w:r>
      <w:r>
        <w:t xml:space="preserve"> the material with which he was provided. These reflect s. 24(3): nothing may decide the case unless both sides can see and test it.</w:t>
      </w:r>
    </w:p>
    <w:p>
      <w:pPr>
        <w:spacing w:after="120" w:line="264"/>
        <w:jc w:val="both"/>
      </w:pPr>
      <w:r>
        <w:rPr>
          <w:b/>
          <w:bCs/>
        </w:rPr>
        <w:t xml:space="preserve">One limit.</w:t>
      </w:r>
      <w:r>
        <w:t xml:space="preserve"> </w:t>
      </w:r>
      <w:r>
        <w:rPr>
          <w:b/>
          <w:bCs/>
          <w:shd w:fill="FFF2CC" w:color="auto" w:val="clear"/>
        </w:rPr>
        <w:t xml:space="preserve">The mandate is confined to the issues identified. The expert reports; he does not decide, and the tribunal cannot delegate its adjudicative function to him.</w:t>
      </w:r>
    </w:p>
    <w:p>
      <w:pPr>
        <w:pStyle w:val="Heading2"/>
        <w:keepNext/>
        <w:spacing w:after="100" w:before="250"/>
      </w:pPr>
      <w:r>
        <w:t xml:space="preserve">14.  Incorporation by reference (s. 7(5))</w:t>
      </w:r>
    </w:p>
    <w:p>
      <w:pPr>
        <w:spacing w:after="120" w:line="264"/>
        <w:jc w:val="both"/>
      </w:pPr>
      <w:r>
        <w:t xml:space="preserve">Section 7(5) provides that a reference in a contract to a document containing an arbitration clause constitutes an arbitration agreement </w:t>
      </w:r>
      <w:r>
        <w:rPr>
          <w:b/>
          <w:bCs/>
          <w:shd w:fill="FFF2CC" w:color="auto" w:val="clear"/>
        </w:rPr>
        <w:t xml:space="preserve">if the contract is in writing and the reference is such as to make that arbitration clause part of the contract.</w:t>
      </w:r>
    </w:p>
    <w:p>
      <w:pPr>
        <w:spacing w:after="120" w:line="264"/>
        <w:jc w:val="both"/>
      </w:pPr>
      <w:r>
        <w:rPr>
          <w:b/>
          <w:bCs/>
        </w:rPr>
        <w:t xml:space="preserve">Two conditions must therefore be satisfied.</w:t>
      </w:r>
      <w:r>
        <w:t xml:space="preserve"> The contract itself must be in writing, and the reference must be of a kind that </w:t>
      </w:r>
      <w:r>
        <w:rPr>
          <w:b/>
          <w:bCs/>
        </w:rPr>
        <w:t xml:space="preserve">incorporates</w:t>
      </w:r>
      <w:r>
        <w:t xml:space="preserve"> the clause, not merely one that mentions the other document.</w:t>
      </w:r>
    </w:p>
    <w:p>
      <w:pPr>
        <w:spacing w:after="120" w:line="264"/>
        <w:jc w:val="both"/>
      </w:pPr>
      <w:r>
        <w:t xml:space="preserve">The provision is of daily importance in construction and shipping, where a short contract commonly refers to standard general conditions, or a bill of lading refers to a charterparty. </w:t>
      </w:r>
      <w:r>
        <w:rPr>
          <w:b/>
          <w:bCs/>
        </w:rPr>
        <w:t xml:space="preserve">The practical question is always one of construction:</w:t>
      </w:r>
      <w:r>
        <w:t xml:space="preserve"> a general reference to another document may incorporate its commercial terms without incorporating its arbitration clause, whereas a specific reference to the clause will. The provision reflects the principle that consent to arbitrate must be real, even though it need not be repeated in the second document.</w:t>
      </w:r>
    </w:p>
    <w:p>
      <w:pPr>
        <w:pStyle w:val="Heading2"/>
        <w:keepNext/>
        <w:spacing w:after="100" w:before="250"/>
      </w:pPr>
      <w:r>
        <w:t xml:space="preserve">15.  The Fourth Schedule and arbitrators' fees</w:t>
      </w:r>
    </w:p>
    <w:p>
      <w:pPr>
        <w:spacing w:after="120" w:line="264"/>
        <w:jc w:val="both"/>
      </w:pPr>
      <w:r>
        <w:t xml:space="preserve">Section 11(14), inserted by the 2015 Amendment, provides that the fees of the arbitral tribunal and the manner of payment shall be determined </w:t>
      </w:r>
      <w:r>
        <w:rPr>
          <w:b/>
          <w:bCs/>
        </w:rPr>
        <w:t xml:space="preserve">subject to the rates specified in the Fourth Schedule</w:t>
      </w:r>
      <w:r>
        <w:t xml:space="preserve">, which is a table of model fees graded by the amount in dispute.</w:t>
      </w:r>
    </w:p>
    <w:p>
      <w:pPr>
        <w:spacing w:after="120" w:line="264"/>
        <w:jc w:val="both"/>
      </w:pPr>
      <w:r>
        <w:rPr>
          <w:b/>
          <w:bCs/>
        </w:rPr>
        <w:t xml:space="preserve">The purpose was to control cost.</w:t>
      </w:r>
      <w:r>
        <w:t xml:space="preserve"> Ad hoc arbitration in India had acquired a reputation for high and unpredictable fees, often charged per sitting, which defeated the claim that arbitration is cheaper than litigation.</w:t>
      </w:r>
    </w:p>
    <w:p>
      <w:pPr>
        <w:spacing w:after="120" w:line="264"/>
        <w:jc w:val="both"/>
      </w:pPr>
      <w:r>
        <w:rPr>
          <w:b/>
          <w:bCs/>
        </w:rPr>
        <w:t xml:space="preserve">Two exceptions apply.</w:t>
      </w:r>
      <w:r>
        <w:t xml:space="preserve"> The Schedule does not govern </w:t>
      </w:r>
      <w:r>
        <w:rPr>
          <w:b/>
          <w:bCs/>
        </w:rPr>
        <w:t xml:space="preserve">international commercial arbitration</w:t>
      </w:r>
      <w:r>
        <w:t xml:space="preserve">, and it does not govern arbitrations where the parties have agreed that fees will be determined under the </w:t>
      </w:r>
      <w:r>
        <w:rPr>
          <w:b/>
          <w:bCs/>
        </w:rPr>
        <w:t xml:space="preserve">rules of an arbitral institution</w:t>
      </w:r>
      <w:r>
        <w:t xml:space="preserve">. The Schedule is a </w:t>
      </w:r>
      <w:r>
        <w:rPr>
          <w:b/>
          <w:bCs/>
        </w:rPr>
        <w:t xml:space="preserve">model</w:t>
      </w:r>
      <w:r>
        <w:t xml:space="preserve">, and the High Courts were left to frame rules adopting it. The Draft Amendment Bill of 2024 proposes to delete it, but that is a </w:t>
      </w:r>
      <w:r>
        <w:rPr>
          <w:b/>
          <w:bCs/>
        </w:rPr>
        <w:t xml:space="preserve">proposal only and not law</w:t>
      </w:r>
      <w:r>
        <w:t xml:space="preserve">.</w:t>
      </w:r>
    </w:p>
    <w:p>
      <w:pPr>
        <w:pStyle w:val="Heading2"/>
        <w:keepNext/>
        <w:spacing w:after="100" w:before="250"/>
      </w:pPr>
      <w:r>
        <w:t xml:space="preserve">16.  Group of companies doctrine</w:t>
      </w:r>
    </w:p>
    <w:p>
      <w:pPr>
        <w:spacing w:after="120" w:line="264"/>
        <w:jc w:val="both"/>
      </w:pPr>
      <w:r>
        <w:t xml:space="preserve">The doctrine allows a </w:t>
      </w:r>
      <w:r>
        <w:rPr>
          <w:b/>
          <w:bCs/>
        </w:rPr>
        <w:t xml:space="preserve">non-signatory</w:t>
      </w:r>
      <w:r>
        <w:t xml:space="preserve"> company within a corporate group to be bound by, or to invoke, an arbitration agreement signed by an affiliate, where the circumstances show that the parties intended it to be bound.</w:t>
      </w:r>
    </w:p>
    <w:p>
      <w:pPr>
        <w:spacing w:after="120" w:line="264"/>
        <w:jc w:val="both"/>
      </w:pPr>
      <w:r>
        <w:t xml:space="preserve">In </w:t>
      </w:r>
      <w:r>
        <w:rPr>
          <w:b/>
          <w:bCs/>
          <w:i/>
          <w:iCs/>
        </w:rPr>
        <w:t xml:space="preserve">Cox and Kings Ltd. v. SAP India Pvt. Ltd.</w:t>
      </w:r>
      <w:r>
        <w:t xml:space="preserve">, 2023 INSC 1051, a Constitution Bench of five Judges held on 6 December 2023 that the doctrine </w:t>
      </w:r>
      <w:r>
        <w:rPr>
          <w:b/>
          <w:bCs/>
        </w:rPr>
        <w:t xml:space="preserve">forms part of Indian arbitration law</w:t>
      </w:r>
      <w:r>
        <w:t xml:space="preserve">. Importantly, it relocated its basis. </w:t>
      </w:r>
      <w:r>
        <w:rPr>
          <w:b/>
          <w:bCs/>
          <w:shd w:fill="FFF2CC" w:color="auto" w:val="clear"/>
        </w:rPr>
        <w:t xml:space="preserve">The doctrine rests on the definition of “parties” in s. 2(1)(h) read with s. 7, and on the mutual intention to bind the non-signatory inferred under s. 7(4)(b),</w:t>
      </w:r>
      <w:r>
        <w:t xml:space="preserve"> rather than on the “claiming through or under” language relied on in earlier decisions such as </w:t>
      </w:r>
      <w:r>
        <w:rPr>
          <w:b/>
          <w:bCs/>
          <w:i/>
          <w:iCs/>
        </w:rPr>
        <w:t xml:space="preserve">Chloro Controls</w:t>
      </w:r>
      <w:r>
        <w:t xml:space="preserve">.</w:t>
      </w:r>
    </w:p>
    <w:p>
      <w:pPr>
        <w:spacing w:after="120" w:line="264"/>
        <w:jc w:val="both"/>
      </w:pPr>
      <w:r>
        <w:rPr>
          <w:b/>
          <w:bCs/>
        </w:rPr>
        <w:t xml:space="preserve">Whether a particular non-signatory is actually bound is a question of fact left to the arbitral tribunal.</w:t>
      </w:r>
      <w:r>
        <w:t xml:space="preserve"> Relevant considerations include the non-signatory's participation in negotiation and performance, the commonality of subject matter, and whether the transaction is a single composite one.</w:t>
      </w:r>
    </w:p>
    <w:p>
      <w:r>
        <w:br w:type="page"/>
      </w:r>
    </w:p>
    <w:p>
      <w:pPr>
        <w:pStyle w:val="Heading1"/>
        <w:keepNext/>
        <w:pBdr>
          <w:bottom w:val="single" w:color="1F3864" w:sz="6" w:space="4"/>
        </w:pBdr>
        <w:spacing w:after="160" w:before="420"/>
      </w:pPr>
      <w:r>
        <w:t xml:space="preserve">Problem Questions</w:t>
      </w:r>
    </w:p>
    <w:p>
      <w:pPr>
        <w:pStyle w:val="Heading2"/>
        <w:keepNext/>
        <w:spacing w:after="100" w:before="250"/>
      </w:pPr>
      <w:r>
        <w:t xml:space="preserve">P1.  Two Indian companies, one French-owned, with a Singapore seat; interim relief sought from an Indian court</w:t>
      </w:r>
    </w:p>
    <w:p>
      <w:pPr>
        <w:spacing w:after="120" w:line="264"/>
        <w:jc w:val="both"/>
      </w:pPr>
      <w:r>
        <w:rPr>
          <w:b/>
          <w:bCs/>
        </w:rPr>
        <w:t xml:space="preserve">Issue.</w:t>
      </w:r>
      <w:r>
        <w:t xml:space="preserve"> Is this an international commercial arbitration, and can an Indian court grant interim relief when the seat is abroad?</w:t>
      </w:r>
    </w:p>
    <w:p>
      <w:pPr>
        <w:spacing w:after="120" w:line="264"/>
        <w:jc w:val="both"/>
      </w:pPr>
      <w:r>
        <w:rPr>
          <w:b/>
          <w:bCs/>
        </w:rPr>
        <w:t xml:space="preserve">Rule.</w:t>
      </w:r>
      <w:r>
        <w:t xml:space="preserve"> Under </w:t>
      </w:r>
      <w:r>
        <w:rPr>
          <w:b/>
          <w:bCs/>
        </w:rPr>
        <w:t xml:space="preserve">s. 2(1)(f)(ii)</w:t>
      </w:r>
      <w:r>
        <w:t xml:space="preserve"> a body corporate is foreign only if it is </w:t>
      </w:r>
      <w:r>
        <w:rPr>
          <w:b/>
          <w:bCs/>
        </w:rPr>
        <w:t xml:space="preserve">incorporated outside India</w:t>
      </w:r>
      <w:r>
        <w:t xml:space="preserve">. </w:t>
      </w:r>
      <w:r>
        <w:rPr>
          <w:b/>
          <w:bCs/>
          <w:i/>
          <w:iCs/>
        </w:rPr>
        <w:t xml:space="preserve">TDM Infrastructure P. Ltd. v. UE Development India P. Ltd.</w:t>
      </w:r>
      <w:r>
        <w:t xml:space="preserve">, (2008) 14 SCC 271, applies the place-of-incorporation rule, and the words “a company or” were deleted from sub-clause (iii) in 2015, so the management and control test cannot be used for a company. </w:t>
      </w:r>
      <w:r>
        <w:rPr>
          <w:b/>
          <w:bCs/>
          <w:i/>
          <w:iCs/>
        </w:rPr>
        <w:t xml:space="preserve">BALCO</w:t>
      </w:r>
      <w:r>
        <w:t xml:space="preserve"> confines Part I to arbitrations seated in India, and the </w:t>
      </w:r>
      <w:r>
        <w:rPr>
          <w:b/>
          <w:bCs/>
        </w:rPr>
        <w:t xml:space="preserve">proviso to s. 2(2)</w:t>
      </w:r>
      <w:r>
        <w:t xml:space="preserve"> applies ss. 9, 27 and 37(1)(a) and (3) to international commercial arbitration seated abroad.</w:t>
      </w:r>
    </w:p>
    <w:p>
      <w:pPr>
        <w:spacing w:after="120" w:line="264"/>
        <w:jc w:val="both"/>
      </w:pPr>
      <w:r>
        <w:rPr>
          <w:b/>
          <w:bCs/>
        </w:rPr>
        <w:t xml:space="preserve">Application.</w:t>
      </w:r>
      <w:r>
        <w:t xml:space="preserve"> Both companies are incorporated in India, so </w:t>
      </w:r>
      <w:r>
        <w:rPr>
          <w:b/>
          <w:bCs/>
        </w:rPr>
        <w:t xml:space="preserve">both are Indian parties</w:t>
      </w:r>
      <w:r>
        <w:t xml:space="preserve">, and French ownership is irrelevant. </w:t>
      </w:r>
      <w:r>
        <w:rPr>
          <w:b/>
          <w:bCs/>
          <w:shd w:fill="FFF2CC" w:color="auto" w:val="clear"/>
        </w:rPr>
        <w:t xml:space="preserve">On the s. 2(1)(f) definition this is not an international commercial arbitration.</w:t>
      </w:r>
      <w:r>
        <w:t xml:space="preserve"> The seat being Singapore, Part I does not apply as a whole.</w:t>
      </w:r>
    </w:p>
    <w:p>
      <w:pPr>
        <w:spacing w:after="120" w:line="264"/>
        <w:jc w:val="both"/>
      </w:pPr>
      <w:r>
        <w:t xml:space="preserve">Two further questions arise. First, may two Indian parties choose a foreign seat at all? Secondly, if the arbitration is not an ICA on the definition, does the proviso to s. 2(2), which speaks of ICA, help them? Both were answered in </w:t>
      </w:r>
      <w:r>
        <w:rPr>
          <w:b/>
          <w:bCs/>
          <w:i/>
          <w:iCs/>
        </w:rPr>
        <w:t xml:space="preserve">PASL Wind Solutions Pvt. Ltd. v. GE Power Conversion India Pvt. Ltd.</w:t>
      </w:r>
      <w:r>
        <w:t xml:space="preserve">, a three-Judge Bench decided in April 2021. The Court held that </w:t>
      </w:r>
      <w:r>
        <w:rPr>
          <w:b/>
          <w:bCs/>
        </w:rPr>
        <w:t xml:space="preserve">two Indian parties may validly choose a foreign seat</w:t>
      </w:r>
      <w:r>
        <w:t xml:space="preserve">, that the resulting award is a </w:t>
      </w:r>
      <w:r>
        <w:rPr>
          <w:b/>
          <w:bCs/>
        </w:rPr>
        <w:t xml:space="preserve">foreign award</w:t>
      </w:r>
      <w:r>
        <w:t xml:space="preserve"> enforceable under Part II, and that </w:t>
      </w:r>
      <w:r>
        <w:rPr>
          <w:b/>
          <w:bCs/>
          <w:shd w:fill="FFF2CC" w:color="auto" w:val="clear"/>
        </w:rPr>
        <w:t xml:space="preserve">s. 9 relief is available to them, because “international commercial arbitration” in the proviso to s. 2(2) is used in a seat-centric sense and is not confined to the s. 2(1)(f) definition.</w:t>
      </w:r>
    </w:p>
    <w:p>
      <w:pPr>
        <w:spacing w:after="120" w:line="264"/>
        <w:jc w:val="both"/>
      </w:pPr>
      <w:r>
        <w:rPr>
          <w:b/>
          <w:bCs/>
        </w:rPr>
        <w:t xml:space="preserve">Conclusion.</w:t>
      </w:r>
      <w:r>
        <w:t xml:space="preserve"> The arbitration is not an ICA within s. 2(1)(f), but the choice of a Singapore seat is valid, and </w:t>
      </w:r>
      <w:r>
        <w:rPr>
          <w:b/>
          <w:bCs/>
        </w:rPr>
        <w:t xml:space="preserve">interim relief under s. 9 may be sought from the Indian court</w:t>
      </w:r>
      <w:r>
        <w:t xml:space="preserve">, unless the parties have agreed to the contrary. The award, when made, will be enforced under Part II, and an Indian court cannot set it aside under s. 34.</w:t>
      </w:r>
    </w:p>
    <w:p>
      <w:pPr>
        <w:pStyle w:val="Heading2"/>
        <w:keepNext/>
        <w:spacing w:after="100" w:before="250"/>
      </w:pPr>
      <w:r>
        <w:t xml:space="preserve">P2.  Award by two arbitrators; s. 34 challenge based on s. 10</w:t>
      </w:r>
    </w:p>
    <w:p>
      <w:pPr>
        <w:spacing w:after="120" w:line="264"/>
        <w:jc w:val="both"/>
      </w:pPr>
      <w:r>
        <w:rPr>
          <w:b/>
          <w:bCs/>
        </w:rPr>
        <w:t xml:space="preserve">Issue.</w:t>
      </w:r>
      <w:r>
        <w:t xml:space="preserve"> Is an award made by an even-numbered tribunal liable to be set aside for breach of s. 10?</w:t>
      </w:r>
    </w:p>
    <w:p>
      <w:pPr>
        <w:spacing w:after="120" w:line="264"/>
        <w:jc w:val="both"/>
      </w:pPr>
      <w:r>
        <w:rPr>
          <w:b/>
          <w:bCs/>
        </w:rPr>
        <w:t xml:space="preserve">Rule.</w:t>
      </w:r>
      <w:r>
        <w:t xml:space="preserve"> </w:t>
      </w:r>
      <w:r>
        <w:rPr>
          <w:b/>
          <w:bCs/>
          <w:i/>
          <w:iCs/>
        </w:rPr>
        <w:t xml:space="preserve">Narayan Prasad Lohia v. Nikunj Kumar Lohia</w:t>
      </w:r>
      <w:r>
        <w:t xml:space="preserve">, (2002) 3 SCC 572, holds that </w:t>
      </w:r>
      <w:r>
        <w:rPr>
          <w:b/>
          <w:bCs/>
        </w:rPr>
        <w:t xml:space="preserve">s. 10 is derogable</w:t>
      </w:r>
      <w:r>
        <w:t xml:space="preserve">. The relevant ground is </w:t>
      </w:r>
      <w:r>
        <w:rPr>
          <w:b/>
          <w:bCs/>
        </w:rPr>
        <w:t xml:space="preserve">s. 34(2)(a)(v)</w:t>
      </w:r>
      <w:r>
        <w:t xml:space="preserve">, which allows an award to be set aside where the composition of the tribunal or the procedure was not in accordance with the agreement of the parties — unless that agreement conflicted with a non-derogable provision — or, “failing such agreement”, was not in accordance with Part I. </w:t>
      </w:r>
      <w:r>
        <w:rPr>
          <w:b/>
          <w:bCs/>
          <w:shd w:fill="FFF2CC" w:color="auto" w:val="clear"/>
        </w:rPr>
        <w:t xml:space="preserve">Those words apply only where the parties have agreed nothing about composition.</w:t>
      </w:r>
      <w:r>
        <w:t xml:space="preserve"> Further, an objection to competence must be taken under </w:t>
      </w:r>
      <w:r>
        <w:rPr>
          <w:b/>
          <w:bCs/>
        </w:rPr>
        <w:t xml:space="preserve">s. 16(2)</w:t>
      </w:r>
      <w:r>
        <w:t xml:space="preserve"> not later than the statement of defence, failing which it is waived under </w:t>
      </w:r>
      <w:r>
        <w:rPr>
          <w:b/>
          <w:bCs/>
        </w:rPr>
        <w:t xml:space="preserve">s. 4</w:t>
      </w:r>
      <w:r>
        <w:t xml:space="preserve">.</w:t>
      </w:r>
    </w:p>
    <w:p>
      <w:pPr>
        <w:spacing w:after="120" w:line="264"/>
        <w:jc w:val="both"/>
      </w:pPr>
      <w:r>
        <w:rPr>
          <w:b/>
          <w:bCs/>
        </w:rPr>
        <w:t xml:space="preserve">Application.</w:t>
      </w:r>
      <w:r>
        <w:t xml:space="preserve"> The parties here </w:t>
      </w:r>
      <w:r>
        <w:rPr>
          <w:b/>
          <w:bCs/>
        </w:rPr>
        <w:t xml:space="preserve">agreed</w:t>
      </w:r>
      <w:r>
        <w:t xml:space="preserve"> on two arbitrators, and that agreement was followed. The tribunal's composition therefore accorded with their agreement, so the first limb of s. 34(2)(a)(v) is not attracted, and the “failing such agreement” limb does not arise at all. Separately, the objection appears to have been taken only after the award, so it was not raised by the statement of defence as s. 16(2) requires.</w:t>
      </w:r>
    </w:p>
    <w:p>
      <w:pPr>
        <w:spacing w:after="120" w:line="264"/>
        <w:jc w:val="both"/>
      </w:pPr>
      <w:r>
        <w:rPr>
          <w:b/>
          <w:bCs/>
        </w:rPr>
        <w:t xml:space="preserve">Conclusion.</w:t>
      </w:r>
      <w:r>
        <w:t xml:space="preserve"> The challenge must fail on both grounds. </w:t>
      </w:r>
      <w:r>
        <w:rPr>
          <w:b/>
          <w:bCs/>
        </w:rPr>
        <w:t xml:space="preserve">The award is valid</w:t>
      </w:r>
      <w:r>
        <w:t xml:space="preserve">, and the objection is in any event waived. The same conclusion was reached in </w:t>
      </w:r>
      <w:r>
        <w:rPr>
          <w:b/>
          <w:bCs/>
          <w:i/>
          <w:iCs/>
        </w:rPr>
        <w:t xml:space="preserve">Quippo Construction Equipment Ltd. v. Janardan Nirman Pvt. Ltd.</w:t>
      </w:r>
      <w:r>
        <w:t xml:space="preserve">, (2020) 18 SCC 277.</w:t>
      </w:r>
    </w:p>
    <w:p>
      <w:pPr>
        <w:pStyle w:val="Heading2"/>
        <w:keepNext/>
        <w:spacing w:after="100" w:before="250"/>
      </w:pPr>
      <w:r>
        <w:t xml:space="preserve">P3.  Managing Director named as sole arbitrator appoints a retired officer instead</w:t>
      </w:r>
    </w:p>
    <w:p>
      <w:pPr>
        <w:spacing w:after="120" w:line="264"/>
        <w:jc w:val="both"/>
      </w:pPr>
      <w:r>
        <w:rPr>
          <w:b/>
          <w:bCs/>
        </w:rPr>
        <w:t xml:space="preserve">Issue.</w:t>
      </w:r>
      <w:r>
        <w:t xml:space="preserve"> Is the appointment valid, and does filing a statement of claim without protest amount to waiver?</w:t>
      </w:r>
    </w:p>
    <w:p>
      <w:pPr>
        <w:spacing w:after="120" w:line="264"/>
        <w:jc w:val="both"/>
      </w:pPr>
      <w:r>
        <w:rPr>
          <w:b/>
          <w:bCs/>
        </w:rPr>
        <w:t xml:space="preserve">Rule.</w:t>
      </w:r>
      <w:r>
        <w:t xml:space="preserve"> Under </w:t>
      </w:r>
      <w:r>
        <w:rPr>
          <w:b/>
          <w:bCs/>
        </w:rPr>
        <w:t xml:space="preserve">s. 12(5)</w:t>
      </w:r>
      <w:r>
        <w:t xml:space="preserve"> a person whose relationship falls within the </w:t>
      </w:r>
      <w:r>
        <w:rPr>
          <w:b/>
          <w:bCs/>
        </w:rPr>
        <w:t xml:space="preserve">Seventh Schedule</w:t>
      </w:r>
      <w:r>
        <w:t xml:space="preserve"> is ineligible, notwithstanding any prior agreement. </w:t>
      </w:r>
      <w:r>
        <w:rPr>
          <w:b/>
          <w:bCs/>
          <w:i/>
          <w:iCs/>
        </w:rPr>
        <w:t xml:space="preserve">TRF Ltd. v. Energo Engineering Projects Ltd.</w:t>
      </w:r>
      <w:r>
        <w:t xml:space="preserve">, (2017) 8 SCC 377, holds that a person who is himself ineligible </w:t>
      </w:r>
      <w:r>
        <w:rPr>
          <w:b/>
          <w:bCs/>
        </w:rPr>
        <w:t xml:space="preserve">cannot appoint</w:t>
      </w:r>
      <w:r>
        <w:t xml:space="preserve"> an arbitrator, because he cannot delegate an authority he does not possess. </w:t>
      </w:r>
      <w:r>
        <w:rPr>
          <w:b/>
          <w:bCs/>
          <w:i/>
          <w:iCs/>
        </w:rPr>
        <w:t xml:space="preserve">Bharat Broadband Network Ltd. v. United Telecoms Ltd.</w:t>
      </w:r>
      <w:r>
        <w:t xml:space="preserve">, (2019) 5 SCC 755, holds that such ineligibility is </w:t>
      </w:r>
      <w:r>
        <w:rPr>
          <w:i/>
          <w:iCs/>
        </w:rPr>
        <w:t xml:space="preserve">de jure</w:t>
      </w:r>
      <w:r>
        <w:t xml:space="preserve">, that the mandate terminates under </w:t>
      </w:r>
      <w:r>
        <w:rPr>
          <w:b/>
          <w:bCs/>
        </w:rPr>
        <w:t xml:space="preserve">s. 14</w:t>
      </w:r>
      <w:r>
        <w:t xml:space="preserve">, and that waiver requires an </w:t>
      </w:r>
      <w:r>
        <w:rPr>
          <w:b/>
          <w:bCs/>
        </w:rPr>
        <w:t xml:space="preserve">express agreement in writing after the dispute has arisen</w:t>
      </w:r>
      <w:r>
        <w:t xml:space="preserve">.</w:t>
      </w:r>
    </w:p>
    <w:p>
      <w:pPr>
        <w:spacing w:after="120" w:line="264"/>
        <w:jc w:val="both"/>
      </w:pPr>
      <w:r>
        <w:rPr>
          <w:b/>
          <w:bCs/>
        </w:rPr>
        <w:t xml:space="preserve">Application.</w:t>
      </w:r>
      <w:r>
        <w:t xml:space="preserve"> The Managing Director is part of the management of a party and is therefore caught by the Seventh Schedule. Being ineligible himself, </w:t>
      </w:r>
      <w:r>
        <w:rPr>
          <w:b/>
          <w:bCs/>
          <w:shd w:fill="FFF2CC" w:color="auto" w:val="clear"/>
        </w:rPr>
        <w:t xml:space="preserve">he could not validly appoint the retired officer,</w:t>
      </w:r>
      <w:r>
        <w:t xml:space="preserve"> and the appointment is void. On the facts, the claimant filed its statement of claim without reservation. </w:t>
      </w:r>
      <w:r>
        <w:rPr>
          <w:b/>
          <w:bCs/>
          <w:i/>
          <w:iCs/>
        </w:rPr>
        <w:t xml:space="preserve">Bharat Broadband</w:t>
      </w:r>
      <w:r>
        <w:t xml:space="preserve"> decides that this is </w:t>
      </w:r>
      <w:r>
        <w:rPr>
          <w:b/>
          <w:bCs/>
        </w:rPr>
        <w:t xml:space="preserve">not</w:t>
      </w:r>
      <w:r>
        <w:t xml:space="preserve"> an express written agreement, so no waiver has occurred.</w:t>
      </w:r>
    </w:p>
    <w:p>
      <w:pPr>
        <w:spacing w:after="120" w:line="264"/>
        <w:jc w:val="both"/>
      </w:pPr>
      <w:r>
        <w:rPr>
          <w:b/>
          <w:bCs/>
        </w:rPr>
        <w:t xml:space="preserve">Conclusion.</w:t>
      </w:r>
      <w:r>
        <w:t xml:space="preserve"> The appointment is void, the arbitrator's mandate stands terminated under s. 14, and a substitute must be appointed under </w:t>
      </w:r>
      <w:r>
        <w:rPr>
          <w:b/>
          <w:bCs/>
        </w:rPr>
        <w:t xml:space="preserve">s. 15(2)</w:t>
      </w:r>
      <w:r>
        <w:t xml:space="preserve"> by the route applicable to the original appointment. If the contract is a public-private one, the appointment clause is in any event open to challenge under </w:t>
      </w:r>
      <w:r>
        <w:rPr>
          <w:b/>
          <w:bCs/>
          <w:i/>
          <w:iCs/>
        </w:rPr>
        <w:t xml:space="preserve">CORE-II</w:t>
      </w:r>
      <w:r>
        <w:t xml:space="preserve">, 2024 INSC 857, as violating Article 14, subject to that ruling's prospective effect.</w:t>
      </w:r>
    </w:p>
    <w:p>
      <w:pPr>
        <w:pStyle w:val="Heading2"/>
        <w:keepNext/>
        <w:spacing w:after="100" w:before="250"/>
      </w:pPr>
      <w:r>
        <w:t xml:space="preserve">P4.  A clause saying disputes “may be referred to arbitration by mutual consent”</w:t>
      </w:r>
    </w:p>
    <w:p>
      <w:pPr>
        <w:spacing w:after="120" w:line="264"/>
        <w:jc w:val="both"/>
      </w:pPr>
      <w:r>
        <w:rPr>
          <w:b/>
          <w:bCs/>
        </w:rPr>
        <w:t xml:space="preserve">Issue.</w:t>
      </w:r>
      <w:r>
        <w:t xml:space="preserve"> Is this an arbitration agreement under s. 7, so as to support an application under s. 11?</w:t>
      </w:r>
    </w:p>
    <w:p>
      <w:pPr>
        <w:spacing w:after="120" w:line="264"/>
        <w:jc w:val="both"/>
      </w:pPr>
      <w:r>
        <w:rPr>
          <w:b/>
          <w:bCs/>
        </w:rPr>
        <w:t xml:space="preserve">Rule.</w:t>
      </w:r>
      <w:r>
        <w:t xml:space="preserve"> Section 7(1) requires an agreement </w:t>
      </w:r>
      <w:r>
        <w:rPr>
          <w:b/>
          <w:bCs/>
        </w:rPr>
        <w:t xml:space="preserve">to submit</w:t>
      </w:r>
      <w:r>
        <w:t xml:space="preserve"> disputes to arbitration. </w:t>
      </w:r>
      <w:r>
        <w:rPr>
          <w:b/>
          <w:bCs/>
          <w:i/>
          <w:iCs/>
        </w:rPr>
        <w:t xml:space="preserve">Wellington Associates Ltd. v. Kirit Mehta</w:t>
      </w:r>
      <w:r>
        <w:t xml:space="preserve">, (2000) 4 SCC 272, holds that “may be referred to arbitration” is merely enabling, and that a fresh consent would be needed. </w:t>
      </w:r>
      <w:r>
        <w:rPr>
          <w:b/>
          <w:bCs/>
          <w:i/>
          <w:iCs/>
        </w:rPr>
        <w:t xml:space="preserve">Jagdish Chander v. Ramesh Chander</w:t>
      </w:r>
      <w:r>
        <w:t xml:space="preserve">, (2007) 5 SCC 719, holds that words such as “if the parties so determine” contemplate a further, future agreement, and that </w:t>
      </w:r>
      <w:r>
        <w:rPr>
          <w:b/>
          <w:bCs/>
          <w:shd w:fill="FFF2CC" w:color="auto" w:val="clear"/>
        </w:rPr>
        <w:t xml:space="preserve">the clause must disclose a determination and an obligation to arbitrate, not merely the possibility of doing so.</w:t>
      </w:r>
    </w:p>
    <w:p>
      <w:pPr>
        <w:spacing w:after="120" w:line="264"/>
        <w:jc w:val="both"/>
      </w:pPr>
      <w:r>
        <w:rPr>
          <w:b/>
          <w:bCs/>
        </w:rPr>
        <w:t xml:space="preserve">Application.</w:t>
      </w:r>
      <w:r>
        <w:t xml:space="preserve"> The clause contains </w:t>
      </w:r>
      <w:r>
        <w:rPr>
          <w:b/>
          <w:bCs/>
        </w:rPr>
        <w:t xml:space="preserve">two enabling elements</w:t>
      </w:r>
      <w:r>
        <w:t xml:space="preserve">, and each is fatal. “</w:t>
      </w:r>
      <w:r>
        <w:rPr>
          <w:b/>
          <w:bCs/>
        </w:rPr>
        <w:t xml:space="preserve">May</w:t>
      </w:r>
      <w:r>
        <w:t xml:space="preserve"> be referred” is permissive, as in </w:t>
      </w:r>
      <w:r>
        <w:rPr>
          <w:b/>
          <w:bCs/>
          <w:i/>
          <w:iCs/>
        </w:rPr>
        <w:t xml:space="preserve">Wellington Associates</w:t>
      </w:r>
      <w:r>
        <w:t xml:space="preserve">. “</w:t>
      </w:r>
      <w:r>
        <w:rPr>
          <w:b/>
          <w:bCs/>
        </w:rPr>
        <w:t xml:space="preserve">By mutual consent</w:t>
      </w:r>
      <w:r>
        <w:t xml:space="preserve">” expressly requires a further agreement, as in </w:t>
      </w:r>
      <w:r>
        <w:rPr>
          <w:b/>
          <w:bCs/>
          <w:i/>
          <w:iCs/>
        </w:rPr>
        <w:t xml:space="preserve">Jagdish Chander</w:t>
      </w:r>
      <w:r>
        <w:t xml:space="preserve">. Taken together, the clause creates no present obligation at all. The temptation to read the clause generously, in order to encourage arbitration, was specifically rejected in </w:t>
      </w:r>
      <w:r>
        <w:rPr>
          <w:b/>
          <w:bCs/>
          <w:i/>
          <w:iCs/>
        </w:rPr>
        <w:t xml:space="preserve">Jagdish Chander</w:t>
      </w:r>
      <w:r>
        <w:t xml:space="preserve">.</w:t>
      </w:r>
    </w:p>
    <w:p>
      <w:pPr>
        <w:spacing w:after="120" w:line="264"/>
        <w:jc w:val="both"/>
      </w:pPr>
      <w:r>
        <w:rPr>
          <w:b/>
          <w:bCs/>
        </w:rPr>
        <w:t xml:space="preserve">Conclusion.</w:t>
      </w:r>
      <w:r>
        <w:t xml:space="preserve"> There is </w:t>
      </w:r>
      <w:r>
        <w:rPr>
          <w:b/>
          <w:bCs/>
        </w:rPr>
        <w:t xml:space="preserve">no arbitration agreement</w:t>
      </w:r>
      <w:r>
        <w:t xml:space="preserve">, and the s. 11 application must be dismissed. This conclusion is available to the court even on the narrow enquiry permitted by </w:t>
      </w:r>
      <w:r>
        <w:rPr>
          <w:b/>
          <w:bCs/>
        </w:rPr>
        <w:t xml:space="preserve">s. 11(6A)</w:t>
      </w:r>
      <w:r>
        <w:t xml:space="preserve">, because the enquiry into </w:t>
      </w:r>
      <w:r>
        <w:rPr>
          <w:b/>
          <w:bCs/>
        </w:rPr>
        <w:t xml:space="preserve">existence</w:t>
      </w:r>
      <w:r>
        <w:t xml:space="preserve"> is precisely what the court must undertake. The disputes remain triable by a civil court.</w:t>
      </w:r>
    </w:p>
    <w:p>
      <w:pPr>
        <w:pStyle w:val="Heading2"/>
        <w:keepNext/>
        <w:spacing w:after="100" w:before="250"/>
      </w:pPr>
      <w:r>
        <w:t xml:space="preserve">P5.  Flat buyer with an arbitration clause complains to the consumer commission</w:t>
      </w:r>
    </w:p>
    <w:p>
      <w:pPr>
        <w:spacing w:after="120" w:line="264"/>
        <w:jc w:val="both"/>
      </w:pPr>
      <w:r>
        <w:rPr>
          <w:b/>
          <w:bCs/>
        </w:rPr>
        <w:t xml:space="preserve">Issue.</w:t>
      </w:r>
      <w:r>
        <w:t xml:space="preserve"> Must the consumer commission refer the parties to arbitration under s. 8?</w:t>
      </w:r>
    </w:p>
    <w:p>
      <w:pPr>
        <w:spacing w:after="120" w:line="264"/>
        <w:jc w:val="both"/>
      </w:pPr>
      <w:r>
        <w:rPr>
          <w:b/>
          <w:bCs/>
        </w:rPr>
        <w:t xml:space="preserve">Rule.</w:t>
      </w:r>
      <w:r>
        <w:t xml:space="preserve"> Section 8 obliges a </w:t>
      </w:r>
      <w:r>
        <w:rPr>
          <w:b/>
          <w:bCs/>
        </w:rPr>
        <w:t xml:space="preserve">judicial authority</w:t>
      </w:r>
      <w:r>
        <w:t xml:space="preserve"> to refer, unless prima facie no valid arbitration agreement exists. But the section cannot compel arbitration of a </w:t>
      </w:r>
      <w:r>
        <w:rPr>
          <w:b/>
          <w:bCs/>
        </w:rPr>
        <w:t xml:space="preserve">non-arbitrable</w:t>
      </w:r>
      <w:r>
        <w:t xml:space="preserve"> dispute. </w:t>
      </w:r>
      <w:r>
        <w:rPr>
          <w:b/>
          <w:bCs/>
          <w:i/>
          <w:iCs/>
        </w:rPr>
        <w:t xml:space="preserve">Emaar MGF Land Ltd. v. Aftab Singh</w:t>
      </w:r>
      <w:r>
        <w:t xml:space="preserve">, (2019) 12 SCC 751, holds that consumer disputes are non-arbitrable, and </w:t>
      </w:r>
      <w:r>
        <w:rPr>
          <w:b/>
          <w:bCs/>
          <w:i/>
          <w:iCs/>
        </w:rPr>
        <w:t xml:space="preserve">Vidya Drolia v. Durga Trading Corporation</w:t>
      </w:r>
      <w:r>
        <w:t xml:space="preserve">, (2021) 2 SCC 1, places them in the fourth limb of the fourfold test, as disputes made non-arbitrable by statute.</w:t>
      </w:r>
    </w:p>
    <w:p>
      <w:pPr>
        <w:spacing w:after="120" w:line="264"/>
        <w:jc w:val="both"/>
      </w:pPr>
      <w:r>
        <w:rPr>
          <w:b/>
          <w:bCs/>
        </w:rPr>
        <w:t xml:space="preserve">Application.</w:t>
      </w:r>
      <w:r>
        <w:t xml:space="preserve"> A consumer commission is a </w:t>
      </w:r>
      <w:r>
        <w:rPr>
          <w:b/>
          <w:bCs/>
        </w:rPr>
        <w:t xml:space="preserve">judicial authority</w:t>
      </w:r>
      <w:r>
        <w:t xml:space="preserve"> for the purposes of s. 8, so the section is engaged in form. But the Consumer Protection Act gives a </w:t>
      </w:r>
      <w:r>
        <w:rPr>
          <w:b/>
          <w:bCs/>
        </w:rPr>
        <w:t xml:space="preserve">special and additional remedy</w:t>
      </w:r>
      <w:r>
        <w:t xml:space="preserve"> to a protected class, its provisions operating “in addition to and not in derogation of” any other law. </w:t>
      </w:r>
      <w:r>
        <w:rPr>
          <w:b/>
          <w:bCs/>
          <w:shd w:fill="FFF2CC" w:color="auto" w:val="clear"/>
        </w:rPr>
        <w:t xml:space="preserve">Such a remedy cannot be displaced by a private arbitration clause, and the amended s. 8 was not intended to override special statutory fora.</w:t>
      </w:r>
    </w:p>
    <w:p>
      <w:pPr>
        <w:spacing w:after="120" w:line="264"/>
        <w:jc w:val="both"/>
      </w:pPr>
      <w:r>
        <w:rPr>
          <w:b/>
          <w:bCs/>
        </w:rPr>
        <w:t xml:space="preserve">Conclusion.</w:t>
      </w:r>
      <w:r>
        <w:t xml:space="preserve"> The application under s. 8 must be </w:t>
      </w:r>
      <w:r>
        <w:rPr>
          <w:b/>
          <w:bCs/>
        </w:rPr>
        <w:t xml:space="preserve">rejected</w:t>
      </w:r>
      <w:r>
        <w:t xml:space="preserve">, and the commission may proceed with the complaint. The wider principle is that beneficent legislation, enacted to protect a defined class, cannot be circumvented by an arbitration clause. </w:t>
      </w:r>
      <w:r>
        <w:rPr>
          <w:b/>
          <w:bCs/>
        </w:rPr>
        <w:t xml:space="preserve">Note that the buyer has a choice</w:t>
      </w:r>
      <w:r>
        <w:t xml:space="preserve">: nothing prevents him from arbitrating if he wishes. The protection operates in his favour, not against him.</w:t>
      </w:r>
    </w:p>
    <w:p>
      <w:pPr>
        <w:pStyle w:val="Heading2"/>
        <w:keepNext/>
        <w:spacing w:after="100" w:before="250"/>
      </w:pPr>
      <w:r>
        <w:t xml:space="preserve">P6.  Respondent files no statement of defence; claimant asks the tribunal to treat the claim as admitted</w:t>
      </w:r>
    </w:p>
    <w:p>
      <w:pPr>
        <w:spacing w:after="120" w:line="264"/>
        <w:jc w:val="both"/>
      </w:pPr>
      <w:r>
        <w:rPr>
          <w:b/>
          <w:bCs/>
        </w:rPr>
        <w:t xml:space="preserve">Issue.</w:t>
      </w:r>
      <w:r>
        <w:t xml:space="preserve"> Does a failure to file a defence amount to an admission of the claim?</w:t>
      </w:r>
    </w:p>
    <w:p>
      <w:pPr>
        <w:spacing w:after="120" w:line="264"/>
        <w:jc w:val="both"/>
      </w:pPr>
      <w:r>
        <w:rPr>
          <w:b/>
          <w:bCs/>
        </w:rPr>
        <w:t xml:space="preserve">Rule.</w:t>
      </w:r>
      <w:r>
        <w:t xml:space="preserve"> Under </w:t>
      </w:r>
      <w:r>
        <w:rPr>
          <w:b/>
          <w:bCs/>
        </w:rPr>
        <w:t xml:space="preserve">s. 25(b)</w:t>
      </w:r>
      <w:r>
        <w:t xml:space="preserve">, where the respondent fails without sufficient cause to communicate his statement of defence, the tribunal </w:t>
      </w:r>
      <w:r>
        <w:rPr>
          <w:b/>
          <w:bCs/>
        </w:rPr>
        <w:t xml:space="preserve">shall continue the proceedings</w:t>
      </w:r>
      <w:r>
        <w:t xml:space="preserve"> </w:t>
      </w:r>
      <w:r>
        <w:rPr>
          <w:b/>
          <w:bCs/>
          <w:shd w:fill="FFF2CC" w:color="auto" w:val="clear"/>
        </w:rPr>
        <w:t xml:space="preserve">without treating that failure in itself as an admission of the allegations by the claimant,</w:t>
      </w:r>
      <w:r>
        <w:t xml:space="preserve"> and has a discretion to treat the right to file the defence as forfeited. The italicised words were introduced by the 2015 Amendment.</w:t>
      </w:r>
    </w:p>
    <w:p>
      <w:pPr>
        <w:spacing w:after="120" w:line="264"/>
        <w:jc w:val="both"/>
      </w:pPr>
      <w:r>
        <w:rPr>
          <w:b/>
          <w:bCs/>
        </w:rPr>
        <w:t xml:space="preserve">Application.</w:t>
      </w:r>
      <w:r>
        <w:t xml:space="preserve"> The claimant's request is misconceived. The tribunal cannot decide in the claimant's favour merely because nothing was filed. </w:t>
      </w:r>
      <w:r>
        <w:rPr>
          <w:b/>
          <w:bCs/>
          <w:shd w:fill="FFF2CC" w:color="auto" w:val="clear"/>
        </w:rPr>
        <w:t xml:space="preserve">The claimant must still prove its case, and the tribunal must still decide on the evidence before it.</w:t>
      </w:r>
      <w:r>
        <w:t xml:space="preserve"> What the tribunal </w:t>
      </w:r>
      <w:r>
        <w:rPr>
          <w:b/>
          <w:bCs/>
        </w:rPr>
        <w:t xml:space="preserve">may</w:t>
      </w:r>
      <w:r>
        <w:t xml:space="preserve"> do is treat the respondent's right to file a defence as forfeited, with the consequence that the respondent loses the opportunity to lead its own evidence and, in practice, to cross-examine effectively. It may also impose costs.</w:t>
      </w:r>
    </w:p>
    <w:p>
      <w:pPr>
        <w:spacing w:after="120" w:line="264"/>
        <w:jc w:val="both"/>
      </w:pPr>
      <w:r>
        <w:rPr>
          <w:b/>
          <w:bCs/>
        </w:rPr>
        <w:t xml:space="preserve">Conclusion.</w:t>
      </w:r>
      <w:r>
        <w:t xml:space="preserve"> The tribunal should refuse to treat the claim as admitted, but may proceed ex parte on the material before it and may forfeit the right to file the defence. </w:t>
      </w:r>
      <w:r>
        <w:rPr>
          <w:b/>
          <w:bCs/>
        </w:rPr>
        <w:t xml:space="preserve">Two cautions.</w:t>
      </w:r>
      <w:r>
        <w:t xml:space="preserve"> The consequences apply only where the respondent has shown </w:t>
      </w:r>
      <w:r>
        <w:rPr>
          <w:b/>
          <w:bCs/>
        </w:rPr>
        <w:t xml:space="preserve">no sufficient cause</w:t>
      </w:r>
      <w:r>
        <w:t xml:space="preserve">, so the tribunal should first satisfy itself on that. And s. 18 continues to apply, so the respondent must still receive notice of hearings under s. 24(2) and copies of everything filed under s. 24(3). </w:t>
      </w:r>
      <w:r>
        <w:rPr>
          <w:b/>
          <w:bCs/>
        </w:rPr>
        <w:t xml:space="preserve">This position differs from the consequences of not filing a written statement in some civil proceedings, and the difference is deliberate.</w:t>
      </w:r>
    </w:p>
    <w:sectPr>
      <w:headerReference w:type="default" r:id="rId7"/>
      <w:headerReference w:type="first" r:id="rId8"/>
      <w:footerReference w:type="default" r:id="rId9"/>
      <w:footerReference w:type="first" r:id="rId10"/>
      <w:pgSz w:w="11906" w:h="16838" w:orient="portrait"/>
      <w:pgMar w:top="1250" w:right="1300" w:bottom="125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5"/>
      </w:pBdr>
      <w:tabs>
        <w:tab w:val="right" w:pos="9306"/>
      </w:tabs>
      <w:spacing w:before="60"/>
    </w:pPr>
    <w:r>
      <w:rPr>
        <w:rFonts w:ascii="Arial" w:cs="Arial" w:eastAsia="Arial" w:hAnsi="Arial"/>
        <w:color w:val="1F3864"/>
        <w:sz w:val="17"/>
        <w:szCs w:val="17"/>
      </w:rPr>
      <w:t xml:space="preserve">Surendra Mundvadiya | Alternative Dispute Resolution</w:t>
    </w:r>
    <w:r>
      <w:rPr>
        <w:sz w:val="17"/>
        <w:szCs w:val="17"/>
      </w:rPr>
      <w:t xml:space="preserve">	</w:t>
    </w:r>
    <w:r>
      <w:rPr>
        <w:rFonts w:ascii="Arial" w:cs="Arial" w:eastAsia="Arial" w:hAnsi="Arial"/>
        <w:color w:val="1F386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5" w:hanging="302"/>
      </w:pPr>
    </w:lvl>
  </w:abstractNum>
  <w:abstractNum w:abstractNumId="3"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dc:title>
  <dc:creator>Surendra Mundvadiya</dc:creator>
  <cp:lastModifiedBy>Un-named</cp:lastModifiedBy>
  <cp:revision>1</cp:revision>
  <dcterms:created xsi:type="dcterms:W3CDTF">2026-09-22T19:31:29.681Z</dcterms:created>
  <dcterms:modified xsi:type="dcterms:W3CDTF">2026-09-22T19:31:29.691Z</dcterms:modified>
</cp:coreProperties>
</file>

<file path=docProps/custom.xml><?xml version="1.0" encoding="utf-8"?>
<Properties xmlns="http://schemas.openxmlformats.org/officeDocument/2006/custom-properties" xmlns:vt="http://schemas.openxmlformats.org/officeDocument/2006/docPropsVTypes"/>
</file>