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Times New Roman" w:cs="Times New Roman" w:eastAsia="Times New Roman" w:hAnsi="Times New Roman"/>
          <w:b/>
          <w:bCs/>
          <w:color w:val="1F3864"/>
          <w:sz w:val="56"/>
          <w:szCs w:val="56"/>
        </w:rPr>
        <w:t xml:space="preserve">AI-Driven Cybersecurity</w:t>
      </w:r>
    </w:p>
    <w:p>
      <w:pPr>
        <w:spacing w:after="120" w:before="0"/>
        <w:jc w:val="center"/>
      </w:pPr>
      <w:r>
        <w:rPr>
          <w:rFonts w:ascii="Times New Roman" w:cs="Times New Roman" w:eastAsia="Times New Roman" w:hAnsi="Times New Roman"/>
          <w:b w:val="false"/>
          <w:bCs w:val="false"/>
          <w:color w:val="1F3864"/>
          <w:sz w:val="36"/>
          <w:szCs w:val="36"/>
        </w:rPr>
        <w:t xml:space="preserve">Patent Landscape – Presenter Briefing</w:t>
      </w:r>
    </w:p>
    <w:p>
      <w:pPr>
        <w:spacing w:after="720" w:before="60"/>
        <w:jc w:val="center"/>
      </w:pPr>
      <w:r>
        <w:rPr>
          <w:rFonts w:ascii="Times New Roman" w:cs="Times New Roman" w:eastAsia="Times New Roman" w:hAnsi="Times New Roman"/>
          <w:i/>
          <w:iCs/>
          <w:color w:val="595959"/>
          <w:sz w:val="26"/>
          <w:szCs w:val="26"/>
        </w:rPr>
        <w:t xml:space="preserve">Categories, patents, and anticipated questions</w:t>
      </w:r>
    </w:p>
    <w:p>
      <w:pPr>
        <w:spacing w:after="60" w:before="60"/>
        <w:jc w:val="center"/>
      </w:pPr>
      <w:r>
        <w:rPr>
          <w:rFonts w:ascii="Times New Roman" w:cs="Times New Roman" w:eastAsia="Times New Roman" w:hAnsi="Times New Roman"/>
          <w:color w:val="595959"/>
          <w:sz w:val="22"/>
          <w:szCs w:val="22"/>
        </w:rPr>
        <w:t xml:space="preserve">Companion to: ai_cybersecurity_patent_landscape_revised.pptx</w:t>
      </w:r>
    </w:p>
    <w:p>
      <w:pPr>
        <w:spacing w:after="60" w:before="60"/>
        <w:jc w:val="center"/>
      </w:pPr>
      <w:r>
        <w:rPr>
          <w:rFonts w:ascii="Times New Roman" w:cs="Times New Roman" w:eastAsia="Times New Roman" w:hAnsi="Times New Roman"/>
          <w:color w:val="595959"/>
          <w:sz w:val="22"/>
          <w:szCs w:val="22"/>
        </w:rPr>
        <w:t xml:space="preserve">Data source: IPCyberPatents2-20260625.xlsx (689 records, 22 assignees, 2023-2026)</w:t>
      </w:r>
    </w:p>
    <w:p>
      <w:pPr>
        <w:pageBreakBefore/>
      </w:pPr>
      <w:r>
        <w:br/>
        <w:t xml:space="preserve"/>
      </w:r>
    </w:p>
    <w:p>
      <w:pPr>
        <w:pStyle w:val="Heading1"/>
        <w:spacing w:after="180" w:before="360"/>
      </w:pPr>
      <w:r>
        <w:rPr>
          <w:rFonts w:ascii="Times New Roman" w:cs="Times New Roman" w:eastAsia="Times New Roman" w:hAnsi="Times New Roman"/>
          <w:b/>
          <w:bCs/>
          <w:color w:val="1F3864"/>
          <w:sz w:val="32"/>
          <w:szCs w:val="32"/>
        </w:rPr>
        <w:t xml:space="preserve">Contents</w:t>
      </w:r>
    </w:p>
    <w:p>
      <w:pPr>
        <w:spacing w:after="40" w:before="40" w:line="300"/>
        <w:jc w:val="left"/>
      </w:pPr>
      <w:r>
        <w:rPr>
          <w:rFonts w:ascii="Times New Roman" w:cs="Times New Roman" w:eastAsia="Times New Roman" w:hAnsi="Times New Roman"/>
          <w:b w:val="false"/>
          <w:bCs w:val="false"/>
          <w:i w:val="false"/>
          <w:iCs w:val="false"/>
          <w:color w:val="000000"/>
          <w:sz w:val="22"/>
          <w:szCs w:val="22"/>
        </w:rPr>
        <w:t xml:space="preserve">1.  The Landscape at a Glance</w:t>
      </w:r>
    </w:p>
    <w:p>
      <w:pPr>
        <w:spacing w:after="40" w:before="40" w:line="300"/>
        <w:jc w:val="left"/>
      </w:pPr>
      <w:r>
        <w:rPr>
          <w:rFonts w:ascii="Times New Roman" w:cs="Times New Roman" w:eastAsia="Times New Roman" w:hAnsi="Times New Roman"/>
          <w:b w:val="false"/>
          <w:bCs w:val="false"/>
          <w:i w:val="false"/>
          <w:iCs w:val="false"/>
          <w:color w:val="000000"/>
          <w:sz w:val="22"/>
          <w:szCs w:val="22"/>
        </w:rPr>
        <w:t xml:space="preserve">2.  Why These Eight Categories</w:t>
      </w:r>
    </w:p>
    <w:p>
      <w:pPr>
        <w:spacing w:after="40" w:before="40" w:line="300"/>
        <w:jc w:val="left"/>
      </w:pPr>
      <w:r>
        <w:rPr>
          <w:rFonts w:ascii="Times New Roman" w:cs="Times New Roman" w:eastAsia="Times New Roman" w:hAnsi="Times New Roman"/>
          <w:b w:val="false"/>
          <w:bCs w:val="false"/>
          <w:i w:val="false"/>
          <w:iCs w:val="false"/>
          <w:color w:val="000000"/>
          <w:sz w:val="22"/>
          <w:szCs w:val="22"/>
        </w:rPr>
        <w:t xml:space="preserve">3.  The Sixteen Important Patents – Detailed Walk-Through</w:t>
      </w:r>
    </w:p>
    <w:p>
      <w:pPr>
        <w:spacing w:after="40" w:before="40" w:line="300"/>
        <w:jc w:val="left"/>
      </w:pPr>
      <w:r>
        <w:rPr>
          <w:rFonts w:ascii="Times New Roman" w:cs="Times New Roman" w:eastAsia="Times New Roman" w:hAnsi="Times New Roman"/>
          <w:b w:val="false"/>
          <w:bCs w:val="false"/>
          <w:i w:val="false"/>
          <w:iCs w:val="false"/>
          <w:color w:val="000000"/>
          <w:sz w:val="22"/>
          <w:szCs w:val="22"/>
        </w:rPr>
        <w:t xml:space="preserve">      3.1  Threat / SOC</w:t>
      </w:r>
    </w:p>
    <w:p>
      <w:pPr>
        <w:spacing w:after="40" w:before="40" w:line="300"/>
        <w:jc w:val="left"/>
      </w:pPr>
      <w:r>
        <w:rPr>
          <w:rFonts w:ascii="Times New Roman" w:cs="Times New Roman" w:eastAsia="Times New Roman" w:hAnsi="Times New Roman"/>
          <w:b w:val="false"/>
          <w:bCs w:val="false"/>
          <w:i w:val="false"/>
          <w:iCs w:val="false"/>
          <w:color w:val="000000"/>
          <w:sz w:val="22"/>
          <w:szCs w:val="22"/>
        </w:rPr>
        <w:t xml:space="preserve">      3.2  Network / Cloud</w:t>
      </w:r>
    </w:p>
    <w:p>
      <w:pPr>
        <w:spacing w:after="40" w:before="40" w:line="300"/>
        <w:jc w:val="left"/>
      </w:pPr>
      <w:r>
        <w:rPr>
          <w:rFonts w:ascii="Times New Roman" w:cs="Times New Roman" w:eastAsia="Times New Roman" w:hAnsi="Times New Roman"/>
          <w:b w:val="false"/>
          <w:bCs w:val="false"/>
          <w:i w:val="false"/>
          <w:iCs w:val="false"/>
          <w:color w:val="000000"/>
          <w:sz w:val="22"/>
          <w:szCs w:val="22"/>
        </w:rPr>
        <w:t xml:space="preserve">      3.3  Identity / Access</w:t>
      </w:r>
    </w:p>
    <w:p>
      <w:pPr>
        <w:spacing w:after="40" w:before="40" w:line="300"/>
        <w:jc w:val="left"/>
      </w:pPr>
      <w:r>
        <w:rPr>
          <w:rFonts w:ascii="Times New Roman" w:cs="Times New Roman" w:eastAsia="Times New Roman" w:hAnsi="Times New Roman"/>
          <w:b w:val="false"/>
          <w:bCs w:val="false"/>
          <w:i w:val="false"/>
          <w:iCs w:val="false"/>
          <w:color w:val="000000"/>
          <w:sz w:val="22"/>
          <w:szCs w:val="22"/>
        </w:rPr>
        <w:t xml:space="preserve">      3.4  Vulnerability / Risk</w:t>
      </w:r>
    </w:p>
    <w:p>
      <w:pPr>
        <w:spacing w:after="40" w:before="40" w:line="300"/>
        <w:jc w:val="left"/>
      </w:pPr>
      <w:r>
        <w:rPr>
          <w:rFonts w:ascii="Times New Roman" w:cs="Times New Roman" w:eastAsia="Times New Roman" w:hAnsi="Times New Roman"/>
          <w:b w:val="false"/>
          <w:bCs w:val="false"/>
          <w:i w:val="false"/>
          <w:iCs w:val="false"/>
          <w:color w:val="000000"/>
          <w:sz w:val="22"/>
          <w:szCs w:val="22"/>
        </w:rPr>
        <w:t xml:space="preserve">      3.5  GenAI / LLM</w:t>
      </w:r>
    </w:p>
    <w:p>
      <w:pPr>
        <w:spacing w:after="40" w:before="40" w:line="300"/>
        <w:jc w:val="left"/>
      </w:pPr>
      <w:r>
        <w:rPr>
          <w:rFonts w:ascii="Times New Roman" w:cs="Times New Roman" w:eastAsia="Times New Roman" w:hAnsi="Times New Roman"/>
          <w:b w:val="false"/>
          <w:bCs w:val="false"/>
          <w:i w:val="false"/>
          <w:iCs w:val="false"/>
          <w:color w:val="000000"/>
          <w:sz w:val="22"/>
          <w:szCs w:val="22"/>
        </w:rPr>
        <w:t xml:space="preserve">      3.6  Malware / Phishing</w:t>
      </w:r>
    </w:p>
    <w:p>
      <w:pPr>
        <w:spacing w:after="40" w:before="40" w:line="300"/>
        <w:jc w:val="left"/>
      </w:pPr>
      <w:r>
        <w:rPr>
          <w:rFonts w:ascii="Times New Roman" w:cs="Times New Roman" w:eastAsia="Times New Roman" w:hAnsi="Times New Roman"/>
          <w:b w:val="false"/>
          <w:bCs w:val="false"/>
          <w:i w:val="false"/>
          <w:iCs w:val="false"/>
          <w:color w:val="000000"/>
          <w:sz w:val="22"/>
          <w:szCs w:val="22"/>
        </w:rPr>
        <w:t xml:space="preserve">      3.7  Data / Privacy</w:t>
      </w:r>
    </w:p>
    <w:p>
      <w:pPr>
        <w:spacing w:after="40" w:before="40" w:line="300"/>
        <w:jc w:val="left"/>
      </w:pPr>
      <w:r>
        <w:rPr>
          <w:rFonts w:ascii="Times New Roman" w:cs="Times New Roman" w:eastAsia="Times New Roman" w:hAnsi="Times New Roman"/>
          <w:b w:val="false"/>
          <w:bCs w:val="false"/>
          <w:i w:val="false"/>
          <w:iCs w:val="false"/>
          <w:color w:val="000000"/>
          <w:sz w:val="22"/>
          <w:szCs w:val="22"/>
        </w:rPr>
        <w:t xml:space="preserve">      3.8  Automation</w:t>
      </w:r>
    </w:p>
    <w:p>
      <w:pPr>
        <w:spacing w:after="40" w:before="40" w:line="300"/>
        <w:jc w:val="left"/>
      </w:pPr>
      <w:r>
        <w:rPr>
          <w:rFonts w:ascii="Times New Roman" w:cs="Times New Roman" w:eastAsia="Times New Roman" w:hAnsi="Times New Roman"/>
          <w:b w:val="false"/>
          <w:bCs w:val="false"/>
          <w:i w:val="false"/>
          <w:iCs w:val="false"/>
          <w:color w:val="000000"/>
          <w:sz w:val="22"/>
          <w:szCs w:val="22"/>
        </w:rPr>
        <w:t xml:space="preserve">4.  Cross-Cutting Landscape Insights</w:t>
      </w:r>
    </w:p>
    <w:p>
      <w:pPr>
        <w:spacing w:after="40" w:before="40" w:line="300"/>
        <w:jc w:val="left"/>
      </w:pPr>
      <w:r>
        <w:rPr>
          <w:rFonts w:ascii="Times New Roman" w:cs="Times New Roman" w:eastAsia="Times New Roman" w:hAnsi="Times New Roman"/>
          <w:b w:val="false"/>
          <w:bCs w:val="false"/>
          <w:i w:val="false"/>
          <w:iCs w:val="false"/>
          <w:color w:val="000000"/>
          <w:sz w:val="22"/>
          <w:szCs w:val="22"/>
        </w:rPr>
        <w:t xml:space="preserve">5.  Anticipated Questions and Suggested Answers</w:t>
      </w:r>
    </w:p>
    <w:p>
      <w:pPr>
        <w:pageBreakBefore/>
      </w:pPr>
      <w:r>
        <w:br/>
        <w:t xml:space="preserve"/>
      </w:r>
    </w:p>
    <w:p>
      <w:pPr>
        <w:pStyle w:val="Heading1"/>
        <w:spacing w:after="180" w:before="360"/>
      </w:pPr>
      <w:r>
        <w:rPr>
          <w:rFonts w:ascii="Times New Roman" w:cs="Times New Roman" w:eastAsia="Times New Roman" w:hAnsi="Times New Roman"/>
          <w:b/>
          <w:bCs/>
          <w:color w:val="1F3864"/>
          <w:sz w:val="32"/>
          <w:szCs w:val="32"/>
        </w:rPr>
        <w:t xml:space="preserve">1.  The Landscape at a Glance</w:t>
      </w:r>
    </w:p>
    <w:p>
      <w:pPr>
        <w:spacing w:after="60" w:before="60" w:line="300"/>
        <w:jc w:val="left"/>
      </w:pPr>
      <w:r>
        <w:rPr>
          <w:rFonts w:ascii="Times New Roman" w:cs="Times New Roman" w:eastAsia="Times New Roman" w:hAnsi="Times New Roman"/>
          <w:b w:val="false"/>
          <w:bCs w:val="false"/>
          <w:i w:val="false"/>
          <w:iCs w:val="false"/>
          <w:color w:val="000000"/>
          <w:sz w:val="22"/>
          <w:szCs w:val="22"/>
        </w:rPr>
        <w:t xml:space="preserve">Before diving into individual patents, the audience needs a clear picture of what the dataset is and what it is not. The landscape is built directly from a single Excel workbook (IPCyberPatents2-20260625.xlsx, sheet CyberPatents2). It contains 689 patent publication and application records covering AI-driven cybersecurity, drawn from 22 distinct assignees, with publication dates spanning January 2023 to June 2026. No patent-family deduplication has been applied because the source did not include a family field, so one row equals one publication or application record.</w:t>
      </w:r>
    </w:p>
    <w:p>
      <w:pPr>
        <w:spacing w:after="60" w:before="60" w:line="300"/>
        <w:jc w:val="left"/>
      </w:pPr>
      <w:r>
        <w:rPr>
          <w:rFonts w:ascii="Times New Roman" w:cs="Times New Roman" w:eastAsia="Times New Roman" w:hAnsi="Times New Roman"/>
          <w:b w:val="false"/>
          <w:bCs w:val="false"/>
          <w:i w:val="false"/>
          <w:iCs w:val="false"/>
          <w:color w:val="000000"/>
          <w:sz w:val="22"/>
          <w:szCs w:val="22"/>
        </w:rPr>
        <w:t xml:space="preserve">Four companies dominate. Microsoft (167), Cisco (158), Fortinet (96), and Palo Alto Networks (96) together account for 75 percent of the dataset. Google (46), Rapid7 (42), and Trend Micro (27) round out the meaningful tail. The remaining 15 assignees collectively hold less than 5 percent of the records and include specialist players such as CyberArk, Robust Intelligence, Okta, and Zimperium.</w:t>
      </w:r>
    </w:p>
    <w:p>
      <w:pPr>
        <w:spacing w:after="60" w:before="60" w:line="300"/>
        <w:jc w:val="left"/>
      </w:pPr>
      <w:r>
        <w:rPr>
          <w:rFonts w:ascii="Times New Roman" w:cs="Times New Roman" w:eastAsia="Times New Roman" w:hAnsi="Times New Roman"/>
          <w:b w:val="false"/>
          <w:bCs w:val="false"/>
          <w:i w:val="false"/>
          <w:iCs w:val="false"/>
          <w:color w:val="000000"/>
          <w:sz w:val="22"/>
          <w:szCs w:val="22"/>
        </w:rPr>
        <w:t xml:space="preserve">On the timing side, 2024 is the peak filing year (213 applications by application date) and 2025 is the peak publication year (264 publications). The 2026 figures are partial and lagged because the dataset cuts off in June 2026 and applications publish later than they are filed; this is the single most important caveat to call out in the presentation.</w:t>
      </w:r>
    </w:p>
    <w:p>
      <w:pPr>
        <w:spacing w:after="60" w:before="60" w:line="300"/>
        <w:jc w:val="left"/>
      </w:pPr>
      <w:r>
        <w:rPr>
          <w:rFonts w:ascii="Times New Roman" w:cs="Times New Roman" w:eastAsia="Times New Roman" w:hAnsi="Times New Roman"/>
          <w:b w:val="false"/>
          <w:bCs w:val="false"/>
          <w:i w:val="false"/>
          <w:iCs w:val="false"/>
          <w:color w:val="000000"/>
          <w:sz w:val="22"/>
          <w:szCs w:val="22"/>
        </w:rPr>
        <w:t xml:space="preserve">On classification, H04L (transmission of digital information) is the dominant CPC and IPC subclass. The most-cited full code is H04L 63/1425 (network monitoring for security purposes). This is an objective classification signal but it is too broad to drive product-strategy decisions on its own, which is why the deck builds its own eight-category taxonomy on top of the CPC view.</w:t>
      </w:r>
    </w:p>
    <w:p>
      <w:pPr>
        <w:pageBreakBefore/>
      </w:pPr>
      <w:r>
        <w:br/>
        <w:t xml:space="preserve"/>
      </w:r>
    </w:p>
    <w:p>
      <w:pPr>
        <w:pStyle w:val="Heading1"/>
        <w:spacing w:after="180" w:before="360"/>
      </w:pPr>
      <w:r>
        <w:rPr>
          <w:rFonts w:ascii="Times New Roman" w:cs="Times New Roman" w:eastAsia="Times New Roman" w:hAnsi="Times New Roman"/>
          <w:b/>
          <w:bCs/>
          <w:color w:val="1F3864"/>
          <w:sz w:val="32"/>
          <w:szCs w:val="32"/>
        </w:rPr>
        <w:t xml:space="preserve">2.  Why These Eight Categories</w:t>
      </w:r>
    </w:p>
    <w:p>
      <w:pPr>
        <w:spacing w:after="60" w:before="60" w:line="300"/>
        <w:jc w:val="left"/>
      </w:pPr>
      <w:r>
        <w:rPr>
          <w:rFonts w:ascii="Times New Roman" w:cs="Times New Roman" w:eastAsia="Times New Roman" w:hAnsi="Times New Roman"/>
          <w:b w:val="false"/>
          <w:bCs w:val="false"/>
          <w:i w:val="false"/>
          <w:iCs w:val="false"/>
          <w:color w:val="000000"/>
          <w:sz w:val="22"/>
          <w:szCs w:val="22"/>
        </w:rPr>
        <w:t xml:space="preserve">The eight categories are not arbitrary; each is a problem-and-solution cluster that recurs throughout the 689 records when the title, abstract, and first claim are read against keyword and CPC/IPC scoring rules. Eight is also the practical upper limit for a single chart that a viewer can absorb in a few seconds. Any record receives exactly one primary category so the counts sum cleanly to 689 and the pivots are unambiguous.</w:t>
      </w:r>
    </w:p>
    <w:p>
      <w:pPr>
        <w:spacing w:after="60" w:before="60" w:line="300"/>
        <w:jc w:val="left"/>
      </w:pPr>
      <w:r>
        <w:rPr>
          <w:rFonts w:ascii="Times New Roman" w:cs="Times New Roman" w:eastAsia="Times New Roman" w:hAnsi="Times New Roman"/>
          <w:b w:val="false"/>
          <w:bCs w:val="false"/>
          <w:i w:val="false"/>
          <w:iCs w:val="false"/>
          <w:color w:val="000000"/>
          <w:sz w:val="22"/>
          <w:szCs w:val="22"/>
        </w:rPr>
        <w:t xml:space="preserve">The taxonomy was selected so each bucket corresponds to a real operational concern that security and IP teams already use to think about the market. Threat/SOC, Network/Cloud, Identity/Access, and Vulnerability/Risk are the four large operational domains that map onto the way modern security organisations are actually structured. GenAI/LLM, Malware/Phish, Data/Privacy, and Automation are the four specialised buckets where AI-driven techniques are creating distinctive invention activity that would otherwise be hidden inside the bigger buckets if no taxonomy was applied.</w:t>
      </w:r>
    </w:p>
    <w:p>
      <w:pPr>
        <w:spacing w:after="60" w:before="60" w:line="300"/>
        <w:jc w:val="left"/>
      </w:pPr>
      <w:r>
        <w:rPr>
          <w:rFonts w:ascii="Times New Roman" w:cs="Times New Roman" w:eastAsia="Times New Roman" w:hAnsi="Times New Roman"/>
          <w:b w:val="false"/>
          <w:bCs w:val="false"/>
          <w:i w:val="false"/>
          <w:iCs w:val="false"/>
          <w:color w:val="000000"/>
          <w:sz w:val="22"/>
          <w:szCs w:val="22"/>
        </w:rPr>
        <w:t xml:space="preserve">The split is deliberately uneven. Threat/SOC alone is 37.4 percent of the dataset because security operations centres are the most heavily instrumented and most heavily patented part of cybersecurity. The deliberately small buckets at the bottom (Data/Privacy at 25 records, Automation at 26, Malware/Phish at 32) are the white-space hooks: they are not unimportant, they are simply less crowded, and they are the most promising areas for differentiated invention when combined with cloud, identity, or GenAI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80"/>
        <w:gridCol w:w="900"/>
        <w:gridCol w:w="4320"/>
        <w:gridCol w:w="12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30" w:before="30" w:line="260"/>
            </w:pPr>
            <w:r>
              <w:rPr>
                <w:rFonts w:ascii="Times New Roman" w:cs="Times New Roman" w:eastAsia="Times New Roman" w:hAnsi="Times New Roman"/>
                <w:b/>
                <w:bCs/>
                <w:color w:val="FFFFFF"/>
                <w:sz w:val="20"/>
                <w:szCs w:val="20"/>
              </w:rPr>
              <w:t xml:space="preserve">Category</w:t>
            </w:r>
          </w:p>
        </w:tc>
        <w:tc>
          <w:tcPr>
            <w:tcW w:type="dxa" w:w="10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30" w:before="30" w:line="260"/>
            </w:pPr>
            <w:r>
              <w:rPr>
                <w:rFonts w:ascii="Times New Roman" w:cs="Times New Roman" w:eastAsia="Times New Roman" w:hAnsi="Times New Roman"/>
                <w:b/>
                <w:bCs/>
                <w:color w:val="FFFFFF"/>
                <w:sz w:val="20"/>
                <w:szCs w:val="20"/>
              </w:rPr>
              <w:t xml:space="preserve">Records</w:t>
            </w:r>
          </w:p>
        </w:tc>
        <w:tc>
          <w:tcPr>
            <w:tcW w:type="dxa" w:w="9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30" w:before="30" w:line="260"/>
            </w:pPr>
            <w:r>
              <w:rPr>
                <w:rFonts w:ascii="Times New Roman" w:cs="Times New Roman" w:eastAsia="Times New Roman" w:hAnsi="Times New Roman"/>
                <w:b/>
                <w:bCs/>
                <w:color w:val="FFFFFF"/>
                <w:sz w:val="20"/>
                <w:szCs w:val="20"/>
              </w:rPr>
              <w:t xml:space="preserve">Share</w:t>
            </w:r>
          </w:p>
        </w:tc>
        <w:tc>
          <w:tcPr>
            <w:tcW w:type="dxa" w:w="43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30" w:before="30" w:line="260"/>
            </w:pPr>
            <w:r>
              <w:rPr>
                <w:rFonts w:ascii="Times New Roman" w:cs="Times New Roman" w:eastAsia="Times New Roman" w:hAnsi="Times New Roman"/>
                <w:b/>
                <w:bCs/>
                <w:color w:val="FFFFFF"/>
                <w:sz w:val="20"/>
                <w:szCs w:val="20"/>
              </w:rPr>
              <w:t xml:space="preserve">What it captures</w:t>
            </w:r>
          </w:p>
        </w:tc>
        <w:tc>
          <w:tcPr>
            <w:tcW w:type="dxa" w:w="12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30" w:before="30" w:line="260"/>
            </w:pPr>
            <w:r>
              <w:rPr>
                <w:rFonts w:ascii="Times New Roman" w:cs="Times New Roman" w:eastAsia="Times New Roman" w:hAnsi="Times New Roman"/>
                <w:b/>
                <w:bCs/>
                <w:color w:val="FFFFFF"/>
                <w:sz w:val="20"/>
                <w:szCs w:val="20"/>
              </w:rPr>
              <w:t xml:space="preserve">Leading assignee</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Threat / SOC</w:t>
            </w:r>
          </w:p>
        </w:tc>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258</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37.4%</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ML and analytics for alerts, incidents, threat hunting, anomaly detection, SOC triage and response.</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Microsoft (87)</w:t>
            </w:r>
          </w:p>
        </w:tc>
      </w:tr>
      <w:tr>
        <w:trPr>
          <w:tblHeader w:val="false"/>
        </w:trP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Network / Cloud</w:t>
            </w:r>
          </w:p>
        </w:tc>
        <w:tc>
          <w:tcPr>
            <w:tcW w:type="dxa" w:w="1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146</w:t>
            </w:r>
          </w:p>
        </w:tc>
        <w:tc>
          <w:tcPr>
            <w:tcW w:type="dxa" w:w="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21.2%</w:t>
            </w:r>
          </w:p>
        </w:tc>
        <w:tc>
          <w:tcPr>
            <w:tcW w:type="dxa" w:w="43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Protection of networks, cloud workloads, endpoints, edge/IoT, traffic, segmentation, infrastructure telemetry.</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Cisco (41)</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Vuln / Risk</w:t>
            </w:r>
          </w:p>
        </w:tc>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75</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10.9%</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Vulnerability, exploitability, exposure, attack-surface, posture and cyber-risk scoring or prioritisation.</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Cisco (22)</w:t>
            </w:r>
          </w:p>
        </w:tc>
      </w:tr>
      <w:tr>
        <w:trPr>
          <w:tblHeader w:val="false"/>
        </w:trP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Identity / Access</w:t>
            </w:r>
          </w:p>
        </w:tc>
        <w:tc>
          <w:tcPr>
            <w:tcW w:type="dxa" w:w="1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67</w:t>
            </w:r>
          </w:p>
        </w:tc>
        <w:tc>
          <w:tcPr>
            <w:tcW w:type="dxa" w:w="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9.7%</w:t>
            </w:r>
          </w:p>
        </w:tc>
        <w:tc>
          <w:tcPr>
            <w:tcW w:type="dxa" w:w="43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Credential, identity, login, authorisation, privilege, account, entitlement and access-risk analytics.</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Cisco (21)</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GenAI / LLM</w:t>
            </w:r>
          </w:p>
        </w:tc>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60</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8.7%</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LLM and generative-AI use in security, plus protection against prompt, jailbreak, hallucination, adversarial risks.</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Palo Alto Networks (20)</w:t>
            </w:r>
          </w:p>
        </w:tc>
      </w:tr>
      <w:tr>
        <w:trPr>
          <w:tblHeader w:val="false"/>
        </w:trP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Malware / Phish</w:t>
            </w:r>
          </w:p>
        </w:tc>
        <w:tc>
          <w:tcPr>
            <w:tcW w:type="dxa" w:w="1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32</w:t>
            </w:r>
          </w:p>
        </w:tc>
        <w:tc>
          <w:tcPr>
            <w:tcW w:type="dxa" w:w="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4.6%</w:t>
            </w:r>
          </w:p>
        </w:tc>
        <w:tc>
          <w:tcPr>
            <w:tcW w:type="dxa" w:w="43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Defence against malware, phishing, ransomware, malicious URLs, files, emails, bots, deepfake threats.</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Palo Alto Networks (10)</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Automation</w:t>
            </w:r>
          </w:p>
        </w:tc>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26</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3.8%</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Pen-testing, CI/CD protection, static analysis, policy correction, automated remediation, orchestration.</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Palo Alto Networks (6)</w:t>
            </w:r>
          </w:p>
        </w:tc>
      </w:tr>
      <w:tr>
        <w:trPr>
          <w:tblHeader w:val="false"/>
        </w:trP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Data / Privacy</w:t>
            </w:r>
          </w:p>
        </w:tc>
        <w:tc>
          <w:tcPr>
            <w:tcW w:type="dxa" w:w="1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25</w:t>
            </w:r>
          </w:p>
        </w:tc>
        <w:tc>
          <w:tcPr>
            <w:tcW w:type="dxa" w:w="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3.6%</w:t>
            </w:r>
          </w:p>
        </w:tc>
        <w:tc>
          <w:tcPr>
            <w:tcW w:type="dxa" w:w="43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Data leakage/exfiltration, privacy, secrets, encryption, cryptography, certificates, sensitive-data protection.</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Times New Roman" w:cs="Times New Roman" w:eastAsia="Times New Roman" w:hAnsi="Times New Roman"/>
                <w:b w:val="false"/>
                <w:bCs w:val="false"/>
                <w:color w:val="000000"/>
                <w:sz w:val="20"/>
                <w:szCs w:val="20"/>
              </w:rPr>
              <w:t xml:space="preserve">Cisco (7)</w:t>
            </w:r>
          </w:p>
        </w:tc>
      </w:tr>
    </w:tbl>
    <w:p>
      <w:pPr>
        <w:spacing w:after="0" w:before="0" w:line="300"/>
        <w:jc w:val="left"/>
      </w:pPr>
      <w:r>
        <w:rPr>
          <w:rFonts w:ascii="Times New Roman" w:cs="Times New Roman" w:eastAsia="Times New Roman" w:hAnsi="Times New Roman"/>
          <w:b w:val="false"/>
          <w:bCs w:val="false"/>
          <w:i w:val="false"/>
          <w:iCs w:val="false"/>
          <w:color w:val="000000"/>
          <w:sz w:val="12"/>
          <w:szCs w:val="12"/>
        </w:rPr>
        <w:t xml:space="preserve"> </w:t>
      </w:r>
    </w:p>
    <w:p>
      <w:pPr>
        <w:spacing w:after="60" w:before="60" w:line="300"/>
        <w:jc w:val="left"/>
      </w:pPr>
      <w:r>
        <w:rPr>
          <w:rFonts w:ascii="Times New Roman" w:cs="Times New Roman" w:eastAsia="Times New Roman" w:hAnsi="Times New Roman"/>
          <w:b w:val="false"/>
          <w:bCs w:val="false"/>
          <w:i w:val="false"/>
          <w:iCs w:val="false"/>
          <w:color w:val="000000"/>
          <w:sz w:val="22"/>
          <w:szCs w:val="22"/>
        </w:rPr>
        <w:t xml:space="preserve">Read sideways, the table also tells you who owns each problem space: Microsoft dominates SOC, Cisco dominates networking and access, Palo Alto dominates the GenAI and automation buckets where newer techniques concentrate, and CyberArk specialises in privileged access despite owning only 13 records overall.</w:t>
      </w:r>
    </w:p>
    <w:p>
      <w:pPr>
        <w:pageBreakBefore/>
      </w:pPr>
      <w:r>
        <w:br/>
        <w:t xml:space="preserve"/>
      </w:r>
    </w:p>
    <w:p>
      <w:pPr>
        <w:pStyle w:val="Heading1"/>
        <w:spacing w:after="180" w:before="360"/>
      </w:pPr>
      <w:r>
        <w:rPr>
          <w:rFonts w:ascii="Times New Roman" w:cs="Times New Roman" w:eastAsia="Times New Roman" w:hAnsi="Times New Roman"/>
          <w:b/>
          <w:bCs/>
          <w:color w:val="1F3864"/>
          <w:sz w:val="32"/>
          <w:szCs w:val="32"/>
        </w:rPr>
        <w:t xml:space="preserve">3.  The Sixteen Important Patents</w:t>
      </w:r>
    </w:p>
    <w:p>
      <w:pPr>
        <w:spacing w:after="60" w:before="60" w:line="300"/>
        <w:jc w:val="left"/>
      </w:pPr>
      <w:r>
        <w:rPr>
          <w:rFonts w:ascii="Times New Roman" w:cs="Times New Roman" w:eastAsia="Times New Roman" w:hAnsi="Times New Roman"/>
          <w:b w:val="false"/>
          <w:bCs w:val="false"/>
          <w:i w:val="false"/>
          <w:iCs w:val="false"/>
          <w:color w:val="000000"/>
          <w:sz w:val="22"/>
          <w:szCs w:val="22"/>
        </w:rPr>
        <w:t xml:space="preserve">Two patents were selected for every category, giving sixteen patents in total. Selection was mechanical to keep the process auditable: within each category, records were ranked first by forward citation count (Citing Patent Count, a proxy for downstream influence) and second by cited patent count (a proxy for the depth of the prior-art foundation the patent rests on). The two top-ranked records were taken.</w:t>
      </w:r>
    </w:p>
    <w:p>
      <w:pPr>
        <w:spacing w:after="60" w:before="60" w:line="300"/>
        <w:jc w:val="left"/>
      </w:pPr>
      <w:r>
        <w:rPr>
          <w:rFonts w:ascii="Times New Roman" w:cs="Times New Roman" w:eastAsia="Times New Roman" w:hAnsi="Times New Roman"/>
          <w:b w:val="false"/>
          <w:bCs w:val="false"/>
          <w:i w:val="false"/>
          <w:iCs w:val="false"/>
          <w:color w:val="000000"/>
          <w:sz w:val="22"/>
          <w:szCs w:val="22"/>
        </w:rPr>
        <w:t xml:space="preserve">This is an importance signal, not a validity opinion. A heavily-cited patent is influential, but that says nothing about whether its claims would survive a Section 102 or 103 challenge. Treat the sixteen as a starting point for product-strategy and FTO conversations rather than as a recommendation to license, design around, or invalidate.</w:t>
      </w:r>
    </w:p>
    <w:p>
      <w:pPr>
        <w:pStyle w:val="Heading2"/>
        <w:spacing w:after="120" w:before="240"/>
      </w:pPr>
      <w:r>
        <w:rPr>
          <w:rFonts w:ascii="Times New Roman" w:cs="Times New Roman" w:eastAsia="Times New Roman" w:hAnsi="Times New Roman"/>
          <w:b/>
          <w:bCs/>
          <w:color w:val="1F3864"/>
          <w:sz w:val="26"/>
          <w:szCs w:val="26"/>
        </w:rPr>
        <w:t xml:space="preserve">3.1  Threat / SOC</w:t>
      </w:r>
    </w:p>
    <w:p>
      <w:pPr>
        <w:spacing w:after="60" w:before="60" w:line="300"/>
        <w:jc w:val="left"/>
      </w:pPr>
      <w:r>
        <w:rPr>
          <w:rFonts w:ascii="Times New Roman" w:cs="Times New Roman" w:eastAsia="Times New Roman" w:hAnsi="Times New Roman"/>
          <w:b/>
          <w:bCs/>
          <w:i w:val="false"/>
          <w:iCs w:val="false"/>
          <w:color w:val="000000"/>
          <w:sz w:val="22"/>
          <w:szCs w:val="22"/>
        </w:rPr>
        <w:t xml:space="preserve">Definition. </w:t>
      </w:r>
      <w:r>
        <w:rPr>
          <w:rFonts w:ascii="Times New Roman" w:cs="Times New Roman" w:eastAsia="Times New Roman" w:hAnsi="Times New Roman"/>
          <w:b w:val="false"/>
          <w:bCs w:val="false"/>
          <w:i w:val="false"/>
          <w:iCs w:val="false"/>
          <w:color w:val="000000"/>
          <w:sz w:val="22"/>
          <w:szCs w:val="22"/>
        </w:rPr>
        <w:t xml:space="preserve">Machine learning and analytics applied to alerts, incidents, threat hunting, anomaly detection, SOC triage and response support. This is the largest bucket because every modern security operations team is drowning in alerts and every major vendor is trying to use AI to rank, group, enrich and respond to those alerts faster than a human analyst can.</w:t>
      </w:r>
    </w:p>
    <w:p>
      <w:pPr>
        <w:pStyle w:val="Heading3"/>
        <w:spacing w:after="80" w:before="180"/>
      </w:pPr>
      <w:r>
        <w:rPr>
          <w:rFonts w:ascii="Times New Roman" w:cs="Times New Roman" w:eastAsia="Times New Roman" w:hAnsi="Times New Roman"/>
          <w:b/>
          <w:bCs/>
          <w:color w:val="C00000"/>
          <w:sz w:val="23"/>
          <w:szCs w:val="23"/>
        </w:rPr>
        <w:t xml:space="preserve">Patent 1 — US 11,647,034 (Microsoft) — Service access data enrichment for cybersecurity</w:t>
      </w:r>
    </w:p>
    <w:p>
      <w:pPr>
        <w:spacing w:after="60" w:before="60" w:line="300"/>
        <w:jc w:val="left"/>
      </w:pPr>
      <w:r>
        <w:rPr>
          <w:rFonts w:ascii="Times New Roman" w:cs="Times New Roman" w:eastAsia="Times New Roman" w:hAnsi="Times New Roman"/>
          <w:b/>
          <w:bCs/>
          <w:i w:val="false"/>
          <w:iCs w:val="false"/>
          <w:color w:val="000000"/>
          <w:sz w:val="22"/>
          <w:szCs w:val="22"/>
        </w:rPr>
        <w:t xml:space="preserve">Forward citations: </w:t>
      </w:r>
      <w:r>
        <w:rPr>
          <w:rFonts w:ascii="Times New Roman" w:cs="Times New Roman" w:eastAsia="Times New Roman" w:hAnsi="Times New Roman"/>
          <w:b w:val="false"/>
          <w:bCs w:val="false"/>
          <w:i w:val="false"/>
          <w:iCs w:val="false"/>
          <w:color w:val="000000"/>
          <w:sz w:val="22"/>
          <w:szCs w:val="22"/>
        </w:rPr>
        <w:t xml:space="preserve">109 (highest in the entire dataset). </w:t>
      </w:r>
      <w:r>
        <w:rPr>
          <w:rFonts w:ascii="Times New Roman" w:cs="Times New Roman" w:eastAsia="Times New Roman" w:hAnsi="Times New Roman"/>
          <w:b/>
          <w:bCs/>
          <w:i w:val="false"/>
          <w:iCs w:val="false"/>
          <w:color w:val="000000"/>
          <w:sz w:val="22"/>
          <w:szCs w:val="22"/>
        </w:rPr>
        <w:t xml:space="preserve">Cited count: </w:t>
      </w:r>
      <w:r>
        <w:rPr>
          <w:rFonts w:ascii="Times New Roman" w:cs="Times New Roman" w:eastAsia="Times New Roman" w:hAnsi="Times New Roman"/>
          <w:b w:val="false"/>
          <w:bCs w:val="false"/>
          <w:i w:val="false"/>
          <w:iCs w:val="false"/>
          <w:color w:val="000000"/>
          <w:sz w:val="22"/>
          <w:szCs w:val="22"/>
        </w:rPr>
        <w:t xml:space="preserve">54.</w:t>
      </w:r>
    </w:p>
    <w:p>
      <w:pPr>
        <w:spacing w:after="60" w:before="60" w:line="300"/>
        <w:jc w:val="left"/>
      </w:pPr>
      <w:r>
        <w:rPr>
          <w:rFonts w:ascii="Times New Roman" w:cs="Times New Roman" w:eastAsia="Times New Roman" w:hAnsi="Times New Roman"/>
          <w:b/>
          <w:bCs/>
          <w:i w:val="false"/>
          <w:iCs w:val="false"/>
          <w:color w:val="000000"/>
          <w:sz w:val="22"/>
          <w:szCs w:val="22"/>
        </w:rPr>
        <w:t xml:space="preserve">What the invention does. </w:t>
      </w:r>
      <w:r>
        <w:rPr>
          <w:rFonts w:ascii="Times New Roman" w:cs="Times New Roman" w:eastAsia="Times New Roman" w:hAnsi="Times New Roman"/>
          <w:b w:val="false"/>
          <w:bCs w:val="false"/>
          <w:i w:val="false"/>
          <w:iCs w:val="false"/>
          <w:color w:val="000000"/>
          <w:sz w:val="22"/>
          <w:szCs w:val="22"/>
        </w:rPr>
        <w:t xml:space="preserve">It turns raw network-access logs into a bipartite graph whose two node types are services (the destinations being accessed, such as Office 365, an Azure SQL endpoint, or an internal application) and geolocations (the grouped origins of the access, derived by mapping IP addresses to geographies). Each link between a service node and a geolocation node carries access values such as legitimacy confidence.</w:t>
      </w:r>
    </w:p>
    <w:p>
      <w:pPr>
        <w:spacing w:after="60" w:before="60" w:line="300"/>
        <w:jc w:val="left"/>
      </w:pPr>
      <w:r>
        <w:rPr>
          <w:rFonts w:ascii="Times New Roman" w:cs="Times New Roman" w:eastAsia="Times New Roman" w:hAnsi="Times New Roman"/>
          <w:b/>
          <w:bCs/>
          <w:i w:val="false"/>
          <w:iCs w:val="false"/>
          <w:color w:val="000000"/>
          <w:sz w:val="22"/>
          <w:szCs w:val="22"/>
        </w:rPr>
        <w:t xml:space="preserve">How it works. </w:t>
      </w:r>
      <w:r>
        <w:rPr>
          <w:rFonts w:ascii="Times New Roman" w:cs="Times New Roman" w:eastAsia="Times New Roman" w:hAnsi="Times New Roman"/>
          <w:b w:val="false"/>
          <w:bCs w:val="false"/>
          <w:i w:val="false"/>
          <w:iCs w:val="false"/>
          <w:color w:val="000000"/>
          <w:sz w:val="22"/>
          <w:szCs w:val="22"/>
        </w:rPr>
        <w:t xml:space="preserve">The system learns vector embeddings of each node using collaborative filtering, autoencoding and neural-net embedding techniques. At detection time, an incoming access event is also vectorised and the distance between the new vector and the learned graph vectors is computed. A distance beyond a learned threshold flags the event as an anomaly. The graph-based vectors are the key novelty; they let the model reason about whether a particular geolocation has any history of legitimate access to a particular service, even when neither the IP nor the user has been seen before.</w:t>
      </w:r>
    </w:p>
    <w:p>
      <w:pPr>
        <w:spacing w:after="60" w:before="60" w:line="300"/>
        <w:jc w:val="left"/>
      </w:pPr>
      <w:r>
        <w:rPr>
          <w:rFonts w:ascii="Times New Roman" w:cs="Times New Roman" w:eastAsia="Times New Roman" w:hAnsi="Times New Roman"/>
          <w:b/>
          <w:bCs/>
          <w:i w:val="false"/>
          <w:iCs w:val="false"/>
          <w:color w:val="000000"/>
          <w:sz w:val="22"/>
          <w:szCs w:val="22"/>
        </w:rPr>
        <w:t xml:space="preserve">Why it is important. </w:t>
      </w:r>
      <w:r>
        <w:rPr>
          <w:rFonts w:ascii="Times New Roman" w:cs="Times New Roman" w:eastAsia="Times New Roman" w:hAnsi="Times New Roman"/>
          <w:b w:val="false"/>
          <w:bCs w:val="false"/>
          <w:i w:val="false"/>
          <w:iCs w:val="false"/>
          <w:color w:val="000000"/>
          <w:sz w:val="22"/>
          <w:szCs w:val="22"/>
        </w:rPr>
        <w:t xml:space="preserve">It is the most-cited patent in the entire AI-cybersecurity dataset. Forward citation counts of this magnitude show that downstream applicants in service-access anomaly detection, identity-risk scoring and impossible-travel detection have repeatedly had to cite this Microsoft patent. Expect questions about whether your own filings in access anomaly detection can be differentiated from this.</w:t>
      </w:r>
    </w:p>
    <w:p>
      <w:pPr>
        <w:pStyle w:val="Heading3"/>
        <w:spacing w:after="80" w:before="180"/>
      </w:pPr>
      <w:r>
        <w:rPr>
          <w:rFonts w:ascii="Times New Roman" w:cs="Times New Roman" w:eastAsia="Times New Roman" w:hAnsi="Times New Roman"/>
          <w:b/>
          <w:bCs/>
          <w:color w:val="C00000"/>
          <w:sz w:val="23"/>
          <w:szCs w:val="23"/>
        </w:rPr>
        <w:t xml:space="preserve">Patent 2 — US 2023/0259632 (Microsoft) — Response activity-based security coverage management</w:t>
      </w:r>
    </w:p>
    <w:p>
      <w:pPr>
        <w:spacing w:after="60" w:before="60" w:line="300"/>
        <w:jc w:val="left"/>
      </w:pPr>
      <w:r>
        <w:rPr>
          <w:rFonts w:ascii="Times New Roman" w:cs="Times New Roman" w:eastAsia="Times New Roman" w:hAnsi="Times New Roman"/>
          <w:b/>
          <w:bCs/>
          <w:i w:val="false"/>
          <w:iCs w:val="false"/>
          <w:color w:val="000000"/>
          <w:sz w:val="22"/>
          <w:szCs w:val="22"/>
        </w:rPr>
        <w:t xml:space="preserve">Forward citations: </w:t>
      </w:r>
      <w:r>
        <w:rPr>
          <w:rFonts w:ascii="Times New Roman" w:cs="Times New Roman" w:eastAsia="Times New Roman" w:hAnsi="Times New Roman"/>
          <w:b w:val="false"/>
          <w:bCs w:val="false"/>
          <w:i w:val="false"/>
          <w:iCs w:val="false"/>
          <w:color w:val="000000"/>
          <w:sz w:val="22"/>
          <w:szCs w:val="22"/>
        </w:rPr>
        <w:t xml:space="preserve">38. </w:t>
      </w:r>
      <w:r>
        <w:rPr>
          <w:rFonts w:ascii="Times New Roman" w:cs="Times New Roman" w:eastAsia="Times New Roman" w:hAnsi="Times New Roman"/>
          <w:b/>
          <w:bCs/>
          <w:i w:val="false"/>
          <w:iCs w:val="false"/>
          <w:color w:val="000000"/>
          <w:sz w:val="22"/>
          <w:szCs w:val="22"/>
        </w:rPr>
        <w:t xml:space="preserve">Cited count: </w:t>
      </w:r>
      <w:r>
        <w:rPr>
          <w:rFonts w:ascii="Times New Roman" w:cs="Times New Roman" w:eastAsia="Times New Roman" w:hAnsi="Times New Roman"/>
          <w:b w:val="false"/>
          <w:bCs w:val="false"/>
          <w:i w:val="false"/>
          <w:iCs w:val="false"/>
          <w:color w:val="000000"/>
          <w:sz w:val="22"/>
          <w:szCs w:val="22"/>
        </w:rPr>
        <w:t xml:space="preserve">20.</w:t>
      </w:r>
    </w:p>
    <w:p>
      <w:pPr>
        <w:spacing w:after="60" w:before="60" w:line="300"/>
        <w:jc w:val="left"/>
      </w:pPr>
      <w:r>
        <w:rPr>
          <w:rFonts w:ascii="Times New Roman" w:cs="Times New Roman" w:eastAsia="Times New Roman" w:hAnsi="Times New Roman"/>
          <w:b/>
          <w:bCs/>
          <w:i w:val="false"/>
          <w:iCs w:val="false"/>
          <w:color w:val="000000"/>
          <w:sz w:val="22"/>
          <w:szCs w:val="22"/>
        </w:rPr>
        <w:t xml:space="preserve">What the invention does. </w:t>
      </w:r>
      <w:r>
        <w:rPr>
          <w:rFonts w:ascii="Times New Roman" w:cs="Times New Roman" w:eastAsia="Times New Roman" w:hAnsi="Times New Roman"/>
          <w:b w:val="false"/>
          <w:bCs w:val="false"/>
          <w:i w:val="false"/>
          <w:iCs w:val="false"/>
          <w:color w:val="000000"/>
          <w:sz w:val="22"/>
          <w:szCs w:val="22"/>
        </w:rPr>
        <w:t xml:space="preserve">It manages how a security organisation distributes its detection and response coverage across the estate by learning from the actual response activity that happened. In other words: instead of statically configuring detection rules per asset class, it adjusts coverage based on how analysts have historically reacted to incidents on similar assets.</w:t>
      </w:r>
    </w:p>
    <w:p>
      <w:pPr>
        <w:spacing w:after="60" w:before="60" w:line="300"/>
        <w:jc w:val="left"/>
      </w:pPr>
      <w:r>
        <w:rPr>
          <w:rFonts w:ascii="Times New Roman" w:cs="Times New Roman" w:eastAsia="Times New Roman" w:hAnsi="Times New Roman"/>
          <w:b/>
          <w:bCs/>
          <w:i w:val="false"/>
          <w:iCs w:val="false"/>
          <w:color w:val="000000"/>
          <w:sz w:val="22"/>
          <w:szCs w:val="22"/>
        </w:rPr>
        <w:t xml:space="preserve">How it works. </w:t>
      </w:r>
      <w:r>
        <w:rPr>
          <w:rFonts w:ascii="Times New Roman" w:cs="Times New Roman" w:eastAsia="Times New Roman" w:hAnsi="Times New Roman"/>
          <w:b w:val="false"/>
          <w:bCs w:val="false"/>
          <w:i w:val="false"/>
          <w:iCs w:val="false"/>
          <w:color w:val="000000"/>
          <w:sz w:val="22"/>
          <w:szCs w:val="22"/>
        </w:rPr>
        <w:t xml:space="preserve">The system reads the history of incidents, the response actions analysts took, the time-to-close, and any follow-on actions. It learns a coverage model that maps asset characteristics (criticality, environment, owner, exposure) onto recommended levels of monitoring, alert sensitivity, and pre-approved response playbooks. The output is a continuously-refined coverage policy rather than a static rule set, and it closes the loop by feeding actual response outcomes back into the model.</w:t>
      </w:r>
    </w:p>
    <w:p>
      <w:pPr>
        <w:spacing w:after="60" w:before="60" w:line="300"/>
        <w:jc w:val="left"/>
      </w:pPr>
      <w:r>
        <w:rPr>
          <w:rFonts w:ascii="Times New Roman" w:cs="Times New Roman" w:eastAsia="Times New Roman" w:hAnsi="Times New Roman"/>
          <w:b/>
          <w:bCs/>
          <w:i w:val="false"/>
          <w:iCs w:val="false"/>
          <w:color w:val="000000"/>
          <w:sz w:val="22"/>
          <w:szCs w:val="22"/>
        </w:rPr>
        <w:t xml:space="preserve">Why it is important. </w:t>
      </w:r>
      <w:r>
        <w:rPr>
          <w:rFonts w:ascii="Times New Roman" w:cs="Times New Roman" w:eastAsia="Times New Roman" w:hAnsi="Times New Roman"/>
          <w:b w:val="false"/>
          <w:bCs w:val="false"/>
          <w:i w:val="false"/>
          <w:iCs w:val="false"/>
          <w:color w:val="000000"/>
          <w:sz w:val="22"/>
          <w:szCs w:val="22"/>
        </w:rPr>
        <w:t xml:space="preserve">It captures the practical reality that SOCs cannot monitor everything equally and that the right coverage level is something to be learned, not declared. The 38 forward citations indicate that the idea of feedback-driven coverage management resonates strongly across the SOC tooling ecosystem.</w:t>
      </w:r>
    </w:p>
    <w:p>
      <w:pPr>
        <w:pageBreakBefore/>
      </w:pPr>
      <w:r>
        <w:br/>
        <w:t xml:space="preserve"/>
      </w:r>
    </w:p>
    <w:p>
      <w:pPr>
        <w:pStyle w:val="Heading2"/>
        <w:spacing w:after="120" w:before="240"/>
      </w:pPr>
      <w:r>
        <w:rPr>
          <w:rFonts w:ascii="Times New Roman" w:cs="Times New Roman" w:eastAsia="Times New Roman" w:hAnsi="Times New Roman"/>
          <w:b/>
          <w:bCs/>
          <w:color w:val="1F3864"/>
          <w:sz w:val="26"/>
          <w:szCs w:val="26"/>
        </w:rPr>
        <w:t xml:space="preserve">3.2  Network / Cloud</w:t>
      </w:r>
    </w:p>
    <w:p>
      <w:pPr>
        <w:spacing w:after="60" w:before="60" w:line="300"/>
        <w:jc w:val="left"/>
      </w:pPr>
      <w:r>
        <w:rPr>
          <w:rFonts w:ascii="Times New Roman" w:cs="Times New Roman" w:eastAsia="Times New Roman" w:hAnsi="Times New Roman"/>
          <w:b/>
          <w:bCs/>
          <w:i w:val="false"/>
          <w:iCs w:val="false"/>
          <w:color w:val="000000"/>
          <w:sz w:val="22"/>
          <w:szCs w:val="22"/>
        </w:rPr>
        <w:t xml:space="preserve">Definition. </w:t>
      </w:r>
      <w:r>
        <w:rPr>
          <w:rFonts w:ascii="Times New Roman" w:cs="Times New Roman" w:eastAsia="Times New Roman" w:hAnsi="Times New Roman"/>
          <w:b w:val="false"/>
          <w:bCs w:val="false"/>
          <w:i w:val="false"/>
          <w:iCs w:val="false"/>
          <w:color w:val="000000"/>
          <w:sz w:val="22"/>
          <w:szCs w:val="22"/>
        </w:rPr>
        <w:t xml:space="preserve">Protection of networks, cloud workloads, endpoints, edge and IoT devices, traffic flows, segmentation and infrastructure telemetry. This is the second-largest bucket because perimeter and infrastructure security remain large markets and because cloud and edge expansion keeps generating new attack surfaces to defend.</w:t>
      </w:r>
    </w:p>
    <w:p>
      <w:pPr>
        <w:pStyle w:val="Heading3"/>
        <w:spacing w:after="80" w:before="180"/>
      </w:pPr>
      <w:r>
        <w:rPr>
          <w:rFonts w:ascii="Times New Roman" w:cs="Times New Roman" w:eastAsia="Times New Roman" w:hAnsi="Times New Roman"/>
          <w:b/>
          <w:bCs/>
          <w:color w:val="C00000"/>
          <w:sz w:val="23"/>
          <w:szCs w:val="23"/>
        </w:rPr>
        <w:t xml:space="preserve">Patent 3 — US 2023/0370452 (Microsoft) — Networked device security posture management</w:t>
      </w:r>
    </w:p>
    <w:p>
      <w:pPr>
        <w:spacing w:after="60" w:before="60" w:line="300"/>
        <w:jc w:val="left"/>
      </w:pPr>
      <w:r>
        <w:rPr>
          <w:rFonts w:ascii="Times New Roman" w:cs="Times New Roman" w:eastAsia="Times New Roman" w:hAnsi="Times New Roman"/>
          <w:b/>
          <w:bCs/>
          <w:i w:val="false"/>
          <w:iCs w:val="false"/>
          <w:color w:val="000000"/>
          <w:sz w:val="22"/>
          <w:szCs w:val="22"/>
        </w:rPr>
        <w:t xml:space="preserve">Forward citations: </w:t>
      </w:r>
      <w:r>
        <w:rPr>
          <w:rFonts w:ascii="Times New Roman" w:cs="Times New Roman" w:eastAsia="Times New Roman" w:hAnsi="Times New Roman"/>
          <w:b w:val="false"/>
          <w:bCs w:val="false"/>
          <w:i w:val="false"/>
          <w:iCs w:val="false"/>
          <w:color w:val="000000"/>
          <w:sz w:val="22"/>
          <w:szCs w:val="22"/>
        </w:rPr>
        <w:t xml:space="preserve">36. </w:t>
      </w:r>
      <w:r>
        <w:rPr>
          <w:rFonts w:ascii="Times New Roman" w:cs="Times New Roman" w:eastAsia="Times New Roman" w:hAnsi="Times New Roman"/>
          <w:b/>
          <w:bCs/>
          <w:i w:val="false"/>
          <w:iCs w:val="false"/>
          <w:color w:val="000000"/>
          <w:sz w:val="22"/>
          <w:szCs w:val="22"/>
        </w:rPr>
        <w:t xml:space="preserve">Cited count: </w:t>
      </w:r>
      <w:r>
        <w:rPr>
          <w:rFonts w:ascii="Times New Roman" w:cs="Times New Roman" w:eastAsia="Times New Roman" w:hAnsi="Times New Roman"/>
          <w:b w:val="false"/>
          <w:bCs w:val="false"/>
          <w:i w:val="false"/>
          <w:iCs w:val="false"/>
          <w:color w:val="000000"/>
          <w:sz w:val="22"/>
          <w:szCs w:val="22"/>
        </w:rPr>
        <w:t xml:space="preserve">20.</w:t>
      </w:r>
    </w:p>
    <w:p>
      <w:pPr>
        <w:spacing w:after="60" w:before="60" w:line="300"/>
        <w:jc w:val="left"/>
      </w:pPr>
      <w:r>
        <w:rPr>
          <w:rFonts w:ascii="Times New Roman" w:cs="Times New Roman" w:eastAsia="Times New Roman" w:hAnsi="Times New Roman"/>
          <w:b/>
          <w:bCs/>
          <w:i w:val="false"/>
          <w:iCs w:val="false"/>
          <w:color w:val="000000"/>
          <w:sz w:val="22"/>
          <w:szCs w:val="22"/>
        </w:rPr>
        <w:t xml:space="preserve">What the invention does. </w:t>
      </w:r>
      <w:r>
        <w:rPr>
          <w:rFonts w:ascii="Times New Roman" w:cs="Times New Roman" w:eastAsia="Times New Roman" w:hAnsi="Times New Roman"/>
          <w:b w:val="false"/>
          <w:bCs w:val="false"/>
          <w:i w:val="false"/>
          <w:iCs w:val="false"/>
          <w:color w:val="000000"/>
          <w:sz w:val="22"/>
          <w:szCs w:val="22"/>
        </w:rPr>
        <w:t xml:space="preserve">It manages the security posture of networked devices, with explicit focus on IoT and industrial control system devices that traditional approaches handle badly. The original motivation was Microsoft's work helping customers manage IoT estates such as shipboard equipment that goes through intermittent air-gapping when ships are out of internet range.</w:t>
      </w:r>
    </w:p>
    <w:p>
      <w:pPr>
        <w:spacing w:after="60" w:before="60" w:line="300"/>
        <w:jc w:val="left"/>
      </w:pPr>
      <w:r>
        <w:rPr>
          <w:rFonts w:ascii="Times New Roman" w:cs="Times New Roman" w:eastAsia="Times New Roman" w:hAnsi="Times New Roman"/>
          <w:b/>
          <w:bCs/>
          <w:i w:val="false"/>
          <w:iCs w:val="false"/>
          <w:color w:val="000000"/>
          <w:sz w:val="22"/>
          <w:szCs w:val="22"/>
        </w:rPr>
        <w:t xml:space="preserve">How it works. </w:t>
      </w:r>
      <w:r>
        <w:rPr>
          <w:rFonts w:ascii="Times New Roman" w:cs="Times New Roman" w:eastAsia="Times New Roman" w:hAnsi="Times New Roman"/>
          <w:b w:val="false"/>
          <w:bCs w:val="false"/>
          <w:i w:val="false"/>
          <w:iCs w:val="false"/>
          <w:color w:val="000000"/>
          <w:sz w:val="22"/>
          <w:szCs w:val="22"/>
        </w:rPr>
        <w:t xml:space="preserve">The system builds an ontology graph of devices, where nodes represent devices and their contexts (vendor, location, role, criticality, physical environment) and edges capture how those devices relate to networks and to each other. The graph supports a posture-recommendation model that produces device-specific security recommendations. The model is refreshed on a per-device cadence (a robot controller may be refreshed more often than an internal backup server) and is refined based on feedback about whether earlier recommendations were accepted or ignored. The graph also handles devices that come and go from connectivity, which is a real-world constraint that flat inventory systems miss.</w:t>
      </w:r>
    </w:p>
    <w:p>
      <w:pPr>
        <w:spacing w:after="60" w:before="60" w:line="300"/>
        <w:jc w:val="left"/>
      </w:pPr>
      <w:r>
        <w:rPr>
          <w:rFonts w:ascii="Times New Roman" w:cs="Times New Roman" w:eastAsia="Times New Roman" w:hAnsi="Times New Roman"/>
          <w:b/>
          <w:bCs/>
          <w:i w:val="false"/>
          <w:iCs w:val="false"/>
          <w:color w:val="000000"/>
          <w:sz w:val="22"/>
          <w:szCs w:val="22"/>
        </w:rPr>
        <w:t xml:space="preserve">Why it is important. </w:t>
      </w:r>
      <w:r>
        <w:rPr>
          <w:rFonts w:ascii="Times New Roman" w:cs="Times New Roman" w:eastAsia="Times New Roman" w:hAnsi="Times New Roman"/>
          <w:b w:val="false"/>
          <w:bCs w:val="false"/>
          <w:i w:val="false"/>
          <w:iCs w:val="false"/>
          <w:color w:val="000000"/>
          <w:sz w:val="22"/>
          <w:szCs w:val="22"/>
        </w:rPr>
        <w:t xml:space="preserve">It is the highest-cited network and cloud patent in the dataset. The combination of ontology graphs, per-asset context, and feedback-driven refinement is now standard language in cloud-security-posture-management (CSPM) and ICS-security marketing, but this patent stakes out an early position around the technique.</w:t>
      </w:r>
    </w:p>
    <w:p>
      <w:pPr>
        <w:pStyle w:val="Heading3"/>
        <w:spacing w:after="80" w:before="180"/>
      </w:pPr>
      <w:r>
        <w:rPr>
          <w:rFonts w:ascii="Times New Roman" w:cs="Times New Roman" w:eastAsia="Times New Roman" w:hAnsi="Times New Roman"/>
          <w:b/>
          <w:bCs/>
          <w:color w:val="C00000"/>
          <w:sz w:val="23"/>
          <w:szCs w:val="23"/>
        </w:rPr>
        <w:t xml:space="preserve">Patent 4 — US 2025/0317739 (Cisco) — Deep learning-based wireless intrusion detection</w:t>
      </w:r>
    </w:p>
    <w:p>
      <w:pPr>
        <w:spacing w:after="60" w:before="60" w:line="300"/>
        <w:jc w:val="left"/>
      </w:pPr>
      <w:r>
        <w:rPr>
          <w:rFonts w:ascii="Times New Roman" w:cs="Times New Roman" w:eastAsia="Times New Roman" w:hAnsi="Times New Roman"/>
          <w:b/>
          <w:bCs/>
          <w:i w:val="false"/>
          <w:iCs w:val="false"/>
          <w:color w:val="000000"/>
          <w:sz w:val="22"/>
          <w:szCs w:val="22"/>
        </w:rPr>
        <w:t xml:space="preserve">Forward citations: </w:t>
      </w:r>
      <w:r>
        <w:rPr>
          <w:rFonts w:ascii="Times New Roman" w:cs="Times New Roman" w:eastAsia="Times New Roman" w:hAnsi="Times New Roman"/>
          <w:b w:val="false"/>
          <w:bCs w:val="false"/>
          <w:i w:val="false"/>
          <w:iCs w:val="false"/>
          <w:color w:val="000000"/>
          <w:sz w:val="22"/>
          <w:szCs w:val="22"/>
        </w:rPr>
        <w:t xml:space="preserve">9. </w:t>
      </w:r>
      <w:r>
        <w:rPr>
          <w:rFonts w:ascii="Times New Roman" w:cs="Times New Roman" w:eastAsia="Times New Roman" w:hAnsi="Times New Roman"/>
          <w:b/>
          <w:bCs/>
          <w:i w:val="false"/>
          <w:iCs w:val="false"/>
          <w:color w:val="000000"/>
          <w:sz w:val="22"/>
          <w:szCs w:val="22"/>
        </w:rPr>
        <w:t xml:space="preserve">Cited count: </w:t>
      </w:r>
      <w:r>
        <w:rPr>
          <w:rFonts w:ascii="Times New Roman" w:cs="Times New Roman" w:eastAsia="Times New Roman" w:hAnsi="Times New Roman"/>
          <w:b w:val="false"/>
          <w:bCs w:val="false"/>
          <w:i w:val="false"/>
          <w:iCs w:val="false"/>
          <w:color w:val="000000"/>
          <w:sz w:val="22"/>
          <w:szCs w:val="22"/>
        </w:rPr>
        <w:t xml:space="preserve">0.</w:t>
      </w:r>
    </w:p>
    <w:p>
      <w:pPr>
        <w:spacing w:after="60" w:before="60" w:line="300"/>
        <w:jc w:val="left"/>
      </w:pPr>
      <w:r>
        <w:rPr>
          <w:rFonts w:ascii="Times New Roman" w:cs="Times New Roman" w:eastAsia="Times New Roman" w:hAnsi="Times New Roman"/>
          <w:b/>
          <w:bCs/>
          <w:i w:val="false"/>
          <w:iCs w:val="false"/>
          <w:color w:val="000000"/>
          <w:sz w:val="22"/>
          <w:szCs w:val="22"/>
        </w:rPr>
        <w:t xml:space="preserve">What the invention does. </w:t>
      </w:r>
      <w:r>
        <w:rPr>
          <w:rFonts w:ascii="Times New Roman" w:cs="Times New Roman" w:eastAsia="Times New Roman" w:hAnsi="Times New Roman"/>
          <w:b w:val="false"/>
          <w:bCs w:val="false"/>
          <w:i w:val="false"/>
          <w:iCs w:val="false"/>
          <w:color w:val="000000"/>
          <w:sz w:val="22"/>
          <w:szCs w:val="22"/>
        </w:rPr>
        <w:t xml:space="preserve">It detects intrusions in wireless networks using a deep learning model that has been trained partly on synthetic traffic, not just on real traffic. The problem it solves is that wireless intrusion detection systems suffer from poor coverage of new attacks (because attackers move faster than labelled data sets) and high false positives (because legitimate wireless behaviour varies a lot).</w:t>
      </w:r>
    </w:p>
    <w:p>
      <w:pPr>
        <w:spacing w:after="60" w:before="60" w:line="300"/>
        <w:jc w:val="left"/>
      </w:pPr>
      <w:r>
        <w:rPr>
          <w:rFonts w:ascii="Times New Roman" w:cs="Times New Roman" w:eastAsia="Times New Roman" w:hAnsi="Times New Roman"/>
          <w:b/>
          <w:bCs/>
          <w:i w:val="false"/>
          <w:iCs w:val="false"/>
          <w:color w:val="000000"/>
          <w:sz w:val="22"/>
          <w:szCs w:val="22"/>
        </w:rPr>
        <w:t xml:space="preserve">How it works. </w:t>
      </w:r>
      <w:r>
        <w:rPr>
          <w:rFonts w:ascii="Times New Roman" w:cs="Times New Roman" w:eastAsia="Times New Roman" w:hAnsi="Times New Roman"/>
          <w:b w:val="false"/>
          <w:bCs w:val="false"/>
          <w:i w:val="false"/>
          <w:iCs w:val="false"/>
          <w:color w:val="000000"/>
          <w:sz w:val="22"/>
          <w:szCs w:val="22"/>
        </w:rPr>
        <w:t xml:space="preserve">An edge-based network device collects legitimate wireless traffic over a learning window and learns a first set of features that describe what 'normal' looks like. It then synthesises additional traffic conditioned on those features. A machine learning model is trained jointly on the real legitimate traffic and the synthetic traffic so that it learns a second set of features that specifically discriminate synthetic-but-suspicious patterns from real legitimate ones. Variants of the patent describe statewise models that train per wireless network state (associating, authenticated, roaming, etc.) so the detector adapts to the device's situation rather than applying a single global threshold.</w:t>
      </w:r>
    </w:p>
    <w:p>
      <w:pPr>
        <w:spacing w:after="60" w:before="60" w:line="300"/>
        <w:jc w:val="left"/>
      </w:pPr>
      <w:r>
        <w:rPr>
          <w:rFonts w:ascii="Times New Roman" w:cs="Times New Roman" w:eastAsia="Times New Roman" w:hAnsi="Times New Roman"/>
          <w:b/>
          <w:bCs/>
          <w:i w:val="false"/>
          <w:iCs w:val="false"/>
          <w:color w:val="000000"/>
          <w:sz w:val="22"/>
          <w:szCs w:val="22"/>
        </w:rPr>
        <w:t xml:space="preserve">Why it is important. </w:t>
      </w:r>
      <w:r>
        <w:rPr>
          <w:rFonts w:ascii="Times New Roman" w:cs="Times New Roman" w:eastAsia="Times New Roman" w:hAnsi="Times New Roman"/>
          <w:b w:val="false"/>
          <w:bCs w:val="false"/>
          <w:i w:val="false"/>
          <w:iCs w:val="false"/>
          <w:color w:val="000000"/>
          <w:sz w:val="22"/>
          <w:szCs w:val="22"/>
        </w:rPr>
        <w:t xml:space="preserve">The synthetic-data-plus-statewise-model approach is a clean answer to two long-standing IDS problems (label scarcity and concept drift) in a domain that matters to Cisco. This is a recently published Cisco application and a leading indicator of where Cisco is investing in wireless-IDS R&amp;D.</w:t>
      </w:r>
    </w:p>
    <w:p>
      <w:pPr>
        <w:pageBreakBefore/>
      </w:pPr>
      <w:r>
        <w:br/>
        <w:t xml:space="preserve"/>
      </w:r>
    </w:p>
    <w:p>
      <w:pPr>
        <w:pStyle w:val="Heading2"/>
        <w:spacing w:after="120" w:before="240"/>
      </w:pPr>
      <w:r>
        <w:rPr>
          <w:rFonts w:ascii="Times New Roman" w:cs="Times New Roman" w:eastAsia="Times New Roman" w:hAnsi="Times New Roman"/>
          <w:b/>
          <w:bCs/>
          <w:color w:val="1F3864"/>
          <w:sz w:val="26"/>
          <w:szCs w:val="26"/>
        </w:rPr>
        <w:t xml:space="preserve">3.3  Identity / Access</w:t>
      </w:r>
    </w:p>
    <w:p>
      <w:pPr>
        <w:spacing w:after="60" w:before="60" w:line="300"/>
        <w:jc w:val="left"/>
      </w:pPr>
      <w:r>
        <w:rPr>
          <w:rFonts w:ascii="Times New Roman" w:cs="Times New Roman" w:eastAsia="Times New Roman" w:hAnsi="Times New Roman"/>
          <w:b/>
          <w:bCs/>
          <w:i w:val="false"/>
          <w:iCs w:val="false"/>
          <w:color w:val="000000"/>
          <w:sz w:val="22"/>
          <w:szCs w:val="22"/>
        </w:rPr>
        <w:t xml:space="preserve">Definition. </w:t>
      </w:r>
      <w:r>
        <w:rPr>
          <w:rFonts w:ascii="Times New Roman" w:cs="Times New Roman" w:eastAsia="Times New Roman" w:hAnsi="Times New Roman"/>
          <w:b w:val="false"/>
          <w:bCs w:val="false"/>
          <w:i w:val="false"/>
          <w:iCs w:val="false"/>
          <w:color w:val="000000"/>
          <w:sz w:val="22"/>
          <w:szCs w:val="22"/>
        </w:rPr>
        <w:t xml:space="preserve">Credential, identity, login, authorisation, privilege, account, entitlement and access-risk analytics. The bucket is smaller than network/cloud but strategically important because almost every modern breach involves credentials or privilege abuse at some point in the kill chain.</w:t>
      </w:r>
    </w:p>
    <w:p>
      <w:pPr>
        <w:pStyle w:val="Heading3"/>
        <w:spacing w:after="80" w:before="180"/>
      </w:pPr>
      <w:r>
        <w:rPr>
          <w:rFonts w:ascii="Times New Roman" w:cs="Times New Roman" w:eastAsia="Times New Roman" w:hAnsi="Times New Roman"/>
          <w:b/>
          <w:bCs/>
          <w:color w:val="C00000"/>
          <w:sz w:val="23"/>
          <w:szCs w:val="23"/>
        </w:rPr>
        <w:t xml:space="preserve">Patent 5 — US 12,003,541 (Palo Alto Networks) — Identifying serverless functions with over-permissive roles</w:t>
      </w:r>
    </w:p>
    <w:p>
      <w:pPr>
        <w:spacing w:after="60" w:before="60" w:line="300"/>
        <w:jc w:val="left"/>
      </w:pPr>
      <w:r>
        <w:rPr>
          <w:rFonts w:ascii="Times New Roman" w:cs="Times New Roman" w:eastAsia="Times New Roman" w:hAnsi="Times New Roman"/>
          <w:b/>
          <w:bCs/>
          <w:i w:val="false"/>
          <w:iCs w:val="false"/>
          <w:color w:val="000000"/>
          <w:sz w:val="22"/>
          <w:szCs w:val="22"/>
        </w:rPr>
        <w:t xml:space="preserve">Forward citations: </w:t>
      </w:r>
      <w:r>
        <w:rPr>
          <w:rFonts w:ascii="Times New Roman" w:cs="Times New Roman" w:eastAsia="Times New Roman" w:hAnsi="Times New Roman"/>
          <w:b w:val="false"/>
          <w:bCs w:val="false"/>
          <w:i w:val="false"/>
          <w:iCs w:val="false"/>
          <w:color w:val="000000"/>
          <w:sz w:val="22"/>
          <w:szCs w:val="22"/>
        </w:rPr>
        <w:t xml:space="preserve">18. </w:t>
      </w:r>
      <w:r>
        <w:rPr>
          <w:rFonts w:ascii="Times New Roman" w:cs="Times New Roman" w:eastAsia="Times New Roman" w:hAnsi="Times New Roman"/>
          <w:b/>
          <w:bCs/>
          <w:i w:val="false"/>
          <w:iCs w:val="false"/>
          <w:color w:val="000000"/>
          <w:sz w:val="22"/>
          <w:szCs w:val="22"/>
        </w:rPr>
        <w:t xml:space="preserve">Cited count: </w:t>
      </w:r>
      <w:r>
        <w:rPr>
          <w:rFonts w:ascii="Times New Roman" w:cs="Times New Roman" w:eastAsia="Times New Roman" w:hAnsi="Times New Roman"/>
          <w:b w:val="false"/>
          <w:bCs w:val="false"/>
          <w:i w:val="false"/>
          <w:iCs w:val="false"/>
          <w:color w:val="000000"/>
          <w:sz w:val="22"/>
          <w:szCs w:val="22"/>
        </w:rPr>
        <w:t xml:space="preserve">9.</w:t>
      </w:r>
    </w:p>
    <w:p>
      <w:pPr>
        <w:spacing w:after="60" w:before="60" w:line="300"/>
        <w:jc w:val="left"/>
      </w:pPr>
      <w:r>
        <w:rPr>
          <w:rFonts w:ascii="Times New Roman" w:cs="Times New Roman" w:eastAsia="Times New Roman" w:hAnsi="Times New Roman"/>
          <w:b/>
          <w:bCs/>
          <w:i w:val="false"/>
          <w:iCs w:val="false"/>
          <w:color w:val="000000"/>
          <w:sz w:val="22"/>
          <w:szCs w:val="22"/>
        </w:rPr>
        <w:t xml:space="preserve">What the invention does. </w:t>
      </w:r>
      <w:r>
        <w:rPr>
          <w:rFonts w:ascii="Times New Roman" w:cs="Times New Roman" w:eastAsia="Times New Roman" w:hAnsi="Times New Roman"/>
          <w:b w:val="false"/>
          <w:bCs w:val="false"/>
          <w:i w:val="false"/>
          <w:iCs w:val="false"/>
          <w:color w:val="000000"/>
          <w:sz w:val="22"/>
          <w:szCs w:val="22"/>
        </w:rPr>
        <w:t xml:space="preserve">It detects when a serverless function (AWS Lambda, Azure Function, GCP Cloud Function) has been granted broader IAM permissions than it actually needs for the work it does. Over-permissioning is the most common cloud misconfiguration that converts a small compromise into a major breach, because an attacker who lands on one function inherits everything that function is allowed to do.</w:t>
      </w:r>
    </w:p>
    <w:p>
      <w:pPr>
        <w:spacing w:after="60" w:before="60" w:line="300"/>
        <w:jc w:val="left"/>
      </w:pPr>
      <w:r>
        <w:rPr>
          <w:rFonts w:ascii="Times New Roman" w:cs="Times New Roman" w:eastAsia="Times New Roman" w:hAnsi="Times New Roman"/>
          <w:b/>
          <w:bCs/>
          <w:i w:val="false"/>
          <w:iCs w:val="false"/>
          <w:color w:val="000000"/>
          <w:sz w:val="22"/>
          <w:szCs w:val="22"/>
        </w:rPr>
        <w:t xml:space="preserve">How it works. </w:t>
      </w:r>
      <w:r>
        <w:rPr>
          <w:rFonts w:ascii="Times New Roman" w:cs="Times New Roman" w:eastAsia="Times New Roman" w:hAnsi="Times New Roman"/>
          <w:b w:val="false"/>
          <w:bCs w:val="false"/>
          <w:i w:val="false"/>
          <w:iCs w:val="false"/>
          <w:color w:val="000000"/>
          <w:sz w:val="22"/>
          <w:szCs w:val="22"/>
        </w:rPr>
        <w:t xml:space="preserve">For each serverless function associated with a first role, the system identifies the set of security permissions granted by that role together with at least one attribute of the function (for example, the events it is wired to, the cloud services it actually calls, or the data sources it reads). From that attribute information, it generates a least-privilege role indicating the minimal set of permissions the function truly requires. It then compares the originally-granted permissions against the least-privilege set; if the granted set is larger, the original role is reported as over-permissive. This is essentially an automated way to do what cloud auditors do by hand.</w:t>
      </w:r>
    </w:p>
    <w:p>
      <w:pPr>
        <w:spacing w:after="60" w:before="60" w:line="300"/>
        <w:jc w:val="left"/>
      </w:pPr>
      <w:r>
        <w:rPr>
          <w:rFonts w:ascii="Times New Roman" w:cs="Times New Roman" w:eastAsia="Times New Roman" w:hAnsi="Times New Roman"/>
          <w:b/>
          <w:bCs/>
          <w:i w:val="false"/>
          <w:iCs w:val="false"/>
          <w:color w:val="000000"/>
          <w:sz w:val="22"/>
          <w:szCs w:val="22"/>
        </w:rPr>
        <w:t xml:space="preserve">Why it is important. </w:t>
      </w:r>
      <w:r>
        <w:rPr>
          <w:rFonts w:ascii="Times New Roman" w:cs="Times New Roman" w:eastAsia="Times New Roman" w:hAnsi="Times New Roman"/>
          <w:b w:val="false"/>
          <w:bCs w:val="false"/>
          <w:i w:val="false"/>
          <w:iCs w:val="false"/>
          <w:color w:val="000000"/>
          <w:sz w:val="22"/>
          <w:szCs w:val="22"/>
        </w:rPr>
        <w:t xml:space="preserve">Cloud Infrastructure Entitlement Management (CIEM) is one of the hottest sub-markets in cloud security and this patent is one of the cleanest expressions of the core CIEM analytical loop. Originally assigned to Twistlock and acquired into Palo Alto's Prisma Cloud portfolio.</w:t>
      </w:r>
    </w:p>
    <w:p>
      <w:pPr>
        <w:pStyle w:val="Heading3"/>
        <w:spacing w:after="80" w:before="180"/>
      </w:pPr>
      <w:r>
        <w:rPr>
          <w:rFonts w:ascii="Times New Roman" w:cs="Times New Roman" w:eastAsia="Times New Roman" w:hAnsi="Times New Roman"/>
          <w:b/>
          <w:bCs/>
          <w:color w:val="C00000"/>
          <w:sz w:val="23"/>
          <w:szCs w:val="23"/>
        </w:rPr>
        <w:t xml:space="preserve">Patent 6 — US 2025/0080561 (CyberArk) — Monitoring and classification of activity requested during privileged sessions</w:t>
      </w:r>
    </w:p>
    <w:p>
      <w:pPr>
        <w:spacing w:after="60" w:before="60" w:line="300"/>
        <w:jc w:val="left"/>
      </w:pPr>
      <w:r>
        <w:rPr>
          <w:rFonts w:ascii="Times New Roman" w:cs="Times New Roman" w:eastAsia="Times New Roman" w:hAnsi="Times New Roman"/>
          <w:b/>
          <w:bCs/>
          <w:i w:val="false"/>
          <w:iCs w:val="false"/>
          <w:color w:val="000000"/>
          <w:sz w:val="22"/>
          <w:szCs w:val="22"/>
        </w:rPr>
        <w:t xml:space="preserve">Forward citations: </w:t>
      </w:r>
      <w:r>
        <w:rPr>
          <w:rFonts w:ascii="Times New Roman" w:cs="Times New Roman" w:eastAsia="Times New Roman" w:hAnsi="Times New Roman"/>
          <w:b w:val="false"/>
          <w:bCs w:val="false"/>
          <w:i w:val="false"/>
          <w:iCs w:val="false"/>
          <w:color w:val="000000"/>
          <w:sz w:val="22"/>
          <w:szCs w:val="22"/>
        </w:rPr>
        <w:t xml:space="preserve">5. </w:t>
      </w:r>
      <w:r>
        <w:rPr>
          <w:rFonts w:ascii="Times New Roman" w:cs="Times New Roman" w:eastAsia="Times New Roman" w:hAnsi="Times New Roman"/>
          <w:b/>
          <w:bCs/>
          <w:i w:val="false"/>
          <w:iCs w:val="false"/>
          <w:color w:val="000000"/>
          <w:sz w:val="22"/>
          <w:szCs w:val="22"/>
        </w:rPr>
        <w:t xml:space="preserve">Cited count: </w:t>
      </w:r>
      <w:r>
        <w:rPr>
          <w:rFonts w:ascii="Times New Roman" w:cs="Times New Roman" w:eastAsia="Times New Roman" w:hAnsi="Times New Roman"/>
          <w:b w:val="false"/>
          <w:bCs w:val="false"/>
          <w:i w:val="false"/>
          <w:iCs w:val="false"/>
          <w:color w:val="000000"/>
          <w:sz w:val="22"/>
          <w:szCs w:val="22"/>
        </w:rPr>
        <w:t xml:space="preserve">5.</w:t>
      </w:r>
    </w:p>
    <w:p>
      <w:pPr>
        <w:spacing w:after="60" w:before="60" w:line="300"/>
        <w:jc w:val="left"/>
      </w:pPr>
      <w:r>
        <w:rPr>
          <w:rFonts w:ascii="Times New Roman" w:cs="Times New Roman" w:eastAsia="Times New Roman" w:hAnsi="Times New Roman"/>
          <w:b/>
          <w:bCs/>
          <w:i w:val="false"/>
          <w:iCs w:val="false"/>
          <w:color w:val="000000"/>
          <w:sz w:val="22"/>
          <w:szCs w:val="22"/>
        </w:rPr>
        <w:t xml:space="preserve">What the invention does. </w:t>
      </w:r>
      <w:r>
        <w:rPr>
          <w:rFonts w:ascii="Times New Roman" w:cs="Times New Roman" w:eastAsia="Times New Roman" w:hAnsi="Times New Roman"/>
          <w:b w:val="false"/>
          <w:bCs w:val="false"/>
          <w:i w:val="false"/>
          <w:iCs w:val="false"/>
          <w:color w:val="000000"/>
          <w:sz w:val="22"/>
          <w:szCs w:val="22"/>
        </w:rPr>
        <w:t xml:space="preserve">It watches what privileged users (administrators, root, service accounts) actually do during a privileged session, and classifies each request in real time as routine, sensitive, or suspicious. The aim is to add an analytical layer on top of session recording so that not every privileged session needs to be reviewed by a human after the fact.</w:t>
      </w:r>
    </w:p>
    <w:p>
      <w:pPr>
        <w:spacing w:after="60" w:before="60" w:line="300"/>
        <w:jc w:val="left"/>
      </w:pPr>
      <w:r>
        <w:rPr>
          <w:rFonts w:ascii="Times New Roman" w:cs="Times New Roman" w:eastAsia="Times New Roman" w:hAnsi="Times New Roman"/>
          <w:b/>
          <w:bCs/>
          <w:i w:val="false"/>
          <w:iCs w:val="false"/>
          <w:color w:val="000000"/>
          <w:sz w:val="22"/>
          <w:szCs w:val="22"/>
        </w:rPr>
        <w:t xml:space="preserve">How it works. </w:t>
      </w:r>
      <w:r>
        <w:rPr>
          <w:rFonts w:ascii="Times New Roman" w:cs="Times New Roman" w:eastAsia="Times New Roman" w:hAnsi="Times New Roman"/>
          <w:b w:val="false"/>
          <w:bCs w:val="false"/>
          <w:i w:val="false"/>
          <w:iCs w:val="false"/>
          <w:color w:val="000000"/>
          <w:sz w:val="22"/>
          <w:szCs w:val="22"/>
        </w:rPr>
        <w:t xml:space="preserve">The patent describes inspecting the requests issued during a privileged session at the protocol or command level, then classifying them against a learned model of expected activity for the user, the role, the target system, and the time of day. Activity outside the expected envelope can trigger inline interruption (a confirmation step), elevated logging, or a post-session alert. The classifier sits inside CyberArk's existing privileged session management infrastructure, so it does not require a separate agent on the target.</w:t>
      </w:r>
    </w:p>
    <w:p>
      <w:pPr>
        <w:spacing w:after="60" w:before="60" w:line="300"/>
        <w:jc w:val="left"/>
      </w:pPr>
      <w:r>
        <w:rPr>
          <w:rFonts w:ascii="Times New Roman" w:cs="Times New Roman" w:eastAsia="Times New Roman" w:hAnsi="Times New Roman"/>
          <w:b/>
          <w:bCs/>
          <w:i w:val="false"/>
          <w:iCs w:val="false"/>
          <w:color w:val="000000"/>
          <w:sz w:val="22"/>
          <w:szCs w:val="22"/>
        </w:rPr>
        <w:t xml:space="preserve">Why it is important. </w:t>
      </w:r>
      <w:r>
        <w:rPr>
          <w:rFonts w:ascii="Times New Roman" w:cs="Times New Roman" w:eastAsia="Times New Roman" w:hAnsi="Times New Roman"/>
          <w:b w:val="false"/>
          <w:bCs w:val="false"/>
          <w:i w:val="false"/>
          <w:iCs w:val="false"/>
          <w:color w:val="000000"/>
          <w:sz w:val="22"/>
          <w:szCs w:val="22"/>
        </w:rPr>
        <w:t xml:space="preserve">CyberArk only owns 13 records in the whole landscape but they are concentrated in privileged access where they are the recognised category leader. This patent is the company's most-cited recent application in that space.</w:t>
      </w:r>
    </w:p>
    <w:p>
      <w:pPr>
        <w:pageBreakBefore/>
      </w:pPr>
      <w:r>
        <w:br/>
        <w:t xml:space="preserve"/>
      </w:r>
    </w:p>
    <w:p>
      <w:pPr>
        <w:pStyle w:val="Heading2"/>
        <w:spacing w:after="120" w:before="240"/>
      </w:pPr>
      <w:r>
        <w:rPr>
          <w:rFonts w:ascii="Times New Roman" w:cs="Times New Roman" w:eastAsia="Times New Roman" w:hAnsi="Times New Roman"/>
          <w:b/>
          <w:bCs/>
          <w:color w:val="1F3864"/>
          <w:sz w:val="26"/>
          <w:szCs w:val="26"/>
        </w:rPr>
        <w:t xml:space="preserve">3.4  Vulnerability / Risk</w:t>
      </w:r>
    </w:p>
    <w:p>
      <w:pPr>
        <w:spacing w:after="60" w:before="60" w:line="300"/>
        <w:jc w:val="left"/>
      </w:pPr>
      <w:r>
        <w:rPr>
          <w:rFonts w:ascii="Times New Roman" w:cs="Times New Roman" w:eastAsia="Times New Roman" w:hAnsi="Times New Roman"/>
          <w:b/>
          <w:bCs/>
          <w:i w:val="false"/>
          <w:iCs w:val="false"/>
          <w:color w:val="000000"/>
          <w:sz w:val="22"/>
          <w:szCs w:val="22"/>
        </w:rPr>
        <w:t xml:space="preserve">Definition. </w:t>
      </w:r>
      <w:r>
        <w:rPr>
          <w:rFonts w:ascii="Times New Roman" w:cs="Times New Roman" w:eastAsia="Times New Roman" w:hAnsi="Times New Roman"/>
          <w:b w:val="false"/>
          <w:bCs w:val="false"/>
          <w:i w:val="false"/>
          <w:iCs w:val="false"/>
          <w:color w:val="000000"/>
          <w:sz w:val="22"/>
          <w:szCs w:val="22"/>
        </w:rPr>
        <w:t xml:space="preserve">Vulnerability, exploitability, exposure, attack-surface, posture and cyber-risk scoring or prioritisation. The driver here is that organisations now find far more vulnerabilities than they can ever patch, so the strategic problem is no longer detection but prioritisation: which exposures actually matter, in what order, and why.</w:t>
      </w:r>
    </w:p>
    <w:p>
      <w:pPr>
        <w:pStyle w:val="Heading3"/>
        <w:spacing w:after="80" w:before="180"/>
      </w:pPr>
      <w:r>
        <w:rPr>
          <w:rFonts w:ascii="Times New Roman" w:cs="Times New Roman" w:eastAsia="Times New Roman" w:hAnsi="Times New Roman"/>
          <w:b/>
          <w:bCs/>
          <w:color w:val="C00000"/>
          <w:sz w:val="23"/>
          <w:szCs w:val="23"/>
        </w:rPr>
        <w:t xml:space="preserve">Patent 7 — US 2024/0403437 (Cisco) — External API vulnerability assessments</w:t>
      </w:r>
    </w:p>
    <w:p>
      <w:pPr>
        <w:spacing w:after="60" w:before="60" w:line="300"/>
        <w:jc w:val="left"/>
      </w:pPr>
      <w:r>
        <w:rPr>
          <w:rFonts w:ascii="Times New Roman" w:cs="Times New Roman" w:eastAsia="Times New Roman" w:hAnsi="Times New Roman"/>
          <w:b/>
          <w:bCs/>
          <w:i w:val="false"/>
          <w:iCs w:val="false"/>
          <w:color w:val="000000"/>
          <w:sz w:val="22"/>
          <w:szCs w:val="22"/>
        </w:rPr>
        <w:t xml:space="preserve">Forward citations: </w:t>
      </w:r>
      <w:r>
        <w:rPr>
          <w:rFonts w:ascii="Times New Roman" w:cs="Times New Roman" w:eastAsia="Times New Roman" w:hAnsi="Times New Roman"/>
          <w:b w:val="false"/>
          <w:bCs w:val="false"/>
          <w:i w:val="false"/>
          <w:iCs w:val="false"/>
          <w:color w:val="000000"/>
          <w:sz w:val="22"/>
          <w:szCs w:val="22"/>
        </w:rPr>
        <w:t xml:space="preserve">18. </w:t>
      </w:r>
      <w:r>
        <w:rPr>
          <w:rFonts w:ascii="Times New Roman" w:cs="Times New Roman" w:eastAsia="Times New Roman" w:hAnsi="Times New Roman"/>
          <w:b/>
          <w:bCs/>
          <w:i w:val="false"/>
          <w:iCs w:val="false"/>
          <w:color w:val="000000"/>
          <w:sz w:val="22"/>
          <w:szCs w:val="22"/>
        </w:rPr>
        <w:t xml:space="preserve">Cited count: </w:t>
      </w:r>
      <w:r>
        <w:rPr>
          <w:rFonts w:ascii="Times New Roman" w:cs="Times New Roman" w:eastAsia="Times New Roman" w:hAnsi="Times New Roman"/>
          <w:b w:val="false"/>
          <w:bCs w:val="false"/>
          <w:i w:val="false"/>
          <w:iCs w:val="false"/>
          <w:color w:val="000000"/>
          <w:sz w:val="22"/>
          <w:szCs w:val="22"/>
        </w:rPr>
        <w:t xml:space="preserve">0.</w:t>
      </w:r>
    </w:p>
    <w:p>
      <w:pPr>
        <w:spacing w:after="60" w:before="60" w:line="300"/>
        <w:jc w:val="left"/>
      </w:pPr>
      <w:r>
        <w:rPr>
          <w:rFonts w:ascii="Times New Roman" w:cs="Times New Roman" w:eastAsia="Times New Roman" w:hAnsi="Times New Roman"/>
          <w:b/>
          <w:bCs/>
          <w:i w:val="false"/>
          <w:iCs w:val="false"/>
          <w:color w:val="000000"/>
          <w:sz w:val="22"/>
          <w:szCs w:val="22"/>
        </w:rPr>
        <w:t xml:space="preserve">What the invention does. </w:t>
      </w:r>
      <w:r>
        <w:rPr>
          <w:rFonts w:ascii="Times New Roman" w:cs="Times New Roman" w:eastAsia="Times New Roman" w:hAnsi="Times New Roman"/>
          <w:b w:val="false"/>
          <w:bCs w:val="false"/>
          <w:i w:val="false"/>
          <w:iCs w:val="false"/>
          <w:color w:val="000000"/>
          <w:sz w:val="22"/>
          <w:szCs w:val="22"/>
        </w:rPr>
        <w:t xml:space="preserve">It assesses the security risk introduced when an internal application calls an external API. Modern enterprise applications call dozens of third-party APIs (payment, address validation, AI inference, identity providers), and each external call is a trust decision and a potential data-leakage path. This patent provides a way to score that risk continuously.</w:t>
      </w:r>
    </w:p>
    <w:p>
      <w:pPr>
        <w:spacing w:after="60" w:before="60" w:line="300"/>
        <w:jc w:val="left"/>
      </w:pPr>
      <w:r>
        <w:rPr>
          <w:rFonts w:ascii="Times New Roman" w:cs="Times New Roman" w:eastAsia="Times New Roman" w:hAnsi="Times New Roman"/>
          <w:b/>
          <w:bCs/>
          <w:i w:val="false"/>
          <w:iCs w:val="false"/>
          <w:color w:val="000000"/>
          <w:sz w:val="22"/>
          <w:szCs w:val="22"/>
        </w:rPr>
        <w:t xml:space="preserve">How it works. </w:t>
      </w:r>
      <w:r>
        <w:rPr>
          <w:rFonts w:ascii="Times New Roman" w:cs="Times New Roman" w:eastAsia="Times New Roman" w:hAnsi="Times New Roman"/>
          <w:b w:val="false"/>
          <w:bCs w:val="false"/>
          <w:i w:val="false"/>
          <w:iCs w:val="false"/>
          <w:color w:val="000000"/>
          <w:sz w:val="22"/>
          <w:szCs w:val="22"/>
        </w:rPr>
        <w:t xml:space="preserve">The system observes which external APIs an enterprise application calls, gathers signals about each endpoint (reputation, known CVEs in the service, certificate posture, data fields exchanged, observed behaviour over time), and produces an API-level security posture score. The score is then aggregated up to the application level so that risk reviewers can see which of their internal applications depend on which risky external dependencies. Remediation can range from blocking calls, to routing through a hardened gateway, to flagging the dependency for procurement review.</w:t>
      </w:r>
    </w:p>
    <w:p>
      <w:pPr>
        <w:spacing w:after="60" w:before="60" w:line="300"/>
        <w:jc w:val="left"/>
      </w:pPr>
      <w:r>
        <w:rPr>
          <w:rFonts w:ascii="Times New Roman" w:cs="Times New Roman" w:eastAsia="Times New Roman" w:hAnsi="Times New Roman"/>
          <w:b/>
          <w:bCs/>
          <w:i w:val="false"/>
          <w:iCs w:val="false"/>
          <w:color w:val="000000"/>
          <w:sz w:val="22"/>
          <w:szCs w:val="22"/>
        </w:rPr>
        <w:t xml:space="preserve">Why it is important. </w:t>
      </w:r>
      <w:r>
        <w:rPr>
          <w:rFonts w:ascii="Times New Roman" w:cs="Times New Roman" w:eastAsia="Times New Roman" w:hAnsi="Times New Roman"/>
          <w:b w:val="false"/>
          <w:bCs w:val="false"/>
          <w:i w:val="false"/>
          <w:iCs w:val="false"/>
          <w:color w:val="000000"/>
          <w:sz w:val="22"/>
          <w:szCs w:val="22"/>
        </w:rPr>
        <w:t xml:space="preserve">API security is a young and rapidly growing market category. With zero backward citations and 18 forward citations, this is a fresh staking position by Cisco that is already being cited by others.</w:t>
      </w:r>
    </w:p>
    <w:p>
      <w:pPr>
        <w:pStyle w:val="Heading3"/>
        <w:spacing w:after="80" w:before="180"/>
      </w:pPr>
      <w:r>
        <w:rPr>
          <w:rFonts w:ascii="Times New Roman" w:cs="Times New Roman" w:eastAsia="Times New Roman" w:hAnsi="Times New Roman"/>
          <w:b/>
          <w:bCs/>
          <w:color w:val="C00000"/>
          <w:sz w:val="23"/>
          <w:szCs w:val="23"/>
        </w:rPr>
        <w:t xml:space="preserve">Patent 8 — US 2025/0047701 (Palo Alto Networks) — Asset security and risk posture visualization</w:t>
      </w:r>
    </w:p>
    <w:p>
      <w:pPr>
        <w:spacing w:after="60" w:before="60" w:line="300"/>
        <w:jc w:val="left"/>
      </w:pPr>
      <w:r>
        <w:rPr>
          <w:rFonts w:ascii="Times New Roman" w:cs="Times New Roman" w:eastAsia="Times New Roman" w:hAnsi="Times New Roman"/>
          <w:b/>
          <w:bCs/>
          <w:i w:val="false"/>
          <w:iCs w:val="false"/>
          <w:color w:val="000000"/>
          <w:sz w:val="22"/>
          <w:szCs w:val="22"/>
        </w:rPr>
        <w:t xml:space="preserve">Forward citations: </w:t>
      </w:r>
      <w:r>
        <w:rPr>
          <w:rFonts w:ascii="Times New Roman" w:cs="Times New Roman" w:eastAsia="Times New Roman" w:hAnsi="Times New Roman"/>
          <w:b w:val="false"/>
          <w:bCs w:val="false"/>
          <w:i w:val="false"/>
          <w:iCs w:val="false"/>
          <w:color w:val="000000"/>
          <w:sz w:val="22"/>
          <w:szCs w:val="22"/>
        </w:rPr>
        <w:t xml:space="preserve">10. </w:t>
      </w:r>
      <w:r>
        <w:rPr>
          <w:rFonts w:ascii="Times New Roman" w:cs="Times New Roman" w:eastAsia="Times New Roman" w:hAnsi="Times New Roman"/>
          <w:b/>
          <w:bCs/>
          <w:i w:val="false"/>
          <w:iCs w:val="false"/>
          <w:color w:val="000000"/>
          <w:sz w:val="22"/>
          <w:szCs w:val="22"/>
        </w:rPr>
        <w:t xml:space="preserve">Cited count: </w:t>
      </w:r>
      <w:r>
        <w:rPr>
          <w:rFonts w:ascii="Times New Roman" w:cs="Times New Roman" w:eastAsia="Times New Roman" w:hAnsi="Times New Roman"/>
          <w:b w:val="false"/>
          <w:bCs w:val="false"/>
          <w:i w:val="false"/>
          <w:iCs w:val="false"/>
          <w:color w:val="000000"/>
          <w:sz w:val="22"/>
          <w:szCs w:val="22"/>
        </w:rPr>
        <w:t xml:space="preserve">44.</w:t>
      </w:r>
    </w:p>
    <w:p>
      <w:pPr>
        <w:spacing w:after="60" w:before="60" w:line="300"/>
        <w:jc w:val="left"/>
      </w:pPr>
      <w:r>
        <w:rPr>
          <w:rFonts w:ascii="Times New Roman" w:cs="Times New Roman" w:eastAsia="Times New Roman" w:hAnsi="Times New Roman"/>
          <w:b/>
          <w:bCs/>
          <w:i w:val="false"/>
          <w:iCs w:val="false"/>
          <w:color w:val="000000"/>
          <w:sz w:val="22"/>
          <w:szCs w:val="22"/>
        </w:rPr>
        <w:t xml:space="preserve">What the invention does. </w:t>
      </w:r>
      <w:r>
        <w:rPr>
          <w:rFonts w:ascii="Times New Roman" w:cs="Times New Roman" w:eastAsia="Times New Roman" w:hAnsi="Times New Roman"/>
          <w:b w:val="false"/>
          <w:bCs w:val="false"/>
          <w:i w:val="false"/>
          <w:iCs w:val="false"/>
          <w:color w:val="000000"/>
          <w:sz w:val="22"/>
          <w:szCs w:val="22"/>
        </w:rPr>
        <w:t xml:space="preserve">It produces a visual representation of an organisation's assets and their associated security and risk posture so that security teams can see, at a glance, where the most important exposures concentrate. This is the visualisation layer that sits on top of CSPM, CNAPP and ASM data sources.</w:t>
      </w:r>
    </w:p>
    <w:p>
      <w:pPr>
        <w:spacing w:after="60" w:before="60" w:line="300"/>
        <w:jc w:val="left"/>
      </w:pPr>
      <w:r>
        <w:rPr>
          <w:rFonts w:ascii="Times New Roman" w:cs="Times New Roman" w:eastAsia="Times New Roman" w:hAnsi="Times New Roman"/>
          <w:b/>
          <w:bCs/>
          <w:i w:val="false"/>
          <w:iCs w:val="false"/>
          <w:color w:val="000000"/>
          <w:sz w:val="22"/>
          <w:szCs w:val="22"/>
        </w:rPr>
        <w:t xml:space="preserve">How it works. </w:t>
      </w:r>
      <w:r>
        <w:rPr>
          <w:rFonts w:ascii="Times New Roman" w:cs="Times New Roman" w:eastAsia="Times New Roman" w:hAnsi="Times New Roman"/>
          <w:b w:val="false"/>
          <w:bCs w:val="false"/>
          <w:i w:val="false"/>
          <w:iCs w:val="false"/>
          <w:color w:val="000000"/>
          <w:sz w:val="22"/>
          <w:szCs w:val="22"/>
        </w:rPr>
        <w:t xml:space="preserve">The system ingests asset inventory data, misconfiguration findings, vulnerability scan results, runtime behaviour, identity entitlements and threat intelligence. It correlates those signals into attack paths that connect entry points to crown-jewel assets, and it visualises both the static posture and the dynamic attack paths in an evidence-graph form. The high cited count (44) shows the patent builds substantively on prior art; the 10 forward citations show downstream applicants are already engaging with it.</w:t>
      </w:r>
    </w:p>
    <w:p>
      <w:pPr>
        <w:spacing w:after="60" w:before="60" w:line="300"/>
        <w:jc w:val="left"/>
      </w:pPr>
      <w:r>
        <w:rPr>
          <w:rFonts w:ascii="Times New Roman" w:cs="Times New Roman" w:eastAsia="Times New Roman" w:hAnsi="Times New Roman"/>
          <w:b/>
          <w:bCs/>
          <w:i w:val="false"/>
          <w:iCs w:val="false"/>
          <w:color w:val="000000"/>
          <w:sz w:val="22"/>
          <w:szCs w:val="22"/>
        </w:rPr>
        <w:t xml:space="preserve">Why it is important. </w:t>
      </w:r>
      <w:r>
        <w:rPr>
          <w:rFonts w:ascii="Times New Roman" w:cs="Times New Roman" w:eastAsia="Times New Roman" w:hAnsi="Times New Roman"/>
          <w:b w:val="false"/>
          <w:bCs w:val="false"/>
          <w:i w:val="false"/>
          <w:iCs w:val="false"/>
          <w:color w:val="000000"/>
          <w:sz w:val="22"/>
          <w:szCs w:val="22"/>
        </w:rPr>
        <w:t xml:space="preserve">It is the patent expression of what Palo Alto markets as the Prisma Cloud evidence graph. Visualisation patents are unusual in this dataset and they tend to be highly defensible because the claims describe specific visual representations that competitors find hard to copy without inviting infringement.</w:t>
      </w:r>
    </w:p>
    <w:p>
      <w:pPr>
        <w:pageBreakBefore/>
      </w:pPr>
      <w:r>
        <w:br/>
        <w:t xml:space="preserve"/>
      </w:r>
    </w:p>
    <w:p>
      <w:pPr>
        <w:pStyle w:val="Heading2"/>
        <w:spacing w:after="120" w:before="240"/>
      </w:pPr>
      <w:r>
        <w:rPr>
          <w:rFonts w:ascii="Times New Roman" w:cs="Times New Roman" w:eastAsia="Times New Roman" w:hAnsi="Times New Roman"/>
          <w:b/>
          <w:bCs/>
          <w:color w:val="1F3864"/>
          <w:sz w:val="26"/>
          <w:szCs w:val="26"/>
        </w:rPr>
        <w:t xml:space="preserve">3.5  GenAI / LLM</w:t>
      </w:r>
    </w:p>
    <w:p>
      <w:pPr>
        <w:spacing w:after="60" w:before="60" w:line="300"/>
        <w:jc w:val="left"/>
      </w:pPr>
      <w:r>
        <w:rPr>
          <w:rFonts w:ascii="Times New Roman" w:cs="Times New Roman" w:eastAsia="Times New Roman" w:hAnsi="Times New Roman"/>
          <w:b/>
          <w:bCs/>
          <w:i w:val="false"/>
          <w:iCs w:val="false"/>
          <w:color w:val="000000"/>
          <w:sz w:val="22"/>
          <w:szCs w:val="22"/>
        </w:rPr>
        <w:t xml:space="preserve">Definition. </w:t>
      </w:r>
      <w:r>
        <w:rPr>
          <w:rFonts w:ascii="Times New Roman" w:cs="Times New Roman" w:eastAsia="Times New Roman" w:hAnsi="Times New Roman"/>
          <w:b w:val="false"/>
          <w:bCs w:val="false"/>
          <w:i w:val="false"/>
          <w:iCs w:val="false"/>
          <w:color w:val="000000"/>
          <w:sz w:val="22"/>
          <w:szCs w:val="22"/>
        </w:rPr>
        <w:t xml:space="preserve">Use of large language models and generative AI for security purposes, plus protection against prompt injection, jailbreaks, hallucination, adversarial inputs and other model-specific risks. This bucket only has 60 records but it is the fastest-growing area in the dataset (43 of those records were filed in 2024 alone) and it is the area where novel claim language is most likely to survive prior-art challenges.</w:t>
      </w:r>
    </w:p>
    <w:p>
      <w:pPr>
        <w:pStyle w:val="Heading3"/>
        <w:spacing w:after="80" w:before="180"/>
      </w:pPr>
      <w:r>
        <w:rPr>
          <w:rFonts w:ascii="Times New Roman" w:cs="Times New Roman" w:eastAsia="Times New Roman" w:hAnsi="Times New Roman"/>
          <w:b/>
          <w:bCs/>
          <w:color w:val="C00000"/>
          <w:sz w:val="23"/>
          <w:szCs w:val="23"/>
        </w:rPr>
        <w:t xml:space="preserve">Patent 9 — US 2025/0181836 (Robust Intelligence) — Systems and methods for jailbreaking black-box LLMs</w:t>
      </w:r>
    </w:p>
    <w:p>
      <w:pPr>
        <w:spacing w:after="60" w:before="60" w:line="300"/>
        <w:jc w:val="left"/>
      </w:pPr>
      <w:r>
        <w:rPr>
          <w:rFonts w:ascii="Times New Roman" w:cs="Times New Roman" w:eastAsia="Times New Roman" w:hAnsi="Times New Roman"/>
          <w:b/>
          <w:bCs/>
          <w:i w:val="false"/>
          <w:iCs w:val="false"/>
          <w:color w:val="000000"/>
          <w:sz w:val="22"/>
          <w:szCs w:val="22"/>
        </w:rPr>
        <w:t xml:space="preserve">Forward citations: </w:t>
      </w:r>
      <w:r>
        <w:rPr>
          <w:rFonts w:ascii="Times New Roman" w:cs="Times New Roman" w:eastAsia="Times New Roman" w:hAnsi="Times New Roman"/>
          <w:b w:val="false"/>
          <w:bCs w:val="false"/>
          <w:i w:val="false"/>
          <w:iCs w:val="false"/>
          <w:color w:val="000000"/>
          <w:sz w:val="22"/>
          <w:szCs w:val="22"/>
        </w:rPr>
        <w:t xml:space="preserve">8. </w:t>
      </w:r>
      <w:r>
        <w:rPr>
          <w:rFonts w:ascii="Times New Roman" w:cs="Times New Roman" w:eastAsia="Times New Roman" w:hAnsi="Times New Roman"/>
          <w:b/>
          <w:bCs/>
          <w:i w:val="false"/>
          <w:iCs w:val="false"/>
          <w:color w:val="000000"/>
          <w:sz w:val="22"/>
          <w:szCs w:val="22"/>
        </w:rPr>
        <w:t xml:space="preserve">Cited count: </w:t>
      </w:r>
      <w:r>
        <w:rPr>
          <w:rFonts w:ascii="Times New Roman" w:cs="Times New Roman" w:eastAsia="Times New Roman" w:hAnsi="Times New Roman"/>
          <w:b w:val="false"/>
          <w:bCs w:val="false"/>
          <w:i w:val="false"/>
          <w:iCs w:val="false"/>
          <w:color w:val="000000"/>
          <w:sz w:val="22"/>
          <w:szCs w:val="22"/>
        </w:rPr>
        <w:t xml:space="preserve">7.</w:t>
      </w:r>
    </w:p>
    <w:p>
      <w:pPr>
        <w:spacing w:after="60" w:before="60" w:line="300"/>
        <w:jc w:val="left"/>
      </w:pPr>
      <w:r>
        <w:rPr>
          <w:rFonts w:ascii="Times New Roman" w:cs="Times New Roman" w:eastAsia="Times New Roman" w:hAnsi="Times New Roman"/>
          <w:b/>
          <w:bCs/>
          <w:i w:val="false"/>
          <w:iCs w:val="false"/>
          <w:color w:val="000000"/>
          <w:sz w:val="22"/>
          <w:szCs w:val="22"/>
        </w:rPr>
        <w:t xml:space="preserve">What the invention does. </w:t>
      </w:r>
      <w:r>
        <w:rPr>
          <w:rFonts w:ascii="Times New Roman" w:cs="Times New Roman" w:eastAsia="Times New Roman" w:hAnsi="Times New Roman"/>
          <w:b w:val="false"/>
          <w:bCs w:val="false"/>
          <w:i w:val="false"/>
          <w:iCs w:val="false"/>
          <w:color w:val="000000"/>
          <w:sz w:val="22"/>
          <w:szCs w:val="22"/>
        </w:rPr>
        <w:t xml:space="preserve">Despite the provocative title, this is a defensive patent. It describes an automated red-team system that finds jailbreaks against a target LLM that you can only query as a black box (no model weights, no logits). The intended use is by security teams who need to evaluate the robustness of a model before deploying it, not by attackers.</w:t>
      </w:r>
    </w:p>
    <w:p>
      <w:pPr>
        <w:spacing w:after="60" w:before="60" w:line="300"/>
        <w:jc w:val="left"/>
      </w:pPr>
      <w:r>
        <w:rPr>
          <w:rFonts w:ascii="Times New Roman" w:cs="Times New Roman" w:eastAsia="Times New Roman" w:hAnsi="Times New Roman"/>
          <w:b/>
          <w:bCs/>
          <w:i w:val="false"/>
          <w:iCs w:val="false"/>
          <w:color w:val="000000"/>
          <w:sz w:val="22"/>
          <w:szCs w:val="22"/>
        </w:rPr>
        <w:t xml:space="preserve">How it works. </w:t>
      </w:r>
      <w:r>
        <w:rPr>
          <w:rFonts w:ascii="Times New Roman" w:cs="Times New Roman" w:eastAsia="Times New Roman" w:hAnsi="Times New Roman"/>
          <w:b w:val="false"/>
          <w:bCs w:val="false"/>
          <w:i w:val="false"/>
          <w:iCs w:val="false"/>
          <w:color w:val="000000"/>
          <w:sz w:val="22"/>
          <w:szCs w:val="22"/>
        </w:rPr>
        <w:t xml:space="preserve">An attacker LLM is configured to iteratively generate candidate prompts targeting the victim LLM. Each candidate is sent to the victim, the response is evaluated against a goal (for example, producing instructions for a prohibited task), and the attacker LLM uses the response to refine the next candidate. The patent is the Robust Intelligence productisation of the academic PAIR and Tree-of-Attacks-with-Pruning lines of work, which showed that this iterative refinement loop typically produces a successful jailbreak in fewer than twenty queries, orders of magnitude more efficient than gradient-based attacks.</w:t>
      </w:r>
    </w:p>
    <w:p>
      <w:pPr>
        <w:spacing w:after="60" w:before="60" w:line="300"/>
        <w:jc w:val="left"/>
      </w:pPr>
      <w:r>
        <w:rPr>
          <w:rFonts w:ascii="Times New Roman" w:cs="Times New Roman" w:eastAsia="Times New Roman" w:hAnsi="Times New Roman"/>
          <w:b/>
          <w:bCs/>
          <w:i w:val="false"/>
          <w:iCs w:val="false"/>
          <w:color w:val="000000"/>
          <w:sz w:val="22"/>
          <w:szCs w:val="22"/>
        </w:rPr>
        <w:t xml:space="preserve">Why it is important. </w:t>
      </w:r>
      <w:r>
        <w:rPr>
          <w:rFonts w:ascii="Times New Roman" w:cs="Times New Roman" w:eastAsia="Times New Roman" w:hAnsi="Times New Roman"/>
          <w:b w:val="false"/>
          <w:bCs w:val="false"/>
          <w:i w:val="false"/>
          <w:iCs w:val="false"/>
          <w:color w:val="000000"/>
          <w:sz w:val="22"/>
          <w:szCs w:val="22"/>
        </w:rPr>
        <w:t xml:space="preserve">It defines the technique that any LLM red-teaming product needs to either implement, license, or design around. Robust Intelligence was acquired by Cisco in 2024, which makes the patent strategically more valuable than the standalone assignment suggests.</w:t>
      </w:r>
    </w:p>
    <w:p>
      <w:pPr>
        <w:pStyle w:val="Heading3"/>
        <w:spacing w:after="80" w:before="180"/>
      </w:pPr>
      <w:r>
        <w:rPr>
          <w:rFonts w:ascii="Times New Roman" w:cs="Times New Roman" w:eastAsia="Times New Roman" w:hAnsi="Times New Roman"/>
          <w:b/>
          <w:bCs/>
          <w:color w:val="C00000"/>
          <w:sz w:val="23"/>
          <w:szCs w:val="23"/>
        </w:rPr>
        <w:t xml:space="preserve">Patent 10 — US 2025/0335795 (Palo Alto Networks) — Unstructured data extraction with LLMs for query resolution</w:t>
      </w:r>
    </w:p>
    <w:p>
      <w:pPr>
        <w:spacing w:after="60" w:before="60" w:line="300"/>
        <w:jc w:val="left"/>
      </w:pPr>
      <w:r>
        <w:rPr>
          <w:rFonts w:ascii="Times New Roman" w:cs="Times New Roman" w:eastAsia="Times New Roman" w:hAnsi="Times New Roman"/>
          <w:b/>
          <w:bCs/>
          <w:i w:val="false"/>
          <w:iCs w:val="false"/>
          <w:color w:val="000000"/>
          <w:sz w:val="22"/>
          <w:szCs w:val="22"/>
        </w:rPr>
        <w:t xml:space="preserve">Forward citations: </w:t>
      </w:r>
      <w:r>
        <w:rPr>
          <w:rFonts w:ascii="Times New Roman" w:cs="Times New Roman" w:eastAsia="Times New Roman" w:hAnsi="Times New Roman"/>
          <w:b w:val="false"/>
          <w:bCs w:val="false"/>
          <w:i w:val="false"/>
          <w:iCs w:val="false"/>
          <w:color w:val="000000"/>
          <w:sz w:val="22"/>
          <w:szCs w:val="22"/>
        </w:rPr>
        <w:t xml:space="preserve">7. </w:t>
      </w:r>
      <w:r>
        <w:rPr>
          <w:rFonts w:ascii="Times New Roman" w:cs="Times New Roman" w:eastAsia="Times New Roman" w:hAnsi="Times New Roman"/>
          <w:b/>
          <w:bCs/>
          <w:i w:val="false"/>
          <w:iCs w:val="false"/>
          <w:color w:val="000000"/>
          <w:sz w:val="22"/>
          <w:szCs w:val="22"/>
        </w:rPr>
        <w:t xml:space="preserve">Cited count: </w:t>
      </w:r>
      <w:r>
        <w:rPr>
          <w:rFonts w:ascii="Times New Roman" w:cs="Times New Roman" w:eastAsia="Times New Roman" w:hAnsi="Times New Roman"/>
          <w:b w:val="false"/>
          <w:bCs w:val="false"/>
          <w:i w:val="false"/>
          <w:iCs w:val="false"/>
          <w:color w:val="000000"/>
          <w:sz w:val="22"/>
          <w:szCs w:val="22"/>
        </w:rPr>
        <w:t xml:space="preserve">4.</w:t>
      </w:r>
    </w:p>
    <w:p>
      <w:pPr>
        <w:spacing w:after="60" w:before="60" w:line="300"/>
        <w:jc w:val="left"/>
      </w:pPr>
      <w:r>
        <w:rPr>
          <w:rFonts w:ascii="Times New Roman" w:cs="Times New Roman" w:eastAsia="Times New Roman" w:hAnsi="Times New Roman"/>
          <w:b/>
          <w:bCs/>
          <w:i w:val="false"/>
          <w:iCs w:val="false"/>
          <w:color w:val="000000"/>
          <w:sz w:val="22"/>
          <w:szCs w:val="22"/>
        </w:rPr>
        <w:t xml:space="preserve">What the invention does. </w:t>
      </w:r>
      <w:r>
        <w:rPr>
          <w:rFonts w:ascii="Times New Roman" w:cs="Times New Roman" w:eastAsia="Times New Roman" w:hAnsi="Times New Roman"/>
          <w:b w:val="false"/>
          <w:bCs w:val="false"/>
          <w:i w:val="false"/>
          <w:iCs w:val="false"/>
          <w:color w:val="000000"/>
          <w:sz w:val="22"/>
          <w:szCs w:val="22"/>
        </w:rPr>
        <w:t xml:space="preserve">It uses an LLM agent to extract structured answers from unstructured security data (logs, threat-intelligence reports, alert narratives, configuration files) in order to resolve a natural-language query from a security analyst. It is the LLM-copilot layer that sits on top of a SIEM or XDR dataset.</w:t>
      </w:r>
    </w:p>
    <w:p>
      <w:pPr>
        <w:spacing w:after="60" w:before="60" w:line="300"/>
        <w:jc w:val="left"/>
      </w:pPr>
      <w:r>
        <w:rPr>
          <w:rFonts w:ascii="Times New Roman" w:cs="Times New Roman" w:eastAsia="Times New Roman" w:hAnsi="Times New Roman"/>
          <w:b/>
          <w:bCs/>
          <w:i w:val="false"/>
          <w:iCs w:val="false"/>
          <w:color w:val="000000"/>
          <w:sz w:val="22"/>
          <w:szCs w:val="22"/>
        </w:rPr>
        <w:t xml:space="preserve">How it works. </w:t>
      </w:r>
      <w:r>
        <w:rPr>
          <w:rFonts w:ascii="Times New Roman" w:cs="Times New Roman" w:eastAsia="Times New Roman" w:hAnsi="Times New Roman"/>
          <w:b w:val="false"/>
          <w:bCs w:val="false"/>
          <w:i w:val="false"/>
          <w:iCs w:val="false"/>
          <w:color w:val="000000"/>
          <w:sz w:val="22"/>
          <w:szCs w:val="22"/>
        </w:rPr>
        <w:t xml:space="preserve">An analyst issues a natural-language query ("which hosts have communicated with this IP in the last seven days and what processes initiated those connections?"). An orchestrator decomposes the query into sub-queries, dispatches each sub-query to either a structured-data agent or an unstructured-data agent, and uses the LLM to extract relevant passages from retrieved data records. The structured agent searches data models in a vector store, the unstructured agent uses LLM extraction to pull passages, and the orchestrator stitches the results into a single answer. Type-system retrieval keeps the LLM grounded in the actual schema of the security data lake so the output is auditable rather than hallucinated.</w:t>
      </w:r>
    </w:p>
    <w:p>
      <w:pPr>
        <w:spacing w:after="60" w:before="60" w:line="300"/>
        <w:jc w:val="left"/>
      </w:pPr>
      <w:r>
        <w:rPr>
          <w:rFonts w:ascii="Times New Roman" w:cs="Times New Roman" w:eastAsia="Times New Roman" w:hAnsi="Times New Roman"/>
          <w:b/>
          <w:bCs/>
          <w:i w:val="false"/>
          <w:iCs w:val="false"/>
          <w:color w:val="000000"/>
          <w:sz w:val="22"/>
          <w:szCs w:val="22"/>
        </w:rPr>
        <w:t xml:space="preserve">Why it is important. </w:t>
      </w:r>
      <w:r>
        <w:rPr>
          <w:rFonts w:ascii="Times New Roman" w:cs="Times New Roman" w:eastAsia="Times New Roman" w:hAnsi="Times New Roman"/>
          <w:b w:val="false"/>
          <w:bCs w:val="false"/>
          <w:i w:val="false"/>
          <w:iCs w:val="false"/>
          <w:color w:val="000000"/>
          <w:sz w:val="22"/>
          <w:szCs w:val="22"/>
        </w:rPr>
        <w:t xml:space="preserve">This is the patent shape behind every "SOC copilot" product launching in 2025-2026. The orchestrator-plus-specialist-agents architecture is becoming the dominant pattern, and patenting it now is strategically aggressive.</w:t>
      </w:r>
    </w:p>
    <w:p>
      <w:pPr>
        <w:pageBreakBefore/>
      </w:pPr>
      <w:r>
        <w:br/>
        <w:t xml:space="preserve"/>
      </w:r>
    </w:p>
    <w:p>
      <w:pPr>
        <w:pStyle w:val="Heading2"/>
        <w:spacing w:after="120" w:before="240"/>
      </w:pPr>
      <w:r>
        <w:rPr>
          <w:rFonts w:ascii="Times New Roman" w:cs="Times New Roman" w:eastAsia="Times New Roman" w:hAnsi="Times New Roman"/>
          <w:b/>
          <w:bCs/>
          <w:color w:val="1F3864"/>
          <w:sz w:val="26"/>
          <w:szCs w:val="26"/>
        </w:rPr>
        <w:t xml:space="preserve">3.6  Malware / Phishing</w:t>
      </w:r>
    </w:p>
    <w:p>
      <w:pPr>
        <w:spacing w:after="60" w:before="60" w:line="300"/>
        <w:jc w:val="left"/>
      </w:pPr>
      <w:r>
        <w:rPr>
          <w:rFonts w:ascii="Times New Roman" w:cs="Times New Roman" w:eastAsia="Times New Roman" w:hAnsi="Times New Roman"/>
          <w:b/>
          <w:bCs/>
          <w:i w:val="false"/>
          <w:iCs w:val="false"/>
          <w:color w:val="000000"/>
          <w:sz w:val="22"/>
          <w:szCs w:val="22"/>
        </w:rPr>
        <w:t xml:space="preserve">Definition. </w:t>
      </w:r>
      <w:r>
        <w:rPr>
          <w:rFonts w:ascii="Times New Roman" w:cs="Times New Roman" w:eastAsia="Times New Roman" w:hAnsi="Times New Roman"/>
          <w:b w:val="false"/>
          <w:bCs w:val="false"/>
          <w:i w:val="false"/>
          <w:iCs w:val="false"/>
          <w:color w:val="000000"/>
          <w:sz w:val="22"/>
          <w:szCs w:val="22"/>
        </w:rPr>
        <w:t xml:space="preserve">Defence against malware, phishing, ransomware, malicious URLs, files, emails, bot activity, scams and synthetic or deepfake threats. A relatively small bucket (32 records) but a foundational one, because every email and every URL is still a potential entry point.</w:t>
      </w:r>
    </w:p>
    <w:p>
      <w:pPr>
        <w:pStyle w:val="Heading3"/>
        <w:spacing w:after="80" w:before="180"/>
      </w:pPr>
      <w:r>
        <w:rPr>
          <w:rFonts w:ascii="Times New Roman" w:cs="Times New Roman" w:eastAsia="Times New Roman" w:hAnsi="Times New Roman"/>
          <w:b/>
          <w:bCs/>
          <w:color w:val="C00000"/>
          <w:sz w:val="23"/>
          <w:szCs w:val="23"/>
        </w:rPr>
        <w:t xml:space="preserve">Patent 11 — US 12,003,535 (Microsoft) — Phishing URL detection using transformers</w:t>
      </w:r>
    </w:p>
    <w:p>
      <w:pPr>
        <w:spacing w:after="60" w:before="60" w:line="300"/>
        <w:jc w:val="left"/>
      </w:pPr>
      <w:r>
        <w:rPr>
          <w:rFonts w:ascii="Times New Roman" w:cs="Times New Roman" w:eastAsia="Times New Roman" w:hAnsi="Times New Roman"/>
          <w:b/>
          <w:bCs/>
          <w:i w:val="false"/>
          <w:iCs w:val="false"/>
          <w:color w:val="000000"/>
          <w:sz w:val="22"/>
          <w:szCs w:val="22"/>
        </w:rPr>
        <w:t xml:space="preserve">Forward citations: </w:t>
      </w:r>
      <w:r>
        <w:rPr>
          <w:rFonts w:ascii="Times New Roman" w:cs="Times New Roman" w:eastAsia="Times New Roman" w:hAnsi="Times New Roman"/>
          <w:b w:val="false"/>
          <w:bCs w:val="false"/>
          <w:i w:val="false"/>
          <w:iCs w:val="false"/>
          <w:color w:val="000000"/>
          <w:sz w:val="22"/>
          <w:szCs w:val="22"/>
        </w:rPr>
        <w:t xml:space="preserve">5. </w:t>
      </w:r>
      <w:r>
        <w:rPr>
          <w:rFonts w:ascii="Times New Roman" w:cs="Times New Roman" w:eastAsia="Times New Roman" w:hAnsi="Times New Roman"/>
          <w:b/>
          <w:bCs/>
          <w:i w:val="false"/>
          <w:iCs w:val="false"/>
          <w:color w:val="000000"/>
          <w:sz w:val="22"/>
          <w:szCs w:val="22"/>
        </w:rPr>
        <w:t xml:space="preserve">Cited count: </w:t>
      </w:r>
      <w:r>
        <w:rPr>
          <w:rFonts w:ascii="Times New Roman" w:cs="Times New Roman" w:eastAsia="Times New Roman" w:hAnsi="Times New Roman"/>
          <w:b w:val="false"/>
          <w:bCs w:val="false"/>
          <w:i w:val="false"/>
          <w:iCs w:val="false"/>
          <w:color w:val="000000"/>
          <w:sz w:val="22"/>
          <w:szCs w:val="22"/>
        </w:rPr>
        <w:t xml:space="preserve">45.</w:t>
      </w:r>
    </w:p>
    <w:p>
      <w:pPr>
        <w:spacing w:after="60" w:before="60" w:line="300"/>
        <w:jc w:val="left"/>
      </w:pPr>
      <w:r>
        <w:rPr>
          <w:rFonts w:ascii="Times New Roman" w:cs="Times New Roman" w:eastAsia="Times New Roman" w:hAnsi="Times New Roman"/>
          <w:b/>
          <w:bCs/>
          <w:i w:val="false"/>
          <w:iCs w:val="false"/>
          <w:color w:val="000000"/>
          <w:sz w:val="22"/>
          <w:szCs w:val="22"/>
        </w:rPr>
        <w:t xml:space="preserve">What the invention does. </w:t>
      </w:r>
      <w:r>
        <w:rPr>
          <w:rFonts w:ascii="Times New Roman" w:cs="Times New Roman" w:eastAsia="Times New Roman" w:hAnsi="Times New Roman"/>
          <w:b w:val="false"/>
          <w:bCs w:val="false"/>
          <w:i w:val="false"/>
          <w:iCs w:val="false"/>
          <w:color w:val="000000"/>
          <w:sz w:val="22"/>
          <w:szCs w:val="22"/>
        </w:rPr>
        <w:t xml:space="preserve">It detects phishing URLs using a transformer-based deep learning model, marketed inside the patent as URLTran. It applies the transformer architecture (the same family behind BERT and GPT) to the URL classification problem, which was previously dominated by CNN and LSTM approaches such as URLNet.</w:t>
      </w:r>
    </w:p>
    <w:p>
      <w:pPr>
        <w:spacing w:after="60" w:before="60" w:line="300"/>
        <w:jc w:val="left"/>
      </w:pPr>
      <w:r>
        <w:rPr>
          <w:rFonts w:ascii="Times New Roman" w:cs="Times New Roman" w:eastAsia="Times New Roman" w:hAnsi="Times New Roman"/>
          <w:b/>
          <w:bCs/>
          <w:i w:val="false"/>
          <w:iCs w:val="false"/>
          <w:color w:val="000000"/>
          <w:sz w:val="22"/>
          <w:szCs w:val="22"/>
        </w:rPr>
        <w:t xml:space="preserve">How it works. </w:t>
      </w:r>
      <w:r>
        <w:rPr>
          <w:rFonts w:ascii="Times New Roman" w:cs="Times New Roman" w:eastAsia="Times New Roman" w:hAnsi="Times New Roman"/>
          <w:b w:val="false"/>
          <w:bCs w:val="false"/>
          <w:i w:val="false"/>
          <w:iCs w:val="false"/>
          <w:color w:val="000000"/>
          <w:sz w:val="22"/>
          <w:szCs w:val="22"/>
        </w:rPr>
        <w:t xml:space="preserve">Useful features are extracted from the URL and surrounding context: the URL text itself, certificate data, referrer URL, IP address and so on. The features are tokenised using a joint Byte Pair Encoding scheme so the same tokeniser handles all the heterogeneous fields. The token sequence is fed into a transformer, producing a token embedding that is passed to a classifier. The patent also covers adversarial training: training data is augmented by permuting token order, simulating homoglyph attacks (using lookalike characters) and simulating compound-word attacks, which forces the model to be robust against the specific tricks phishers use to evade earlier detectors. Reported results show that at a 0.01 percent false positive rate, URLTran lifts true-positive rate from 71.2 percent (URLNet baseline) to 86.8 percent.</w:t>
      </w:r>
    </w:p>
    <w:p>
      <w:pPr>
        <w:spacing w:after="60" w:before="60" w:line="300"/>
        <w:jc w:val="left"/>
      </w:pPr>
      <w:r>
        <w:rPr>
          <w:rFonts w:ascii="Times New Roman" w:cs="Times New Roman" w:eastAsia="Times New Roman" w:hAnsi="Times New Roman"/>
          <w:b/>
          <w:bCs/>
          <w:i w:val="false"/>
          <w:iCs w:val="false"/>
          <w:color w:val="000000"/>
          <w:sz w:val="22"/>
          <w:szCs w:val="22"/>
        </w:rPr>
        <w:t xml:space="preserve">Why it is important. </w:t>
      </w:r>
      <w:r>
        <w:rPr>
          <w:rFonts w:ascii="Times New Roman" w:cs="Times New Roman" w:eastAsia="Times New Roman" w:hAnsi="Times New Roman"/>
          <w:b w:val="false"/>
          <w:bCs w:val="false"/>
          <w:i w:val="false"/>
          <w:iCs w:val="false"/>
          <w:color w:val="000000"/>
          <w:sz w:val="22"/>
          <w:szCs w:val="22"/>
        </w:rPr>
        <w:t xml:space="preserve">It is the patent expression of the Edge SmartScreen phishing detector. Microsoft uses it at internet scale, so the implementation reference is concrete and the prior-art position is strong. The 45 cited references show the careful prior-art work done in the file.</w:t>
      </w:r>
    </w:p>
    <w:p>
      <w:pPr>
        <w:pStyle w:val="Heading3"/>
        <w:spacing w:after="80" w:before="180"/>
      </w:pPr>
      <w:r>
        <w:rPr>
          <w:rFonts w:ascii="Times New Roman" w:cs="Times New Roman" w:eastAsia="Times New Roman" w:hAnsi="Times New Roman"/>
          <w:b/>
          <w:bCs/>
          <w:color w:val="C00000"/>
          <w:sz w:val="23"/>
          <w:szCs w:val="23"/>
        </w:rPr>
        <w:t xml:space="preserve">Patent 12 — US 11,687,652 (Trend Micro) — Clustering of binary files using architecture-agnostic digests</w:t>
      </w:r>
    </w:p>
    <w:p>
      <w:pPr>
        <w:spacing w:after="60" w:before="60" w:line="300"/>
        <w:jc w:val="left"/>
      </w:pPr>
      <w:r>
        <w:rPr>
          <w:rFonts w:ascii="Times New Roman" w:cs="Times New Roman" w:eastAsia="Times New Roman" w:hAnsi="Times New Roman"/>
          <w:b/>
          <w:bCs/>
          <w:i w:val="false"/>
          <w:iCs w:val="false"/>
          <w:color w:val="000000"/>
          <w:sz w:val="22"/>
          <w:szCs w:val="22"/>
        </w:rPr>
        <w:t xml:space="preserve">Forward citations: </w:t>
      </w: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000000"/>
          <w:sz w:val="22"/>
          <w:szCs w:val="22"/>
        </w:rPr>
        <w:t xml:space="preserve">Cited count: </w:t>
      </w:r>
      <w:r>
        <w:rPr>
          <w:rFonts w:ascii="Times New Roman" w:cs="Times New Roman" w:eastAsia="Times New Roman" w:hAnsi="Times New Roman"/>
          <w:b w:val="false"/>
          <w:bCs w:val="false"/>
          <w:i w:val="false"/>
          <w:iCs w:val="false"/>
          <w:color w:val="000000"/>
          <w:sz w:val="22"/>
          <w:szCs w:val="22"/>
        </w:rPr>
        <w:t xml:space="preserve">2.</w:t>
      </w:r>
    </w:p>
    <w:p>
      <w:pPr>
        <w:spacing w:after="60" w:before="60" w:line="300"/>
        <w:jc w:val="left"/>
      </w:pPr>
      <w:r>
        <w:rPr>
          <w:rFonts w:ascii="Times New Roman" w:cs="Times New Roman" w:eastAsia="Times New Roman" w:hAnsi="Times New Roman"/>
          <w:b/>
          <w:bCs/>
          <w:i w:val="false"/>
          <w:iCs w:val="false"/>
          <w:color w:val="000000"/>
          <w:sz w:val="22"/>
          <w:szCs w:val="22"/>
        </w:rPr>
        <w:t xml:space="preserve">What the invention does. </w:t>
      </w:r>
      <w:r>
        <w:rPr>
          <w:rFonts w:ascii="Times New Roman" w:cs="Times New Roman" w:eastAsia="Times New Roman" w:hAnsi="Times New Roman"/>
          <w:b w:val="false"/>
          <w:bCs w:val="false"/>
          <w:i w:val="false"/>
          <w:iCs w:val="false"/>
          <w:color w:val="000000"/>
          <w:sz w:val="22"/>
          <w:szCs w:val="22"/>
        </w:rPr>
        <w:t xml:space="preserve">It clusters malware binaries into families even when those binaries come from different CPU architectures (x86, ARM, MIPS). Cross-architecture clustering matters because IoT malware in particular spreads across architectures and a clustering scheme that only works within one architecture misses the relationships.</w:t>
      </w:r>
    </w:p>
    <w:p>
      <w:pPr>
        <w:spacing w:after="60" w:before="60" w:line="300"/>
        <w:jc w:val="left"/>
      </w:pPr>
      <w:r>
        <w:rPr>
          <w:rFonts w:ascii="Times New Roman" w:cs="Times New Roman" w:eastAsia="Times New Roman" w:hAnsi="Times New Roman"/>
          <w:b/>
          <w:bCs/>
          <w:i w:val="false"/>
          <w:iCs w:val="false"/>
          <w:color w:val="000000"/>
          <w:sz w:val="22"/>
          <w:szCs w:val="22"/>
        </w:rPr>
        <w:t xml:space="preserve">How it works. </w:t>
      </w:r>
      <w:r>
        <w:rPr>
          <w:rFonts w:ascii="Times New Roman" w:cs="Times New Roman" w:eastAsia="Times New Roman" w:hAnsi="Times New Roman"/>
          <w:b w:val="false"/>
          <w:bCs w:val="false"/>
          <w:i w:val="false"/>
          <w:iCs w:val="false"/>
          <w:color w:val="000000"/>
          <w:sz w:val="22"/>
          <w:szCs w:val="22"/>
        </w:rPr>
        <w:t xml:space="preserve">The target binary is reduced to a set of architecture-agnostic functions (representations of the function's behaviour that survive the change from one instruction set to another, for example its control-flow shape or its abstracted operation sequence). Those representations are concatenated into an input string and a digest of that input string is computed. The digest is compared with digests of known-malicious binaries; the closest cluster supplies a malware-family label. Because the digest is architecture-agnostic, a Mirai variant compiled for ARM lands in the same cluster as the x86 reference sample.</w:t>
      </w:r>
    </w:p>
    <w:p>
      <w:pPr>
        <w:spacing w:after="60" w:before="60" w:line="300"/>
        <w:jc w:val="left"/>
      </w:pPr>
      <w:r>
        <w:rPr>
          <w:rFonts w:ascii="Times New Roman" w:cs="Times New Roman" w:eastAsia="Times New Roman" w:hAnsi="Times New Roman"/>
          <w:b/>
          <w:bCs/>
          <w:i w:val="false"/>
          <w:iCs w:val="false"/>
          <w:color w:val="000000"/>
          <w:sz w:val="22"/>
          <w:szCs w:val="22"/>
        </w:rPr>
        <w:t xml:space="preserve">Why it is important. </w:t>
      </w:r>
      <w:r>
        <w:rPr>
          <w:rFonts w:ascii="Times New Roman" w:cs="Times New Roman" w:eastAsia="Times New Roman" w:hAnsi="Times New Roman"/>
          <w:b w:val="false"/>
          <w:bCs w:val="false"/>
          <w:i w:val="false"/>
          <w:iCs w:val="false"/>
          <w:color w:val="000000"/>
          <w:sz w:val="22"/>
          <w:szCs w:val="22"/>
        </w:rPr>
        <w:t xml:space="preserve">Trend Micro's specialisation is malware analysis at scale, and this is the patent that lets them group cross-architecture samples into family verdicts without re-disassembling each one. The cited count is low (2) because the technique is genuinely novel and prior art is sparse.</w:t>
      </w:r>
    </w:p>
    <w:p>
      <w:pPr>
        <w:pageBreakBefore/>
      </w:pPr>
      <w:r>
        <w:br/>
        <w:t xml:space="preserve"/>
      </w:r>
    </w:p>
    <w:p>
      <w:pPr>
        <w:pStyle w:val="Heading2"/>
        <w:spacing w:after="120" w:before="240"/>
      </w:pPr>
      <w:r>
        <w:rPr>
          <w:rFonts w:ascii="Times New Roman" w:cs="Times New Roman" w:eastAsia="Times New Roman" w:hAnsi="Times New Roman"/>
          <w:b/>
          <w:bCs/>
          <w:color w:val="1F3864"/>
          <w:sz w:val="26"/>
          <w:szCs w:val="26"/>
        </w:rPr>
        <w:t xml:space="preserve">3.7  Data / Privacy</w:t>
      </w:r>
    </w:p>
    <w:p>
      <w:pPr>
        <w:spacing w:after="60" w:before="60" w:line="300"/>
        <w:jc w:val="left"/>
      </w:pPr>
      <w:r>
        <w:rPr>
          <w:rFonts w:ascii="Times New Roman" w:cs="Times New Roman" w:eastAsia="Times New Roman" w:hAnsi="Times New Roman"/>
          <w:b/>
          <w:bCs/>
          <w:i w:val="false"/>
          <w:iCs w:val="false"/>
          <w:color w:val="000000"/>
          <w:sz w:val="22"/>
          <w:szCs w:val="22"/>
        </w:rPr>
        <w:t xml:space="preserve">Definition. </w:t>
      </w:r>
      <w:r>
        <w:rPr>
          <w:rFonts w:ascii="Times New Roman" w:cs="Times New Roman" w:eastAsia="Times New Roman" w:hAnsi="Times New Roman"/>
          <w:b w:val="false"/>
          <w:bCs w:val="false"/>
          <w:i w:val="false"/>
          <w:iCs w:val="false"/>
          <w:color w:val="000000"/>
          <w:sz w:val="22"/>
          <w:szCs w:val="22"/>
        </w:rPr>
        <w:t xml:space="preserve">Data leakage and exfiltration, privacy, secrets, encryption, cryptography, certificates and sensitive-data protection. The smallest bucket (25 records) but a strategic one because data, not infrastructure, is the asset that regulators and customers actually care about.</w:t>
      </w:r>
    </w:p>
    <w:p>
      <w:pPr>
        <w:pStyle w:val="Heading3"/>
        <w:spacing w:after="80" w:before="180"/>
      </w:pPr>
      <w:r>
        <w:rPr>
          <w:rFonts w:ascii="Times New Roman" w:cs="Times New Roman" w:eastAsia="Times New Roman" w:hAnsi="Times New Roman"/>
          <w:b/>
          <w:bCs/>
          <w:color w:val="C00000"/>
          <w:sz w:val="23"/>
          <w:szCs w:val="23"/>
        </w:rPr>
        <w:t xml:space="preserve">Patent 13 — US 11,783,062 (Microsoft) — Risk-based access to computing environment secrets</w:t>
      </w:r>
    </w:p>
    <w:p>
      <w:pPr>
        <w:spacing w:after="60" w:before="60" w:line="300"/>
        <w:jc w:val="left"/>
      </w:pPr>
      <w:r>
        <w:rPr>
          <w:rFonts w:ascii="Times New Roman" w:cs="Times New Roman" w:eastAsia="Times New Roman" w:hAnsi="Times New Roman"/>
          <w:b/>
          <w:bCs/>
          <w:i w:val="false"/>
          <w:iCs w:val="false"/>
          <w:color w:val="000000"/>
          <w:sz w:val="22"/>
          <w:szCs w:val="22"/>
        </w:rPr>
        <w:t xml:space="preserve">Forward citations: </w:t>
      </w:r>
      <w:r>
        <w:rPr>
          <w:rFonts w:ascii="Times New Roman" w:cs="Times New Roman" w:eastAsia="Times New Roman" w:hAnsi="Times New Roman"/>
          <w:b w:val="false"/>
          <w:bCs w:val="false"/>
          <w:i w:val="false"/>
          <w:iCs w:val="false"/>
          <w:color w:val="000000"/>
          <w:sz w:val="22"/>
          <w:szCs w:val="22"/>
        </w:rPr>
        <w:t xml:space="preserve">70 (second-highest in the dataset). </w:t>
      </w:r>
      <w:r>
        <w:rPr>
          <w:rFonts w:ascii="Times New Roman" w:cs="Times New Roman" w:eastAsia="Times New Roman" w:hAnsi="Times New Roman"/>
          <w:b/>
          <w:bCs/>
          <w:i w:val="false"/>
          <w:iCs w:val="false"/>
          <w:color w:val="000000"/>
          <w:sz w:val="22"/>
          <w:szCs w:val="22"/>
        </w:rPr>
        <w:t xml:space="preserve">Cited count: </w:t>
      </w:r>
      <w:r>
        <w:rPr>
          <w:rFonts w:ascii="Times New Roman" w:cs="Times New Roman" w:eastAsia="Times New Roman" w:hAnsi="Times New Roman"/>
          <w:b w:val="false"/>
          <w:bCs w:val="false"/>
          <w:i w:val="false"/>
          <w:iCs w:val="false"/>
          <w:color w:val="000000"/>
          <w:sz w:val="22"/>
          <w:szCs w:val="22"/>
        </w:rPr>
        <w:t xml:space="preserve">25.</w:t>
      </w:r>
    </w:p>
    <w:p>
      <w:pPr>
        <w:spacing w:after="60" w:before="60" w:line="300"/>
        <w:jc w:val="left"/>
      </w:pPr>
      <w:r>
        <w:rPr>
          <w:rFonts w:ascii="Times New Roman" w:cs="Times New Roman" w:eastAsia="Times New Roman" w:hAnsi="Times New Roman"/>
          <w:b/>
          <w:bCs/>
          <w:i w:val="false"/>
          <w:iCs w:val="false"/>
          <w:color w:val="000000"/>
          <w:sz w:val="22"/>
          <w:szCs w:val="22"/>
        </w:rPr>
        <w:t xml:space="preserve">What the invention does. </w:t>
      </w:r>
      <w:r>
        <w:rPr>
          <w:rFonts w:ascii="Times New Roman" w:cs="Times New Roman" w:eastAsia="Times New Roman" w:hAnsi="Times New Roman"/>
          <w:b w:val="false"/>
          <w:bCs w:val="false"/>
          <w:i w:val="false"/>
          <w:iCs w:val="false"/>
          <w:color w:val="000000"/>
          <w:sz w:val="22"/>
          <w:szCs w:val="22"/>
        </w:rPr>
        <w:t xml:space="preserve">It treats secrets (API keys, certificates, passwords, tokens) as first-class assets that have their own risk metadata, then modulates access to those secrets based on the calculated risk. Traditionally, secrets are stored in a vault and access is binary: you either hold the right entitlement or you do not. This patent makes that access risk-aware.</w:t>
      </w:r>
    </w:p>
    <w:p>
      <w:pPr>
        <w:spacing w:after="60" w:before="60" w:line="300"/>
        <w:jc w:val="left"/>
      </w:pPr>
      <w:r>
        <w:rPr>
          <w:rFonts w:ascii="Times New Roman" w:cs="Times New Roman" w:eastAsia="Times New Roman" w:hAnsi="Times New Roman"/>
          <w:b/>
          <w:bCs/>
          <w:i w:val="false"/>
          <w:iCs w:val="false"/>
          <w:color w:val="000000"/>
          <w:sz w:val="22"/>
          <w:szCs w:val="22"/>
        </w:rPr>
        <w:t xml:space="preserve">How it works. </w:t>
      </w:r>
      <w:r>
        <w:rPr>
          <w:rFonts w:ascii="Times New Roman" w:cs="Times New Roman" w:eastAsia="Times New Roman" w:hAnsi="Times New Roman"/>
          <w:b w:val="false"/>
          <w:bCs w:val="false"/>
          <w:i w:val="false"/>
          <w:iCs w:val="false"/>
          <w:color w:val="000000"/>
          <w:sz w:val="22"/>
          <w:szCs w:val="22"/>
        </w:rPr>
        <w:t xml:space="preserve">Each secret is augmented with risk metadata (sensitivity, blast radius, exposure history, age, rotation cadence, the criticality of what it secures). At access time, a risk score is calculated for the specific secret being requested in the specific context being requested. Access is then 'computationally modulated' based on the score, which may mean granting it, requiring step-up authentication, time-boxing it, requiring a co-signer, or denying it outright. The system also distinguishes functionally between access to secrets and access to non-secret assets so that secret-specific controls can be enforced even when the surrounding authorisation system is generic.</w:t>
      </w:r>
    </w:p>
    <w:p>
      <w:pPr>
        <w:spacing w:after="60" w:before="60" w:line="300"/>
        <w:jc w:val="left"/>
      </w:pPr>
      <w:r>
        <w:rPr>
          <w:rFonts w:ascii="Times New Roman" w:cs="Times New Roman" w:eastAsia="Times New Roman" w:hAnsi="Times New Roman"/>
          <w:b/>
          <w:bCs/>
          <w:i w:val="false"/>
          <w:iCs w:val="false"/>
          <w:color w:val="000000"/>
          <w:sz w:val="22"/>
          <w:szCs w:val="22"/>
        </w:rPr>
        <w:t xml:space="preserve">Why it is important. </w:t>
      </w:r>
      <w:r>
        <w:rPr>
          <w:rFonts w:ascii="Times New Roman" w:cs="Times New Roman" w:eastAsia="Times New Roman" w:hAnsi="Times New Roman"/>
          <w:b w:val="false"/>
          <w:bCs w:val="false"/>
          <w:i w:val="false"/>
          <w:iCs w:val="false"/>
          <w:color w:val="000000"/>
          <w:sz w:val="22"/>
          <w:szCs w:val="22"/>
        </w:rPr>
        <w:t xml:space="preserve">70 forward citations and the fact that this sits in the smallest category bucket means this is the most influential single patent in the data and privacy space. Any product that calls itself "secrets governance" or "risk-aware vault" is going to encounter this Microsoft position.</w:t>
      </w:r>
    </w:p>
    <w:p>
      <w:pPr>
        <w:pStyle w:val="Heading3"/>
        <w:spacing w:after="80" w:before="180"/>
      </w:pPr>
      <w:r>
        <w:rPr>
          <w:rFonts w:ascii="Times New Roman" w:cs="Times New Roman" w:eastAsia="Times New Roman" w:hAnsi="Times New Roman"/>
          <w:b/>
          <w:bCs/>
          <w:color w:val="C00000"/>
          <w:sz w:val="23"/>
          <w:szCs w:val="23"/>
        </w:rPr>
        <w:t xml:space="preserve">Patent 14 — US 11,921,820 (Fortinet) — Real-time minimal vector labeling scheme for supervised machine learning</w:t>
      </w:r>
    </w:p>
    <w:p>
      <w:pPr>
        <w:spacing w:after="60" w:before="60" w:line="300"/>
        <w:jc w:val="left"/>
      </w:pPr>
      <w:r>
        <w:rPr>
          <w:rFonts w:ascii="Times New Roman" w:cs="Times New Roman" w:eastAsia="Times New Roman" w:hAnsi="Times New Roman"/>
          <w:b/>
          <w:bCs/>
          <w:i w:val="false"/>
          <w:iCs w:val="false"/>
          <w:color w:val="000000"/>
          <w:sz w:val="22"/>
          <w:szCs w:val="22"/>
        </w:rPr>
        <w:t xml:space="preserve">Forward citations: </w:t>
      </w:r>
      <w:r>
        <w:rPr>
          <w:rFonts w:ascii="Times New Roman" w:cs="Times New Roman" w:eastAsia="Times New Roman" w:hAnsi="Times New Roman"/>
          <w:b w:val="false"/>
          <w:bCs w:val="false"/>
          <w:i w:val="false"/>
          <w:iCs w:val="false"/>
          <w:color w:val="000000"/>
          <w:sz w:val="22"/>
          <w:szCs w:val="22"/>
        </w:rPr>
        <w:t xml:space="preserve">4. </w:t>
      </w:r>
      <w:r>
        <w:rPr>
          <w:rFonts w:ascii="Times New Roman" w:cs="Times New Roman" w:eastAsia="Times New Roman" w:hAnsi="Times New Roman"/>
          <w:b/>
          <w:bCs/>
          <w:i w:val="false"/>
          <w:iCs w:val="false"/>
          <w:color w:val="000000"/>
          <w:sz w:val="22"/>
          <w:szCs w:val="22"/>
        </w:rPr>
        <w:t xml:space="preserve">Cited count: </w:t>
      </w:r>
      <w:r>
        <w:rPr>
          <w:rFonts w:ascii="Times New Roman" w:cs="Times New Roman" w:eastAsia="Times New Roman" w:hAnsi="Times New Roman"/>
          <w:b w:val="false"/>
          <w:bCs w:val="false"/>
          <w:i w:val="false"/>
          <w:iCs w:val="false"/>
          <w:color w:val="000000"/>
          <w:sz w:val="22"/>
          <w:szCs w:val="22"/>
        </w:rPr>
        <w:t xml:space="preserve">4.</w:t>
      </w:r>
    </w:p>
    <w:p>
      <w:pPr>
        <w:spacing w:after="60" w:before="60" w:line="300"/>
        <w:jc w:val="left"/>
      </w:pPr>
      <w:r>
        <w:rPr>
          <w:rFonts w:ascii="Times New Roman" w:cs="Times New Roman" w:eastAsia="Times New Roman" w:hAnsi="Times New Roman"/>
          <w:b/>
          <w:bCs/>
          <w:i w:val="false"/>
          <w:iCs w:val="false"/>
          <w:color w:val="000000"/>
          <w:sz w:val="22"/>
          <w:szCs w:val="22"/>
        </w:rPr>
        <w:t xml:space="preserve">What the invention does. </w:t>
      </w:r>
      <w:r>
        <w:rPr>
          <w:rFonts w:ascii="Times New Roman" w:cs="Times New Roman" w:eastAsia="Times New Roman" w:hAnsi="Times New Roman"/>
          <w:b w:val="false"/>
          <w:bCs w:val="false"/>
          <w:i w:val="false"/>
          <w:iCs w:val="false"/>
          <w:color w:val="000000"/>
          <w:sz w:val="22"/>
          <w:szCs w:val="22"/>
        </w:rPr>
        <w:t xml:space="preserve">It trains supervised machine learning models for security use (network packet classification, device categorisation, email filtering, intrusion detection, voice processing) using a fraction of the labelled data that conventional supervised learning requires. The labelling cost is the practical bottleneck for security ML and this patent attacks it directly.</w:t>
      </w:r>
    </w:p>
    <w:p>
      <w:pPr>
        <w:spacing w:after="60" w:before="60" w:line="300"/>
        <w:jc w:val="left"/>
      </w:pPr>
      <w:r>
        <w:rPr>
          <w:rFonts w:ascii="Times New Roman" w:cs="Times New Roman" w:eastAsia="Times New Roman" w:hAnsi="Times New Roman"/>
          <w:b/>
          <w:bCs/>
          <w:i w:val="false"/>
          <w:iCs w:val="false"/>
          <w:color w:val="000000"/>
          <w:sz w:val="22"/>
          <w:szCs w:val="22"/>
        </w:rPr>
        <w:t xml:space="preserve">How it works. </w:t>
      </w:r>
      <w:r>
        <w:rPr>
          <w:rFonts w:ascii="Times New Roman" w:cs="Times New Roman" w:eastAsia="Times New Roman" w:hAnsi="Times New Roman"/>
          <w:b w:val="false"/>
          <w:bCs w:val="false"/>
          <w:i w:val="false"/>
          <w:iCs w:val="false"/>
          <w:color w:val="000000"/>
          <w:sz w:val="22"/>
          <w:szCs w:val="22"/>
        </w:rPr>
        <w:t xml:space="preserve">Four cooperating modules do the heavy lifting. A ground-truth-vector identification module picks the small set of feature vectors that are worth labelling. A boundary-condition vector selection module picks additional vectors where the model's prediction is most uncertain (high prediction scepticism) — these are the cases where a label will teach the model the most. An inductive learning module then trains the model on the resulting tiny labelled set. An inductive forgetting module updates the model over time by un-labelling vectors whose labels are no longer useful. The result is supervised performance with active-learning data efficiency, and the system can begin operating in real time starting from an unlabelled dataset.</w:t>
      </w:r>
    </w:p>
    <w:p>
      <w:pPr>
        <w:spacing w:after="60" w:before="60" w:line="300"/>
        <w:jc w:val="left"/>
      </w:pPr>
      <w:r>
        <w:rPr>
          <w:rFonts w:ascii="Times New Roman" w:cs="Times New Roman" w:eastAsia="Times New Roman" w:hAnsi="Times New Roman"/>
          <w:b/>
          <w:bCs/>
          <w:i w:val="false"/>
          <w:iCs w:val="false"/>
          <w:color w:val="000000"/>
          <w:sz w:val="22"/>
          <w:szCs w:val="22"/>
        </w:rPr>
        <w:t xml:space="preserve">Why it is important. </w:t>
      </w:r>
      <w:r>
        <w:rPr>
          <w:rFonts w:ascii="Times New Roman" w:cs="Times New Roman" w:eastAsia="Times New Roman" w:hAnsi="Times New Roman"/>
          <w:b w:val="false"/>
          <w:bCs w:val="false"/>
          <w:i w:val="false"/>
          <w:iCs w:val="false"/>
          <w:color w:val="000000"/>
          <w:sz w:val="22"/>
          <w:szCs w:val="22"/>
        </w:rPr>
        <w:t xml:space="preserve">The patent technically covers an ML technique that applies broadly, but the security-specific use cases listed make it an Fortinet position around training their ML detectors with minimal labelled data. The fact that it sits in the Data/Privacy bucket (rather than Threat/SOC or Malware/Phish) reflects its applicability to data-protection scenarios such as labelling sensitive content for DLP.</w:t>
      </w:r>
    </w:p>
    <w:p>
      <w:pPr>
        <w:pageBreakBefore/>
      </w:pPr>
      <w:r>
        <w:br/>
        <w:t xml:space="preserve"/>
      </w:r>
    </w:p>
    <w:p>
      <w:pPr>
        <w:pStyle w:val="Heading2"/>
        <w:spacing w:after="120" w:before="240"/>
      </w:pPr>
      <w:r>
        <w:rPr>
          <w:rFonts w:ascii="Times New Roman" w:cs="Times New Roman" w:eastAsia="Times New Roman" w:hAnsi="Times New Roman"/>
          <w:b/>
          <w:bCs/>
          <w:color w:val="1F3864"/>
          <w:sz w:val="26"/>
          <w:szCs w:val="26"/>
        </w:rPr>
        <w:t xml:space="preserve">3.8  Automation</w:t>
      </w:r>
    </w:p>
    <w:p>
      <w:pPr>
        <w:spacing w:after="60" w:before="60" w:line="300"/>
        <w:jc w:val="left"/>
      </w:pPr>
      <w:r>
        <w:rPr>
          <w:rFonts w:ascii="Times New Roman" w:cs="Times New Roman" w:eastAsia="Times New Roman" w:hAnsi="Times New Roman"/>
          <w:b/>
          <w:bCs/>
          <w:i w:val="false"/>
          <w:iCs w:val="false"/>
          <w:color w:val="000000"/>
          <w:sz w:val="22"/>
          <w:szCs w:val="22"/>
        </w:rPr>
        <w:t xml:space="preserve">Definition. </w:t>
      </w:r>
      <w:r>
        <w:rPr>
          <w:rFonts w:ascii="Times New Roman" w:cs="Times New Roman" w:eastAsia="Times New Roman" w:hAnsi="Times New Roman"/>
          <w:b w:val="false"/>
          <w:bCs w:val="false"/>
          <w:i w:val="false"/>
          <w:iCs w:val="false"/>
          <w:color w:val="000000"/>
          <w:sz w:val="22"/>
          <w:szCs w:val="22"/>
        </w:rPr>
        <w:t xml:space="preserve">Pen-testing, CI/CD protection, source and static analysis, policy correction, automated remediation, orchestration and workflow creation. The smallest bucket alongside Data/Privacy (26 records) but the bucket that is growing fastest because shifting left (security in CI/CD) and shifting up (autonomous remediation) are both hot themes.</w:t>
      </w:r>
    </w:p>
    <w:p>
      <w:pPr>
        <w:pStyle w:val="Heading3"/>
        <w:spacing w:after="80" w:before="180"/>
      </w:pPr>
      <w:r>
        <w:rPr>
          <w:rFonts w:ascii="Times New Roman" w:cs="Times New Roman" w:eastAsia="Times New Roman" w:hAnsi="Times New Roman"/>
          <w:b/>
          <w:bCs/>
          <w:color w:val="C00000"/>
          <w:sz w:val="23"/>
          <w:szCs w:val="23"/>
        </w:rPr>
        <w:t xml:space="preserve">Patent 15 — US 11,620,379 (Google) — Methods and apparatus for detecting and preventing obfuscated cyberattacks using ML</w:t>
      </w:r>
    </w:p>
    <w:p>
      <w:pPr>
        <w:spacing w:after="60" w:before="60" w:line="300"/>
        <w:jc w:val="left"/>
      </w:pPr>
      <w:r>
        <w:rPr>
          <w:rFonts w:ascii="Times New Roman" w:cs="Times New Roman" w:eastAsia="Times New Roman" w:hAnsi="Times New Roman"/>
          <w:b/>
          <w:bCs/>
          <w:i w:val="false"/>
          <w:iCs w:val="false"/>
          <w:color w:val="000000"/>
          <w:sz w:val="22"/>
          <w:szCs w:val="22"/>
        </w:rPr>
        <w:t xml:space="preserve">Forward citations: </w:t>
      </w:r>
      <w:r>
        <w:rPr>
          <w:rFonts w:ascii="Times New Roman" w:cs="Times New Roman" w:eastAsia="Times New Roman" w:hAnsi="Times New Roman"/>
          <w:b w:val="false"/>
          <w:bCs w:val="false"/>
          <w:i w:val="false"/>
          <w:iCs w:val="false"/>
          <w:color w:val="000000"/>
          <w:sz w:val="22"/>
          <w:szCs w:val="22"/>
        </w:rPr>
        <w:t xml:space="preserve">28. </w:t>
      </w:r>
      <w:r>
        <w:rPr>
          <w:rFonts w:ascii="Times New Roman" w:cs="Times New Roman" w:eastAsia="Times New Roman" w:hAnsi="Times New Roman"/>
          <w:b/>
          <w:bCs/>
          <w:i w:val="false"/>
          <w:iCs w:val="false"/>
          <w:color w:val="000000"/>
          <w:sz w:val="22"/>
          <w:szCs w:val="22"/>
        </w:rPr>
        <w:t xml:space="preserve">Cited count: </w:t>
      </w:r>
      <w:r>
        <w:rPr>
          <w:rFonts w:ascii="Times New Roman" w:cs="Times New Roman" w:eastAsia="Times New Roman" w:hAnsi="Times New Roman"/>
          <w:b w:val="false"/>
          <w:bCs w:val="false"/>
          <w:i w:val="false"/>
          <w:iCs w:val="false"/>
          <w:color w:val="000000"/>
          <w:sz w:val="22"/>
          <w:szCs w:val="22"/>
        </w:rPr>
        <w:t xml:space="preserve">4.</w:t>
      </w:r>
    </w:p>
    <w:p>
      <w:pPr>
        <w:spacing w:after="60" w:before="60" w:line="300"/>
        <w:jc w:val="left"/>
      </w:pPr>
      <w:r>
        <w:rPr>
          <w:rFonts w:ascii="Times New Roman" w:cs="Times New Roman" w:eastAsia="Times New Roman" w:hAnsi="Times New Roman"/>
          <w:b/>
          <w:bCs/>
          <w:i w:val="false"/>
          <w:iCs w:val="false"/>
          <w:color w:val="000000"/>
          <w:sz w:val="22"/>
          <w:szCs w:val="22"/>
        </w:rPr>
        <w:t xml:space="preserve">What the invention does. </w:t>
      </w:r>
      <w:r>
        <w:rPr>
          <w:rFonts w:ascii="Times New Roman" w:cs="Times New Roman" w:eastAsia="Times New Roman" w:hAnsi="Times New Roman"/>
          <w:b w:val="false"/>
          <w:bCs w:val="false"/>
          <w:i w:val="false"/>
          <w:iCs w:val="false"/>
          <w:color w:val="000000"/>
          <w:sz w:val="22"/>
          <w:szCs w:val="22"/>
        </w:rPr>
        <w:t xml:space="preserve">It detects post-breach lateral attacks where the attacker uses obfuscated invocations of standard OS utilities (PowerShell, cmd, wmic, bitsadmin) rather than dropping custom malware. Living-off-the-land attacks bypass most signature-based defenders because the binaries themselves are legitimate operating system tools.</w:t>
      </w:r>
    </w:p>
    <w:p>
      <w:pPr>
        <w:spacing w:after="60" w:before="60" w:line="300"/>
        <w:jc w:val="left"/>
      </w:pPr>
      <w:r>
        <w:rPr>
          <w:rFonts w:ascii="Times New Roman" w:cs="Times New Roman" w:eastAsia="Times New Roman" w:hAnsi="Times New Roman"/>
          <w:b/>
          <w:bCs/>
          <w:i w:val="false"/>
          <w:iCs w:val="false"/>
          <w:color w:val="000000"/>
          <w:sz w:val="22"/>
          <w:szCs w:val="22"/>
        </w:rPr>
        <w:t xml:space="preserve">How it works. </w:t>
      </w:r>
      <w:r>
        <w:rPr>
          <w:rFonts w:ascii="Times New Roman" w:cs="Times New Roman" w:eastAsia="Times New Roman" w:hAnsi="Times New Roman"/>
          <w:b w:val="false"/>
          <w:bCs w:val="false"/>
          <w:i w:val="false"/>
          <w:iCs w:val="false"/>
          <w:color w:val="000000"/>
          <w:sz w:val="22"/>
          <w:szCs w:val="22"/>
        </w:rPr>
        <w:t xml:space="preserve">The system observes command-line invocations and other utility-execution events, extracts features that survive the attacker's obfuscation (token frequency distributions, command-line entropy, argument structure, parent-process context), and feeds them to a machine learning classifier trained to recognise the structural shape of obfuscated commands rather than their literal text. The detector targets the specific class of tools that generate benign-looking but obfuscated utility invocations (Invoke-Obfuscation and similar). On detection, the system can impede execution rather than only alert.</w:t>
      </w:r>
    </w:p>
    <w:p>
      <w:pPr>
        <w:spacing w:after="60" w:before="60" w:line="300"/>
        <w:jc w:val="left"/>
      </w:pPr>
      <w:r>
        <w:rPr>
          <w:rFonts w:ascii="Times New Roman" w:cs="Times New Roman" w:eastAsia="Times New Roman" w:hAnsi="Times New Roman"/>
          <w:b/>
          <w:bCs/>
          <w:i w:val="false"/>
          <w:iCs w:val="false"/>
          <w:color w:val="000000"/>
          <w:sz w:val="22"/>
          <w:szCs w:val="22"/>
        </w:rPr>
        <w:t xml:space="preserve">Why it is important. </w:t>
      </w:r>
      <w:r>
        <w:rPr>
          <w:rFonts w:ascii="Times New Roman" w:cs="Times New Roman" w:eastAsia="Times New Roman" w:hAnsi="Times New Roman"/>
          <w:b w:val="false"/>
          <w:bCs w:val="false"/>
          <w:i w:val="false"/>
          <w:iCs w:val="false"/>
          <w:color w:val="000000"/>
          <w:sz w:val="22"/>
          <w:szCs w:val="22"/>
        </w:rPr>
        <w:t xml:space="preserve">Living-off-the-land is the single most-cited attacker technique in modern incident reports and 28 forward citations confirms that defenders are converging on ML-based detection of obfuscated command lines. The patent was originally filed by Capsule8 (Google acquired the technology) and now sits in Google's portfolio.</w:t>
      </w:r>
    </w:p>
    <w:p>
      <w:pPr>
        <w:pStyle w:val="Heading3"/>
        <w:spacing w:after="80" w:before="180"/>
      </w:pPr>
      <w:r>
        <w:rPr>
          <w:rFonts w:ascii="Times New Roman" w:cs="Times New Roman" w:eastAsia="Times New Roman" w:hAnsi="Times New Roman"/>
          <w:b/>
          <w:bCs/>
          <w:color w:val="C00000"/>
          <w:sz w:val="23"/>
          <w:szCs w:val="23"/>
        </w:rPr>
        <w:t xml:space="preserve">Patent 16 — US 11,550,911 (Palo Alto Networks) — Multi-representational learning models for static analysis of source code</w:t>
      </w:r>
    </w:p>
    <w:p>
      <w:pPr>
        <w:spacing w:after="60" w:before="60" w:line="300"/>
        <w:jc w:val="left"/>
      </w:pPr>
      <w:r>
        <w:rPr>
          <w:rFonts w:ascii="Times New Roman" w:cs="Times New Roman" w:eastAsia="Times New Roman" w:hAnsi="Times New Roman"/>
          <w:b/>
          <w:bCs/>
          <w:i w:val="false"/>
          <w:iCs w:val="false"/>
          <w:color w:val="000000"/>
          <w:sz w:val="22"/>
          <w:szCs w:val="22"/>
        </w:rPr>
        <w:t xml:space="preserve">Forward citations: </w:t>
      </w:r>
      <w:r>
        <w:rPr>
          <w:rFonts w:ascii="Times New Roman" w:cs="Times New Roman" w:eastAsia="Times New Roman" w:hAnsi="Times New Roman"/>
          <w:b w:val="false"/>
          <w:bCs w:val="false"/>
          <w:i w:val="false"/>
          <w:iCs w:val="false"/>
          <w:color w:val="000000"/>
          <w:sz w:val="22"/>
          <w:szCs w:val="22"/>
        </w:rPr>
        <w:t xml:space="preserve">13. </w:t>
      </w:r>
      <w:r>
        <w:rPr>
          <w:rFonts w:ascii="Times New Roman" w:cs="Times New Roman" w:eastAsia="Times New Roman" w:hAnsi="Times New Roman"/>
          <w:b/>
          <w:bCs/>
          <w:i w:val="false"/>
          <w:iCs w:val="false"/>
          <w:color w:val="000000"/>
          <w:sz w:val="22"/>
          <w:szCs w:val="22"/>
        </w:rPr>
        <w:t xml:space="preserve">Cited count: </w:t>
      </w:r>
      <w:r>
        <w:rPr>
          <w:rFonts w:ascii="Times New Roman" w:cs="Times New Roman" w:eastAsia="Times New Roman" w:hAnsi="Times New Roman"/>
          <w:b w:val="false"/>
          <w:bCs w:val="false"/>
          <w:i w:val="false"/>
          <w:iCs w:val="false"/>
          <w:color w:val="000000"/>
          <w:sz w:val="22"/>
          <w:szCs w:val="22"/>
        </w:rPr>
        <w:t xml:space="preserve">18.</w:t>
      </w:r>
    </w:p>
    <w:p>
      <w:pPr>
        <w:spacing w:after="60" w:before="60" w:line="300"/>
        <w:jc w:val="left"/>
      </w:pPr>
      <w:r>
        <w:rPr>
          <w:rFonts w:ascii="Times New Roman" w:cs="Times New Roman" w:eastAsia="Times New Roman" w:hAnsi="Times New Roman"/>
          <w:b/>
          <w:bCs/>
          <w:i w:val="false"/>
          <w:iCs w:val="false"/>
          <w:color w:val="000000"/>
          <w:sz w:val="22"/>
          <w:szCs w:val="22"/>
        </w:rPr>
        <w:t xml:space="preserve">What the invention does. </w:t>
      </w:r>
      <w:r>
        <w:rPr>
          <w:rFonts w:ascii="Times New Roman" w:cs="Times New Roman" w:eastAsia="Times New Roman" w:hAnsi="Times New Roman"/>
          <w:b w:val="false"/>
          <w:bCs w:val="false"/>
          <w:i w:val="false"/>
          <w:iCs w:val="false"/>
          <w:color w:val="000000"/>
          <w:sz w:val="22"/>
          <w:szCs w:val="22"/>
        </w:rPr>
        <w:t xml:space="preserve">It detects malicious source code (scripts, macros, document payloads) using machine learning that looks at the same code through several different representations at once, rather than committing to a single representation. The intuition is that different representations are sensitive to different attack patterns, so combining them gives a more accurate verdict than any one of them alone.</w:t>
      </w:r>
    </w:p>
    <w:p>
      <w:pPr>
        <w:spacing w:after="60" w:before="60" w:line="300"/>
        <w:jc w:val="left"/>
      </w:pPr>
      <w:r>
        <w:rPr>
          <w:rFonts w:ascii="Times New Roman" w:cs="Times New Roman" w:eastAsia="Times New Roman" w:hAnsi="Times New Roman"/>
          <w:b/>
          <w:bCs/>
          <w:i w:val="false"/>
          <w:iCs w:val="false"/>
          <w:color w:val="000000"/>
          <w:sz w:val="22"/>
          <w:szCs w:val="22"/>
        </w:rPr>
        <w:t xml:space="preserve">How it works. </w:t>
      </w:r>
      <w:r>
        <w:rPr>
          <w:rFonts w:ascii="Times New Roman" w:cs="Times New Roman" w:eastAsia="Times New Roman" w:hAnsi="Times New Roman"/>
          <w:b w:val="false"/>
          <w:bCs w:val="false"/>
          <w:i w:val="false"/>
          <w:iCs w:val="false"/>
          <w:color w:val="000000"/>
          <w:sz w:val="22"/>
          <w:szCs w:val="22"/>
        </w:rPr>
        <w:t xml:space="preserve">Three representations are extracted from the same source-code sample: a character-level view (every byte), a token-level view (lexical tokens) and an abstract-syntax-tree view (the parsed structure). A feature vector is built per representation. An ensemble combines them into a target vector that is fed to a malicious/benign classifier. The model set includes per-language models that are selected at inference time based on the file type. The patent goes further by allowing new MRL models to be added for new programming languages and by classifying purely on static analysis without needing to detonate the sample dynamically.</w:t>
      </w:r>
    </w:p>
    <w:p>
      <w:pPr>
        <w:spacing w:after="60" w:before="60" w:line="300"/>
        <w:jc w:val="left"/>
      </w:pPr>
      <w:r>
        <w:rPr>
          <w:rFonts w:ascii="Times New Roman" w:cs="Times New Roman" w:eastAsia="Times New Roman" w:hAnsi="Times New Roman"/>
          <w:b/>
          <w:bCs/>
          <w:i w:val="false"/>
          <w:iCs w:val="false"/>
          <w:color w:val="000000"/>
          <w:sz w:val="22"/>
          <w:szCs w:val="22"/>
        </w:rPr>
        <w:t xml:space="preserve">Why it is important. </w:t>
      </w:r>
      <w:r>
        <w:rPr>
          <w:rFonts w:ascii="Times New Roman" w:cs="Times New Roman" w:eastAsia="Times New Roman" w:hAnsi="Times New Roman"/>
          <w:b w:val="false"/>
          <w:bCs w:val="false"/>
          <w:i w:val="false"/>
          <w:iCs w:val="false"/>
          <w:color w:val="000000"/>
          <w:sz w:val="22"/>
          <w:szCs w:val="22"/>
        </w:rPr>
        <w:t xml:space="preserve">Static analysis of source code is the foundation of modern shift-left security and SAST tools. Multi-representational ensembles are now the dominant pattern. Palo Alto's position here covers the canonical implementation.</w:t>
      </w:r>
    </w:p>
    <w:p>
      <w:pPr>
        <w:pageBreakBefore/>
      </w:pPr>
      <w:r>
        <w:br/>
        <w:t xml:space="preserve"/>
      </w:r>
    </w:p>
    <w:p>
      <w:pPr>
        <w:pStyle w:val="Heading1"/>
        <w:spacing w:after="180" w:before="360"/>
      </w:pPr>
      <w:r>
        <w:rPr>
          <w:rFonts w:ascii="Times New Roman" w:cs="Times New Roman" w:eastAsia="Times New Roman" w:hAnsi="Times New Roman"/>
          <w:b/>
          <w:bCs/>
          <w:color w:val="1F3864"/>
          <w:sz w:val="32"/>
          <w:szCs w:val="32"/>
        </w:rPr>
        <w:t xml:space="preserve">4.  Cross-Cutting Landscape Insights</w:t>
      </w:r>
    </w:p>
    <w:p>
      <w:pPr>
        <w:pStyle w:val="Heading3"/>
        <w:spacing w:after="80" w:before="180"/>
      </w:pPr>
      <w:r>
        <w:rPr>
          <w:rFonts w:ascii="Times New Roman" w:cs="Times New Roman" w:eastAsia="Times New Roman" w:hAnsi="Times New Roman"/>
          <w:b/>
          <w:bCs/>
          <w:color w:val="C00000"/>
          <w:sz w:val="23"/>
          <w:szCs w:val="23"/>
        </w:rPr>
        <w:t xml:space="preserve">Crowded zones vs white space</w:t>
      </w:r>
    </w:p>
    <w:p>
      <w:pPr>
        <w:spacing w:after="60" w:before="60" w:line="300"/>
        <w:jc w:val="left"/>
      </w:pPr>
      <w:r>
        <w:rPr>
          <w:rFonts w:ascii="Times New Roman" w:cs="Times New Roman" w:eastAsia="Times New Roman" w:hAnsi="Times New Roman"/>
          <w:b w:val="false"/>
          <w:bCs w:val="false"/>
          <w:i w:val="false"/>
          <w:iCs w:val="false"/>
          <w:color w:val="000000"/>
          <w:sz w:val="22"/>
          <w:szCs w:val="22"/>
        </w:rPr>
        <w:t xml:space="preserve">The three biggest categories (Threat/SOC, Network/Cloud, Vuln/Risk) hold 70.5 percent of the dataset between them. Filing into those zones now needs tight claim differentiation around either data fusion (combining new telemetry sources), feedback (explicit human or outcome-driven model updates), explainability (claim language describing how the output is justified), or deployment context (edge, on-device, regulated environment). Filing into the smaller zones (Data/Privacy, Automation, Malware/Phish) is easier to differentiate but the commercial market is smaller, so the practical white space is where two zones meet: identity-plus-cloud, GenAI-plus-data-leakage, automation-plus-CI/CD.</w:t>
      </w:r>
    </w:p>
    <w:p>
      <w:pPr>
        <w:pStyle w:val="Heading3"/>
        <w:spacing w:after="80" w:before="180"/>
      </w:pPr>
      <w:r>
        <w:rPr>
          <w:rFonts w:ascii="Times New Roman" w:cs="Times New Roman" w:eastAsia="Times New Roman" w:hAnsi="Times New Roman"/>
          <w:b/>
          <w:bCs/>
          <w:color w:val="C00000"/>
          <w:sz w:val="23"/>
          <w:szCs w:val="23"/>
        </w:rPr>
        <w:t xml:space="preserve">Who owns what</w:t>
      </w:r>
    </w:p>
    <w:p>
      <w:pPr>
        <w:spacing w:after="60" w:before="60" w:line="300"/>
        <w:jc w:val="left"/>
      </w:pPr>
      <w:r>
        <w:rPr>
          <w:rFonts w:ascii="Times New Roman" w:cs="Times New Roman" w:eastAsia="Times New Roman" w:hAnsi="Times New Roman"/>
          <w:b w:val="false"/>
          <w:bCs w:val="false"/>
          <w:i w:val="false"/>
          <w:iCs w:val="false"/>
          <w:color w:val="000000"/>
          <w:sz w:val="22"/>
          <w:szCs w:val="22"/>
        </w:rPr>
        <w:t xml:space="preserve">Microsoft dominates Threat/SOC (87 of 167 own records, 52 percent of their portfolio). Cisco is balanced across Network/Cloud, Vuln/Risk and Identity/Access, which reflects the breadth of their product portfolio. Palo Alto Networks has the most diversified mix and the strongest GenAI/LLM concentration (20 of 60 GenAI records). Fortinet is the least diversified of the big four; they concentrate in Network/Cloud (41 of 96 records). CyberArk owns the privileged-access bucket despite small total counts. Robust Intelligence (now Cisco) is the single-issue specialist in LLM red-teaming.</w:t>
      </w:r>
    </w:p>
    <w:p>
      <w:pPr>
        <w:pStyle w:val="Heading3"/>
        <w:spacing w:after="80" w:before="180"/>
      </w:pPr>
      <w:r>
        <w:rPr>
          <w:rFonts w:ascii="Times New Roman" w:cs="Times New Roman" w:eastAsia="Times New Roman" w:hAnsi="Times New Roman"/>
          <w:b/>
          <w:bCs/>
          <w:color w:val="C00000"/>
          <w:sz w:val="23"/>
          <w:szCs w:val="23"/>
        </w:rPr>
        <w:t xml:space="preserve">Trend signals worth flagging out loud</w:t>
      </w:r>
    </w:p>
    <w:p>
      <w:pPr>
        <w:pStyle w:val="ListParagraph"/>
        <w:numPr>
          <w:ilvl w:val="0"/>
          <w:numId w:val="2"/>
        </w:numPr>
        <w:spacing w:after="30" w:before="30" w:line="280"/>
      </w:pPr>
      <w:r>
        <w:rPr>
          <w:rFonts w:ascii="Times New Roman" w:cs="Times New Roman" w:eastAsia="Times New Roman" w:hAnsi="Times New Roman"/>
          <w:sz w:val="22"/>
          <w:szCs w:val="22"/>
        </w:rPr>
        <w:t xml:space="preserve">2024 was the peak filing year (213 applications). 2025 and 2026 counts are partial and lagged; do not extrapolate.</w:t>
      </w:r>
    </w:p>
    <w:p>
      <w:pPr>
        <w:pStyle w:val="ListParagraph"/>
        <w:numPr>
          <w:ilvl w:val="0"/>
          <w:numId w:val="2"/>
        </w:numPr>
        <w:spacing w:after="30" w:before="30" w:line="280"/>
      </w:pPr>
      <w:r>
        <w:rPr>
          <w:rFonts w:ascii="Times New Roman" w:cs="Times New Roman" w:eastAsia="Times New Roman" w:hAnsi="Times New Roman"/>
          <w:sz w:val="22"/>
          <w:szCs w:val="22"/>
        </w:rPr>
        <w:t xml:space="preserve">43 of the 60 GenAI/LLM records were filed in 2024 — that bucket grew from almost nothing to a top-five category in a single year.</w:t>
      </w:r>
    </w:p>
    <w:p>
      <w:pPr>
        <w:pStyle w:val="ListParagraph"/>
        <w:numPr>
          <w:ilvl w:val="0"/>
          <w:numId w:val="2"/>
        </w:numPr>
        <w:spacing w:after="30" w:before="30" w:line="280"/>
      </w:pPr>
      <w:r>
        <w:rPr>
          <w:rFonts w:ascii="Times New Roman" w:cs="Times New Roman" w:eastAsia="Times New Roman" w:hAnsi="Times New Roman"/>
          <w:sz w:val="22"/>
          <w:szCs w:val="22"/>
        </w:rPr>
        <w:t xml:space="preserve">H04L 63/1425 (network monitoring) is the most-cited CPC full code at 189 records. The classification layer still over-represents network-centric framing relative to the modern reality of cloud and identity attacks.</w:t>
      </w:r>
    </w:p>
    <w:p>
      <w:pPr>
        <w:pStyle w:val="ListParagraph"/>
        <w:numPr>
          <w:ilvl w:val="0"/>
          <w:numId w:val="2"/>
        </w:numPr>
        <w:spacing w:after="30" w:before="30" w:line="280"/>
      </w:pPr>
      <w:r>
        <w:rPr>
          <w:rFonts w:ascii="Times New Roman" w:cs="Times New Roman" w:eastAsia="Times New Roman" w:hAnsi="Times New Roman"/>
          <w:sz w:val="22"/>
          <w:szCs w:val="22"/>
        </w:rPr>
        <w:t xml:space="preserve">Top-four assignee concentration is 75 percent. This is unusual; most cybersecurity sub-markets are more fragmented. Expect FTO conversations to converge on Microsoft, Cisco, Fortinet and Palo Alto first.</w:t>
      </w:r>
    </w:p>
    <w:p>
      <w:pPr>
        <w:pStyle w:val="Heading3"/>
        <w:spacing w:after="80" w:before="180"/>
      </w:pPr>
      <w:r>
        <w:rPr>
          <w:rFonts w:ascii="Times New Roman" w:cs="Times New Roman" w:eastAsia="Times New Roman" w:hAnsi="Times New Roman"/>
          <w:b/>
          <w:bCs/>
          <w:color w:val="C00000"/>
          <w:sz w:val="23"/>
          <w:szCs w:val="23"/>
        </w:rPr>
        <w:t xml:space="preserve">Strategic reading for an in-house IP team</w:t>
      </w:r>
    </w:p>
    <w:p>
      <w:pPr>
        <w:spacing w:after="60" w:before="60" w:line="300"/>
        <w:jc w:val="left"/>
      </w:pPr>
      <w:r>
        <w:rPr>
          <w:rFonts w:ascii="Times New Roman" w:cs="Times New Roman" w:eastAsia="Times New Roman" w:hAnsi="Times New Roman"/>
          <w:b w:val="false"/>
          <w:bCs w:val="false"/>
          <w:i w:val="false"/>
          <w:iCs w:val="false"/>
          <w:color w:val="000000"/>
          <w:sz w:val="22"/>
          <w:szCs w:val="22"/>
        </w:rPr>
        <w:t xml:space="preserve">If you are filing in this space, the practical recipe that survives the crowd is the same in every category: state a concrete data source, a model-driven transformation of that data, a specific security decision (block, score, route, recommend), and an explicit feedback or remediation loop that closes back into the model. Patents that stop at "AI for cybersecurity" without naming the loop are now routinely rejected over the dataset's prior art.</w:t>
      </w:r>
    </w:p>
    <w:p>
      <w:pPr>
        <w:pageBreakBefore/>
      </w:pPr>
      <w:r>
        <w:br/>
        <w:t xml:space="preserve"/>
      </w:r>
    </w:p>
    <w:p>
      <w:pPr>
        <w:pStyle w:val="Heading1"/>
        <w:spacing w:after="180" w:before="360"/>
      </w:pPr>
      <w:r>
        <w:rPr>
          <w:rFonts w:ascii="Times New Roman" w:cs="Times New Roman" w:eastAsia="Times New Roman" w:hAnsi="Times New Roman"/>
          <w:b/>
          <w:bCs/>
          <w:color w:val="1F3864"/>
          <w:sz w:val="32"/>
          <w:szCs w:val="32"/>
        </w:rPr>
        <w:t xml:space="preserve">5.  Anticipated Questions and Suggested Answers</w:t>
      </w:r>
    </w:p>
    <w:p>
      <w:pPr>
        <w:spacing w:after="60" w:before="60" w:line="300"/>
        <w:jc w:val="left"/>
      </w:pPr>
      <w:r>
        <w:rPr>
          <w:rFonts w:ascii="Times New Roman" w:cs="Times New Roman" w:eastAsia="Times New Roman" w:hAnsi="Times New Roman"/>
          <w:b w:val="false"/>
          <w:bCs w:val="false"/>
          <w:i w:val="false"/>
          <w:iCs w:val="false"/>
          <w:color w:val="000000"/>
          <w:sz w:val="22"/>
          <w:szCs w:val="22"/>
        </w:rPr>
        <w:t xml:space="preserve">Below are the questions the deck is most likely to attract, grouped by theme. Each suggested answer is short enough to deliver out loud while still being technically defensible.</w:t>
      </w:r>
    </w:p>
    <w:p>
      <w:pPr>
        <w:pStyle w:val="Heading2"/>
        <w:spacing w:after="120" w:before="240"/>
      </w:pPr>
      <w:r>
        <w:rPr>
          <w:rFonts w:ascii="Times New Roman" w:cs="Times New Roman" w:eastAsia="Times New Roman" w:hAnsi="Times New Roman"/>
          <w:b/>
          <w:bCs/>
          <w:color w:val="1F3864"/>
          <w:sz w:val="26"/>
          <w:szCs w:val="26"/>
        </w:rPr>
        <w:t xml:space="preserve">5.1  Methodology and data questions</w:t>
      </w:r>
    </w:p>
    <w:p>
      <w:pPr>
        <w:pStyle w:val="Heading3"/>
        <w:spacing w:after="80" w:before="180"/>
      </w:pPr>
      <w:r>
        <w:rPr>
          <w:rFonts w:ascii="Times New Roman" w:cs="Times New Roman" w:eastAsia="Times New Roman" w:hAnsi="Times New Roman"/>
          <w:b/>
          <w:bCs/>
          <w:color w:val="C00000"/>
          <w:sz w:val="23"/>
          <w:szCs w:val="23"/>
        </w:rPr>
        <w:t xml:space="preserve">Q1. Why 689 records? Is that a complete picture of the AI cybersecurity space?</w:t>
      </w:r>
    </w:p>
    <w:p>
      <w:pPr>
        <w:spacing w:after="60" w:before="60" w:line="300"/>
        <w:jc w:val="left"/>
      </w:pPr>
      <w:r>
        <w:rPr>
          <w:rFonts w:ascii="Times New Roman" w:cs="Times New Roman" w:eastAsia="Times New Roman" w:hAnsi="Times New Roman"/>
          <w:b w:val="false"/>
          <w:bCs w:val="false"/>
          <w:i w:val="false"/>
          <w:iCs w:val="false"/>
          <w:color w:val="000000"/>
          <w:sz w:val="22"/>
          <w:szCs w:val="22"/>
        </w:rPr>
        <w:t xml:space="preserve">No, it is the working set in the workbook that was used to build this deck. The set was selected to focus on AI-driven cybersecurity inventions from large assignees with material AI portfolios in security. The full universe is larger, but the analyses, pivots and conclusions in this deck refer specifically to these 689 records and are reproducible from the workbook.</w:t>
      </w:r>
    </w:p>
    <w:p>
      <w:pPr>
        <w:pStyle w:val="Heading3"/>
        <w:spacing w:after="80" w:before="180"/>
      </w:pPr>
      <w:r>
        <w:rPr>
          <w:rFonts w:ascii="Times New Roman" w:cs="Times New Roman" w:eastAsia="Times New Roman" w:hAnsi="Times New Roman"/>
          <w:b/>
          <w:bCs/>
          <w:color w:val="C00000"/>
          <w:sz w:val="23"/>
          <w:szCs w:val="23"/>
        </w:rPr>
        <w:t xml:space="preserve">Q2. Why is there no patent-family deduplication?</w:t>
      </w:r>
    </w:p>
    <w:p>
      <w:pPr>
        <w:spacing w:after="60" w:before="60" w:line="300"/>
        <w:jc w:val="left"/>
      </w:pPr>
      <w:r>
        <w:rPr>
          <w:rFonts w:ascii="Times New Roman" w:cs="Times New Roman" w:eastAsia="Times New Roman" w:hAnsi="Times New Roman"/>
          <w:b w:val="false"/>
          <w:bCs w:val="false"/>
          <w:i w:val="false"/>
          <w:iCs w:val="false"/>
          <w:color w:val="000000"/>
          <w:sz w:val="22"/>
          <w:szCs w:val="22"/>
        </w:rPr>
        <w:t xml:space="preserve">Because the source workbook did not include a patent-family field. One row equals one publication or application record. If we had applied a family deduplication after the fact, the counts would have changed but the relative shape of the dataset (which assignees lead, which categories dominate, where the GenAI surge sits) would not. We flagged this on slide three so the audience knows.</w:t>
      </w:r>
    </w:p>
    <w:p>
      <w:pPr>
        <w:pStyle w:val="Heading3"/>
        <w:spacing w:after="80" w:before="180"/>
      </w:pPr>
      <w:r>
        <w:rPr>
          <w:rFonts w:ascii="Times New Roman" w:cs="Times New Roman" w:eastAsia="Times New Roman" w:hAnsi="Times New Roman"/>
          <w:b/>
          <w:bCs/>
          <w:color w:val="C00000"/>
          <w:sz w:val="23"/>
          <w:szCs w:val="23"/>
        </w:rPr>
        <w:t xml:space="preserve">Q3. How were the eight categories assigned? Is it manual or automated?</w:t>
      </w:r>
    </w:p>
    <w:p>
      <w:pPr>
        <w:spacing w:after="60" w:before="60" w:line="300"/>
        <w:jc w:val="left"/>
      </w:pPr>
      <w:r>
        <w:rPr>
          <w:rFonts w:ascii="Times New Roman" w:cs="Times New Roman" w:eastAsia="Times New Roman" w:hAnsi="Times New Roman"/>
          <w:b w:val="false"/>
          <w:bCs w:val="false"/>
          <w:i w:val="false"/>
          <w:iCs w:val="false"/>
          <w:color w:val="000000"/>
          <w:sz w:val="22"/>
          <w:szCs w:val="22"/>
        </w:rPr>
        <w:t xml:space="preserve">The assignment is keyword-and-CPC/IPC-assisted scoring against the title, abstract and first claim of every record. It is not pure manual reading and it is not pure machine classification. Each record receives one primary category and the evidence and confidence are retained in the workbook, so the assignment of any individual record can be audited. The categories were chosen before the scoring, not derived from it, to keep them intelligible to a product audience.</w:t>
      </w:r>
    </w:p>
    <w:p>
      <w:pPr>
        <w:pStyle w:val="Heading3"/>
        <w:spacing w:after="80" w:before="180"/>
      </w:pPr>
      <w:r>
        <w:rPr>
          <w:rFonts w:ascii="Times New Roman" w:cs="Times New Roman" w:eastAsia="Times New Roman" w:hAnsi="Times New Roman"/>
          <w:b/>
          <w:bCs/>
          <w:color w:val="C00000"/>
          <w:sz w:val="23"/>
          <w:szCs w:val="23"/>
        </w:rPr>
        <w:t xml:space="preserve">Q4. Why "primary category" only? Many of these patents touch multiple categories.</w:t>
      </w:r>
    </w:p>
    <w:p>
      <w:pPr>
        <w:spacing w:after="60" w:before="60" w:line="300"/>
        <w:jc w:val="left"/>
      </w:pPr>
      <w:r>
        <w:rPr>
          <w:rFonts w:ascii="Times New Roman" w:cs="Times New Roman" w:eastAsia="Times New Roman" w:hAnsi="Times New Roman"/>
          <w:b w:val="false"/>
          <w:bCs w:val="false"/>
          <w:i w:val="false"/>
          <w:iCs w:val="false"/>
          <w:color w:val="000000"/>
          <w:sz w:val="22"/>
          <w:szCs w:val="22"/>
        </w:rPr>
        <w:t xml:space="preserve">Two reasons. First, primary categorisation makes the counts sum cleanly to 689, which keeps the pivots and charts unambiguous. Second, the secondary themes are not lost — the problem-intensity view (slide 21) uses non-exclusive theme counts and shows where patents span multiple problems. A patent can be primarily Threat/SOC and still appear in the "identity, credential and access abuse" problem theme.</w:t>
      </w:r>
    </w:p>
    <w:p>
      <w:pPr>
        <w:pStyle w:val="Heading3"/>
        <w:spacing w:after="80" w:before="180"/>
      </w:pPr>
      <w:r>
        <w:rPr>
          <w:rFonts w:ascii="Times New Roman" w:cs="Times New Roman" w:eastAsia="Times New Roman" w:hAnsi="Times New Roman"/>
          <w:b/>
          <w:bCs/>
          <w:color w:val="C00000"/>
          <w:sz w:val="23"/>
          <w:szCs w:val="23"/>
        </w:rPr>
        <w:t xml:space="preserve">Q5. Why is forward citation count the importance signal? Citations have known biases.</w:t>
      </w:r>
    </w:p>
    <w:p>
      <w:pPr>
        <w:spacing w:after="60" w:before="60" w:line="300"/>
        <w:jc w:val="left"/>
      </w:pPr>
      <w:r>
        <w:rPr>
          <w:rFonts w:ascii="Times New Roman" w:cs="Times New Roman" w:eastAsia="Times New Roman" w:hAnsi="Times New Roman"/>
          <w:b w:val="false"/>
          <w:bCs w:val="false"/>
          <w:i w:val="false"/>
          <w:iCs w:val="false"/>
          <w:color w:val="000000"/>
          <w:sz w:val="22"/>
          <w:szCs w:val="22"/>
        </w:rPr>
        <w:t xml:space="preserve">Citation count is imperfect — it has age bias (older patents accrue more citations) and examiner-citation bias (some citations are added by examiners rather than applicants). We chose it because it is the most consistently available signal across all 689 records and because the deck is using it within categories, where the age distribution is reasonably comparable. Cited count is shown as a secondary signal to give context. Within each category the top two by citation count are surfaced as a starting point, not a final verdict.</w:t>
      </w:r>
    </w:p>
    <w:p>
      <w:pPr>
        <w:pStyle w:val="Heading3"/>
        <w:spacing w:after="80" w:before="180"/>
      </w:pPr>
      <w:r>
        <w:rPr>
          <w:rFonts w:ascii="Times New Roman" w:cs="Times New Roman" w:eastAsia="Times New Roman" w:hAnsi="Times New Roman"/>
          <w:b/>
          <w:bCs/>
          <w:color w:val="C00000"/>
          <w:sz w:val="23"/>
          <w:szCs w:val="23"/>
        </w:rPr>
        <w:t xml:space="preserve">Q6. The 2025 and 2026 numbers look much smaller than 2024. Is filing falling?</w:t>
      </w:r>
    </w:p>
    <w:p>
      <w:pPr>
        <w:spacing w:after="60" w:before="60" w:line="300"/>
        <w:jc w:val="left"/>
      </w:pPr>
      <w:r>
        <w:rPr>
          <w:rFonts w:ascii="Times New Roman" w:cs="Times New Roman" w:eastAsia="Times New Roman" w:hAnsi="Times New Roman"/>
          <w:b w:val="false"/>
          <w:bCs w:val="false"/>
          <w:i w:val="false"/>
          <w:iCs w:val="false"/>
          <w:color w:val="000000"/>
          <w:sz w:val="22"/>
          <w:szCs w:val="22"/>
        </w:rPr>
        <w:t xml:space="preserve">Almost certainly no. Applications publish 18 months after filing, and the dataset ends in June 2026, so 2025 and 2026 filing counts are mechanically incomplete. We called this out explicitly on slide 14 and slide 15 to prevent that misreading. The right reading is that 2024 is the most recent complete year, and within 2024 the GenAI/LLM category surged.</w:t>
      </w:r>
    </w:p>
    <w:p>
      <w:pPr>
        <w:pStyle w:val="Heading2"/>
        <w:spacing w:after="120" w:before="240"/>
      </w:pPr>
      <w:r>
        <w:rPr>
          <w:rFonts w:ascii="Times New Roman" w:cs="Times New Roman" w:eastAsia="Times New Roman" w:hAnsi="Times New Roman"/>
          <w:b/>
          <w:bCs/>
          <w:color w:val="1F3864"/>
          <w:sz w:val="26"/>
          <w:szCs w:val="26"/>
        </w:rPr>
        <w:t xml:space="preserve">5.2  Category and selection questions</w:t>
      </w:r>
    </w:p>
    <w:p>
      <w:pPr>
        <w:pStyle w:val="Heading3"/>
        <w:spacing w:after="80" w:before="180"/>
      </w:pPr>
      <w:r>
        <w:rPr>
          <w:rFonts w:ascii="Times New Roman" w:cs="Times New Roman" w:eastAsia="Times New Roman" w:hAnsi="Times New Roman"/>
          <w:b/>
          <w:bCs/>
          <w:color w:val="C00000"/>
          <w:sz w:val="23"/>
          <w:szCs w:val="23"/>
        </w:rPr>
        <w:t xml:space="preserve">Q7. Why exactly eight categories? Could you have used five, or fifteen?</w:t>
      </w:r>
    </w:p>
    <w:p>
      <w:pPr>
        <w:spacing w:after="60" w:before="60" w:line="300"/>
        <w:jc w:val="left"/>
      </w:pPr>
      <w:r>
        <w:rPr>
          <w:rFonts w:ascii="Times New Roman" w:cs="Times New Roman" w:eastAsia="Times New Roman" w:hAnsi="Times New Roman"/>
          <w:b w:val="false"/>
          <w:bCs w:val="false"/>
          <w:i w:val="false"/>
          <w:iCs w:val="false"/>
          <w:color w:val="000000"/>
          <w:sz w:val="22"/>
          <w:szCs w:val="22"/>
        </w:rPr>
        <w:t xml:space="preserve">Eight was chosen as the practical limit for a single chart that a viewer can absorb without losing track. Five would have collapsed Identity, Access and Vuln/Risk into one mega-bucket and hidden the structure. Fifteen would have produced buckets so small that they would not carry meaningful pivots. Eight categories at the current granularity gives the smallest bucket (Data/Privacy at 25 records) enough mass to support a category-level pivot, while still keeping the chart legible.</w:t>
      </w:r>
    </w:p>
    <w:p>
      <w:pPr>
        <w:pStyle w:val="Heading3"/>
        <w:spacing w:after="80" w:before="180"/>
      </w:pPr>
      <w:r>
        <w:rPr>
          <w:rFonts w:ascii="Times New Roman" w:cs="Times New Roman" w:eastAsia="Times New Roman" w:hAnsi="Times New Roman"/>
          <w:b/>
          <w:bCs/>
          <w:color w:val="C00000"/>
          <w:sz w:val="23"/>
          <w:szCs w:val="23"/>
        </w:rPr>
        <w:t xml:space="preserve">Q8. Threat/SOC is enormous. Doesn't that mean your category is too broad?</w:t>
      </w:r>
    </w:p>
    <w:p>
      <w:pPr>
        <w:spacing w:after="60" w:before="60" w:line="300"/>
        <w:jc w:val="left"/>
      </w:pPr>
      <w:r>
        <w:rPr>
          <w:rFonts w:ascii="Times New Roman" w:cs="Times New Roman" w:eastAsia="Times New Roman" w:hAnsi="Times New Roman"/>
          <w:b w:val="false"/>
          <w:bCs w:val="false"/>
          <w:i w:val="false"/>
          <w:iCs w:val="false"/>
          <w:color w:val="000000"/>
          <w:sz w:val="22"/>
          <w:szCs w:val="22"/>
        </w:rPr>
        <w:t xml:space="preserve">It is large because that is what the underlying data looks like, not because the category is too broad. Threat/SOC captures every record where the primary contribution is ML or analytics around the alert-and-incident pipeline. Splitting it further (for example, separating threat hunting from triage from incident response) would create sub-buckets that look balanced but would hide the strategic point that SOC tooling is the largest single area of AI-cybersecurity invention activity right now.</w:t>
      </w:r>
    </w:p>
    <w:p>
      <w:pPr>
        <w:pStyle w:val="Heading3"/>
        <w:spacing w:after="80" w:before="180"/>
      </w:pPr>
      <w:r>
        <w:rPr>
          <w:rFonts w:ascii="Times New Roman" w:cs="Times New Roman" w:eastAsia="Times New Roman" w:hAnsi="Times New Roman"/>
          <w:b/>
          <w:bCs/>
          <w:color w:val="C00000"/>
          <w:sz w:val="23"/>
          <w:szCs w:val="23"/>
        </w:rPr>
        <w:t xml:space="preserve">Q9. Why does GenAI/LLM only have 60 records? It feels like the whole industry is patenting AI.</w:t>
      </w:r>
    </w:p>
    <w:p>
      <w:pPr>
        <w:spacing w:after="60" w:before="60" w:line="300"/>
        <w:jc w:val="left"/>
      </w:pPr>
      <w:r>
        <w:rPr>
          <w:rFonts w:ascii="Times New Roman" w:cs="Times New Roman" w:eastAsia="Times New Roman" w:hAnsi="Times New Roman"/>
          <w:b w:val="false"/>
          <w:bCs w:val="false"/>
          <w:i w:val="false"/>
          <w:iCs w:val="false"/>
          <w:color w:val="000000"/>
          <w:sz w:val="22"/>
          <w:szCs w:val="22"/>
        </w:rPr>
        <w:t xml:space="preserve">Because the bucket only counts records where the primary contribution is the use of an LLM or generative AI in security, or the protection of an LLM. Many records that mention AI are actually about gradient-boosted trees or graph models on telemetry, and those land in Threat/SOC or Network/Cloud rather than GenAI/LLM. The 60 records here are the genuinely GenAI-specific filings. The 43 filed in 2024 alone show the bucket is catching up very fast.</w:t>
      </w:r>
    </w:p>
    <w:p>
      <w:pPr>
        <w:pStyle w:val="Heading3"/>
        <w:spacing w:after="80" w:before="180"/>
      </w:pPr>
      <w:r>
        <w:rPr>
          <w:rFonts w:ascii="Times New Roman" w:cs="Times New Roman" w:eastAsia="Times New Roman" w:hAnsi="Times New Roman"/>
          <w:b/>
          <w:bCs/>
          <w:color w:val="C00000"/>
          <w:sz w:val="23"/>
          <w:szCs w:val="23"/>
        </w:rPr>
        <w:t xml:space="preserve">Q10. Why is Automation only 26 records when DevSecOps is such a big topic?</w:t>
      </w:r>
    </w:p>
    <w:p>
      <w:pPr>
        <w:spacing w:after="60" w:before="60" w:line="300"/>
        <w:jc w:val="left"/>
      </w:pPr>
      <w:r>
        <w:rPr>
          <w:rFonts w:ascii="Times New Roman" w:cs="Times New Roman" w:eastAsia="Times New Roman" w:hAnsi="Times New Roman"/>
          <w:b w:val="false"/>
          <w:bCs w:val="false"/>
          <w:i w:val="false"/>
          <w:iCs w:val="false"/>
          <w:color w:val="000000"/>
          <w:sz w:val="22"/>
          <w:szCs w:val="22"/>
        </w:rPr>
        <w:t xml:space="preserve">Because most DevSecOps tooling does not involve AI as a primary contribution; it is scanning, policy enforcement and pipeline integration. The Automation bucket only counts AI-driven inventions in pen-testing, CI/CD protection, static analysis and policy correction. The broader DevSecOps market is much larger, but the AI-patentable surface inside it is genuinely thin, which is exactly what makes it useful as white space.</w:t>
      </w:r>
    </w:p>
    <w:p>
      <w:pPr>
        <w:pStyle w:val="Heading3"/>
        <w:spacing w:after="80" w:before="180"/>
      </w:pPr>
      <w:r>
        <w:rPr>
          <w:rFonts w:ascii="Times New Roman" w:cs="Times New Roman" w:eastAsia="Times New Roman" w:hAnsi="Times New Roman"/>
          <w:b/>
          <w:bCs/>
          <w:color w:val="C00000"/>
          <w:sz w:val="23"/>
          <w:szCs w:val="23"/>
        </w:rPr>
        <w:t xml:space="preserve">Q11. CyberArk only has 13 patents in the data. Why are they on the slide at all?</w:t>
      </w:r>
    </w:p>
    <w:p>
      <w:pPr>
        <w:spacing w:after="60" w:before="60" w:line="300"/>
        <w:jc w:val="left"/>
      </w:pPr>
      <w:r>
        <w:rPr>
          <w:rFonts w:ascii="Times New Roman" w:cs="Times New Roman" w:eastAsia="Times New Roman" w:hAnsi="Times New Roman"/>
          <w:b w:val="false"/>
          <w:bCs w:val="false"/>
          <w:i w:val="false"/>
          <w:iCs w:val="false"/>
          <w:color w:val="000000"/>
          <w:sz w:val="22"/>
          <w:szCs w:val="22"/>
        </w:rPr>
        <w:t xml:space="preserve">Because they are the only assignee in the entire dataset that has 50 percent of their portfolio concentrated in privileged access (7 of 13). They are a category leader, not a volume leader, and any landscape analysis that erased small specialised assignees would miss exactly the players that an FTO review needs to consider first in their domain.</w:t>
      </w:r>
    </w:p>
    <w:p>
      <w:pPr>
        <w:pStyle w:val="Heading2"/>
        <w:spacing w:after="120" w:before="240"/>
      </w:pPr>
      <w:r>
        <w:rPr>
          <w:rFonts w:ascii="Times New Roman" w:cs="Times New Roman" w:eastAsia="Times New Roman" w:hAnsi="Times New Roman"/>
          <w:b/>
          <w:bCs/>
          <w:color w:val="1F3864"/>
          <w:sz w:val="26"/>
          <w:szCs w:val="26"/>
        </w:rPr>
        <w:t xml:space="preserve">5.3  Patent-specific questions</w:t>
      </w:r>
    </w:p>
    <w:p>
      <w:pPr>
        <w:pStyle w:val="Heading3"/>
        <w:spacing w:after="80" w:before="180"/>
      </w:pPr>
      <w:r>
        <w:rPr>
          <w:rFonts w:ascii="Times New Roman" w:cs="Times New Roman" w:eastAsia="Times New Roman" w:hAnsi="Times New Roman"/>
          <w:b/>
          <w:bCs/>
          <w:color w:val="C00000"/>
          <w:sz w:val="23"/>
          <w:szCs w:val="23"/>
        </w:rPr>
        <w:t xml:space="preserve">Q12. The Microsoft data-enrichment patent (US 11,647,034) has 109 forward citations. Is that really the most influential patent in AI cybersecurity?</w:t>
      </w:r>
    </w:p>
    <w:p>
      <w:pPr>
        <w:spacing w:after="60" w:before="60" w:line="300"/>
        <w:jc w:val="left"/>
      </w:pPr>
      <w:r>
        <w:rPr>
          <w:rFonts w:ascii="Times New Roman" w:cs="Times New Roman" w:eastAsia="Times New Roman" w:hAnsi="Times New Roman"/>
          <w:b w:val="false"/>
          <w:bCs w:val="false"/>
          <w:i w:val="false"/>
          <w:iCs w:val="false"/>
          <w:color w:val="000000"/>
          <w:sz w:val="22"/>
          <w:szCs w:val="22"/>
        </w:rPr>
        <w:t xml:space="preserve">It is the most-cited record in this dataset, which is a strong indicator but not the same as being the most influential patent in the field globally. Citation counts within a 689-record sample reflect the influence of the patent inside this slice of the literature. The headline still holds: any product doing access anomaly detection on identity or service telemetry is highly likely to need to consider this Microsoft position.</w:t>
      </w:r>
    </w:p>
    <w:p>
      <w:pPr>
        <w:pStyle w:val="Heading3"/>
        <w:spacing w:after="80" w:before="180"/>
      </w:pPr>
      <w:r>
        <w:rPr>
          <w:rFonts w:ascii="Times New Roman" w:cs="Times New Roman" w:eastAsia="Times New Roman" w:hAnsi="Times New Roman"/>
          <w:b/>
          <w:bCs/>
          <w:color w:val="C00000"/>
          <w:sz w:val="23"/>
          <w:szCs w:val="23"/>
        </w:rPr>
        <w:t xml:space="preserve">Q13. The Robust Intelligence jailbreak patent (US 2025/0181836) — isn't patenting a jailbreak method ethically questionable?</w:t>
      </w:r>
    </w:p>
    <w:p>
      <w:pPr>
        <w:spacing w:after="60" w:before="60" w:line="300"/>
        <w:jc w:val="left"/>
      </w:pPr>
      <w:r>
        <w:rPr>
          <w:rFonts w:ascii="Times New Roman" w:cs="Times New Roman" w:eastAsia="Times New Roman" w:hAnsi="Times New Roman"/>
          <w:b w:val="false"/>
          <w:bCs w:val="false"/>
          <w:i w:val="false"/>
          <w:iCs w:val="false"/>
          <w:color w:val="000000"/>
          <w:sz w:val="22"/>
          <w:szCs w:val="22"/>
        </w:rPr>
        <w:t xml:space="preserve">It is a defensive red-team patent. The intended user is a security team or an AI lab that needs to evaluate the robustness of a model before deploying it. The underlying technique was already published as PAIR and Tree-of-Attacks-with-Pruning before the patent. Patenting the productised form is normal in the AI safety industry — it gives the patent holder leverage to control how the technique is operationalised in commercial red-teaming tools, not the ability to suppress academic research.</w:t>
      </w:r>
    </w:p>
    <w:p>
      <w:pPr>
        <w:pStyle w:val="Heading3"/>
        <w:spacing w:after="80" w:before="180"/>
      </w:pPr>
      <w:r>
        <w:rPr>
          <w:rFonts w:ascii="Times New Roman" w:cs="Times New Roman" w:eastAsia="Times New Roman" w:hAnsi="Times New Roman"/>
          <w:b/>
          <w:bCs/>
          <w:color w:val="C00000"/>
          <w:sz w:val="23"/>
          <w:szCs w:val="23"/>
        </w:rPr>
        <w:t xml:space="preserve">Q14. The Cisco wireless IDS patent (US 2025/0317739) has only 9 forward citations. Why is it on the important list?</w:t>
      </w:r>
    </w:p>
    <w:p>
      <w:pPr>
        <w:spacing w:after="60" w:before="60" w:line="300"/>
        <w:jc w:val="left"/>
      </w:pPr>
      <w:r>
        <w:rPr>
          <w:rFonts w:ascii="Times New Roman" w:cs="Times New Roman" w:eastAsia="Times New Roman" w:hAnsi="Times New Roman"/>
          <w:b w:val="false"/>
          <w:bCs w:val="false"/>
          <w:i w:val="false"/>
          <w:iCs w:val="false"/>
          <w:color w:val="000000"/>
          <w:sz w:val="22"/>
          <w:szCs w:val="22"/>
        </w:rPr>
        <w:t xml:space="preserve">It is recent (published 2025), so its citation count is still accruing. The selection rule was mechanical (top two per category by citation count) and at the current snapshot this is one of the top two Network/Cloud patents. The point of showing it now is that it is the freshest meaningful Cisco position in wireless intrusion detection, which is information that an FTO review needs to know about before it has time to accrue large citation counts.</w:t>
      </w:r>
    </w:p>
    <w:p>
      <w:pPr>
        <w:pStyle w:val="Heading3"/>
        <w:spacing w:after="80" w:before="180"/>
      </w:pPr>
      <w:r>
        <w:rPr>
          <w:rFonts w:ascii="Times New Roman" w:cs="Times New Roman" w:eastAsia="Times New Roman" w:hAnsi="Times New Roman"/>
          <w:b/>
          <w:bCs/>
          <w:color w:val="C00000"/>
          <w:sz w:val="23"/>
          <w:szCs w:val="23"/>
        </w:rPr>
        <w:t xml:space="preserve">Q15. The Microsoft phishing transformer patent (US 12,003,535) reports false positive rates and true positive rates inside the patent specification. Are those binding?</w:t>
      </w:r>
    </w:p>
    <w:p>
      <w:pPr>
        <w:spacing w:after="60" w:before="60" w:line="300"/>
        <w:jc w:val="left"/>
      </w:pPr>
      <w:r>
        <w:rPr>
          <w:rFonts w:ascii="Times New Roman" w:cs="Times New Roman" w:eastAsia="Times New Roman" w:hAnsi="Times New Roman"/>
          <w:b w:val="false"/>
          <w:bCs w:val="false"/>
          <w:i w:val="false"/>
          <w:iCs w:val="false"/>
          <w:color w:val="000000"/>
          <w:sz w:val="22"/>
          <w:szCs w:val="22"/>
        </w:rPr>
        <w:t xml:space="preserve">No, the numbers are part of the disclosure and serve to demonstrate enablement and the technical advance over URLNet and Texception, but they do not appear in the claims and they do not bind the patentee's product behaviour. Treat them as evidence of how well the technique can work in a Microsoft-scale deployment, not as a guarantee.</w:t>
      </w:r>
    </w:p>
    <w:p>
      <w:pPr>
        <w:pStyle w:val="Heading3"/>
        <w:spacing w:after="80" w:before="180"/>
      </w:pPr>
      <w:r>
        <w:rPr>
          <w:rFonts w:ascii="Times New Roman" w:cs="Times New Roman" w:eastAsia="Times New Roman" w:hAnsi="Times New Roman"/>
          <w:b/>
          <w:bCs/>
          <w:color w:val="C00000"/>
          <w:sz w:val="23"/>
          <w:szCs w:val="23"/>
        </w:rPr>
        <w:t xml:space="preserve">Q16. The Palo Alto serverless-permissions patent (US 12,003,541) was filed by Twistlock. How does that affect things?</w:t>
      </w:r>
    </w:p>
    <w:p>
      <w:pPr>
        <w:spacing w:after="60" w:before="60" w:line="300"/>
        <w:jc w:val="left"/>
      </w:pPr>
      <w:r>
        <w:rPr>
          <w:rFonts w:ascii="Times New Roman" w:cs="Times New Roman" w:eastAsia="Times New Roman" w:hAnsi="Times New Roman"/>
          <w:b w:val="false"/>
          <w:bCs w:val="false"/>
          <w:i w:val="false"/>
          <w:iCs w:val="false"/>
          <w:color w:val="000000"/>
          <w:sz w:val="22"/>
          <w:szCs w:val="22"/>
        </w:rPr>
        <w:t xml:space="preserve">Twistlock was acquired by Palo Alto Networks in 2019, so the assignment was reassigned to Palo Alto. The original inventors and the priority filing come from Twistlock, which matters for prior-art chains; the current assignee is Palo Alto, which is what matters for licensing or FTO. The current portfolio sits inside Prisma Cloud.</w:t>
      </w:r>
    </w:p>
    <w:p>
      <w:pPr>
        <w:pStyle w:val="Heading3"/>
        <w:spacing w:after="80" w:before="180"/>
      </w:pPr>
      <w:r>
        <w:rPr>
          <w:rFonts w:ascii="Times New Roman" w:cs="Times New Roman" w:eastAsia="Times New Roman" w:hAnsi="Times New Roman"/>
          <w:b/>
          <w:bCs/>
          <w:color w:val="C00000"/>
          <w:sz w:val="23"/>
          <w:szCs w:val="23"/>
        </w:rPr>
        <w:t xml:space="preserve">Q17. The Microsoft secrets patent (US 11,783,062) is in Data/Privacy but it reads like Identity/Access. Why?</w:t>
      </w:r>
    </w:p>
    <w:p>
      <w:pPr>
        <w:spacing w:after="60" w:before="60" w:line="300"/>
        <w:jc w:val="left"/>
      </w:pPr>
      <w:r>
        <w:rPr>
          <w:rFonts w:ascii="Times New Roman" w:cs="Times New Roman" w:eastAsia="Times New Roman" w:hAnsi="Times New Roman"/>
          <w:b w:val="false"/>
          <w:bCs w:val="false"/>
          <w:i w:val="false"/>
          <w:iCs w:val="false"/>
          <w:color w:val="000000"/>
          <w:sz w:val="22"/>
          <w:szCs w:val="22"/>
        </w:rPr>
        <w:t xml:space="preserve">Because its primary contribution is the management of secrets as data assets with risk metadata, not the management of identities or roles. The categorisation logic looks at what is being protected and how. The closest cousin in the Identity/Access bucket would be the over-permissive serverless function patent, which is about permissions on functions. The Microsoft patent is about the secrets themselves. The lines between these buckets are real, even if the marketing language uses them interchangeably.</w:t>
      </w:r>
    </w:p>
    <w:p>
      <w:pPr>
        <w:pStyle w:val="Heading2"/>
        <w:spacing w:after="120" w:before="240"/>
      </w:pPr>
      <w:r>
        <w:rPr>
          <w:rFonts w:ascii="Times New Roman" w:cs="Times New Roman" w:eastAsia="Times New Roman" w:hAnsi="Times New Roman"/>
          <w:b/>
          <w:bCs/>
          <w:color w:val="1F3864"/>
          <w:sz w:val="26"/>
          <w:szCs w:val="26"/>
        </w:rPr>
        <w:t xml:space="preserve">5.4  Strategic and FTO questions</w:t>
      </w:r>
    </w:p>
    <w:p>
      <w:pPr>
        <w:pStyle w:val="Heading3"/>
        <w:spacing w:after="80" w:before="180"/>
      </w:pPr>
      <w:r>
        <w:rPr>
          <w:rFonts w:ascii="Times New Roman" w:cs="Times New Roman" w:eastAsia="Times New Roman" w:hAnsi="Times New Roman"/>
          <w:b/>
          <w:bCs/>
          <w:color w:val="C00000"/>
          <w:sz w:val="23"/>
          <w:szCs w:val="23"/>
        </w:rPr>
        <w:t xml:space="preserve">Q18. If we wanted to file in AI-driven cybersecurity, where is the easiest white space?</w:t>
      </w:r>
    </w:p>
    <w:p>
      <w:pPr>
        <w:spacing w:after="60" w:before="60" w:line="300"/>
        <w:jc w:val="left"/>
      </w:pPr>
      <w:r>
        <w:rPr>
          <w:rFonts w:ascii="Times New Roman" w:cs="Times New Roman" w:eastAsia="Times New Roman" w:hAnsi="Times New Roman"/>
          <w:b w:val="false"/>
          <w:bCs w:val="false"/>
          <w:i w:val="false"/>
          <w:iCs w:val="false"/>
          <w:color w:val="000000"/>
          <w:sz w:val="22"/>
          <w:szCs w:val="22"/>
        </w:rPr>
        <w:t xml:space="preserve">The smaller categories are easier in raw density terms but the easier white space is at the intersections: data leakage in GenAI workflows, automated remediation in cloud identity, edge or on-device anomaly baselines, and privacy-preserving cross-tenant threat intelligence. Each of those is covered explicitly in the ideation opportunities slides (24 and 25). The crowded areas (SOC, network, vulnerability scoring) still permit invention but only with a tight differentiation hook around data fusion, feedback or deployment context.</w:t>
      </w:r>
    </w:p>
    <w:p>
      <w:pPr>
        <w:pStyle w:val="Heading3"/>
        <w:spacing w:after="80" w:before="180"/>
      </w:pPr>
      <w:r>
        <w:rPr>
          <w:rFonts w:ascii="Times New Roman" w:cs="Times New Roman" w:eastAsia="Times New Roman" w:hAnsi="Times New Roman"/>
          <w:b/>
          <w:bCs/>
          <w:color w:val="C00000"/>
          <w:sz w:val="23"/>
          <w:szCs w:val="23"/>
        </w:rPr>
        <w:t xml:space="preserve">Q19. What is the FTO implication if our product overlaps with Threat/SOC?</w:t>
      </w:r>
    </w:p>
    <w:p>
      <w:pPr>
        <w:spacing w:after="60" w:before="60" w:line="300"/>
        <w:jc w:val="left"/>
      </w:pPr>
      <w:r>
        <w:rPr>
          <w:rFonts w:ascii="Times New Roman" w:cs="Times New Roman" w:eastAsia="Times New Roman" w:hAnsi="Times New Roman"/>
          <w:b w:val="false"/>
          <w:bCs w:val="false"/>
          <w:i w:val="false"/>
          <w:iCs w:val="false"/>
          <w:color w:val="000000"/>
          <w:sz w:val="22"/>
          <w:szCs w:val="22"/>
        </w:rPr>
        <w:t xml:space="preserve">Start the FTO review with the Microsoft portfolio (87 of 258 records in this bucket, including the top two by citation count). The most likely blockers are US 11,647,034 and US 2023/0259632. Then sweep Cisco (51 records) and Google (21 records). The deck does not provide claim-level analysis; treat the citation-ranked list as the seed for a proper claim-by-claim search.</w:t>
      </w:r>
    </w:p>
    <w:p>
      <w:pPr>
        <w:pStyle w:val="Heading3"/>
        <w:spacing w:after="80" w:before="180"/>
      </w:pPr>
      <w:r>
        <w:rPr>
          <w:rFonts w:ascii="Times New Roman" w:cs="Times New Roman" w:eastAsia="Times New Roman" w:hAnsi="Times New Roman"/>
          <w:b/>
          <w:bCs/>
          <w:color w:val="C00000"/>
          <w:sz w:val="23"/>
          <w:szCs w:val="23"/>
        </w:rPr>
        <w:t xml:space="preserve">Q20. We are an automotive company. How relevant is this dataset to us?</w:t>
      </w:r>
    </w:p>
    <w:p>
      <w:pPr>
        <w:spacing w:after="60" w:before="60" w:line="300"/>
        <w:jc w:val="left"/>
      </w:pPr>
      <w:r>
        <w:rPr>
          <w:rFonts w:ascii="Times New Roman" w:cs="Times New Roman" w:eastAsia="Times New Roman" w:hAnsi="Times New Roman"/>
          <w:b w:val="false"/>
          <w:bCs w:val="false"/>
          <w:i w:val="false"/>
          <w:iCs w:val="false"/>
          <w:color w:val="000000"/>
          <w:sz w:val="22"/>
          <w:szCs w:val="22"/>
        </w:rPr>
        <w:t xml:space="preserve">Direct hits are limited because no automotive OEMs appear in the top assignees, but several themes apply: edge/IoT behavioural baselines (Network/Cloud and Automation buckets) align with in-vehicle anomaly detection, the over-permissive-roles pattern applies to vehicle service permissions, and the data-leakage patterns apply to telemetry pipelines. The patents from Microsoft and Cisco on IoT posture management (US 2023/0370452) are the closest direct analogue and should be cited in any internal landscape document we produce on vehicle security.</w:t>
      </w:r>
    </w:p>
    <w:p>
      <w:pPr>
        <w:pStyle w:val="Heading3"/>
        <w:spacing w:after="80" w:before="180"/>
      </w:pPr>
      <w:r>
        <w:rPr>
          <w:rFonts w:ascii="Times New Roman" w:cs="Times New Roman" w:eastAsia="Times New Roman" w:hAnsi="Times New Roman"/>
          <w:b/>
          <w:bCs/>
          <w:color w:val="C00000"/>
          <w:sz w:val="23"/>
          <w:szCs w:val="23"/>
        </w:rPr>
        <w:t xml:space="preserve">Q21. Doesn't a top-four concentration of 75 percent suggest the market is closed to new entrants?</w:t>
      </w:r>
    </w:p>
    <w:p>
      <w:pPr>
        <w:spacing w:after="60" w:before="60" w:line="300"/>
        <w:jc w:val="left"/>
      </w:pPr>
      <w:r>
        <w:rPr>
          <w:rFonts w:ascii="Times New Roman" w:cs="Times New Roman" w:eastAsia="Times New Roman" w:hAnsi="Times New Roman"/>
          <w:b w:val="false"/>
          <w:bCs w:val="false"/>
          <w:i w:val="false"/>
          <w:iCs w:val="false"/>
          <w:color w:val="000000"/>
          <w:sz w:val="22"/>
          <w:szCs w:val="22"/>
        </w:rPr>
        <w:t xml:space="preserve">It suggests the market is consolidated, not closed. The newest sub-markets — LLM red-teaming, GenAI control planes, AI security posture management — are still dominated by smaller specialists. The patent records show this: Robust Intelligence (1 record, 8 citations) and CyberArk (13 records, concentrated) have visibility well beyond their volume share. New entrants succeed when they own a category that the top four have not yet decided is core.</w:t>
      </w:r>
    </w:p>
    <w:p>
      <w:pPr>
        <w:pStyle w:val="Heading3"/>
        <w:spacing w:after="80" w:before="180"/>
      </w:pPr>
      <w:r>
        <w:rPr>
          <w:rFonts w:ascii="Times New Roman" w:cs="Times New Roman" w:eastAsia="Times New Roman" w:hAnsi="Times New Roman"/>
          <w:b/>
          <w:bCs/>
          <w:color w:val="C00000"/>
          <w:sz w:val="23"/>
          <w:szCs w:val="23"/>
        </w:rPr>
        <w:t xml:space="preserve">Q22. How do I sanity-check the deck during the presentation if someone challenges a number?</w:t>
      </w:r>
    </w:p>
    <w:p>
      <w:pPr>
        <w:spacing w:after="60" w:before="60" w:line="300"/>
        <w:jc w:val="left"/>
      </w:pPr>
      <w:r>
        <w:rPr>
          <w:rFonts w:ascii="Times New Roman" w:cs="Times New Roman" w:eastAsia="Times New Roman" w:hAnsi="Times New Roman"/>
          <w:b w:val="false"/>
          <w:bCs w:val="false"/>
          <w:i w:val="false"/>
          <w:iCs w:val="false"/>
          <w:color w:val="000000"/>
          <w:sz w:val="22"/>
          <w:szCs w:val="22"/>
        </w:rPr>
        <w:t xml:space="preserve">Every chart in this deck is generated from the source workbook IPCyberPatents2-20260625.xlsx, sheet CyberPatents2. Every count can be reproduced by filtering that workbook. If the audience disputes a number, open the workbook to the relevant pivot, not to a hand-edited slide. That is also why the source citation appears on every slide footer.</w:t>
      </w:r>
    </w:p>
    <w:p>
      <w:pPr>
        <w:pStyle w:val="Heading3"/>
        <w:spacing w:after="80" w:before="180"/>
      </w:pPr>
      <w:r>
        <w:rPr>
          <w:rFonts w:ascii="Times New Roman" w:cs="Times New Roman" w:eastAsia="Times New Roman" w:hAnsi="Times New Roman"/>
          <w:b/>
          <w:bCs/>
          <w:color w:val="C00000"/>
          <w:sz w:val="23"/>
          <w:szCs w:val="23"/>
        </w:rPr>
        <w:t xml:space="preserve">Q23. What is the single most important limitation we should declare up front?</w:t>
      </w:r>
    </w:p>
    <w:p>
      <w:pPr>
        <w:spacing w:after="60" w:before="60" w:line="300"/>
        <w:jc w:val="left"/>
      </w:pPr>
      <w:r>
        <w:rPr>
          <w:rFonts w:ascii="Times New Roman" w:cs="Times New Roman" w:eastAsia="Times New Roman" w:hAnsi="Times New Roman"/>
          <w:b w:val="false"/>
          <w:bCs w:val="false"/>
          <w:i w:val="false"/>
          <w:iCs w:val="false"/>
          <w:color w:val="000000"/>
          <w:sz w:val="22"/>
          <w:szCs w:val="22"/>
        </w:rPr>
        <w:t xml:space="preserve">The 2026 partial-year effect. If we let the audience assume that 2026 is a complete year, they will misread the trend chart as falling activity when in reality the year just is not done yet. We declared it on slide 14 and slide 15 and we should declare it again verbally when we get to those charts.</w:t>
      </w:r>
    </w:p>
    <w:p>
      <w:pPr>
        <w:pStyle w:val="Heading3"/>
        <w:spacing w:after="80" w:before="180"/>
      </w:pPr>
      <w:r>
        <w:rPr>
          <w:rFonts w:ascii="Times New Roman" w:cs="Times New Roman" w:eastAsia="Times New Roman" w:hAnsi="Times New Roman"/>
          <w:b/>
          <w:bCs/>
          <w:color w:val="C00000"/>
          <w:sz w:val="23"/>
          <w:szCs w:val="23"/>
        </w:rPr>
        <w:t xml:space="preserve">Q24. What is the single most useful takeaway for a non-IP audience?</w:t>
      </w:r>
    </w:p>
    <w:p>
      <w:pPr>
        <w:spacing w:after="60" w:before="60" w:line="300"/>
        <w:jc w:val="left"/>
      </w:pPr>
      <w:r>
        <w:rPr>
          <w:rFonts w:ascii="Times New Roman" w:cs="Times New Roman" w:eastAsia="Times New Roman" w:hAnsi="Times New Roman"/>
          <w:b w:val="false"/>
          <w:bCs w:val="false"/>
          <w:i w:val="false"/>
          <w:iCs w:val="false"/>
          <w:color w:val="000000"/>
          <w:sz w:val="22"/>
          <w:szCs w:val="22"/>
        </w:rPr>
        <w:t xml:space="preserve">That the AI-cybersecurity patent landscape is concentrated in four assignees who own the operational core (SOC, network, identity, vulnerability) and that the novel invention activity now lives at the edges (GenAI/LLM, automation, data privacy). For a product audience, that is the map of where to expect competitive crowding versus where to expect differentiation room.</w:t>
      </w:r>
    </w:p>
    <w:p>
      <w:pPr>
        <w:pBdr>
          <w:bottom w:val="single" w:color="1F3864" w:sz="6" w:space="1"/>
        </w:pBdr>
        <w:spacing w:after="120" w:before="60"/>
      </w:pPr>
      <w:r>
        <w:t xml:space="preserve"/>
      </w:r>
    </w:p>
    <w:p>
      <w:pPr>
        <w:spacing w:after="60" w:before="60" w:line="300"/>
        <w:jc w:val="left"/>
      </w:pPr>
      <w:r>
        <w:rPr>
          <w:rFonts w:ascii="Times New Roman" w:cs="Times New Roman" w:eastAsia="Times New Roman" w:hAnsi="Times New Roman"/>
          <w:b w:val="false"/>
          <w:bCs w:val="false"/>
          <w:i/>
          <w:iCs/>
          <w:color w:val="595959"/>
          <w:sz w:val="20"/>
          <w:szCs w:val="20"/>
        </w:rPr>
        <w:t xml:space="preserve">This briefing is the presenter's companion to ai_cybersecurity_patent_landscape_revised.pptx and is meant for review prior to the presentation. It does not provide claim-level legal analysis. For FTO, validity or infringement opinions on any individual patent, a claim-by-claim review against the specific product feature is required.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color w:val="C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2026-06-28T12:58:42.390Z</dcterms:created>
  <dcterms:modified xsi:type="dcterms:W3CDTF">2026-06-28T12:58:42.390Z</dcterms:modified>
</cp:coreProperties>
</file>

<file path=docProps/custom.xml><?xml version="1.0" encoding="utf-8"?>
<Properties xmlns="http://schemas.openxmlformats.org/officeDocument/2006/custom-properties" xmlns:vt="http://schemas.openxmlformats.org/officeDocument/2006/docPropsVTypes"/>
</file>