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10A9" w14:textId="77777777" w:rsidR="008A4150" w:rsidRPr="00AF19A0" w:rsidRDefault="008A4150" w:rsidP="008A4150">
      <w:pPr>
        <w:jc w:val="center"/>
        <w:rPr>
          <w:rFonts w:ascii="Times New Roman" w:eastAsia="Cambria" w:hAnsi="Times New Roman" w:cs="Times New Roman"/>
          <w:b/>
          <w:sz w:val="36"/>
          <w:szCs w:val="36"/>
        </w:rPr>
      </w:pPr>
      <w:r w:rsidRPr="00AF19A0">
        <w:rPr>
          <w:rFonts w:ascii="Times New Roman" w:eastAsia="Cambria" w:hAnsi="Times New Roman" w:cs="Times New Roman"/>
          <w:b/>
          <w:sz w:val="36"/>
          <w:szCs w:val="36"/>
        </w:rPr>
        <w:t>Rajiv Gandhi School of Intellectual Property Law</w:t>
      </w:r>
    </w:p>
    <w:p w14:paraId="6CB014AF" w14:textId="77777777" w:rsidR="008A4150" w:rsidRPr="00AF19A0" w:rsidRDefault="008A4150" w:rsidP="008A4150">
      <w:pPr>
        <w:jc w:val="center"/>
        <w:rPr>
          <w:rFonts w:ascii="Times New Roman" w:eastAsia="Cambria" w:hAnsi="Times New Roman" w:cs="Times New Roman"/>
          <w:b/>
          <w:sz w:val="36"/>
          <w:szCs w:val="36"/>
        </w:rPr>
      </w:pPr>
      <w:r w:rsidRPr="00AF19A0">
        <w:rPr>
          <w:rFonts w:ascii="Times New Roman" w:eastAsia="Cambria" w:hAnsi="Times New Roman" w:cs="Times New Roman"/>
          <w:b/>
          <w:sz w:val="36"/>
          <w:szCs w:val="36"/>
        </w:rPr>
        <w:t>IIT KHARAGPUR</w:t>
      </w:r>
    </w:p>
    <w:p w14:paraId="3A166FFE" w14:textId="77777777" w:rsidR="008A4150" w:rsidRPr="00AF19A0" w:rsidRDefault="008A4150" w:rsidP="008A4150">
      <w:pPr>
        <w:jc w:val="center"/>
        <w:rPr>
          <w:rFonts w:ascii="Times New Roman" w:eastAsia="Cambria" w:hAnsi="Times New Roman" w:cs="Times New Roman"/>
          <w:b/>
          <w:sz w:val="36"/>
          <w:szCs w:val="36"/>
        </w:rPr>
      </w:pPr>
    </w:p>
    <w:p w14:paraId="09D324D7" w14:textId="77777777" w:rsidR="008A4150" w:rsidRPr="00AF19A0" w:rsidRDefault="008A4150" w:rsidP="008A4150">
      <w:pPr>
        <w:jc w:val="center"/>
        <w:rPr>
          <w:rFonts w:ascii="Times New Roman" w:eastAsia="Cambria" w:hAnsi="Times New Roman" w:cs="Times New Roman"/>
          <w:b/>
          <w:sz w:val="36"/>
          <w:szCs w:val="36"/>
        </w:rPr>
      </w:pPr>
      <w:r w:rsidRPr="00AF19A0">
        <w:rPr>
          <w:rFonts w:ascii="Times New Roman" w:eastAsia="Century Gothic" w:hAnsi="Times New Roman" w:cs="Times New Roman"/>
          <w:noProof/>
        </w:rPr>
        <w:drawing>
          <wp:inline distT="0" distB="0" distL="0" distR="0" wp14:anchorId="687814D2" wp14:editId="61C3A749">
            <wp:extent cx="5731510" cy="3264535"/>
            <wp:effectExtent l="0" t="0" r="2540" b="0"/>
            <wp:docPr id="1" name="image1.png" descr="Indian Institute of Technology Kharagpur invites online applications ..."/>
            <wp:cNvGraphicFramePr/>
            <a:graphic xmlns:a="http://schemas.openxmlformats.org/drawingml/2006/main">
              <a:graphicData uri="http://schemas.openxmlformats.org/drawingml/2006/picture">
                <pic:pic xmlns:pic="http://schemas.openxmlformats.org/drawingml/2006/picture">
                  <pic:nvPicPr>
                    <pic:cNvPr id="0" name="image1.png" descr="Indian Institute of Technology Kharagpur invites online applications ..."/>
                    <pic:cNvPicPr preferRelativeResize="0"/>
                  </pic:nvPicPr>
                  <pic:blipFill>
                    <a:blip r:embed="rId8"/>
                    <a:srcRect/>
                    <a:stretch>
                      <a:fillRect/>
                    </a:stretch>
                  </pic:blipFill>
                  <pic:spPr>
                    <a:xfrm>
                      <a:off x="0" y="0"/>
                      <a:ext cx="5731510" cy="3264535"/>
                    </a:xfrm>
                    <a:prstGeom prst="rect">
                      <a:avLst/>
                    </a:prstGeom>
                    <a:ln/>
                  </pic:spPr>
                </pic:pic>
              </a:graphicData>
            </a:graphic>
          </wp:inline>
        </w:drawing>
      </w:r>
    </w:p>
    <w:p w14:paraId="0438FD1D" w14:textId="77777777" w:rsidR="008A4150" w:rsidRPr="00AF19A0" w:rsidRDefault="008A4150" w:rsidP="008A4150">
      <w:pPr>
        <w:jc w:val="center"/>
        <w:rPr>
          <w:rFonts w:ascii="Times New Roman" w:eastAsia="Cambria" w:hAnsi="Times New Roman" w:cs="Times New Roman"/>
          <w:b/>
          <w:sz w:val="36"/>
          <w:szCs w:val="36"/>
        </w:rPr>
      </w:pPr>
    </w:p>
    <w:p w14:paraId="1952ED12" w14:textId="0BBFB601" w:rsidR="008A4150" w:rsidRDefault="008A4150" w:rsidP="008A4150">
      <w:pPr>
        <w:jc w:val="center"/>
        <w:rPr>
          <w:rFonts w:ascii="Times New Roman" w:eastAsia="Cambria" w:hAnsi="Times New Roman" w:cs="Times New Roman"/>
          <w:b/>
          <w:sz w:val="44"/>
          <w:szCs w:val="44"/>
        </w:rPr>
      </w:pPr>
      <w:r>
        <w:rPr>
          <w:rFonts w:ascii="Times New Roman" w:eastAsia="Cambria" w:hAnsi="Times New Roman" w:cs="Times New Roman"/>
          <w:b/>
          <w:sz w:val="44"/>
          <w:szCs w:val="44"/>
        </w:rPr>
        <w:t>Alternate Dispute Resolution Assignment</w:t>
      </w:r>
    </w:p>
    <w:p w14:paraId="1D5D9379" w14:textId="70D9BBC9" w:rsidR="008A4150" w:rsidRPr="008A4150" w:rsidRDefault="008A4150" w:rsidP="008A4150">
      <w:pPr>
        <w:jc w:val="center"/>
        <w:rPr>
          <w:rFonts w:ascii="Times New Roman" w:eastAsia="Cambria" w:hAnsi="Times New Roman" w:cs="Times New Roman"/>
          <w:b/>
          <w:sz w:val="28"/>
          <w:szCs w:val="28"/>
        </w:rPr>
      </w:pPr>
      <w:r w:rsidRPr="008A4150">
        <w:rPr>
          <w:rFonts w:ascii="Times New Roman" w:eastAsia="Cambria" w:hAnsi="Times New Roman" w:cs="Times New Roman"/>
          <w:b/>
          <w:sz w:val="28"/>
          <w:szCs w:val="28"/>
        </w:rPr>
        <w:t xml:space="preserve">Submitted to: </w:t>
      </w:r>
      <w:proofErr w:type="spellStart"/>
      <w:r w:rsidRPr="008A4150">
        <w:rPr>
          <w:rFonts w:ascii="Times New Roman" w:eastAsia="Cambria" w:hAnsi="Times New Roman" w:cs="Times New Roman"/>
          <w:b/>
          <w:sz w:val="28"/>
          <w:szCs w:val="28"/>
        </w:rPr>
        <w:t>Dr.</w:t>
      </w:r>
      <w:proofErr w:type="spellEnd"/>
      <w:r w:rsidRPr="008A4150">
        <w:rPr>
          <w:rFonts w:ascii="Times New Roman" w:eastAsia="Cambria" w:hAnsi="Times New Roman" w:cs="Times New Roman"/>
          <w:b/>
          <w:sz w:val="28"/>
          <w:szCs w:val="28"/>
        </w:rPr>
        <w:t xml:space="preserve"> S. R. Subramanian</w:t>
      </w:r>
    </w:p>
    <w:p w14:paraId="29EF4AD2" w14:textId="77777777" w:rsidR="008A4150" w:rsidRPr="00AF19A0" w:rsidRDefault="008A4150" w:rsidP="008A4150">
      <w:pPr>
        <w:jc w:val="center"/>
        <w:rPr>
          <w:rFonts w:ascii="Times New Roman" w:eastAsia="Cambria" w:hAnsi="Times New Roman" w:cs="Times New Roman"/>
          <w:b/>
          <w:sz w:val="28"/>
          <w:szCs w:val="28"/>
        </w:rPr>
      </w:pPr>
    </w:p>
    <w:p w14:paraId="5C16272A" w14:textId="77777777" w:rsidR="008A4150" w:rsidRPr="00AF19A0" w:rsidRDefault="008A4150" w:rsidP="008A4150">
      <w:pPr>
        <w:jc w:val="center"/>
        <w:rPr>
          <w:rFonts w:ascii="Times New Roman" w:eastAsia="Cambria" w:hAnsi="Times New Roman" w:cs="Times New Roman"/>
          <w:b/>
          <w:sz w:val="28"/>
          <w:szCs w:val="28"/>
        </w:rPr>
      </w:pPr>
    </w:p>
    <w:p w14:paraId="58E95E08" w14:textId="77777777" w:rsidR="008A4150" w:rsidRPr="00AF19A0" w:rsidRDefault="008A4150" w:rsidP="008A4150">
      <w:pPr>
        <w:jc w:val="center"/>
        <w:rPr>
          <w:rFonts w:ascii="Times New Roman" w:eastAsia="Cambria" w:hAnsi="Times New Roman" w:cs="Times New Roman"/>
          <w:b/>
          <w:sz w:val="28"/>
          <w:szCs w:val="28"/>
        </w:rPr>
      </w:pPr>
    </w:p>
    <w:p w14:paraId="0BC948B4" w14:textId="77777777" w:rsidR="008A4150" w:rsidRPr="00AF19A0" w:rsidRDefault="008A4150" w:rsidP="008A4150">
      <w:pPr>
        <w:jc w:val="both"/>
        <w:rPr>
          <w:rFonts w:ascii="Times New Roman" w:eastAsia="Cambria" w:hAnsi="Times New Roman" w:cs="Times New Roman"/>
          <w:sz w:val="24"/>
          <w:szCs w:val="24"/>
        </w:rPr>
      </w:pPr>
    </w:p>
    <w:p w14:paraId="43F6D52B" w14:textId="77777777" w:rsidR="008A4150" w:rsidRPr="00AF19A0" w:rsidRDefault="008A4150" w:rsidP="008A4150">
      <w:pPr>
        <w:jc w:val="right"/>
        <w:rPr>
          <w:rFonts w:ascii="Times New Roman" w:eastAsia="Cambria" w:hAnsi="Times New Roman" w:cs="Times New Roman"/>
          <w:b/>
          <w:sz w:val="32"/>
          <w:szCs w:val="32"/>
        </w:rPr>
      </w:pPr>
    </w:p>
    <w:p w14:paraId="6F5C99CD" w14:textId="77777777" w:rsidR="008A4150" w:rsidRPr="00AF19A0" w:rsidRDefault="008A4150" w:rsidP="008A4150">
      <w:pPr>
        <w:jc w:val="right"/>
        <w:rPr>
          <w:rFonts w:ascii="Times New Roman" w:eastAsia="Cambria" w:hAnsi="Times New Roman" w:cs="Times New Roman"/>
          <w:b/>
          <w:sz w:val="36"/>
          <w:szCs w:val="36"/>
        </w:rPr>
      </w:pPr>
      <w:r w:rsidRPr="00AF19A0">
        <w:rPr>
          <w:rFonts w:ascii="Times New Roman" w:eastAsia="Cambria" w:hAnsi="Times New Roman" w:cs="Times New Roman"/>
          <w:b/>
          <w:sz w:val="36"/>
          <w:szCs w:val="36"/>
        </w:rPr>
        <w:t>Ritu Bhushan Prasad Tiwari</w:t>
      </w:r>
    </w:p>
    <w:p w14:paraId="4CA97B2F" w14:textId="52EB0062" w:rsidR="00482499" w:rsidRDefault="008A4150" w:rsidP="008A4150">
      <w:pPr>
        <w:jc w:val="right"/>
        <w:rPr>
          <w:rFonts w:ascii="Times New Roman" w:eastAsia="Cambria" w:hAnsi="Times New Roman" w:cs="Times New Roman"/>
          <w:b/>
          <w:sz w:val="36"/>
          <w:szCs w:val="36"/>
        </w:rPr>
      </w:pPr>
      <w:r w:rsidRPr="00AF19A0">
        <w:rPr>
          <w:rFonts w:ascii="Times New Roman" w:eastAsia="Cambria" w:hAnsi="Times New Roman" w:cs="Times New Roman"/>
          <w:b/>
          <w:sz w:val="36"/>
          <w:szCs w:val="36"/>
        </w:rPr>
        <w:t>24IP63032</w:t>
      </w:r>
    </w:p>
    <w:p w14:paraId="1C7A7E94" w14:textId="2256B87A" w:rsidR="008A4150" w:rsidRDefault="008A4150" w:rsidP="008A4150">
      <w:pPr>
        <w:jc w:val="right"/>
        <w:rPr>
          <w:rFonts w:ascii="Times New Roman" w:eastAsia="Cambria" w:hAnsi="Times New Roman" w:cs="Times New Roman"/>
          <w:b/>
          <w:sz w:val="36"/>
          <w:szCs w:val="36"/>
        </w:rPr>
      </w:pPr>
    </w:p>
    <w:p w14:paraId="73EFE973" w14:textId="55DBC568" w:rsidR="008A4150" w:rsidRDefault="008A4150" w:rsidP="008A4150">
      <w:pPr>
        <w:jc w:val="right"/>
        <w:rPr>
          <w:rFonts w:ascii="Times New Roman" w:eastAsia="Cambria" w:hAnsi="Times New Roman" w:cs="Times New Roman"/>
          <w:b/>
          <w:sz w:val="36"/>
          <w:szCs w:val="36"/>
        </w:rPr>
      </w:pPr>
    </w:p>
    <w:p w14:paraId="327838A6" w14:textId="2649BE2B" w:rsidR="008A4150" w:rsidRPr="002266B5" w:rsidRDefault="008A4150" w:rsidP="002266B5">
      <w:pPr>
        <w:pStyle w:val="Title"/>
        <w:spacing w:line="360" w:lineRule="auto"/>
        <w:jc w:val="center"/>
        <w:rPr>
          <w:rFonts w:ascii="Times New Roman" w:eastAsia="Times New Roman" w:hAnsi="Times New Roman" w:cs="Times New Roman"/>
          <w:b/>
          <w:bCs/>
          <w:sz w:val="28"/>
          <w:szCs w:val="28"/>
          <w:u w:val="single"/>
          <w:lang w:val="en-GB"/>
        </w:rPr>
      </w:pPr>
      <w:r w:rsidRPr="002266B5">
        <w:rPr>
          <w:rFonts w:ascii="Times New Roman" w:eastAsia="Times New Roman" w:hAnsi="Times New Roman" w:cs="Times New Roman"/>
          <w:b/>
          <w:bCs/>
          <w:sz w:val="28"/>
          <w:szCs w:val="28"/>
          <w:u w:val="single"/>
          <w:lang w:val="en-GB"/>
        </w:rPr>
        <w:lastRenderedPageBreak/>
        <w:t>Government Servants as Arbitrators: Neutrality Issues</w:t>
      </w:r>
    </w:p>
    <w:p w14:paraId="0081BE65" w14:textId="78F7687C"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The intersection of government contracts and alternate dispute resolution in India has historically been fraught with structural imbalances. For decades, standard form contracts drafted by public sector undertakings (PSUs) and government departments mandated that any disputes arising from the contract be adjudicated by a serving officer of that very department. This designated individual was often the Managing Director, the Chief Engineer, or their direct nominee. The underlying rationale was rooted in administrative convenience and the </w:t>
      </w:r>
      <w:r w:rsidR="009524FB" w:rsidRPr="00513D29">
        <w:rPr>
          <w:rFonts w:ascii="Times New Roman" w:eastAsia="Times New Roman" w:hAnsi="Times New Roman" w:cs="Times New Roman"/>
          <w:sz w:val="24"/>
          <w:szCs w:val="24"/>
          <w:lang w:val="en-GB"/>
        </w:rPr>
        <w:t>specialised</w:t>
      </w:r>
      <w:r w:rsidRPr="008A4150">
        <w:rPr>
          <w:rFonts w:ascii="Times New Roman" w:eastAsia="Times New Roman" w:hAnsi="Times New Roman" w:cs="Times New Roman"/>
          <w:sz w:val="24"/>
          <w:szCs w:val="24"/>
          <w:lang w:val="en-GB"/>
        </w:rPr>
        <w:t xml:space="preserve"> technical knowledge these officers possessed regarding complex public works and infrastructure projects.</w:t>
      </w:r>
    </w:p>
    <w:p w14:paraId="0C71D07B" w14:textId="7E98553C"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However, this practice fundamentally violated a cardinal principle of natural justice: </w:t>
      </w:r>
      <w:r w:rsidRPr="008A4150">
        <w:rPr>
          <w:rFonts w:ascii="Times New Roman" w:eastAsia="Times New Roman" w:hAnsi="Times New Roman" w:cs="Times New Roman"/>
          <w:i/>
          <w:iCs/>
          <w:sz w:val="24"/>
          <w:szCs w:val="24"/>
          <w:lang w:val="en-GB"/>
        </w:rPr>
        <w:t xml:space="preserve">nemo judex in causa </w:t>
      </w:r>
      <w:proofErr w:type="spellStart"/>
      <w:r w:rsidRPr="008A4150">
        <w:rPr>
          <w:rFonts w:ascii="Times New Roman" w:eastAsia="Times New Roman" w:hAnsi="Times New Roman" w:cs="Times New Roman"/>
          <w:i/>
          <w:iCs/>
          <w:sz w:val="24"/>
          <w:szCs w:val="24"/>
          <w:lang w:val="en-GB"/>
        </w:rPr>
        <w:t>sua</w:t>
      </w:r>
      <w:proofErr w:type="spellEnd"/>
      <w:r w:rsidRPr="008A4150">
        <w:rPr>
          <w:rFonts w:ascii="Times New Roman" w:eastAsia="Times New Roman" w:hAnsi="Times New Roman" w:cs="Times New Roman"/>
          <w:sz w:val="24"/>
          <w:szCs w:val="24"/>
          <w:lang w:val="en-GB"/>
        </w:rPr>
        <w:t>, which means no person shall be a judge in their own cause. When the government acts as a contracting party</w:t>
      </w:r>
      <w:r w:rsidR="009524FB" w:rsidRPr="00513D29">
        <w:rPr>
          <w:rFonts w:ascii="Times New Roman" w:eastAsia="Times New Roman" w:hAnsi="Times New Roman" w:cs="Times New Roman"/>
          <w:sz w:val="24"/>
          <w:szCs w:val="24"/>
          <w:lang w:val="en-GB"/>
        </w:rPr>
        <w:t xml:space="preserve"> and appoints its own employee to adjudicate a dispute against a private contractor, it</w:t>
      </w:r>
      <w:r w:rsidRPr="008A4150">
        <w:rPr>
          <w:rFonts w:ascii="Times New Roman" w:eastAsia="Times New Roman" w:hAnsi="Times New Roman" w:cs="Times New Roman"/>
          <w:sz w:val="24"/>
          <w:szCs w:val="24"/>
          <w:lang w:val="en-GB"/>
        </w:rPr>
        <w:t xml:space="preserve"> creates an irreconcilable conflict of interest. The evolution of Indian arbitration law, particularly the legislative overhaul in 2015 and subsequent Supreme Court jurisprudence, represents a decisive shift away from administrative convenience toward absolute neutrality and party autonomy.</w:t>
      </w:r>
    </w:p>
    <w:p w14:paraId="0557C379"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The Pre-2015 Landscape: Autonomy vs. Bias</w:t>
      </w:r>
    </w:p>
    <w:p w14:paraId="12F2AE32"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Prior to the Arbitration and Conciliation (Amendment) Act of 2015, Indian courts generally adopted a non-interventionist approach toward government arbitration clauses. Under the original 1996 Act, if a private contractor knowingly signed a contract agreeing that the government department’s Managing Director would act as the sole arbitrator, the courts held the parties to their bargain.</w:t>
      </w:r>
    </w:p>
    <w:p w14:paraId="03117CF6" w14:textId="699D0F06"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The prevailing judicial philosophy, largely influenced by the freedom of contract, dictated that a party could not challenge an arbitrator's neutrality merely because the arbitrator was an employee of the other party, provided this fact was known at the time of contracting. Challenges were only entertained if the contractor could prove actual, manifest bias during the arbitral proceedings. This evidentiary burden was a notoriously high threshold to meet. It created a systemic disadvantage for private contractors entering into infrastructure, </w:t>
      </w:r>
      <w:r w:rsidR="00513D29" w:rsidRPr="00513D29">
        <w:rPr>
          <w:rFonts w:ascii="Times New Roman" w:eastAsia="Times New Roman" w:hAnsi="Times New Roman" w:cs="Times New Roman"/>
          <w:sz w:val="24"/>
          <w:szCs w:val="24"/>
          <w:lang w:val="en-GB"/>
        </w:rPr>
        <w:t>defence</w:t>
      </w:r>
      <w:r w:rsidRPr="008A4150">
        <w:rPr>
          <w:rFonts w:ascii="Times New Roman" w:eastAsia="Times New Roman" w:hAnsi="Times New Roman" w:cs="Times New Roman"/>
          <w:sz w:val="24"/>
          <w:szCs w:val="24"/>
          <w:lang w:val="en-GB"/>
        </w:rPr>
        <w:t>, and procurement contracts with the State, where bargaining power was inherently unequal.</w:t>
      </w:r>
    </w:p>
    <w:p w14:paraId="50F39B75"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lastRenderedPageBreak/>
        <w:t>The 246th Law Commission Report: A Catalyst for Statutory Reform</w:t>
      </w:r>
    </w:p>
    <w:p w14:paraId="2C9FAE89" w14:textId="3929036A"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The tipping point for neutrality in Indian arbitration arrived with the 246th Report of the Law Commission of India, chaired by Justice A.P. Shah. The Commission </w:t>
      </w:r>
      <w:r w:rsidR="00513D29" w:rsidRPr="00513D29">
        <w:rPr>
          <w:rFonts w:ascii="Times New Roman" w:eastAsia="Times New Roman" w:hAnsi="Times New Roman" w:cs="Times New Roman"/>
          <w:sz w:val="24"/>
          <w:szCs w:val="24"/>
          <w:lang w:val="en-GB"/>
        </w:rPr>
        <w:t>recognised</w:t>
      </w:r>
      <w:r w:rsidRPr="008A4150">
        <w:rPr>
          <w:rFonts w:ascii="Times New Roman" w:eastAsia="Times New Roman" w:hAnsi="Times New Roman" w:cs="Times New Roman"/>
          <w:sz w:val="24"/>
          <w:szCs w:val="24"/>
          <w:lang w:val="en-GB"/>
        </w:rPr>
        <w:t xml:space="preserve"> that the commercial reality of government contracts left private parties with no choice but to accept one-sided arbitration clauses on a strict take-it-or-leave-it basis.</w:t>
      </w:r>
    </w:p>
    <w:p w14:paraId="642EBED9" w14:textId="2B415F6E" w:rsidR="00513D29"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To align Indian arbitration with global best practices, the Commission heavily relied on the International Bar Association (IBA) Guidelines on Conflicts of Interest in International Arbitration. The IBA Guidelines </w:t>
      </w:r>
      <w:r w:rsidR="00513D29" w:rsidRPr="00513D29">
        <w:rPr>
          <w:rFonts w:ascii="Times New Roman" w:eastAsia="Times New Roman" w:hAnsi="Times New Roman" w:cs="Times New Roman"/>
          <w:sz w:val="24"/>
          <w:szCs w:val="24"/>
          <w:lang w:val="en-GB"/>
        </w:rPr>
        <w:t>categorise</w:t>
      </w:r>
      <w:r w:rsidRPr="008A4150">
        <w:rPr>
          <w:rFonts w:ascii="Times New Roman" w:eastAsia="Times New Roman" w:hAnsi="Times New Roman" w:cs="Times New Roman"/>
          <w:sz w:val="24"/>
          <w:szCs w:val="24"/>
          <w:lang w:val="en-GB"/>
        </w:rPr>
        <w:t xml:space="preserve"> conflicts into </w:t>
      </w:r>
      <w:proofErr w:type="gramStart"/>
      <w:r w:rsidRPr="008A4150">
        <w:rPr>
          <w:rFonts w:ascii="Times New Roman" w:eastAsia="Times New Roman" w:hAnsi="Times New Roman" w:cs="Times New Roman"/>
          <w:sz w:val="24"/>
          <w:szCs w:val="24"/>
          <w:lang w:val="en-GB"/>
        </w:rPr>
        <w:t>Red, Orange, and Green</w:t>
      </w:r>
      <w:proofErr w:type="gramEnd"/>
      <w:r w:rsidRPr="008A4150">
        <w:rPr>
          <w:rFonts w:ascii="Times New Roman" w:eastAsia="Times New Roman" w:hAnsi="Times New Roman" w:cs="Times New Roman"/>
          <w:sz w:val="24"/>
          <w:szCs w:val="24"/>
          <w:lang w:val="en-GB"/>
        </w:rPr>
        <w:t xml:space="preserve"> lists based on the severity of the potential conflict. The Law Commission recommended translating these global standards into statutory law, ensuring that independence and impartiality were not just ethical expectations but absolute legal prerequisites.</w:t>
      </w:r>
    </w:p>
    <w:p w14:paraId="29ED486E"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The 2015 Amendment: Codifying Ineligibility</w:t>
      </w:r>
    </w:p>
    <w:p w14:paraId="0F007A35" w14:textId="3391EBF1"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The Parliament implemented these recommendations through the Arbitration and Conciliation (Amendment) Act of 2015, </w:t>
      </w:r>
      <w:r w:rsidR="00513D29" w:rsidRPr="00513D29">
        <w:rPr>
          <w:rFonts w:ascii="Times New Roman" w:eastAsia="Times New Roman" w:hAnsi="Times New Roman" w:cs="Times New Roman"/>
          <w:sz w:val="24"/>
          <w:szCs w:val="24"/>
          <w:lang w:val="en-GB"/>
        </w:rPr>
        <w:t>which fundamentally altered Section 12 of the principal Act and introduced</w:t>
      </w:r>
      <w:r w:rsidRPr="008A4150">
        <w:rPr>
          <w:rFonts w:ascii="Times New Roman" w:eastAsia="Times New Roman" w:hAnsi="Times New Roman" w:cs="Times New Roman"/>
          <w:sz w:val="24"/>
          <w:szCs w:val="24"/>
          <w:lang w:val="en-GB"/>
        </w:rPr>
        <w:t xml:space="preserve"> the Fifth and Seventh Schedules. This created a dual-tiered framework for assessing an arbitrator's neutrality.</w:t>
      </w:r>
    </w:p>
    <w:p w14:paraId="205CF95B" w14:textId="77777777" w:rsidR="008A4150" w:rsidRPr="008A4150" w:rsidRDefault="008A4150" w:rsidP="00513D29">
      <w:pPr>
        <w:spacing w:before="100" w:beforeAutospacing="1" w:after="100" w:afterAutospacing="1" w:line="360" w:lineRule="auto"/>
        <w:jc w:val="both"/>
        <w:outlineLvl w:val="2"/>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1. The Fifth Schedule: Justifiable Doubts and Mandatory Disclosure</w:t>
      </w:r>
    </w:p>
    <w:p w14:paraId="0E675345" w14:textId="3D12D059" w:rsidR="009829C5"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The Fifth Schedule acts as a broad statutory guide detailing circumstances that give rise to justifiable doubts regarding an arbitrator’s independence or impartiality. When a person is approached in connection with a possible appointment as an arbitrator, Section 12(1) mandates a comprehensive written disclosure of any relationship, interest, or past dealing that falls within the categories of the Fifth Schedule. While falling under the Fifth Schedule does not automatically disqualify an individual, it provides the parties with the necessary transparency to challenge the appointment if they believe a genuine bias exists.</w:t>
      </w:r>
    </w:p>
    <w:p w14:paraId="311FCEDF" w14:textId="77777777" w:rsidR="008A4150" w:rsidRPr="008A4150" w:rsidRDefault="008A4150" w:rsidP="00513D29">
      <w:pPr>
        <w:spacing w:before="100" w:beforeAutospacing="1" w:after="100" w:afterAutospacing="1" w:line="360" w:lineRule="auto"/>
        <w:jc w:val="both"/>
        <w:outlineLvl w:val="2"/>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2. The Seventh Schedule: De Jure Ineligibility</w:t>
      </w:r>
    </w:p>
    <w:p w14:paraId="185C6C49" w14:textId="0DCFDDCE"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The Seventh Schedule represents the absolute boundaries of neutrality. Drawing from the Non-Waivable Red List of the IBA, it enumerates specific relationships that render a person statutorily ineligible to act as an arbitrator.</w:t>
      </w:r>
      <w:r w:rsidR="002266B5">
        <w:rPr>
          <w:rFonts w:ascii="Times New Roman" w:eastAsia="Times New Roman" w:hAnsi="Times New Roman" w:cs="Times New Roman"/>
          <w:sz w:val="24"/>
          <w:szCs w:val="24"/>
          <w:lang w:val="en-GB"/>
        </w:rPr>
        <w:t xml:space="preserve"> </w:t>
      </w:r>
      <w:r w:rsidRPr="008A4150">
        <w:rPr>
          <w:rFonts w:ascii="Times New Roman" w:eastAsia="Times New Roman" w:hAnsi="Times New Roman" w:cs="Times New Roman"/>
          <w:sz w:val="24"/>
          <w:szCs w:val="24"/>
          <w:lang w:val="en-GB"/>
        </w:rPr>
        <w:t xml:space="preserve">Crucially, Item 1 of the Seventh Schedule states </w:t>
      </w:r>
      <w:r w:rsidRPr="008A4150">
        <w:rPr>
          <w:rFonts w:ascii="Times New Roman" w:eastAsia="Times New Roman" w:hAnsi="Times New Roman" w:cs="Times New Roman"/>
          <w:sz w:val="24"/>
          <w:szCs w:val="24"/>
          <w:lang w:val="en-GB"/>
        </w:rPr>
        <w:lastRenderedPageBreak/>
        <w:t>that an arbitrator is ineligible if they are an employee, consultant, advisor, or have any other past or present business relationship with a party.</w:t>
      </w:r>
    </w:p>
    <w:p w14:paraId="2CB2D9DA" w14:textId="113C155E"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Through Section 12(5), the 2015 Amendment declared that</w:t>
      </w:r>
      <w:r w:rsidR="002266B5">
        <w:rPr>
          <w:rFonts w:ascii="Times New Roman" w:eastAsia="Times New Roman" w:hAnsi="Times New Roman" w:cs="Times New Roman"/>
          <w:sz w:val="24"/>
          <w:szCs w:val="24"/>
          <w:lang w:val="en-GB"/>
        </w:rPr>
        <w:t>,</w:t>
      </w:r>
      <w:r w:rsidRPr="008A4150">
        <w:rPr>
          <w:rFonts w:ascii="Times New Roman" w:eastAsia="Times New Roman" w:hAnsi="Times New Roman" w:cs="Times New Roman"/>
          <w:sz w:val="24"/>
          <w:szCs w:val="24"/>
          <w:lang w:val="en-GB"/>
        </w:rPr>
        <w:t xml:space="preserve"> notwithstanding any prior agreement to the contrary, any person whose relationship falls under the Seventh Schedule is automatically and </w:t>
      </w:r>
      <w:r w:rsidRPr="008A4150">
        <w:rPr>
          <w:rFonts w:ascii="Times New Roman" w:eastAsia="Times New Roman" w:hAnsi="Times New Roman" w:cs="Times New Roman"/>
          <w:i/>
          <w:iCs/>
          <w:sz w:val="24"/>
          <w:szCs w:val="24"/>
          <w:lang w:val="en-GB"/>
        </w:rPr>
        <w:t>de jure</w:t>
      </w:r>
      <w:r w:rsidRPr="008A4150">
        <w:rPr>
          <w:rFonts w:ascii="Times New Roman" w:eastAsia="Times New Roman" w:hAnsi="Times New Roman" w:cs="Times New Roman"/>
          <w:sz w:val="24"/>
          <w:szCs w:val="24"/>
          <w:lang w:val="en-GB"/>
        </w:rPr>
        <w:t xml:space="preserve"> stripped of their mandate to serve as an arbitrator. The only exception to this strict rule is a high-threshold waiver. The ineligibility can only be waived by an express agreement in writing by both parties, and this waiver can only be executed after the specific dispute has actually arisen. A standard waiver clause pre-written into the commercial contract is legally void.</w:t>
      </w:r>
    </w:p>
    <w:p w14:paraId="645C55E9"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The Dismantling of Unilateral Appointments</w:t>
      </w:r>
    </w:p>
    <w:p w14:paraId="4558C40E" w14:textId="218F0DE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Following the 2015 Amendment, government departments could no longer appoint serving officers as arbitrators. However, many PSUs attempted to circumvent this restriction by </w:t>
      </w:r>
      <w:r w:rsidR="002266B5">
        <w:rPr>
          <w:rFonts w:ascii="Times New Roman" w:eastAsia="Times New Roman" w:hAnsi="Times New Roman" w:cs="Times New Roman"/>
          <w:sz w:val="24"/>
          <w:szCs w:val="24"/>
          <w:lang w:val="en-GB"/>
        </w:rPr>
        <w:t>utilising</w:t>
      </w:r>
      <w:r w:rsidRPr="008A4150">
        <w:rPr>
          <w:rFonts w:ascii="Times New Roman" w:eastAsia="Times New Roman" w:hAnsi="Times New Roman" w:cs="Times New Roman"/>
          <w:sz w:val="24"/>
          <w:szCs w:val="24"/>
          <w:lang w:val="en-GB"/>
        </w:rPr>
        <w:t xml:space="preserve"> clauses that allowed the Managing Director (who was now ineligible) to nominate another person as the sole arbitrator. This triggered a wave of landmark Supreme Court judgments that systematically dismantled unilateral appointment powers.</w:t>
      </w:r>
    </w:p>
    <w:p w14:paraId="796622F3" w14:textId="77777777" w:rsidR="008A4150" w:rsidRPr="008A4150" w:rsidRDefault="008A4150" w:rsidP="00513D29">
      <w:pPr>
        <w:spacing w:before="100" w:beforeAutospacing="1" w:after="100" w:afterAutospacing="1" w:line="360" w:lineRule="auto"/>
        <w:jc w:val="both"/>
        <w:outlineLvl w:val="2"/>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 xml:space="preserve">TRF Ltd. v. </w:t>
      </w:r>
      <w:proofErr w:type="spellStart"/>
      <w:r w:rsidRPr="008A4150">
        <w:rPr>
          <w:rFonts w:ascii="Times New Roman" w:eastAsia="Times New Roman" w:hAnsi="Times New Roman" w:cs="Times New Roman"/>
          <w:b/>
          <w:bCs/>
          <w:sz w:val="24"/>
          <w:szCs w:val="24"/>
          <w:lang w:val="en-GB"/>
        </w:rPr>
        <w:t>Energo</w:t>
      </w:r>
      <w:proofErr w:type="spellEnd"/>
      <w:r w:rsidRPr="008A4150">
        <w:rPr>
          <w:rFonts w:ascii="Times New Roman" w:eastAsia="Times New Roman" w:hAnsi="Times New Roman" w:cs="Times New Roman"/>
          <w:b/>
          <w:bCs/>
          <w:sz w:val="24"/>
          <w:szCs w:val="24"/>
          <w:lang w:val="en-GB"/>
        </w:rPr>
        <w:t xml:space="preserve"> Engineering Projects Ltd. (2017)</w:t>
      </w:r>
    </w:p>
    <w:p w14:paraId="5E57CA9F" w14:textId="3DD25A2A"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In </w:t>
      </w:r>
      <w:r w:rsidRPr="008A4150">
        <w:rPr>
          <w:rFonts w:ascii="Times New Roman" w:eastAsia="Times New Roman" w:hAnsi="Times New Roman" w:cs="Times New Roman"/>
          <w:i/>
          <w:iCs/>
          <w:sz w:val="24"/>
          <w:szCs w:val="24"/>
          <w:lang w:val="en-GB"/>
        </w:rPr>
        <w:t>TRF</w:t>
      </w:r>
      <w:r w:rsidR="009829C5">
        <w:rPr>
          <w:rStyle w:val="FootnoteReference"/>
          <w:rFonts w:ascii="Times New Roman" w:eastAsia="Times New Roman" w:hAnsi="Times New Roman" w:cs="Times New Roman"/>
          <w:i/>
          <w:iCs/>
          <w:sz w:val="24"/>
          <w:szCs w:val="24"/>
          <w:lang w:val="en-GB"/>
        </w:rPr>
        <w:footnoteReference w:id="1"/>
      </w:r>
      <w:r w:rsidRPr="008A4150">
        <w:rPr>
          <w:rFonts w:ascii="Times New Roman" w:eastAsia="Times New Roman" w:hAnsi="Times New Roman" w:cs="Times New Roman"/>
          <w:sz w:val="24"/>
          <w:szCs w:val="24"/>
          <w:lang w:val="en-GB"/>
        </w:rPr>
        <w:t xml:space="preserve">, the Supreme Court confronted a clause where the Managing Director of the respondent company was designated to act as the sole arbitrator or to nominate another person to act on his behalf. The Court struck down this mechanism using a simple legal fiction. It established that once an arbitrator is rendered ineligible by operation of law under Section 12(5), their power to nominate an alternate is concurrently extinguished. Relying on the legal maxim </w:t>
      </w:r>
      <w:r w:rsidRPr="008A4150">
        <w:rPr>
          <w:rFonts w:ascii="Times New Roman" w:eastAsia="Times New Roman" w:hAnsi="Times New Roman" w:cs="Times New Roman"/>
          <w:i/>
          <w:iCs/>
          <w:sz w:val="24"/>
          <w:szCs w:val="24"/>
          <w:lang w:val="en-GB"/>
        </w:rPr>
        <w:t xml:space="preserve">qui </w:t>
      </w:r>
      <w:proofErr w:type="spellStart"/>
      <w:r w:rsidRPr="008A4150">
        <w:rPr>
          <w:rFonts w:ascii="Times New Roman" w:eastAsia="Times New Roman" w:hAnsi="Times New Roman" w:cs="Times New Roman"/>
          <w:i/>
          <w:iCs/>
          <w:sz w:val="24"/>
          <w:szCs w:val="24"/>
          <w:lang w:val="en-GB"/>
        </w:rPr>
        <w:t>facit</w:t>
      </w:r>
      <w:proofErr w:type="spellEnd"/>
      <w:r w:rsidRPr="008A4150">
        <w:rPr>
          <w:rFonts w:ascii="Times New Roman" w:eastAsia="Times New Roman" w:hAnsi="Times New Roman" w:cs="Times New Roman"/>
          <w:i/>
          <w:iCs/>
          <w:sz w:val="24"/>
          <w:szCs w:val="24"/>
          <w:lang w:val="en-GB"/>
        </w:rPr>
        <w:t xml:space="preserve"> per </w:t>
      </w:r>
      <w:proofErr w:type="spellStart"/>
      <w:r w:rsidRPr="008A4150">
        <w:rPr>
          <w:rFonts w:ascii="Times New Roman" w:eastAsia="Times New Roman" w:hAnsi="Times New Roman" w:cs="Times New Roman"/>
          <w:i/>
          <w:iCs/>
          <w:sz w:val="24"/>
          <w:szCs w:val="24"/>
          <w:lang w:val="en-GB"/>
        </w:rPr>
        <w:t>alium</w:t>
      </w:r>
      <w:proofErr w:type="spellEnd"/>
      <w:r w:rsidRPr="008A4150">
        <w:rPr>
          <w:rFonts w:ascii="Times New Roman" w:eastAsia="Times New Roman" w:hAnsi="Times New Roman" w:cs="Times New Roman"/>
          <w:i/>
          <w:iCs/>
          <w:sz w:val="24"/>
          <w:szCs w:val="24"/>
          <w:lang w:val="en-GB"/>
        </w:rPr>
        <w:t xml:space="preserve"> </w:t>
      </w:r>
      <w:proofErr w:type="spellStart"/>
      <w:r w:rsidRPr="008A4150">
        <w:rPr>
          <w:rFonts w:ascii="Times New Roman" w:eastAsia="Times New Roman" w:hAnsi="Times New Roman" w:cs="Times New Roman"/>
          <w:i/>
          <w:iCs/>
          <w:sz w:val="24"/>
          <w:szCs w:val="24"/>
          <w:lang w:val="en-GB"/>
        </w:rPr>
        <w:t>facit</w:t>
      </w:r>
      <w:proofErr w:type="spellEnd"/>
      <w:r w:rsidRPr="008A4150">
        <w:rPr>
          <w:rFonts w:ascii="Times New Roman" w:eastAsia="Times New Roman" w:hAnsi="Times New Roman" w:cs="Times New Roman"/>
          <w:i/>
          <w:iCs/>
          <w:sz w:val="24"/>
          <w:szCs w:val="24"/>
          <w:lang w:val="en-GB"/>
        </w:rPr>
        <w:t xml:space="preserve"> per se</w:t>
      </w:r>
      <w:r w:rsidRPr="008A4150">
        <w:rPr>
          <w:rFonts w:ascii="Times New Roman" w:eastAsia="Times New Roman" w:hAnsi="Times New Roman" w:cs="Times New Roman"/>
          <w:sz w:val="24"/>
          <w:szCs w:val="24"/>
          <w:lang w:val="en-GB"/>
        </w:rPr>
        <w:t xml:space="preserve"> (what one does through another is done by oneself), the Court reasoned that a statutorily disqualified person cannot logically do indirectly what they are barred from doing directly.</w:t>
      </w:r>
    </w:p>
    <w:p w14:paraId="690529D3" w14:textId="77777777" w:rsidR="008A4150" w:rsidRPr="008A4150" w:rsidRDefault="008A4150" w:rsidP="00513D29">
      <w:pPr>
        <w:spacing w:before="100" w:beforeAutospacing="1" w:after="100" w:afterAutospacing="1" w:line="360" w:lineRule="auto"/>
        <w:jc w:val="both"/>
        <w:outlineLvl w:val="2"/>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Perkins Eastman Architects DPC v. HSCC (India) Ltd. (2019)</w:t>
      </w:r>
    </w:p>
    <w:p w14:paraId="06226B5B" w14:textId="12FF2CCF"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i/>
          <w:iCs/>
          <w:sz w:val="24"/>
          <w:szCs w:val="24"/>
          <w:lang w:val="en-GB"/>
        </w:rPr>
        <w:t>Perkins Eastman</w:t>
      </w:r>
      <w:r w:rsidR="00221D4E">
        <w:rPr>
          <w:rStyle w:val="FootnoteReference"/>
          <w:rFonts w:ascii="Times New Roman" w:eastAsia="Times New Roman" w:hAnsi="Times New Roman" w:cs="Times New Roman"/>
          <w:i/>
          <w:iCs/>
          <w:sz w:val="24"/>
          <w:szCs w:val="24"/>
          <w:lang w:val="en-GB"/>
        </w:rPr>
        <w:footnoteReference w:id="2"/>
      </w:r>
      <w:r w:rsidRPr="008A4150">
        <w:rPr>
          <w:rFonts w:ascii="Times New Roman" w:eastAsia="Times New Roman" w:hAnsi="Times New Roman" w:cs="Times New Roman"/>
          <w:sz w:val="24"/>
          <w:szCs w:val="24"/>
          <w:lang w:val="en-GB"/>
        </w:rPr>
        <w:t xml:space="preserve"> represented the logical expansion of the </w:t>
      </w:r>
      <w:r w:rsidRPr="008A4150">
        <w:rPr>
          <w:rFonts w:ascii="Times New Roman" w:eastAsia="Times New Roman" w:hAnsi="Times New Roman" w:cs="Times New Roman"/>
          <w:i/>
          <w:iCs/>
          <w:sz w:val="24"/>
          <w:szCs w:val="24"/>
          <w:lang w:val="en-GB"/>
        </w:rPr>
        <w:t>TRF</w:t>
      </w:r>
      <w:r w:rsidRPr="008A4150">
        <w:rPr>
          <w:rFonts w:ascii="Times New Roman" w:eastAsia="Times New Roman" w:hAnsi="Times New Roman" w:cs="Times New Roman"/>
          <w:sz w:val="24"/>
          <w:szCs w:val="24"/>
          <w:lang w:val="en-GB"/>
        </w:rPr>
        <w:t xml:space="preserve"> doctrine. In this case, the contract did not name the Managing Director as the arbitrator but rather granted the Managing </w:t>
      </w:r>
      <w:r w:rsidRPr="008A4150">
        <w:rPr>
          <w:rFonts w:ascii="Times New Roman" w:eastAsia="Times New Roman" w:hAnsi="Times New Roman" w:cs="Times New Roman"/>
          <w:sz w:val="24"/>
          <w:szCs w:val="24"/>
          <w:lang w:val="en-GB"/>
        </w:rPr>
        <w:lastRenderedPageBreak/>
        <w:t>Director the exclusive and unilateral power to appoint a neutral sole arbitrator. The Supreme Court ruled that a person who has an interest in the outcome or decision of the dispute must not possess the unilateral power to appoint a sole arbitrator.</w:t>
      </w:r>
    </w:p>
    <w:p w14:paraId="717D4484"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The Court drew a vital distinction. An independent mechanism where both parties nominate one arbitrator each (who then together choose a presiding arbitrator) is completely valid, but granting one party the exclusive right to handpick the sole judge for a dispute is inherently flawed and violates the spirit of Section 12(5). This judgment effectively invalidated thousands of standard dispute resolution clauses across Indian government contracts.</w:t>
      </w:r>
    </w:p>
    <w:p w14:paraId="6DBA8093" w14:textId="77777777" w:rsidR="008A4150" w:rsidRPr="008A4150" w:rsidRDefault="008A4150" w:rsidP="00513D29">
      <w:pPr>
        <w:spacing w:before="100" w:beforeAutospacing="1" w:after="100" w:afterAutospacing="1" w:line="360" w:lineRule="auto"/>
        <w:jc w:val="both"/>
        <w:outlineLvl w:val="2"/>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Bharat Broadband Network Ltd. v. United Telecoms Ltd. (2019)</w:t>
      </w:r>
    </w:p>
    <w:p w14:paraId="26E374B9" w14:textId="5E412C6B"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The rigidity of Section 12(5) was further cemented in </w:t>
      </w:r>
      <w:r w:rsidRPr="008A4150">
        <w:rPr>
          <w:rFonts w:ascii="Times New Roman" w:eastAsia="Times New Roman" w:hAnsi="Times New Roman" w:cs="Times New Roman"/>
          <w:i/>
          <w:iCs/>
          <w:sz w:val="24"/>
          <w:szCs w:val="24"/>
          <w:lang w:val="en-GB"/>
        </w:rPr>
        <w:t>Bharat Broadband</w:t>
      </w:r>
      <w:r w:rsidR="00221D4E">
        <w:rPr>
          <w:rStyle w:val="FootnoteReference"/>
          <w:rFonts w:ascii="Times New Roman" w:eastAsia="Times New Roman" w:hAnsi="Times New Roman" w:cs="Times New Roman"/>
          <w:i/>
          <w:iCs/>
          <w:sz w:val="24"/>
          <w:szCs w:val="24"/>
          <w:lang w:val="en-GB"/>
        </w:rPr>
        <w:footnoteReference w:id="3"/>
      </w:r>
      <w:r w:rsidRPr="008A4150">
        <w:rPr>
          <w:rFonts w:ascii="Times New Roman" w:eastAsia="Times New Roman" w:hAnsi="Times New Roman" w:cs="Times New Roman"/>
          <w:sz w:val="24"/>
          <w:szCs w:val="24"/>
          <w:lang w:val="en-GB"/>
        </w:rPr>
        <w:t>. In an unusual scenario, a government entity appointed an arbitrator under its old contractual clause but later sought to remove its own appointee after realizing the appointment violated Section 12(5). The private contractor argued that the government was estopped from challenging its own appointment. The Supreme Court rejected this argument, holding that there can be no estoppel against a statute. Because the arbitrator was statutorily ineligible from the exact moment of appointment, the proceedings were a nullity. This underscored that Section 12(5) is absolute and non-negotiable absent a post-dispute written waiver.</w:t>
      </w:r>
    </w:p>
    <w:p w14:paraId="7F01B7A4"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The Complex Terrain of Retired Government Servants</w:t>
      </w:r>
    </w:p>
    <w:p w14:paraId="7FEF17FE"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While active government employees are strictly barred from arbitrating disputes involving their employer, the status of retired government servants has generated complex litigation. Government departments heavily </w:t>
      </w:r>
      <w:proofErr w:type="spellStart"/>
      <w:r w:rsidRPr="008A4150">
        <w:rPr>
          <w:rFonts w:ascii="Times New Roman" w:eastAsia="Times New Roman" w:hAnsi="Times New Roman" w:cs="Times New Roman"/>
          <w:sz w:val="24"/>
          <w:szCs w:val="24"/>
          <w:lang w:val="en-GB"/>
        </w:rPr>
        <w:t>favor</w:t>
      </w:r>
      <w:proofErr w:type="spellEnd"/>
      <w:r w:rsidRPr="008A4150">
        <w:rPr>
          <w:rFonts w:ascii="Times New Roman" w:eastAsia="Times New Roman" w:hAnsi="Times New Roman" w:cs="Times New Roman"/>
          <w:sz w:val="24"/>
          <w:szCs w:val="24"/>
          <w:lang w:val="en-GB"/>
        </w:rPr>
        <w:t xml:space="preserve"> retired officers. They argue that the intimate understanding these officers have regarding departmental procedures, technical specifications, and historical context makes them uniquely qualified to resolve complex infrastructure disputes.</w:t>
      </w:r>
    </w:p>
    <w:p w14:paraId="12787093"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The legal distinction </w:t>
      </w:r>
      <w:proofErr w:type="spellStart"/>
      <w:r w:rsidRPr="008A4150">
        <w:rPr>
          <w:rFonts w:ascii="Times New Roman" w:eastAsia="Times New Roman" w:hAnsi="Times New Roman" w:cs="Times New Roman"/>
          <w:sz w:val="24"/>
          <w:szCs w:val="24"/>
          <w:lang w:val="en-GB"/>
        </w:rPr>
        <w:t>centers</w:t>
      </w:r>
      <w:proofErr w:type="spellEnd"/>
      <w:r w:rsidRPr="008A4150">
        <w:rPr>
          <w:rFonts w:ascii="Times New Roman" w:eastAsia="Times New Roman" w:hAnsi="Times New Roman" w:cs="Times New Roman"/>
          <w:sz w:val="24"/>
          <w:szCs w:val="24"/>
          <w:lang w:val="en-GB"/>
        </w:rPr>
        <w:t xml:space="preserve"> on whether a retired officer falls foul of the Seventh Schedule (resulting in automatic disqualification) or merely the Fifth Schedule (requiring disclosure).</w:t>
      </w:r>
    </w:p>
    <w:p w14:paraId="31837046"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lastRenderedPageBreak/>
        <w:t xml:space="preserve">In </w:t>
      </w:r>
      <w:r w:rsidRPr="008A4150">
        <w:rPr>
          <w:rFonts w:ascii="Times New Roman" w:eastAsia="Times New Roman" w:hAnsi="Times New Roman" w:cs="Times New Roman"/>
          <w:i/>
          <w:iCs/>
          <w:sz w:val="24"/>
          <w:szCs w:val="24"/>
          <w:lang w:val="en-GB"/>
        </w:rPr>
        <w:t>HRD Corporation v. GAIL (India) Ltd. (2017)</w:t>
      </w:r>
      <w:r w:rsidRPr="008A4150">
        <w:rPr>
          <w:rFonts w:ascii="Times New Roman" w:eastAsia="Times New Roman" w:hAnsi="Times New Roman" w:cs="Times New Roman"/>
          <w:sz w:val="24"/>
          <w:szCs w:val="24"/>
          <w:lang w:val="en-GB"/>
        </w:rPr>
        <w:t>, the Supreme Court clarified that Item 1 of the Seventh Schedule (which bars individuals with a past or present business relationship) refers specifically to commercial business dealings and not to past employment. Therefore, a retired government servant is not automatically disqualified from arbitrating a dispute involving their former employer under the Seventh Schedule. However, they are subject to the disclosure requirements of the Fifth Schedule, specifically Item 31. This item requires disclosure if the arbitrator was an employee of a party within the past three years.</w:t>
      </w:r>
    </w:p>
    <w:p w14:paraId="1A77021A"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The Controversy of Broad-Based Panels</w:t>
      </w:r>
    </w:p>
    <w:p w14:paraId="62985CA9"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To balance the need for technical expertise with the statutory mandate for neutrality, many government bodies shifted from unilateral sole appointments to maintaining internal panels of arbitrators. Contractors are typically asked to select an arbitrator from a curated list maintained by the government department. The legality of this practice hinges entirely on exactly how these panels are structured.</w:t>
      </w:r>
    </w:p>
    <w:p w14:paraId="0A27A899" w14:textId="77777777" w:rsidR="008A4150" w:rsidRPr="008A4150" w:rsidRDefault="008A4150" w:rsidP="00513D29">
      <w:pPr>
        <w:spacing w:before="100" w:beforeAutospacing="1" w:after="100" w:afterAutospacing="1" w:line="360" w:lineRule="auto"/>
        <w:jc w:val="both"/>
        <w:outlineLvl w:val="2"/>
        <w:rPr>
          <w:rFonts w:ascii="Times New Roman" w:eastAsia="Times New Roman" w:hAnsi="Times New Roman" w:cs="Times New Roman"/>
          <w:b/>
          <w:bCs/>
          <w:sz w:val="24"/>
          <w:szCs w:val="24"/>
          <w:lang w:val="en-GB"/>
        </w:rPr>
      </w:pPr>
      <w:proofErr w:type="spellStart"/>
      <w:r w:rsidRPr="008A4150">
        <w:rPr>
          <w:rFonts w:ascii="Times New Roman" w:eastAsia="Times New Roman" w:hAnsi="Times New Roman" w:cs="Times New Roman"/>
          <w:b/>
          <w:bCs/>
          <w:sz w:val="24"/>
          <w:szCs w:val="24"/>
          <w:lang w:val="en-GB"/>
        </w:rPr>
        <w:t>Voestalpine</w:t>
      </w:r>
      <w:proofErr w:type="spellEnd"/>
      <w:r w:rsidRPr="008A4150">
        <w:rPr>
          <w:rFonts w:ascii="Times New Roman" w:eastAsia="Times New Roman" w:hAnsi="Times New Roman" w:cs="Times New Roman"/>
          <w:b/>
          <w:bCs/>
          <w:sz w:val="24"/>
          <w:szCs w:val="24"/>
          <w:lang w:val="en-GB"/>
        </w:rPr>
        <w:t xml:space="preserve"> </w:t>
      </w:r>
      <w:proofErr w:type="spellStart"/>
      <w:r w:rsidRPr="008A4150">
        <w:rPr>
          <w:rFonts w:ascii="Times New Roman" w:eastAsia="Times New Roman" w:hAnsi="Times New Roman" w:cs="Times New Roman"/>
          <w:b/>
          <w:bCs/>
          <w:sz w:val="24"/>
          <w:szCs w:val="24"/>
          <w:lang w:val="en-GB"/>
        </w:rPr>
        <w:t>Schienen</w:t>
      </w:r>
      <w:proofErr w:type="spellEnd"/>
      <w:r w:rsidRPr="008A4150">
        <w:rPr>
          <w:rFonts w:ascii="Times New Roman" w:eastAsia="Times New Roman" w:hAnsi="Times New Roman" w:cs="Times New Roman"/>
          <w:b/>
          <w:bCs/>
          <w:sz w:val="24"/>
          <w:szCs w:val="24"/>
          <w:lang w:val="en-GB"/>
        </w:rPr>
        <w:t xml:space="preserve"> GmbH v. Delhi Metro Rail Corp. (2017)</w:t>
      </w:r>
    </w:p>
    <w:p w14:paraId="2E7BA9F5" w14:textId="78A22D50"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In </w:t>
      </w:r>
      <w:proofErr w:type="spellStart"/>
      <w:r w:rsidRPr="008A4150">
        <w:rPr>
          <w:rFonts w:ascii="Times New Roman" w:eastAsia="Times New Roman" w:hAnsi="Times New Roman" w:cs="Times New Roman"/>
          <w:i/>
          <w:iCs/>
          <w:sz w:val="24"/>
          <w:szCs w:val="24"/>
          <w:lang w:val="en-GB"/>
        </w:rPr>
        <w:t>Voestalpine</w:t>
      </w:r>
      <w:proofErr w:type="spellEnd"/>
      <w:r w:rsidR="0089617A">
        <w:rPr>
          <w:rStyle w:val="FootnoteReference"/>
          <w:rFonts w:ascii="Times New Roman" w:eastAsia="Times New Roman" w:hAnsi="Times New Roman" w:cs="Times New Roman"/>
          <w:i/>
          <w:iCs/>
          <w:sz w:val="24"/>
          <w:szCs w:val="24"/>
          <w:lang w:val="en-GB"/>
        </w:rPr>
        <w:footnoteReference w:id="4"/>
      </w:r>
      <w:r w:rsidRPr="008A4150">
        <w:rPr>
          <w:rFonts w:ascii="Times New Roman" w:eastAsia="Times New Roman" w:hAnsi="Times New Roman" w:cs="Times New Roman"/>
          <w:sz w:val="24"/>
          <w:szCs w:val="24"/>
          <w:lang w:val="en-GB"/>
        </w:rPr>
        <w:t>, the Supreme Court examined a clause where the Delhi Metro Rail Corporation (DMRC) provided the contractor with a panel of five retired officers, from which the contractor had to choose its nominee. The Court upheld the validity of departmental panels but laid down stringent qualitative requirements.</w:t>
      </w:r>
    </w:p>
    <w:p w14:paraId="5933F491" w14:textId="15CFBDC7" w:rsid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The Court warned against the dangers of in-house panels consisting exclusively of retired officers from the very department involved in the dispute. It noted that this creates an insular ecosystem prone to institutional bias. To be legally valid, the Court mandated that government panels must be broad-based. They must not be restricted to former departmental employees but must include independent technical experts, retired judges, accountants, and engineers from other sectors. The underlying principle is that the contractor’s right to choose must be meaningful, rather than an illusory choice between identical former officials of the opposing party.</w:t>
      </w:r>
    </w:p>
    <w:p w14:paraId="5DB02DCB" w14:textId="77777777" w:rsidR="00513EC8" w:rsidRPr="008A4150" w:rsidRDefault="00513EC8" w:rsidP="00513D29">
      <w:pPr>
        <w:spacing w:before="100" w:beforeAutospacing="1" w:after="100" w:afterAutospacing="1" w:line="360" w:lineRule="auto"/>
        <w:jc w:val="both"/>
        <w:rPr>
          <w:rFonts w:ascii="Times New Roman" w:eastAsia="Times New Roman" w:hAnsi="Times New Roman" w:cs="Times New Roman"/>
          <w:sz w:val="24"/>
          <w:szCs w:val="24"/>
          <w:lang w:val="en-GB"/>
        </w:rPr>
      </w:pPr>
    </w:p>
    <w:p w14:paraId="24783ACB" w14:textId="77777777" w:rsidR="005D4130" w:rsidRPr="00513D29" w:rsidRDefault="005D4130" w:rsidP="00513D29">
      <w:pPr>
        <w:pStyle w:val="Heading3"/>
        <w:spacing w:line="360" w:lineRule="auto"/>
        <w:jc w:val="both"/>
        <w:rPr>
          <w:sz w:val="24"/>
          <w:szCs w:val="24"/>
        </w:rPr>
      </w:pPr>
      <w:r w:rsidRPr="00513D29">
        <w:rPr>
          <w:sz w:val="24"/>
          <w:szCs w:val="24"/>
        </w:rPr>
        <w:lastRenderedPageBreak/>
        <w:t>The CORE Conundrum and the 2024 Constitution Bench Resolution</w:t>
      </w:r>
    </w:p>
    <w:p w14:paraId="337436FE" w14:textId="77777777" w:rsidR="005D4130" w:rsidRPr="00513D29" w:rsidRDefault="005D4130" w:rsidP="00513D29">
      <w:pPr>
        <w:pStyle w:val="NormalWeb"/>
        <w:spacing w:line="360" w:lineRule="auto"/>
        <w:jc w:val="both"/>
      </w:pPr>
      <w:r w:rsidRPr="00513D29">
        <w:t xml:space="preserve">The jurisprudence surrounding government panels experienced a significant point of friction with a 2019 decision by a two-judge bench in </w:t>
      </w:r>
      <w:r w:rsidRPr="00513D29">
        <w:rPr>
          <w:i/>
          <w:iCs/>
        </w:rPr>
        <w:t>Central Organisation for Railway Electrification (CORE) v. ECI-SPIC-SMO-MCML</w:t>
      </w:r>
      <w:r w:rsidRPr="00513D29">
        <w:t>. In a departure from the strict trajectory of previous neutrality rulings, the Court in 2019 upheld a Railway contract clause that allowed the General Manager of the Railways to compile a specific, narrow list of retired railway officers from which the contractor had to pick its nominee.</w:t>
      </w:r>
    </w:p>
    <w:p w14:paraId="061B2136" w14:textId="245834DB" w:rsidR="005D4130" w:rsidRPr="00513D29" w:rsidRDefault="005D4130" w:rsidP="00513D29">
      <w:pPr>
        <w:pStyle w:val="NormalWeb"/>
        <w:spacing w:line="360" w:lineRule="auto"/>
        <w:jc w:val="both"/>
      </w:pPr>
      <w:r w:rsidRPr="00513D29">
        <w:t xml:space="preserve">This 2019 judgment caused considerable confusion in the Indian arbitration landscape. It appeared to contradict the core </w:t>
      </w:r>
      <w:r w:rsidR="00513D29" w:rsidRPr="00513D29">
        <w:t xml:space="preserve">principle of neutrality by allowing a government official with an interest in the outcome to exert significant influence over </w:t>
      </w:r>
      <w:r w:rsidRPr="00513D29">
        <w:t xml:space="preserve">the composition of the arbitral tribunal. By restricting the pool of choices </w:t>
      </w:r>
      <w:r w:rsidR="00513D29" w:rsidRPr="00513D29">
        <w:t>to former colleagues alone, the government retained disproportionate control over the tribunal's</w:t>
      </w:r>
      <w:r w:rsidRPr="00513D29">
        <w:t xml:space="preserve"> constitution. </w:t>
      </w:r>
      <w:r w:rsidRPr="00513D29">
        <w:rPr>
          <w:rStyle w:val="citation-122"/>
          <w:rFonts w:eastAsiaTheme="majorEastAsia"/>
        </w:rPr>
        <w:t xml:space="preserve">This conflict was definitively resolved on November 8, 2024, when a five-judge Constitution Bench of the Supreme Court delivered a landmark judgment in the </w:t>
      </w:r>
      <w:r w:rsidRPr="00513D29">
        <w:rPr>
          <w:rStyle w:val="citation-122"/>
          <w:rFonts w:eastAsiaTheme="majorEastAsia"/>
          <w:i/>
          <w:iCs/>
        </w:rPr>
        <w:t>CORE</w:t>
      </w:r>
      <w:r w:rsidR="0089617A">
        <w:rPr>
          <w:rStyle w:val="FootnoteReference"/>
          <w:rFonts w:eastAsiaTheme="majorEastAsia"/>
          <w:i/>
          <w:iCs/>
        </w:rPr>
        <w:footnoteReference w:id="5"/>
      </w:r>
      <w:r w:rsidRPr="00513D29">
        <w:rPr>
          <w:rStyle w:val="citation-122"/>
          <w:rFonts w:eastAsiaTheme="majorEastAsia"/>
        </w:rPr>
        <w:t xml:space="preserve"> reference.</w:t>
      </w:r>
      <w:r w:rsidRPr="00513D29">
        <w:t xml:space="preserve"> Authored by Chief Justice D.Y. </w:t>
      </w:r>
      <w:proofErr w:type="spellStart"/>
      <w:r w:rsidRPr="00513D29">
        <w:rPr>
          <w:rStyle w:val="citation-121"/>
        </w:rPr>
        <w:t>Chandrachud</w:t>
      </w:r>
      <w:proofErr w:type="spellEnd"/>
      <w:r w:rsidRPr="00513D29">
        <w:rPr>
          <w:rStyle w:val="citation-121"/>
        </w:rPr>
        <w:t xml:space="preserve">, the majority opinion firmly overruled the 2019 </w:t>
      </w:r>
      <w:r w:rsidRPr="00513D29">
        <w:rPr>
          <w:rStyle w:val="citation-121"/>
          <w:i/>
          <w:iCs/>
        </w:rPr>
        <w:t>CORE</w:t>
      </w:r>
      <w:r w:rsidRPr="00513D29">
        <w:rPr>
          <w:rStyle w:val="citation-121"/>
        </w:rPr>
        <w:t xml:space="preserve"> decision.</w:t>
      </w:r>
      <w:r w:rsidRPr="00513D29">
        <w:t xml:space="preserve"> </w:t>
      </w:r>
    </w:p>
    <w:p w14:paraId="59D5D953" w14:textId="77777777" w:rsidR="005D4130" w:rsidRPr="00513D29" w:rsidRDefault="005D4130" w:rsidP="00513D29">
      <w:pPr>
        <w:pStyle w:val="NormalWeb"/>
        <w:spacing w:line="360" w:lineRule="auto"/>
        <w:jc w:val="both"/>
      </w:pPr>
      <w:r w:rsidRPr="00513D29">
        <w:t>The Constitution Bench laid down several transformative legal principles:</w:t>
      </w:r>
    </w:p>
    <w:p w14:paraId="7BFF34A4" w14:textId="77777777" w:rsidR="005D4130" w:rsidRPr="00513D29" w:rsidRDefault="005D4130" w:rsidP="00513D29">
      <w:pPr>
        <w:pStyle w:val="NormalWeb"/>
        <w:numPr>
          <w:ilvl w:val="0"/>
          <w:numId w:val="1"/>
        </w:numPr>
        <w:spacing w:line="360" w:lineRule="auto"/>
        <w:jc w:val="both"/>
      </w:pPr>
      <w:r w:rsidRPr="00513D29">
        <w:rPr>
          <w:b/>
          <w:bCs/>
        </w:rPr>
        <w:t>Equality in Appointment:</w:t>
      </w:r>
      <w:r w:rsidRPr="00513D29">
        <w:t xml:space="preserve"> </w:t>
      </w:r>
      <w:r w:rsidRPr="00513D29">
        <w:rPr>
          <w:rStyle w:val="citation-120"/>
          <w:rFonts w:eastAsia="Calibri"/>
        </w:rPr>
        <w:t>The Court ruled that the principle of equal treatment of parties, as enshrined in Section 18 of the Arbitration and Conciliation Act, must apply directly at the stage of appointing arbitrators.</w:t>
      </w:r>
      <w:r w:rsidRPr="00513D29">
        <w:t xml:space="preserve"> </w:t>
      </w:r>
    </w:p>
    <w:p w14:paraId="08938293" w14:textId="13F833FB" w:rsidR="005D4130" w:rsidRPr="00513D29" w:rsidRDefault="005D4130" w:rsidP="00513D29">
      <w:pPr>
        <w:pStyle w:val="NormalWeb"/>
        <w:numPr>
          <w:ilvl w:val="0"/>
          <w:numId w:val="1"/>
        </w:numPr>
        <w:spacing w:line="360" w:lineRule="auto"/>
        <w:jc w:val="both"/>
      </w:pPr>
      <w:r w:rsidRPr="00513D29">
        <w:rPr>
          <w:b/>
          <w:bCs/>
        </w:rPr>
        <w:t>Invalidation of Unilateral Panels:</w:t>
      </w:r>
      <w:r w:rsidRPr="00513D29">
        <w:t xml:space="preserve"> </w:t>
      </w:r>
      <w:r w:rsidRPr="00513D29">
        <w:rPr>
          <w:rStyle w:val="citation-119"/>
        </w:rPr>
        <w:t>The Court held that an appointment process where one party maintains exclusive control over curating a narrow panel of arbitrators</w:t>
      </w:r>
      <w:r w:rsidR="00513D29" w:rsidRPr="00513D29">
        <w:rPr>
          <w:rStyle w:val="citation-119"/>
        </w:rPr>
        <w:t xml:space="preserve"> and forces the other party to select from that restricted list</w:t>
      </w:r>
      <w:r w:rsidRPr="00513D29">
        <w:rPr>
          <w:rStyle w:val="citation-119"/>
        </w:rPr>
        <w:t xml:space="preserve"> is invalid in law.</w:t>
      </w:r>
      <w:r w:rsidRPr="00513D29">
        <w:t xml:space="preserve"> </w:t>
      </w:r>
    </w:p>
    <w:p w14:paraId="1E04F2C8" w14:textId="77777777" w:rsidR="005D4130" w:rsidRPr="00513D29" w:rsidRDefault="005D4130" w:rsidP="00513D29">
      <w:pPr>
        <w:pStyle w:val="NormalWeb"/>
        <w:numPr>
          <w:ilvl w:val="0"/>
          <w:numId w:val="1"/>
        </w:numPr>
        <w:spacing w:line="360" w:lineRule="auto"/>
        <w:jc w:val="both"/>
      </w:pPr>
      <w:r w:rsidRPr="00513D29">
        <w:rPr>
          <w:b/>
          <w:bCs/>
        </w:rPr>
        <w:t>Constitutional Violation:</w:t>
      </w:r>
      <w:r w:rsidRPr="00513D29">
        <w:t xml:space="preserve"> </w:t>
      </w:r>
      <w:r w:rsidRPr="00513D29">
        <w:rPr>
          <w:rStyle w:val="citation-118"/>
        </w:rPr>
        <w:t>In the context of public-private contracts, the Court declared that allowing a government entity or PSU to unilaterally appoint a sole arbitrator or effectively control the majority of the tribunal violates Article 14 of the Constitution of India, which guarantees the right to equality.</w:t>
      </w:r>
      <w:r w:rsidRPr="00513D29">
        <w:t xml:space="preserve"> </w:t>
      </w:r>
    </w:p>
    <w:p w14:paraId="3EE2B108" w14:textId="6E8CF206" w:rsidR="005D4130" w:rsidRPr="00513D29" w:rsidRDefault="005D4130" w:rsidP="00513D29">
      <w:pPr>
        <w:pStyle w:val="NormalWeb"/>
        <w:numPr>
          <w:ilvl w:val="0"/>
          <w:numId w:val="1"/>
        </w:numPr>
        <w:spacing w:line="360" w:lineRule="auto"/>
        <w:jc w:val="both"/>
      </w:pPr>
      <w:r w:rsidRPr="00513D29">
        <w:rPr>
          <w:b/>
          <w:bCs/>
        </w:rPr>
        <w:t>Party Autonomy Limits:</w:t>
      </w:r>
      <w:r w:rsidRPr="00513D29">
        <w:t xml:space="preserve"> </w:t>
      </w:r>
      <w:r w:rsidRPr="00513D29">
        <w:rPr>
          <w:rStyle w:val="citation-117"/>
        </w:rPr>
        <w:t>The Bench clarified that while party autonomy is a pillar of arbitration, it cannot override the mandatory requirement for an independent and impartial tribunal.</w:t>
      </w:r>
      <w:r w:rsidRPr="00513D29">
        <w:t xml:space="preserve"> </w:t>
      </w:r>
      <w:r w:rsidRPr="00513D29">
        <w:rPr>
          <w:rStyle w:val="citation-116"/>
        </w:rPr>
        <w:t xml:space="preserve">The fundamental right to an unbiased adjudicator </w:t>
      </w:r>
      <w:r w:rsidR="00513D29" w:rsidRPr="00513D29">
        <w:rPr>
          <w:rStyle w:val="citation-116"/>
        </w:rPr>
        <w:t xml:space="preserve">is part of India's </w:t>
      </w:r>
      <w:r w:rsidR="00513D29" w:rsidRPr="00513D29">
        <w:rPr>
          <w:rStyle w:val="citation-116"/>
        </w:rPr>
        <w:lastRenderedPageBreak/>
        <w:t>public policy and cannot be waived by standard contractual clauses before a dispute arises</w:t>
      </w:r>
      <w:r w:rsidRPr="00513D29">
        <w:rPr>
          <w:rStyle w:val="citation-116"/>
        </w:rPr>
        <w:t>.</w:t>
      </w:r>
      <w:r w:rsidRPr="00513D29">
        <w:t xml:space="preserve"> </w:t>
      </w:r>
    </w:p>
    <w:p w14:paraId="19AE5999" w14:textId="0764DCF2" w:rsidR="005D4130" w:rsidRPr="00513D29" w:rsidRDefault="005D4130" w:rsidP="00513D29">
      <w:pPr>
        <w:pStyle w:val="NormalWeb"/>
        <w:spacing w:line="360" w:lineRule="auto"/>
        <w:jc w:val="both"/>
      </w:pPr>
      <w:r w:rsidRPr="00513D29">
        <w:rPr>
          <w:rStyle w:val="citation-115"/>
        </w:rPr>
        <w:t>To preserve the stability of ongoing arbitrations, the Supreme Court clarified that this ruling would apply prospectively.</w:t>
      </w:r>
      <w:r w:rsidRPr="00513D29">
        <w:t xml:space="preserve"> However, for all future appointments, it completely dismantles the practice of PSUs</w:t>
      </w:r>
      <w:r w:rsidR="00513D29" w:rsidRPr="00513D29">
        <w:t>,</w:t>
      </w:r>
      <w:r w:rsidRPr="00513D29">
        <w:t xml:space="preserve"> forcing contractors to choose from heavily restricted, one-sided panels. </w:t>
      </w:r>
    </w:p>
    <w:p w14:paraId="51FB9EC5" w14:textId="77777777" w:rsidR="008A4150" w:rsidRPr="008A4150" w:rsidRDefault="008A4150" w:rsidP="00513D29">
      <w:pPr>
        <w:spacing w:before="100" w:beforeAutospacing="1" w:after="100" w:afterAutospacing="1" w:line="360" w:lineRule="auto"/>
        <w:jc w:val="both"/>
        <w:outlineLvl w:val="1"/>
        <w:rPr>
          <w:rFonts w:ascii="Times New Roman" w:eastAsia="Times New Roman" w:hAnsi="Times New Roman" w:cs="Times New Roman"/>
          <w:b/>
          <w:bCs/>
          <w:sz w:val="24"/>
          <w:szCs w:val="24"/>
          <w:lang w:val="en-GB"/>
        </w:rPr>
      </w:pPr>
      <w:r w:rsidRPr="008A4150">
        <w:rPr>
          <w:rFonts w:ascii="Times New Roman" w:eastAsia="Times New Roman" w:hAnsi="Times New Roman" w:cs="Times New Roman"/>
          <w:b/>
          <w:bCs/>
          <w:sz w:val="24"/>
          <w:szCs w:val="24"/>
          <w:lang w:val="en-GB"/>
        </w:rPr>
        <w:t>Institutional Arbitration as the Path Forward</w:t>
      </w:r>
    </w:p>
    <w:p w14:paraId="3D06BC90"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The extensive litigation generated by government appointment clauses underscores a fundamental reality. Attempting to salvage unilateral or heavily skewed appointment mechanisms is no longer viable under modern Indian law. The legislative intent behind the 1996 Act, supercharged by the 2015 Amendment, is to establish an arbitral ecosystem built on unimpeachable trust.</w:t>
      </w:r>
    </w:p>
    <w:p w14:paraId="467CC7B7" w14:textId="77777777"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For government servants, this means a definitive separation of roles. Serving officers must remain administrators and contract managers, and they can no longer don the hat of adjudicators in their own department’s disputes. For retired officers, their technical expertise remains highly valuable, but it must be deployed within a strict framework of full disclosure and broad-based, diverse selection pools that guarantee the private party a genuine voice in the constitution of the tribunal.</w:t>
      </w:r>
    </w:p>
    <w:p w14:paraId="3C06846F" w14:textId="32CA0814" w:rsidR="008A4150" w:rsidRPr="008A4150" w:rsidRDefault="008A4150" w:rsidP="00513D29">
      <w:pPr>
        <w:spacing w:before="100" w:beforeAutospacing="1" w:after="100" w:afterAutospacing="1" w:line="360" w:lineRule="auto"/>
        <w:jc w:val="both"/>
        <w:rPr>
          <w:rFonts w:ascii="Times New Roman" w:eastAsia="Times New Roman" w:hAnsi="Times New Roman" w:cs="Times New Roman"/>
          <w:sz w:val="24"/>
          <w:szCs w:val="24"/>
          <w:lang w:val="en-GB"/>
        </w:rPr>
      </w:pPr>
      <w:r w:rsidRPr="008A4150">
        <w:rPr>
          <w:rFonts w:ascii="Times New Roman" w:eastAsia="Times New Roman" w:hAnsi="Times New Roman" w:cs="Times New Roman"/>
          <w:sz w:val="24"/>
          <w:szCs w:val="24"/>
          <w:lang w:val="en-GB"/>
        </w:rPr>
        <w:t xml:space="preserve">To mitigate the risk of prolonged litigation over tribunal appointments under Section 11 of the Act, </w:t>
      </w:r>
      <w:r w:rsidR="00513D29" w:rsidRPr="00513D29">
        <w:rPr>
          <w:rFonts w:ascii="Times New Roman" w:eastAsia="Times New Roman" w:hAnsi="Times New Roman" w:cs="Times New Roman"/>
          <w:sz w:val="24"/>
          <w:szCs w:val="24"/>
          <w:lang w:val="en-GB"/>
        </w:rPr>
        <w:t>best practices dictate that government bodies and PSUs abandon ad hoc</w:t>
      </w:r>
      <w:r w:rsidRPr="008A4150">
        <w:rPr>
          <w:rFonts w:ascii="Times New Roman" w:eastAsia="Times New Roman" w:hAnsi="Times New Roman" w:cs="Times New Roman"/>
          <w:sz w:val="24"/>
          <w:szCs w:val="24"/>
          <w:lang w:val="en-GB"/>
        </w:rPr>
        <w:t xml:space="preserve">, internally managed panels. Transitioning toward institutional arbitration is the most effective strategy. In institutional frameworks, neutral, third-party arbitral institutions manage the appointment process directly from independent rosters of experts. This provides the most robust </w:t>
      </w:r>
      <w:r w:rsidR="00513D29" w:rsidRPr="00513D29">
        <w:rPr>
          <w:rFonts w:ascii="Times New Roman" w:eastAsia="Times New Roman" w:hAnsi="Times New Roman" w:cs="Times New Roman"/>
          <w:sz w:val="24"/>
          <w:szCs w:val="24"/>
          <w:lang w:val="en-GB"/>
        </w:rPr>
        <w:t>defence</w:t>
      </w:r>
      <w:r w:rsidRPr="008A4150">
        <w:rPr>
          <w:rFonts w:ascii="Times New Roman" w:eastAsia="Times New Roman" w:hAnsi="Times New Roman" w:cs="Times New Roman"/>
          <w:sz w:val="24"/>
          <w:szCs w:val="24"/>
          <w:lang w:val="en-GB"/>
        </w:rPr>
        <w:t xml:space="preserve"> against any allegations of bias. By separating the contracting party from the appointment mechanism entirely, government entities can finally ensure that their dispute resolution processes are both legally unassailable and completely aligned with global standards of commercial fairness.</w:t>
      </w:r>
    </w:p>
    <w:p w14:paraId="6B30FE85" w14:textId="77777777" w:rsidR="008A4150" w:rsidRPr="00513D29" w:rsidRDefault="008A4150" w:rsidP="00513D29">
      <w:pPr>
        <w:spacing w:line="360" w:lineRule="auto"/>
        <w:jc w:val="both"/>
        <w:rPr>
          <w:sz w:val="24"/>
          <w:szCs w:val="24"/>
        </w:rPr>
      </w:pPr>
    </w:p>
    <w:sectPr w:rsidR="008A4150" w:rsidRPr="00513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F39E6" w14:textId="77777777" w:rsidR="009524FB" w:rsidRDefault="009524FB" w:rsidP="009524FB">
      <w:pPr>
        <w:spacing w:after="0" w:line="240" w:lineRule="auto"/>
      </w:pPr>
      <w:r>
        <w:separator/>
      </w:r>
    </w:p>
  </w:endnote>
  <w:endnote w:type="continuationSeparator" w:id="0">
    <w:p w14:paraId="1E44D958" w14:textId="77777777" w:rsidR="009524FB" w:rsidRDefault="009524FB" w:rsidP="0095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09C2C" w14:textId="77777777" w:rsidR="009524FB" w:rsidRDefault="009524FB" w:rsidP="009524FB">
      <w:pPr>
        <w:spacing w:after="0" w:line="240" w:lineRule="auto"/>
      </w:pPr>
      <w:r>
        <w:separator/>
      </w:r>
    </w:p>
  </w:footnote>
  <w:footnote w:type="continuationSeparator" w:id="0">
    <w:p w14:paraId="77BD8798" w14:textId="77777777" w:rsidR="009524FB" w:rsidRDefault="009524FB" w:rsidP="009524FB">
      <w:pPr>
        <w:spacing w:after="0" w:line="240" w:lineRule="auto"/>
      </w:pPr>
      <w:r>
        <w:continuationSeparator/>
      </w:r>
    </w:p>
  </w:footnote>
  <w:footnote w:id="1">
    <w:p w14:paraId="49D9E39C" w14:textId="60D30B62" w:rsidR="009829C5" w:rsidRPr="0089617A" w:rsidRDefault="009829C5">
      <w:pPr>
        <w:pStyle w:val="FootnoteText"/>
        <w:rPr>
          <w:rFonts w:ascii="Times New Roman" w:hAnsi="Times New Roman" w:cs="Times New Roman"/>
          <w:szCs w:val="20"/>
          <w:lang w:val="en-GB"/>
        </w:rPr>
      </w:pPr>
      <w:r w:rsidRPr="0089617A">
        <w:rPr>
          <w:rStyle w:val="FootnoteReference"/>
          <w:rFonts w:ascii="Times New Roman" w:hAnsi="Times New Roman" w:cs="Times New Roman"/>
          <w:szCs w:val="20"/>
        </w:rPr>
        <w:footnoteRef/>
      </w:r>
      <w:r w:rsidRPr="0089617A">
        <w:rPr>
          <w:rFonts w:ascii="Times New Roman" w:hAnsi="Times New Roman" w:cs="Times New Roman"/>
          <w:szCs w:val="20"/>
        </w:rPr>
        <w:t xml:space="preserve"> (2017) 8 SCC 377</w:t>
      </w:r>
    </w:p>
  </w:footnote>
  <w:footnote w:id="2">
    <w:p w14:paraId="6266C3E2" w14:textId="6F0569A7" w:rsidR="00221D4E" w:rsidRPr="0089617A" w:rsidRDefault="00221D4E">
      <w:pPr>
        <w:pStyle w:val="FootnoteText"/>
        <w:rPr>
          <w:rFonts w:ascii="Times New Roman" w:hAnsi="Times New Roman" w:cs="Times New Roman"/>
          <w:szCs w:val="20"/>
          <w:lang w:val="en-GB"/>
        </w:rPr>
      </w:pPr>
      <w:r w:rsidRPr="0089617A">
        <w:rPr>
          <w:rStyle w:val="FootnoteReference"/>
          <w:rFonts w:ascii="Times New Roman" w:hAnsi="Times New Roman" w:cs="Times New Roman"/>
          <w:szCs w:val="20"/>
        </w:rPr>
        <w:footnoteRef/>
      </w:r>
      <w:r w:rsidRPr="0089617A">
        <w:rPr>
          <w:rFonts w:ascii="Times New Roman" w:hAnsi="Times New Roman" w:cs="Times New Roman"/>
          <w:szCs w:val="20"/>
        </w:rPr>
        <w:t xml:space="preserve"> AIR 2020 SC 59</w:t>
      </w:r>
    </w:p>
  </w:footnote>
  <w:footnote w:id="3">
    <w:p w14:paraId="0551ECF3" w14:textId="7830B78E" w:rsidR="00221D4E" w:rsidRPr="0089617A" w:rsidRDefault="00221D4E">
      <w:pPr>
        <w:pStyle w:val="FootnoteText"/>
        <w:rPr>
          <w:rFonts w:ascii="Times New Roman" w:hAnsi="Times New Roman" w:cs="Times New Roman"/>
          <w:szCs w:val="20"/>
          <w:lang w:val="en-GB"/>
        </w:rPr>
      </w:pPr>
      <w:r w:rsidRPr="0089617A">
        <w:rPr>
          <w:rStyle w:val="FootnoteReference"/>
          <w:rFonts w:ascii="Times New Roman" w:hAnsi="Times New Roman" w:cs="Times New Roman"/>
          <w:szCs w:val="20"/>
        </w:rPr>
        <w:footnoteRef/>
      </w:r>
      <w:r w:rsidRPr="0089617A">
        <w:rPr>
          <w:rFonts w:ascii="Times New Roman" w:hAnsi="Times New Roman" w:cs="Times New Roman"/>
          <w:szCs w:val="20"/>
        </w:rPr>
        <w:t xml:space="preserve"> (2019) 5 SCC 755</w:t>
      </w:r>
    </w:p>
  </w:footnote>
  <w:footnote w:id="4">
    <w:p w14:paraId="00B1427D" w14:textId="4FE3A14F" w:rsidR="0089617A" w:rsidRPr="0089617A" w:rsidRDefault="0089617A">
      <w:pPr>
        <w:pStyle w:val="FootnoteText"/>
        <w:rPr>
          <w:rFonts w:ascii="Times New Roman" w:hAnsi="Times New Roman" w:cs="Times New Roman"/>
          <w:szCs w:val="20"/>
          <w:lang w:val="en-GB"/>
        </w:rPr>
      </w:pPr>
      <w:r w:rsidRPr="0089617A">
        <w:rPr>
          <w:rStyle w:val="FootnoteReference"/>
          <w:rFonts w:ascii="Times New Roman" w:hAnsi="Times New Roman" w:cs="Times New Roman"/>
          <w:szCs w:val="20"/>
        </w:rPr>
        <w:footnoteRef/>
      </w:r>
      <w:r w:rsidRPr="0089617A">
        <w:rPr>
          <w:rFonts w:ascii="Times New Roman" w:hAnsi="Times New Roman" w:cs="Times New Roman"/>
          <w:szCs w:val="20"/>
        </w:rPr>
        <w:t xml:space="preserve"> (2017) 4 SCC 665</w:t>
      </w:r>
    </w:p>
  </w:footnote>
  <w:footnote w:id="5">
    <w:p w14:paraId="66F08462" w14:textId="48705A56" w:rsidR="0089617A" w:rsidRPr="0089617A" w:rsidRDefault="0089617A">
      <w:pPr>
        <w:pStyle w:val="FootnoteText"/>
        <w:rPr>
          <w:rFonts w:ascii="Times New Roman" w:hAnsi="Times New Roman" w:cs="Times New Roman"/>
          <w:szCs w:val="20"/>
          <w:lang w:val="en-GB"/>
        </w:rPr>
      </w:pPr>
      <w:r w:rsidRPr="0089617A">
        <w:rPr>
          <w:rStyle w:val="FootnoteReference"/>
          <w:rFonts w:ascii="Times New Roman" w:hAnsi="Times New Roman" w:cs="Times New Roman"/>
          <w:szCs w:val="20"/>
        </w:rPr>
        <w:footnoteRef/>
      </w:r>
      <w:r w:rsidRPr="0089617A">
        <w:rPr>
          <w:rFonts w:ascii="Times New Roman" w:hAnsi="Times New Roman" w:cs="Times New Roman"/>
          <w:szCs w:val="20"/>
        </w:rPr>
        <w:t xml:space="preserve"> </w:t>
      </w:r>
      <w:r w:rsidRPr="0089617A">
        <w:rPr>
          <w:rFonts w:ascii="Times New Roman" w:hAnsi="Times New Roman" w:cs="Times New Roman"/>
          <w:szCs w:val="20"/>
          <w:lang w:val="en-GB"/>
        </w:rPr>
        <w:t>2024 INSC 857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01E42"/>
    <w:multiLevelType w:val="multilevel"/>
    <w:tmpl w:val="DE6C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B2C"/>
    <w:rsid w:val="00221D4E"/>
    <w:rsid w:val="002266B5"/>
    <w:rsid w:val="00482499"/>
    <w:rsid w:val="00513D29"/>
    <w:rsid w:val="00513EC8"/>
    <w:rsid w:val="005D4130"/>
    <w:rsid w:val="0089617A"/>
    <w:rsid w:val="008A4150"/>
    <w:rsid w:val="009524FB"/>
    <w:rsid w:val="009829C5"/>
    <w:rsid w:val="00B3040C"/>
    <w:rsid w:val="00E77B2C"/>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415"/>
  <w15:chartTrackingRefBased/>
  <w15:docId w15:val="{8308320D-9535-4E93-A69C-68B78276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150"/>
    <w:pPr>
      <w:spacing w:line="256" w:lineRule="auto"/>
    </w:pPr>
    <w:rPr>
      <w:rFonts w:ascii="Calibri" w:eastAsia="Calibri" w:hAnsi="Calibri" w:cs="Calibri"/>
      <w:szCs w:val="22"/>
      <w:lang w:val="en-IN" w:eastAsia="en-GB"/>
    </w:rPr>
  </w:style>
  <w:style w:type="paragraph" w:styleId="Heading2">
    <w:name w:val="heading 2"/>
    <w:basedOn w:val="Normal"/>
    <w:link w:val="Heading2Char"/>
    <w:uiPriority w:val="9"/>
    <w:qFormat/>
    <w:rsid w:val="008A4150"/>
    <w:pPr>
      <w:spacing w:before="100" w:beforeAutospacing="1" w:after="100" w:afterAutospacing="1" w:line="240" w:lineRule="auto"/>
      <w:outlineLvl w:val="1"/>
    </w:pPr>
    <w:rPr>
      <w:rFonts w:ascii="Times New Roman" w:eastAsia="Times New Roman" w:hAnsi="Times New Roman" w:cs="Times New Roman"/>
      <w:b/>
      <w:bCs/>
      <w:sz w:val="36"/>
      <w:szCs w:val="36"/>
      <w:lang w:val="en-GB"/>
    </w:rPr>
  </w:style>
  <w:style w:type="paragraph" w:styleId="Heading3">
    <w:name w:val="heading 3"/>
    <w:basedOn w:val="Normal"/>
    <w:link w:val="Heading3Char"/>
    <w:uiPriority w:val="9"/>
    <w:qFormat/>
    <w:rsid w:val="008A4150"/>
    <w:pPr>
      <w:spacing w:before="100" w:beforeAutospacing="1" w:after="100" w:afterAutospacing="1" w:line="240" w:lineRule="auto"/>
      <w:outlineLvl w:val="2"/>
    </w:pPr>
    <w:rPr>
      <w:rFonts w:ascii="Times New Roman" w:eastAsia="Times New Roman" w:hAnsi="Times New Roman" w:cs="Times New Roman"/>
      <w:b/>
      <w:bCs/>
      <w:sz w:val="27"/>
      <w:szCs w:val="2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415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415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A4150"/>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Title">
    <w:name w:val="Title"/>
    <w:basedOn w:val="Normal"/>
    <w:next w:val="Normal"/>
    <w:link w:val="TitleChar"/>
    <w:uiPriority w:val="10"/>
    <w:qFormat/>
    <w:rsid w:val="008A4150"/>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4150"/>
    <w:rPr>
      <w:rFonts w:asciiTheme="majorHAnsi" w:eastAsiaTheme="majorEastAsia" w:hAnsiTheme="majorHAnsi" w:cstheme="majorBidi"/>
      <w:spacing w:val="-10"/>
      <w:kern w:val="28"/>
      <w:sz w:val="56"/>
      <w:szCs w:val="50"/>
      <w:lang w:val="en-IN" w:eastAsia="en-GB"/>
    </w:rPr>
  </w:style>
  <w:style w:type="paragraph" w:styleId="FootnoteText">
    <w:name w:val="footnote text"/>
    <w:basedOn w:val="Normal"/>
    <w:link w:val="FootnoteTextChar"/>
    <w:uiPriority w:val="99"/>
    <w:semiHidden/>
    <w:unhideWhenUsed/>
    <w:rsid w:val="009524FB"/>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9524FB"/>
    <w:rPr>
      <w:rFonts w:ascii="Calibri" w:eastAsia="Calibri" w:hAnsi="Calibri" w:cs="Mangal"/>
      <w:sz w:val="20"/>
      <w:szCs w:val="18"/>
      <w:lang w:val="en-IN" w:eastAsia="en-GB"/>
    </w:rPr>
  </w:style>
  <w:style w:type="character" w:styleId="FootnoteReference">
    <w:name w:val="footnote reference"/>
    <w:basedOn w:val="DefaultParagraphFont"/>
    <w:uiPriority w:val="99"/>
    <w:semiHidden/>
    <w:unhideWhenUsed/>
    <w:rsid w:val="009524FB"/>
    <w:rPr>
      <w:vertAlign w:val="superscript"/>
    </w:rPr>
  </w:style>
  <w:style w:type="character" w:customStyle="1" w:styleId="citation-123">
    <w:name w:val="citation-123"/>
    <w:basedOn w:val="DefaultParagraphFont"/>
    <w:rsid w:val="005D4130"/>
  </w:style>
  <w:style w:type="character" w:customStyle="1" w:styleId="citation-122">
    <w:name w:val="citation-122"/>
    <w:basedOn w:val="DefaultParagraphFont"/>
    <w:rsid w:val="005D4130"/>
  </w:style>
  <w:style w:type="character" w:customStyle="1" w:styleId="citation-121">
    <w:name w:val="citation-121"/>
    <w:basedOn w:val="DefaultParagraphFont"/>
    <w:rsid w:val="005D4130"/>
  </w:style>
  <w:style w:type="character" w:customStyle="1" w:styleId="citation-120">
    <w:name w:val="citation-120"/>
    <w:basedOn w:val="DefaultParagraphFont"/>
    <w:rsid w:val="005D4130"/>
  </w:style>
  <w:style w:type="character" w:customStyle="1" w:styleId="citation-119">
    <w:name w:val="citation-119"/>
    <w:basedOn w:val="DefaultParagraphFont"/>
    <w:rsid w:val="005D4130"/>
  </w:style>
  <w:style w:type="character" w:customStyle="1" w:styleId="citation-118">
    <w:name w:val="citation-118"/>
    <w:basedOn w:val="DefaultParagraphFont"/>
    <w:rsid w:val="005D4130"/>
  </w:style>
  <w:style w:type="character" w:customStyle="1" w:styleId="citation-117">
    <w:name w:val="citation-117"/>
    <w:basedOn w:val="DefaultParagraphFont"/>
    <w:rsid w:val="005D4130"/>
  </w:style>
  <w:style w:type="character" w:customStyle="1" w:styleId="citation-116">
    <w:name w:val="citation-116"/>
    <w:basedOn w:val="DefaultParagraphFont"/>
    <w:rsid w:val="005D4130"/>
  </w:style>
  <w:style w:type="character" w:customStyle="1" w:styleId="citation-115">
    <w:name w:val="citation-115"/>
    <w:basedOn w:val="DefaultParagraphFont"/>
    <w:rsid w:val="005D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83262">
      <w:bodyDiv w:val="1"/>
      <w:marLeft w:val="0"/>
      <w:marRight w:val="0"/>
      <w:marTop w:val="0"/>
      <w:marBottom w:val="0"/>
      <w:divBdr>
        <w:top w:val="none" w:sz="0" w:space="0" w:color="auto"/>
        <w:left w:val="none" w:sz="0" w:space="0" w:color="auto"/>
        <w:bottom w:val="none" w:sz="0" w:space="0" w:color="auto"/>
        <w:right w:val="none" w:sz="0" w:space="0" w:color="auto"/>
      </w:divBdr>
    </w:div>
    <w:div w:id="182549290">
      <w:bodyDiv w:val="1"/>
      <w:marLeft w:val="0"/>
      <w:marRight w:val="0"/>
      <w:marTop w:val="0"/>
      <w:marBottom w:val="0"/>
      <w:divBdr>
        <w:top w:val="none" w:sz="0" w:space="0" w:color="auto"/>
        <w:left w:val="none" w:sz="0" w:space="0" w:color="auto"/>
        <w:bottom w:val="none" w:sz="0" w:space="0" w:color="auto"/>
        <w:right w:val="none" w:sz="0" w:space="0" w:color="auto"/>
      </w:divBdr>
    </w:div>
    <w:div w:id="118497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6A547-1996-4822-87D4-0CB286D12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Tiwari</dc:creator>
  <cp:keywords/>
  <dc:description/>
  <cp:lastModifiedBy>Ritu Tiwari</cp:lastModifiedBy>
  <cp:revision>6</cp:revision>
  <dcterms:created xsi:type="dcterms:W3CDTF">2026-10-11T03:56:00Z</dcterms:created>
  <dcterms:modified xsi:type="dcterms:W3CDTF">2026-10-14T13:22:00Z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a52a3a29-52e4-48a4-9c4d-b66fe4501b3f</vt:lpwstr>
  </property>
</Properties>
</file>