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10500" w14:textId="77777777" w:rsidR="001F51A1" w:rsidRPr="00AF19A0" w:rsidRDefault="001F51A1" w:rsidP="001F51A1">
      <w:pPr>
        <w:jc w:val="center"/>
        <w:rPr>
          <w:rFonts w:ascii="Times New Roman" w:eastAsia="Cambria" w:hAnsi="Times New Roman" w:cs="Times New Roman"/>
          <w:b/>
          <w:sz w:val="36"/>
          <w:szCs w:val="36"/>
        </w:rPr>
      </w:pPr>
      <w:r w:rsidRPr="00AF19A0">
        <w:rPr>
          <w:rFonts w:ascii="Times New Roman" w:eastAsia="Cambria" w:hAnsi="Times New Roman" w:cs="Times New Roman"/>
          <w:b/>
          <w:sz w:val="36"/>
          <w:szCs w:val="36"/>
        </w:rPr>
        <w:t>Rajiv Gandhi School of Intellectual Property Law</w:t>
      </w:r>
    </w:p>
    <w:p w14:paraId="3EB97F88" w14:textId="77777777" w:rsidR="001F51A1" w:rsidRPr="00AF19A0" w:rsidRDefault="001F51A1" w:rsidP="001F51A1">
      <w:pPr>
        <w:jc w:val="center"/>
        <w:rPr>
          <w:rFonts w:ascii="Times New Roman" w:eastAsia="Cambria" w:hAnsi="Times New Roman" w:cs="Times New Roman"/>
          <w:b/>
          <w:sz w:val="36"/>
          <w:szCs w:val="36"/>
        </w:rPr>
      </w:pPr>
      <w:r w:rsidRPr="00AF19A0">
        <w:rPr>
          <w:rFonts w:ascii="Times New Roman" w:eastAsia="Cambria" w:hAnsi="Times New Roman" w:cs="Times New Roman"/>
          <w:b/>
          <w:sz w:val="36"/>
          <w:szCs w:val="36"/>
        </w:rPr>
        <w:t>IIT KHARAGPUR</w:t>
      </w:r>
    </w:p>
    <w:p w14:paraId="6D5E5686" w14:textId="77777777" w:rsidR="001F51A1" w:rsidRPr="00AF19A0" w:rsidRDefault="001F51A1" w:rsidP="001F51A1">
      <w:pPr>
        <w:jc w:val="center"/>
        <w:rPr>
          <w:rFonts w:ascii="Times New Roman" w:eastAsia="Cambria" w:hAnsi="Times New Roman" w:cs="Times New Roman"/>
          <w:b/>
          <w:sz w:val="36"/>
          <w:szCs w:val="36"/>
        </w:rPr>
      </w:pPr>
    </w:p>
    <w:p w14:paraId="572A55E1" w14:textId="77777777" w:rsidR="001F51A1" w:rsidRPr="00AF19A0" w:rsidRDefault="001F51A1" w:rsidP="001F51A1">
      <w:pPr>
        <w:jc w:val="center"/>
        <w:rPr>
          <w:rFonts w:ascii="Times New Roman" w:eastAsia="Cambria" w:hAnsi="Times New Roman" w:cs="Times New Roman"/>
          <w:b/>
          <w:sz w:val="36"/>
          <w:szCs w:val="36"/>
        </w:rPr>
      </w:pPr>
      <w:r w:rsidRPr="00AF19A0">
        <w:rPr>
          <w:rFonts w:ascii="Times New Roman" w:eastAsia="Century Gothic" w:hAnsi="Times New Roman" w:cs="Times New Roman"/>
          <w:noProof/>
        </w:rPr>
        <w:drawing>
          <wp:inline distT="0" distB="0" distL="0" distR="0" wp14:anchorId="7903197F" wp14:editId="06F609C9">
            <wp:extent cx="5731510" cy="3264535"/>
            <wp:effectExtent l="0" t="0" r="2540" b="0"/>
            <wp:docPr id="1" name="image1.png" descr="Indian Institute of Technology Kharagpur invites online applications ..."/>
            <wp:cNvGraphicFramePr/>
            <a:graphic xmlns:a="http://schemas.openxmlformats.org/drawingml/2006/main">
              <a:graphicData uri="http://schemas.openxmlformats.org/drawingml/2006/picture">
                <pic:pic xmlns:pic="http://schemas.openxmlformats.org/drawingml/2006/picture">
                  <pic:nvPicPr>
                    <pic:cNvPr id="0" name="image1.png" descr="Indian Institute of Technology Kharagpur invites online applications ..."/>
                    <pic:cNvPicPr preferRelativeResize="0"/>
                  </pic:nvPicPr>
                  <pic:blipFill>
                    <a:blip r:embed="rId5"/>
                    <a:srcRect/>
                    <a:stretch>
                      <a:fillRect/>
                    </a:stretch>
                  </pic:blipFill>
                  <pic:spPr>
                    <a:xfrm>
                      <a:off x="0" y="0"/>
                      <a:ext cx="5731510" cy="3264535"/>
                    </a:xfrm>
                    <a:prstGeom prst="rect">
                      <a:avLst/>
                    </a:prstGeom>
                    <a:ln/>
                  </pic:spPr>
                </pic:pic>
              </a:graphicData>
            </a:graphic>
          </wp:inline>
        </w:drawing>
      </w:r>
    </w:p>
    <w:p w14:paraId="0E2D74AE" w14:textId="77777777" w:rsidR="001F51A1" w:rsidRPr="00AF19A0" w:rsidRDefault="001F51A1" w:rsidP="001F51A1">
      <w:pPr>
        <w:jc w:val="center"/>
        <w:rPr>
          <w:rFonts w:ascii="Times New Roman" w:eastAsia="Cambria" w:hAnsi="Times New Roman" w:cs="Times New Roman"/>
          <w:b/>
          <w:sz w:val="36"/>
          <w:szCs w:val="36"/>
        </w:rPr>
      </w:pPr>
    </w:p>
    <w:p w14:paraId="00E1E5D2" w14:textId="5E6F4C5E" w:rsidR="001F51A1" w:rsidRDefault="001F51A1" w:rsidP="001F51A1">
      <w:pPr>
        <w:jc w:val="center"/>
        <w:rPr>
          <w:rFonts w:ascii="Times New Roman" w:eastAsia="Cambria" w:hAnsi="Times New Roman" w:cs="Times New Roman"/>
          <w:b/>
          <w:sz w:val="44"/>
          <w:szCs w:val="44"/>
        </w:rPr>
      </w:pPr>
      <w:r>
        <w:rPr>
          <w:rFonts w:ascii="Times New Roman" w:eastAsia="Cambria" w:hAnsi="Times New Roman" w:cs="Times New Roman"/>
          <w:b/>
          <w:sz w:val="44"/>
          <w:szCs w:val="44"/>
        </w:rPr>
        <w:t>International Investment Law Assignment</w:t>
      </w:r>
    </w:p>
    <w:p w14:paraId="5AE8DE2B" w14:textId="5D7D5C91" w:rsidR="001F51A1" w:rsidRPr="001F51A1" w:rsidRDefault="001F51A1" w:rsidP="001F51A1">
      <w:pPr>
        <w:jc w:val="center"/>
        <w:rPr>
          <w:rFonts w:ascii="Times New Roman" w:eastAsia="Cambria" w:hAnsi="Times New Roman" w:cs="Times New Roman"/>
          <w:b/>
          <w:sz w:val="28"/>
          <w:szCs w:val="28"/>
        </w:rPr>
      </w:pPr>
      <w:r w:rsidRPr="001F51A1">
        <w:rPr>
          <w:rFonts w:ascii="Times New Roman" w:eastAsia="Cambria" w:hAnsi="Times New Roman" w:cs="Times New Roman"/>
          <w:b/>
          <w:sz w:val="28"/>
          <w:szCs w:val="28"/>
        </w:rPr>
        <w:t xml:space="preserve">Submitted to: </w:t>
      </w:r>
      <w:proofErr w:type="spellStart"/>
      <w:r w:rsidRPr="001F51A1">
        <w:rPr>
          <w:rFonts w:ascii="Times New Roman" w:eastAsia="Cambria" w:hAnsi="Times New Roman" w:cs="Times New Roman"/>
          <w:b/>
          <w:sz w:val="28"/>
          <w:szCs w:val="28"/>
        </w:rPr>
        <w:t>Dr.</w:t>
      </w:r>
      <w:proofErr w:type="spellEnd"/>
      <w:r w:rsidRPr="001F51A1">
        <w:rPr>
          <w:rFonts w:ascii="Times New Roman" w:eastAsia="Cambria" w:hAnsi="Times New Roman" w:cs="Times New Roman"/>
          <w:b/>
          <w:sz w:val="28"/>
          <w:szCs w:val="28"/>
        </w:rPr>
        <w:t xml:space="preserve"> S.R. Subramanian</w:t>
      </w:r>
    </w:p>
    <w:p w14:paraId="329FFF66" w14:textId="77777777" w:rsidR="001F51A1" w:rsidRPr="00AF19A0" w:rsidRDefault="001F51A1" w:rsidP="001F51A1">
      <w:pPr>
        <w:jc w:val="center"/>
        <w:rPr>
          <w:rFonts w:ascii="Times New Roman" w:eastAsia="Cambria" w:hAnsi="Times New Roman" w:cs="Times New Roman"/>
          <w:b/>
          <w:sz w:val="28"/>
          <w:szCs w:val="28"/>
        </w:rPr>
      </w:pPr>
    </w:p>
    <w:p w14:paraId="3F15B57C" w14:textId="77777777" w:rsidR="001F51A1" w:rsidRPr="00AF19A0" w:rsidRDefault="001F51A1" w:rsidP="001F51A1">
      <w:pPr>
        <w:jc w:val="center"/>
        <w:rPr>
          <w:rFonts w:ascii="Times New Roman" w:eastAsia="Cambria" w:hAnsi="Times New Roman" w:cs="Times New Roman"/>
          <w:b/>
          <w:sz w:val="28"/>
          <w:szCs w:val="28"/>
        </w:rPr>
      </w:pPr>
    </w:p>
    <w:p w14:paraId="3EE03030" w14:textId="77777777" w:rsidR="001F51A1" w:rsidRPr="00AF19A0" w:rsidRDefault="001F51A1" w:rsidP="001F51A1">
      <w:pPr>
        <w:jc w:val="both"/>
        <w:rPr>
          <w:rFonts w:ascii="Times New Roman" w:eastAsia="Cambria" w:hAnsi="Times New Roman" w:cs="Times New Roman"/>
          <w:sz w:val="24"/>
          <w:szCs w:val="24"/>
        </w:rPr>
      </w:pPr>
    </w:p>
    <w:p w14:paraId="39A5689F" w14:textId="77777777" w:rsidR="001F51A1" w:rsidRPr="00AF19A0" w:rsidRDefault="001F51A1" w:rsidP="001F51A1">
      <w:pPr>
        <w:jc w:val="right"/>
        <w:rPr>
          <w:rFonts w:ascii="Times New Roman" w:eastAsia="Cambria" w:hAnsi="Times New Roman" w:cs="Times New Roman"/>
          <w:b/>
          <w:sz w:val="32"/>
          <w:szCs w:val="32"/>
        </w:rPr>
      </w:pPr>
    </w:p>
    <w:p w14:paraId="19AB64AB" w14:textId="77777777" w:rsidR="001F51A1" w:rsidRPr="00AF19A0" w:rsidRDefault="001F51A1" w:rsidP="001F51A1">
      <w:pPr>
        <w:jc w:val="right"/>
        <w:rPr>
          <w:rFonts w:ascii="Times New Roman" w:eastAsia="Cambria" w:hAnsi="Times New Roman" w:cs="Times New Roman"/>
          <w:b/>
          <w:sz w:val="36"/>
          <w:szCs w:val="36"/>
        </w:rPr>
      </w:pPr>
      <w:r w:rsidRPr="00AF19A0">
        <w:rPr>
          <w:rFonts w:ascii="Times New Roman" w:eastAsia="Cambria" w:hAnsi="Times New Roman" w:cs="Times New Roman"/>
          <w:b/>
          <w:sz w:val="36"/>
          <w:szCs w:val="36"/>
        </w:rPr>
        <w:t>Ritu Bhushan Prasad Tiwari</w:t>
      </w:r>
    </w:p>
    <w:p w14:paraId="5F41C3D8" w14:textId="77777777" w:rsidR="001F51A1" w:rsidRPr="00AF19A0" w:rsidRDefault="001F51A1" w:rsidP="001F51A1">
      <w:pPr>
        <w:jc w:val="right"/>
        <w:rPr>
          <w:rFonts w:ascii="Times New Roman" w:eastAsia="Cambria" w:hAnsi="Times New Roman" w:cs="Times New Roman"/>
          <w:b/>
          <w:sz w:val="36"/>
          <w:szCs w:val="36"/>
        </w:rPr>
      </w:pPr>
      <w:r w:rsidRPr="00AF19A0">
        <w:rPr>
          <w:rFonts w:ascii="Times New Roman" w:eastAsia="Cambria" w:hAnsi="Times New Roman" w:cs="Times New Roman"/>
          <w:b/>
          <w:sz w:val="36"/>
          <w:szCs w:val="36"/>
        </w:rPr>
        <w:t>24IP63032</w:t>
      </w:r>
    </w:p>
    <w:p w14:paraId="1B0BE4C2" w14:textId="77777777" w:rsidR="001F51A1" w:rsidRDefault="001F51A1" w:rsidP="00F25C69">
      <w:pPr>
        <w:pStyle w:val="Title"/>
        <w:spacing w:line="276" w:lineRule="auto"/>
        <w:jc w:val="center"/>
        <w:rPr>
          <w:rFonts w:ascii="Times New Roman" w:hAnsi="Times New Roman" w:cs="Times New Roman"/>
          <w:b/>
          <w:bCs/>
          <w:sz w:val="28"/>
          <w:szCs w:val="28"/>
          <w:u w:val="single"/>
        </w:rPr>
      </w:pPr>
    </w:p>
    <w:p w14:paraId="4F53D423" w14:textId="77777777" w:rsidR="001F51A1" w:rsidRDefault="001F51A1" w:rsidP="00F25C69">
      <w:pPr>
        <w:pStyle w:val="Title"/>
        <w:spacing w:line="276" w:lineRule="auto"/>
        <w:jc w:val="center"/>
        <w:rPr>
          <w:rFonts w:ascii="Times New Roman" w:hAnsi="Times New Roman" w:cs="Times New Roman"/>
          <w:b/>
          <w:bCs/>
          <w:sz w:val="28"/>
          <w:szCs w:val="28"/>
          <w:u w:val="single"/>
        </w:rPr>
      </w:pPr>
    </w:p>
    <w:p w14:paraId="77471484" w14:textId="77777777" w:rsidR="001F51A1" w:rsidRDefault="001F51A1" w:rsidP="00F25C69">
      <w:pPr>
        <w:pStyle w:val="Title"/>
        <w:spacing w:line="276" w:lineRule="auto"/>
        <w:jc w:val="center"/>
        <w:rPr>
          <w:rFonts w:ascii="Times New Roman" w:hAnsi="Times New Roman" w:cs="Times New Roman"/>
          <w:b/>
          <w:bCs/>
          <w:sz w:val="28"/>
          <w:szCs w:val="28"/>
          <w:u w:val="single"/>
        </w:rPr>
      </w:pPr>
    </w:p>
    <w:p w14:paraId="2A85030A" w14:textId="77777777" w:rsidR="001F51A1" w:rsidRDefault="001F51A1" w:rsidP="001F51A1">
      <w:pPr>
        <w:pStyle w:val="Title"/>
        <w:spacing w:line="276" w:lineRule="auto"/>
        <w:rPr>
          <w:rFonts w:ascii="Times New Roman" w:hAnsi="Times New Roman" w:cs="Times New Roman"/>
          <w:b/>
          <w:bCs/>
          <w:sz w:val="28"/>
          <w:szCs w:val="28"/>
          <w:u w:val="single"/>
        </w:rPr>
      </w:pPr>
    </w:p>
    <w:p w14:paraId="3CF6D686" w14:textId="62C7486A" w:rsidR="00482499" w:rsidRPr="001F51A1" w:rsidRDefault="00F25C69" w:rsidP="00F25C69">
      <w:pPr>
        <w:pStyle w:val="Title"/>
        <w:spacing w:line="276" w:lineRule="auto"/>
        <w:jc w:val="center"/>
        <w:rPr>
          <w:rFonts w:ascii="Times New Roman" w:hAnsi="Times New Roman" w:cs="Times New Roman"/>
          <w:b/>
          <w:bCs/>
          <w:sz w:val="28"/>
          <w:szCs w:val="28"/>
          <w:u w:val="single"/>
        </w:rPr>
      </w:pPr>
      <w:r w:rsidRPr="001F51A1">
        <w:rPr>
          <w:rFonts w:ascii="Times New Roman" w:hAnsi="Times New Roman" w:cs="Times New Roman"/>
          <w:b/>
          <w:bCs/>
          <w:sz w:val="28"/>
          <w:szCs w:val="28"/>
          <w:u w:val="single"/>
        </w:rPr>
        <w:lastRenderedPageBreak/>
        <w:t>Comprehensive Analysis of the Sources of International Investment Law</w:t>
      </w:r>
    </w:p>
    <w:p w14:paraId="37E672CC" w14:textId="1ECECF5B" w:rsidR="00F25C69" w:rsidRPr="00F25C69" w:rsidRDefault="00F25C69" w:rsidP="00F25C69">
      <w:pPr>
        <w:spacing w:line="276" w:lineRule="auto"/>
        <w:rPr>
          <w:sz w:val="24"/>
          <w:szCs w:val="24"/>
        </w:rPr>
      </w:pPr>
    </w:p>
    <w:p w14:paraId="1792793D"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The architecture of international investment law represents one of the most dynamic and consequential branches of public international law. It governs the relationship between sovereign states and foreign private investors, seeking to balance the need to attract global capital with the imperative of preserving a state's sovereign right to regulate in the public interest. Unlike the traditional framework of international law, which historically relied on customary practices and state-to-state diplomatic protection, modern international investment law is fundamentally treaty-based. It empowers private corporations and individuals to bring claims directly against sovereign states before international arbitral tribunals.</w:t>
      </w:r>
    </w:p>
    <w:p w14:paraId="6941CFEE"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To understand how this system operates, one must carefully examine its diverse sources. These sources range from bilateral agreements and multilateral conventions to customary international law and influential economic policy frameworks. The following analysis explores these sources in detail, examining their historical evolution, substantive provisions, procedural mechanisms, and the pivotal case law that has shaped their interpretation.</w:t>
      </w:r>
    </w:p>
    <w:p w14:paraId="1CD2D533"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1. Bilateral Investment Treaties (BITs)</w:t>
      </w:r>
    </w:p>
    <w:p w14:paraId="5F49C30B" w14:textId="20B08B74"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Bilateral Investment Treaties form the absolute bedrock of the international investment law regime. A Bilateral Investment Treaty is an agreement </w:t>
      </w:r>
      <w:r w:rsidR="00753CB1">
        <w:rPr>
          <w:rFonts w:ascii="Times New Roman" w:eastAsia="Times New Roman" w:hAnsi="Times New Roman" w:cs="Times New Roman"/>
          <w:sz w:val="24"/>
          <w:szCs w:val="24"/>
          <w:lang w:eastAsia="en-GB"/>
        </w:rPr>
        <w:t>between two sovereign states that establishes the terms and conditions for private investment by nationals and companies of one state in the other state's jurisdiction</w:t>
      </w:r>
      <w:r w:rsidRPr="00F25C69">
        <w:rPr>
          <w:rFonts w:ascii="Times New Roman" w:eastAsia="Times New Roman" w:hAnsi="Times New Roman" w:cs="Times New Roman"/>
          <w:sz w:val="24"/>
          <w:szCs w:val="24"/>
          <w:lang w:eastAsia="en-GB"/>
        </w:rPr>
        <w:t>. The primary objective of these treaties is to promote and protect foreign direct investment.</w:t>
      </w:r>
    </w:p>
    <w:p w14:paraId="0FC99CB9" w14:textId="27439BD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first Bilateral Investment Treaty was signed between West Germany and Pakistan in 1959. However, the proliferation of these agreements truly exploded in the 1990s following the end of the Cold War. Today, there are roughly three thousand such treaties globally. Capital-exporting nations initially pushed for these treaties to protect their investors from political risks such as expropriation or discriminatory treatment in developing countries. Over time, the network of treaties has become </w:t>
      </w:r>
      <w:r w:rsidR="00753CB1">
        <w:rPr>
          <w:rFonts w:ascii="Times New Roman" w:eastAsia="Times New Roman" w:hAnsi="Times New Roman" w:cs="Times New Roman"/>
          <w:sz w:val="24"/>
          <w:szCs w:val="24"/>
          <w:lang w:eastAsia="en-GB"/>
        </w:rPr>
        <w:t>far more complex, involving agreements between developing nations and reciprocal capital flows</w:t>
      </w:r>
      <w:r w:rsidRPr="00F25C69">
        <w:rPr>
          <w:rFonts w:ascii="Times New Roman" w:eastAsia="Times New Roman" w:hAnsi="Times New Roman" w:cs="Times New Roman"/>
          <w:sz w:val="24"/>
          <w:szCs w:val="24"/>
          <w:lang w:eastAsia="en-GB"/>
        </w:rPr>
        <w:t>.</w:t>
      </w:r>
    </w:p>
    <w:p w14:paraId="59E6F902" w14:textId="1D388203" w:rsidR="00F25C69" w:rsidRPr="00F25C69" w:rsidRDefault="00F25C69" w:rsidP="00F25C69">
      <w:pPr>
        <w:pStyle w:val="ListParagraph"/>
        <w:numPr>
          <w:ilvl w:val="1"/>
          <w:numId w:val="1"/>
        </w:num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 xml:space="preserve"> Core Substantive Protections</w:t>
      </w:r>
    </w:p>
    <w:p w14:paraId="0CEB9BCB"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Bilateral Investment Treaties contain several standard guarantees that host states must provide to foreign investors.</w:t>
      </w:r>
    </w:p>
    <w:p w14:paraId="1566A473" w14:textId="77777777" w:rsidR="00F25C69" w:rsidRPr="00F25C69" w:rsidRDefault="00F25C69" w:rsidP="00F25C69">
      <w:pPr>
        <w:pStyle w:val="ListParagraph"/>
        <w:numPr>
          <w:ilvl w:val="2"/>
          <w:numId w:val="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b/>
          <w:bCs/>
          <w:sz w:val="24"/>
          <w:szCs w:val="24"/>
          <w:lang w:eastAsia="en-GB"/>
        </w:rPr>
        <w:t>Fair and Equitable Treatment (FET):</w:t>
      </w:r>
    </w:p>
    <w:p w14:paraId="45C47AF6" w14:textId="4AA16EBE"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This is the most frequently invoked standard in investment arbitration. The Fair and Equitable Treatment standard guarantees a baseline of due process, transparency, and protection against arbitrary or abusive state action. Over the years, arbitral tribunals have interpreted this standard </w:t>
      </w:r>
      <w:r w:rsidRPr="00F25C69">
        <w:rPr>
          <w:rFonts w:ascii="Times New Roman" w:eastAsia="Times New Roman" w:hAnsi="Times New Roman" w:cs="Times New Roman"/>
          <w:sz w:val="24"/>
          <w:szCs w:val="24"/>
          <w:lang w:eastAsia="en-GB"/>
        </w:rPr>
        <w:lastRenderedPageBreak/>
        <w:t xml:space="preserve">to protect the "legitimate expectations" of the investor. A landmark case in this regard is </w:t>
      </w:r>
      <w:proofErr w:type="spellStart"/>
      <w:r w:rsidRPr="00F25C69">
        <w:rPr>
          <w:rFonts w:ascii="Times New Roman" w:eastAsia="Times New Roman" w:hAnsi="Times New Roman" w:cs="Times New Roman"/>
          <w:i/>
          <w:iCs/>
          <w:sz w:val="24"/>
          <w:szCs w:val="24"/>
          <w:lang w:eastAsia="en-GB"/>
        </w:rPr>
        <w:t>Tecmed</w:t>
      </w:r>
      <w:proofErr w:type="spellEnd"/>
      <w:r w:rsidRPr="00F25C69">
        <w:rPr>
          <w:rFonts w:ascii="Times New Roman" w:eastAsia="Times New Roman" w:hAnsi="Times New Roman" w:cs="Times New Roman"/>
          <w:i/>
          <w:iCs/>
          <w:sz w:val="24"/>
          <w:szCs w:val="24"/>
          <w:lang w:eastAsia="en-GB"/>
        </w:rPr>
        <w:t xml:space="preserve"> v. Mexico</w:t>
      </w:r>
      <w:r w:rsidRPr="00F25C69">
        <w:rPr>
          <w:rFonts w:ascii="Times New Roman" w:eastAsia="Times New Roman" w:hAnsi="Times New Roman" w:cs="Times New Roman"/>
          <w:sz w:val="24"/>
          <w:szCs w:val="24"/>
          <w:lang w:eastAsia="en-GB"/>
        </w:rPr>
        <w:t xml:space="preserve">. In this case, a Spanish company invested in a hazardous waste landfill in Mexico based on assurances and permits from various government agencies. When Mexico refused to renew the permit due to political pressure rather than regulatory failure, the tribunal found a violation of the Fair and Equitable Treatment standard. The tribunal </w:t>
      </w:r>
      <w:r w:rsidR="00753CB1">
        <w:rPr>
          <w:rFonts w:ascii="Times New Roman" w:eastAsia="Times New Roman" w:hAnsi="Times New Roman" w:cs="Times New Roman"/>
          <w:sz w:val="24"/>
          <w:szCs w:val="24"/>
          <w:lang w:eastAsia="en-GB"/>
        </w:rPr>
        <w:t>emphasised</w:t>
      </w:r>
      <w:r w:rsidRPr="00F25C69">
        <w:rPr>
          <w:rFonts w:ascii="Times New Roman" w:eastAsia="Times New Roman" w:hAnsi="Times New Roman" w:cs="Times New Roman"/>
          <w:sz w:val="24"/>
          <w:szCs w:val="24"/>
          <w:lang w:eastAsia="en-GB"/>
        </w:rPr>
        <w:t xml:space="preserve"> that the foreign investor is entitled to expect that the host state will act in a consistent, transparent, and non-arbitrary manner.</w:t>
      </w:r>
    </w:p>
    <w:p w14:paraId="12C14297" w14:textId="77777777" w:rsidR="00F25C69" w:rsidRPr="00F25C69" w:rsidRDefault="00F25C69" w:rsidP="00F25C69">
      <w:pPr>
        <w:pStyle w:val="ListParagraph"/>
        <w:numPr>
          <w:ilvl w:val="2"/>
          <w:numId w:val="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b/>
          <w:bCs/>
          <w:sz w:val="24"/>
          <w:szCs w:val="24"/>
          <w:lang w:eastAsia="en-GB"/>
        </w:rPr>
        <w:t>Expropriation:</w:t>
      </w:r>
    </w:p>
    <w:p w14:paraId="1DADFC65" w14:textId="76645119"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International law </w:t>
      </w:r>
      <w:r w:rsidR="00753CB1">
        <w:rPr>
          <w:rFonts w:ascii="Times New Roman" w:eastAsia="Times New Roman" w:hAnsi="Times New Roman" w:cs="Times New Roman"/>
          <w:sz w:val="24"/>
          <w:szCs w:val="24"/>
          <w:lang w:eastAsia="en-GB"/>
        </w:rPr>
        <w:t>recognises</w:t>
      </w:r>
      <w:r w:rsidRPr="00F25C69">
        <w:rPr>
          <w:rFonts w:ascii="Times New Roman" w:eastAsia="Times New Roman" w:hAnsi="Times New Roman" w:cs="Times New Roman"/>
          <w:sz w:val="24"/>
          <w:szCs w:val="24"/>
          <w:lang w:eastAsia="en-GB"/>
        </w:rPr>
        <w:t xml:space="preserve"> the sovereign right of states to expropriate foreign property for a public purpose, provided it is done in a non-discriminatory manner, under due process of law, and accompanied by prompt, adequate, and effective compensation. Bilateral Investment Treaties protect against both direct expropriation (where the state formally seizes title to the property) and indirect expropriation (where state regulatory actions effectively destroy the economic value of the investment without a formal taking of title). The case of </w:t>
      </w:r>
      <w:proofErr w:type="spellStart"/>
      <w:r w:rsidRPr="00F25C69">
        <w:rPr>
          <w:rFonts w:ascii="Times New Roman" w:eastAsia="Times New Roman" w:hAnsi="Times New Roman" w:cs="Times New Roman"/>
          <w:i/>
          <w:iCs/>
          <w:sz w:val="24"/>
          <w:szCs w:val="24"/>
          <w:lang w:eastAsia="en-GB"/>
        </w:rPr>
        <w:t>Metalclad</w:t>
      </w:r>
      <w:proofErr w:type="spellEnd"/>
      <w:r w:rsidRPr="00F25C69">
        <w:rPr>
          <w:rFonts w:ascii="Times New Roman" w:eastAsia="Times New Roman" w:hAnsi="Times New Roman" w:cs="Times New Roman"/>
          <w:i/>
          <w:iCs/>
          <w:sz w:val="24"/>
          <w:szCs w:val="24"/>
          <w:lang w:eastAsia="en-GB"/>
        </w:rPr>
        <w:t xml:space="preserve"> v. Mexico</w:t>
      </w:r>
      <w:r w:rsidRPr="00F25C69">
        <w:rPr>
          <w:rFonts w:ascii="Times New Roman" w:eastAsia="Times New Roman" w:hAnsi="Times New Roman" w:cs="Times New Roman"/>
          <w:sz w:val="24"/>
          <w:szCs w:val="24"/>
          <w:lang w:eastAsia="en-GB"/>
        </w:rPr>
        <w:t xml:space="preserve"> under the North American Free Trade Agreement serves as a prime example of indirect expropriation. </w:t>
      </w:r>
      <w:proofErr w:type="spellStart"/>
      <w:r w:rsidRPr="00F25C69">
        <w:rPr>
          <w:rFonts w:ascii="Times New Roman" w:eastAsia="Times New Roman" w:hAnsi="Times New Roman" w:cs="Times New Roman"/>
          <w:sz w:val="24"/>
          <w:szCs w:val="24"/>
          <w:lang w:eastAsia="en-GB"/>
        </w:rPr>
        <w:t>Metalclad</w:t>
      </w:r>
      <w:proofErr w:type="spellEnd"/>
      <w:r w:rsidRPr="00F25C69">
        <w:rPr>
          <w:rFonts w:ascii="Times New Roman" w:eastAsia="Times New Roman" w:hAnsi="Times New Roman" w:cs="Times New Roman"/>
          <w:sz w:val="24"/>
          <w:szCs w:val="24"/>
          <w:lang w:eastAsia="en-GB"/>
        </w:rPr>
        <w:t>, a United States corporation, received federal permits to operate a hazardous waste facility in Mexico. However, the local municipality denied a construction permit</w:t>
      </w:r>
      <w:r w:rsidR="00753CB1">
        <w:rPr>
          <w:rFonts w:ascii="Times New Roman" w:eastAsia="Times New Roman" w:hAnsi="Times New Roman" w:cs="Times New Roman"/>
          <w:sz w:val="24"/>
          <w:szCs w:val="24"/>
          <w:lang w:eastAsia="en-GB"/>
        </w:rPr>
        <w:t>,</w:t>
      </w:r>
      <w:r w:rsidRPr="00F25C69">
        <w:rPr>
          <w:rFonts w:ascii="Times New Roman" w:eastAsia="Times New Roman" w:hAnsi="Times New Roman" w:cs="Times New Roman"/>
          <w:sz w:val="24"/>
          <w:szCs w:val="24"/>
          <w:lang w:eastAsia="en-GB"/>
        </w:rPr>
        <w:t xml:space="preserve"> and the state governor issued an ecological decree declaring the site a sanctuary. The tribunal ruled that these actions completely deprived </w:t>
      </w:r>
      <w:proofErr w:type="spellStart"/>
      <w:r w:rsidRPr="00F25C69">
        <w:rPr>
          <w:rFonts w:ascii="Times New Roman" w:eastAsia="Times New Roman" w:hAnsi="Times New Roman" w:cs="Times New Roman"/>
          <w:sz w:val="24"/>
          <w:szCs w:val="24"/>
          <w:lang w:eastAsia="en-GB"/>
        </w:rPr>
        <w:t>Metalclad</w:t>
      </w:r>
      <w:proofErr w:type="spellEnd"/>
      <w:r w:rsidRPr="00F25C69">
        <w:rPr>
          <w:rFonts w:ascii="Times New Roman" w:eastAsia="Times New Roman" w:hAnsi="Times New Roman" w:cs="Times New Roman"/>
          <w:sz w:val="24"/>
          <w:szCs w:val="24"/>
          <w:lang w:eastAsia="en-GB"/>
        </w:rPr>
        <w:t xml:space="preserve"> of the economic benefit of its investment, amounting to an unlawful indirect expropriation.</w:t>
      </w:r>
    </w:p>
    <w:p w14:paraId="6BFC2FA6" w14:textId="77777777" w:rsidR="00F25C69" w:rsidRPr="00F25C69" w:rsidRDefault="00F25C69" w:rsidP="00F25C69">
      <w:pPr>
        <w:pStyle w:val="ListParagraph"/>
        <w:numPr>
          <w:ilvl w:val="2"/>
          <w:numId w:val="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b/>
          <w:bCs/>
          <w:sz w:val="24"/>
          <w:szCs w:val="24"/>
          <w:lang w:eastAsia="en-GB"/>
        </w:rPr>
        <w:t>National Treatment and Most-</w:t>
      </w:r>
      <w:proofErr w:type="spellStart"/>
      <w:r w:rsidRPr="00F25C69">
        <w:rPr>
          <w:rFonts w:ascii="Times New Roman" w:eastAsia="Times New Roman" w:hAnsi="Times New Roman" w:cs="Times New Roman"/>
          <w:b/>
          <w:bCs/>
          <w:sz w:val="24"/>
          <w:szCs w:val="24"/>
          <w:lang w:eastAsia="en-GB"/>
        </w:rPr>
        <w:t>Favored</w:t>
      </w:r>
      <w:proofErr w:type="spellEnd"/>
      <w:r w:rsidRPr="00F25C69">
        <w:rPr>
          <w:rFonts w:ascii="Times New Roman" w:eastAsia="Times New Roman" w:hAnsi="Times New Roman" w:cs="Times New Roman"/>
          <w:b/>
          <w:bCs/>
          <w:sz w:val="24"/>
          <w:szCs w:val="24"/>
          <w:lang w:eastAsia="en-GB"/>
        </w:rPr>
        <w:t>-Nation (MFN) Treatment:</w:t>
      </w:r>
    </w:p>
    <w:p w14:paraId="36B87E0B" w14:textId="6001AD82"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These are non-discrimination standards. National Treatment requires the host state to treat foreign investors no less </w:t>
      </w:r>
      <w:proofErr w:type="spellStart"/>
      <w:r w:rsidRPr="00F25C69">
        <w:rPr>
          <w:rFonts w:ascii="Times New Roman" w:eastAsia="Times New Roman" w:hAnsi="Times New Roman" w:cs="Times New Roman"/>
          <w:sz w:val="24"/>
          <w:szCs w:val="24"/>
          <w:lang w:eastAsia="en-GB"/>
        </w:rPr>
        <w:t>favorably</w:t>
      </w:r>
      <w:proofErr w:type="spellEnd"/>
      <w:r w:rsidRPr="00F25C69">
        <w:rPr>
          <w:rFonts w:ascii="Times New Roman" w:eastAsia="Times New Roman" w:hAnsi="Times New Roman" w:cs="Times New Roman"/>
          <w:sz w:val="24"/>
          <w:szCs w:val="24"/>
          <w:lang w:eastAsia="en-GB"/>
        </w:rPr>
        <w:t xml:space="preserve"> than it treats its own domestic investors in similar circumstances. The </w:t>
      </w:r>
      <w:r w:rsidR="00753CB1">
        <w:rPr>
          <w:rFonts w:ascii="Times New Roman" w:eastAsia="Times New Roman" w:hAnsi="Times New Roman" w:cs="Times New Roman"/>
          <w:sz w:val="24"/>
          <w:szCs w:val="24"/>
          <w:lang w:eastAsia="en-GB"/>
        </w:rPr>
        <w:t>Most-Favoured-Nation clause ensures that the host state treats investors from the treaty partner state no less favourably</w:t>
      </w:r>
      <w:r w:rsidRPr="00F25C69">
        <w:rPr>
          <w:rFonts w:ascii="Times New Roman" w:eastAsia="Times New Roman" w:hAnsi="Times New Roman" w:cs="Times New Roman"/>
          <w:sz w:val="24"/>
          <w:szCs w:val="24"/>
          <w:lang w:eastAsia="en-GB"/>
        </w:rPr>
        <w:t xml:space="preserve"> than investors from any third country.</w:t>
      </w:r>
    </w:p>
    <w:p w14:paraId="1A266D62" w14:textId="77777777" w:rsidR="00F25C69" w:rsidRDefault="00F25C69" w:rsidP="00F25C69">
      <w:pPr>
        <w:pStyle w:val="ListParagraph"/>
        <w:numPr>
          <w:ilvl w:val="2"/>
          <w:numId w:val="2"/>
        </w:num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Investor-State Dispute Settlement (ISDS)</w:t>
      </w:r>
    </w:p>
    <w:p w14:paraId="407A3EF6" w14:textId="23A695A7"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sz w:val="24"/>
          <w:szCs w:val="24"/>
          <w:lang w:eastAsia="en-GB"/>
        </w:rPr>
        <w:t xml:space="preserve">The most revolutionary aspect of Bilateral Investment Treaties is the inclusion of Investor-State Dispute Settlement clauses. Historically, if a foreign investor suffered a wrong, they had to rely on their home government to espouse their claim through diplomatic channels, a highly </w:t>
      </w:r>
      <w:r w:rsidR="00753CB1">
        <w:rPr>
          <w:rFonts w:ascii="Times New Roman" w:eastAsia="Times New Roman" w:hAnsi="Times New Roman" w:cs="Times New Roman"/>
          <w:sz w:val="24"/>
          <w:szCs w:val="24"/>
          <w:lang w:eastAsia="en-GB"/>
        </w:rPr>
        <w:t>politicised</w:t>
      </w:r>
      <w:r w:rsidRPr="00F25C69">
        <w:rPr>
          <w:rFonts w:ascii="Times New Roman" w:eastAsia="Times New Roman" w:hAnsi="Times New Roman" w:cs="Times New Roman"/>
          <w:sz w:val="24"/>
          <w:szCs w:val="24"/>
          <w:lang w:eastAsia="en-GB"/>
        </w:rPr>
        <w:t xml:space="preserve"> and uncertain process. The Investor-State Dispute Settlement mechanism allows the private investor to initiate binding international arbitration directly against the host state. This removes the dispute from domestic courts, which investors often fear might be biased or subject to government influence.</w:t>
      </w:r>
    </w:p>
    <w:p w14:paraId="2CCE49DF"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2. The Indian Model BIT (2015) and State Pushback</w:t>
      </w:r>
    </w:p>
    <w:p w14:paraId="00F4B613" w14:textId="6841A623"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While Bilateral Investment Treaties expanded rapidly for decades, </w:t>
      </w:r>
      <w:r w:rsidR="00753CB1">
        <w:rPr>
          <w:rFonts w:ascii="Times New Roman" w:eastAsia="Times New Roman" w:hAnsi="Times New Roman" w:cs="Times New Roman"/>
          <w:sz w:val="24"/>
          <w:szCs w:val="24"/>
          <w:lang w:eastAsia="en-GB"/>
        </w:rPr>
        <w:t>in recent years there has been</w:t>
      </w:r>
      <w:r w:rsidRPr="00F25C69">
        <w:rPr>
          <w:rFonts w:ascii="Times New Roman" w:eastAsia="Times New Roman" w:hAnsi="Times New Roman" w:cs="Times New Roman"/>
          <w:sz w:val="24"/>
          <w:szCs w:val="24"/>
          <w:lang w:eastAsia="en-GB"/>
        </w:rPr>
        <w:t xml:space="preserve"> significant pushback from states concerned that expansive interpretations by arbitral </w:t>
      </w:r>
      <w:r w:rsidRPr="00F25C69">
        <w:rPr>
          <w:rFonts w:ascii="Times New Roman" w:eastAsia="Times New Roman" w:hAnsi="Times New Roman" w:cs="Times New Roman"/>
          <w:sz w:val="24"/>
          <w:szCs w:val="24"/>
          <w:lang w:eastAsia="en-GB"/>
        </w:rPr>
        <w:lastRenderedPageBreak/>
        <w:t>tribunals have severely restricted their sovereign right to regulate. India provides one of the most compelling case studies of this shift.</w:t>
      </w:r>
    </w:p>
    <w:p w14:paraId="46F9A402" w14:textId="56B7A90E"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For years, India actively entered into standard Bilateral Investment Treaties. However, the turning point arrived with the </w:t>
      </w:r>
      <w:r w:rsidRPr="00F25C69">
        <w:rPr>
          <w:rFonts w:ascii="Times New Roman" w:eastAsia="Times New Roman" w:hAnsi="Times New Roman" w:cs="Times New Roman"/>
          <w:i/>
          <w:iCs/>
          <w:sz w:val="24"/>
          <w:szCs w:val="24"/>
          <w:lang w:eastAsia="en-GB"/>
        </w:rPr>
        <w:t>White Industries v. India</w:t>
      </w:r>
      <w:r w:rsidRPr="00F25C69">
        <w:rPr>
          <w:rFonts w:ascii="Times New Roman" w:eastAsia="Times New Roman" w:hAnsi="Times New Roman" w:cs="Times New Roman"/>
          <w:sz w:val="24"/>
          <w:szCs w:val="24"/>
          <w:lang w:eastAsia="en-GB"/>
        </w:rPr>
        <w:t xml:space="preserve"> case in 2011. White Industries, an Australian mining company, obtained a commercial arbitration award against a state-owned Indian company. The Australian company spent years trying to enforce this award in the heavily backlogged Indian judicial system without success. White Industries eventually initiated a treaty arbitration against India under the India-Australia Bilateral Investment Treaty. By using a </w:t>
      </w:r>
      <w:r w:rsidR="00753CB1">
        <w:rPr>
          <w:rFonts w:ascii="Times New Roman" w:eastAsia="Times New Roman" w:hAnsi="Times New Roman" w:cs="Times New Roman"/>
          <w:sz w:val="24"/>
          <w:szCs w:val="24"/>
          <w:lang w:eastAsia="en-GB"/>
        </w:rPr>
        <w:t xml:space="preserve">Most-Favoured-Nation clause to import a favourable provision from the India-Kuwait treaty, the tribunal held that the severe delays in the Indian courts amounted to a failure to provide an </w:t>
      </w:r>
      <w:r w:rsidRPr="00F25C69">
        <w:rPr>
          <w:rFonts w:ascii="Times New Roman" w:eastAsia="Times New Roman" w:hAnsi="Times New Roman" w:cs="Times New Roman"/>
          <w:sz w:val="24"/>
          <w:szCs w:val="24"/>
          <w:lang w:eastAsia="en-GB"/>
        </w:rPr>
        <w:t>effective means of asserting claims. India was ordered to pay substantial damages.</w:t>
      </w:r>
    </w:p>
    <w:p w14:paraId="7215C7E7" w14:textId="025042E0"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This adverse award triggered a massive policy shift. </w:t>
      </w:r>
      <w:r w:rsidR="00753CB1">
        <w:rPr>
          <w:rFonts w:ascii="Times New Roman" w:eastAsia="Times New Roman" w:hAnsi="Times New Roman" w:cs="Times New Roman"/>
          <w:sz w:val="24"/>
          <w:szCs w:val="24"/>
          <w:lang w:eastAsia="en-GB"/>
        </w:rPr>
        <w:t>In 2015, India unilaterally terminated dozens of its existing treaties and published a new Model Bilateral Investment Treaty</w:t>
      </w:r>
      <w:r w:rsidRPr="00F25C69">
        <w:rPr>
          <w:rFonts w:ascii="Times New Roman" w:eastAsia="Times New Roman" w:hAnsi="Times New Roman" w:cs="Times New Roman"/>
          <w:sz w:val="24"/>
          <w:szCs w:val="24"/>
          <w:lang w:eastAsia="en-GB"/>
        </w:rPr>
        <w:t xml:space="preserve">. The Indian Model BIT represents a radical departure from traditional investment protection paradigms and </w:t>
      </w:r>
      <w:r w:rsidR="00753CB1">
        <w:rPr>
          <w:rFonts w:ascii="Times New Roman" w:eastAsia="Times New Roman" w:hAnsi="Times New Roman" w:cs="Times New Roman"/>
          <w:sz w:val="24"/>
          <w:szCs w:val="24"/>
          <w:lang w:eastAsia="en-GB"/>
        </w:rPr>
        <w:t>prioritises</w:t>
      </w:r>
      <w:r w:rsidRPr="00F25C69">
        <w:rPr>
          <w:rFonts w:ascii="Times New Roman" w:eastAsia="Times New Roman" w:hAnsi="Times New Roman" w:cs="Times New Roman"/>
          <w:sz w:val="24"/>
          <w:szCs w:val="24"/>
          <w:lang w:eastAsia="en-GB"/>
        </w:rPr>
        <w:t xml:space="preserve"> the </w:t>
      </w:r>
      <w:r w:rsidR="00753CB1">
        <w:rPr>
          <w:rFonts w:ascii="Times New Roman" w:eastAsia="Times New Roman" w:hAnsi="Times New Roman" w:cs="Times New Roman"/>
          <w:sz w:val="24"/>
          <w:szCs w:val="24"/>
          <w:lang w:eastAsia="en-GB"/>
        </w:rPr>
        <w:t>host state's regulatory space</w:t>
      </w:r>
      <w:r w:rsidRPr="00F25C69">
        <w:rPr>
          <w:rFonts w:ascii="Times New Roman" w:eastAsia="Times New Roman" w:hAnsi="Times New Roman" w:cs="Times New Roman"/>
          <w:sz w:val="24"/>
          <w:szCs w:val="24"/>
          <w:lang w:eastAsia="en-GB"/>
        </w:rPr>
        <w:t>.</w:t>
      </w:r>
    </w:p>
    <w:p w14:paraId="48A2D2CB" w14:textId="79532991"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2.1. Key Features of the Indian Model BIT</w:t>
      </w:r>
    </w:p>
    <w:p w14:paraId="297D828D"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Firstly, it significantly narrows the definition of a protected investment. Instead of an asset-based definition that covers almost any economic interest, the Indian model adopts an enterprise-based definition. This requires the investor to establish a real, substantial, and long-term business enterprise in India, deliberately excluding portfolio investments and speculative capital.</w:t>
      </w:r>
    </w:p>
    <w:p w14:paraId="4F0615AB"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Secondly, the Indian Model BIT completely omits the broad Fair and Equitable Treatment standard. It replaces it with a closed list of specific violations, primarily reflecting the much narrower customary international law standard concerning the treatment of aliens.</w:t>
      </w:r>
    </w:p>
    <w:p w14:paraId="377A0EAC" w14:textId="03C57316"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Thirdly, and perhaps most controversially, it introduces a strict </w:t>
      </w:r>
      <w:r w:rsidR="00753CB1">
        <w:rPr>
          <w:rFonts w:ascii="Times New Roman" w:eastAsia="Times New Roman" w:hAnsi="Times New Roman" w:cs="Times New Roman"/>
          <w:sz w:val="24"/>
          <w:szCs w:val="24"/>
          <w:lang w:eastAsia="en-GB"/>
        </w:rPr>
        <w:t>exhaustion-of-local-remedies</w:t>
      </w:r>
      <w:r w:rsidRPr="00F25C69">
        <w:rPr>
          <w:rFonts w:ascii="Times New Roman" w:eastAsia="Times New Roman" w:hAnsi="Times New Roman" w:cs="Times New Roman"/>
          <w:sz w:val="24"/>
          <w:szCs w:val="24"/>
          <w:lang w:eastAsia="en-GB"/>
        </w:rPr>
        <w:t xml:space="preserve"> requirement. Before a foreign investor can initiate international arbitration, they must first pursue their claims through the Indian domestic court system for </w:t>
      </w:r>
      <w:r w:rsidR="00753CB1">
        <w:rPr>
          <w:rFonts w:ascii="Times New Roman" w:eastAsia="Times New Roman" w:hAnsi="Times New Roman" w:cs="Times New Roman"/>
          <w:sz w:val="24"/>
          <w:szCs w:val="24"/>
          <w:lang w:eastAsia="en-GB"/>
        </w:rPr>
        <w:t>at least 5</w:t>
      </w:r>
      <w:r w:rsidRPr="00F25C69">
        <w:rPr>
          <w:rFonts w:ascii="Times New Roman" w:eastAsia="Times New Roman" w:hAnsi="Times New Roman" w:cs="Times New Roman"/>
          <w:sz w:val="24"/>
          <w:szCs w:val="24"/>
          <w:lang w:eastAsia="en-GB"/>
        </w:rPr>
        <w:t xml:space="preserve"> years. Only if a resolution is not reached within that timeframe can the investor proceed to international arbitration. This essentially forces investors back into the domestic legal system that traditional treaties were designed to bypass.</w:t>
      </w:r>
    </w:p>
    <w:p w14:paraId="6091B63F" w14:textId="76B49301" w:rsid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The Indian Model BIT illustrates how sovereign states are actively rewriting the sources of international investment law to recalibrate the balance of power between capital protection and public policy.</w:t>
      </w:r>
    </w:p>
    <w:p w14:paraId="08788819" w14:textId="1309EEF1" w:rsidR="00616483" w:rsidRDefault="00616483"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p>
    <w:p w14:paraId="7F204E71" w14:textId="77777777" w:rsidR="00616483" w:rsidRPr="00F25C69" w:rsidRDefault="00616483"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p>
    <w:p w14:paraId="51097FF4"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lastRenderedPageBreak/>
        <w:t>3. Multilateral and Plurilateral Treaties</w:t>
      </w:r>
    </w:p>
    <w:p w14:paraId="747E9126" w14:textId="751777B6"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While bilateral agreements dominate the landscape, efforts have been made to create broader frameworks. Attempts to negotiate a single comprehensive global investment treaty, such as the Multilateral Agreement on Investment negotiated at the OECD in the late 1990s, ultimately failed due to widespread disagreements between developed and developing nations regarding </w:t>
      </w:r>
      <w:r w:rsidR="00753CB1">
        <w:rPr>
          <w:rFonts w:ascii="Times New Roman" w:eastAsia="Times New Roman" w:hAnsi="Times New Roman" w:cs="Times New Roman"/>
          <w:sz w:val="24"/>
          <w:szCs w:val="24"/>
          <w:lang w:eastAsia="en-GB"/>
        </w:rPr>
        <w:t>labour</w:t>
      </w:r>
      <w:r w:rsidRPr="00F25C69">
        <w:rPr>
          <w:rFonts w:ascii="Times New Roman" w:eastAsia="Times New Roman" w:hAnsi="Times New Roman" w:cs="Times New Roman"/>
          <w:sz w:val="24"/>
          <w:szCs w:val="24"/>
          <w:lang w:eastAsia="en-GB"/>
        </w:rPr>
        <w:t xml:space="preserve"> standards, environmental protection, and state sovereignty. Consequently, multilateral efforts have focused on specific sectors or have been integrated into broader trade agreements.</w:t>
      </w:r>
    </w:p>
    <w:p w14:paraId="0D223F4A" w14:textId="77777777"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3.1. The Energy Charter Treaty (ECT)</w:t>
      </w:r>
    </w:p>
    <w:p w14:paraId="4CE4B62A" w14:textId="2FBD52E7"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sz w:val="24"/>
          <w:szCs w:val="24"/>
          <w:lang w:eastAsia="en-GB"/>
        </w:rPr>
        <w:t>The Energy Charter Treaty is the most prominent sector-specific multilateral investment agreement. Signed in 1994, it was initially designed to integrate the energy sectors of the former Soviet Union and Eastern Europe into European and global markets. The treaty provides robust investment protections for energy sector investments, including traditional fossil fuels and renewable energy projects.</w:t>
      </w:r>
    </w:p>
    <w:p w14:paraId="7D2D50CE" w14:textId="596A6932"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Energy Charter Treaty has generated more investor-state arbitrations than any other single treaty. A massive wave of litigation arose against Spain, Italy, and the Czech Republic regarding renewable energy subsidies. For example, in </w:t>
      </w:r>
      <w:proofErr w:type="spellStart"/>
      <w:r w:rsidRPr="00F25C69">
        <w:rPr>
          <w:rFonts w:ascii="Times New Roman" w:eastAsia="Times New Roman" w:hAnsi="Times New Roman" w:cs="Times New Roman"/>
          <w:i/>
          <w:iCs/>
          <w:sz w:val="24"/>
          <w:szCs w:val="24"/>
          <w:lang w:eastAsia="en-GB"/>
        </w:rPr>
        <w:t>Eiser</w:t>
      </w:r>
      <w:proofErr w:type="spellEnd"/>
      <w:r w:rsidRPr="00F25C69">
        <w:rPr>
          <w:rFonts w:ascii="Times New Roman" w:eastAsia="Times New Roman" w:hAnsi="Times New Roman" w:cs="Times New Roman"/>
          <w:i/>
          <w:iCs/>
          <w:sz w:val="24"/>
          <w:szCs w:val="24"/>
          <w:lang w:eastAsia="en-GB"/>
        </w:rPr>
        <w:t xml:space="preserve"> Infrastructure Limited v. Spain</w:t>
      </w:r>
      <w:r w:rsidRPr="00F25C69">
        <w:rPr>
          <w:rFonts w:ascii="Times New Roman" w:eastAsia="Times New Roman" w:hAnsi="Times New Roman" w:cs="Times New Roman"/>
          <w:sz w:val="24"/>
          <w:szCs w:val="24"/>
          <w:lang w:eastAsia="en-GB"/>
        </w:rPr>
        <w:t xml:space="preserve">, the tribunal found that Spain violated the Fair and Equitable Treatment standard by radically altering the financial incentive regime for concentrated solar power plants. The investors had committed </w:t>
      </w:r>
      <w:r w:rsidR="00753CB1">
        <w:rPr>
          <w:rFonts w:ascii="Times New Roman" w:eastAsia="Times New Roman" w:hAnsi="Times New Roman" w:cs="Times New Roman"/>
          <w:sz w:val="24"/>
          <w:szCs w:val="24"/>
          <w:lang w:eastAsia="en-GB"/>
        </w:rPr>
        <w:t>substantial capital under a specific regulatory framework, and the complete</w:t>
      </w:r>
      <w:r w:rsidRPr="00F25C69">
        <w:rPr>
          <w:rFonts w:ascii="Times New Roman" w:eastAsia="Times New Roman" w:hAnsi="Times New Roman" w:cs="Times New Roman"/>
          <w:sz w:val="24"/>
          <w:szCs w:val="24"/>
          <w:lang w:eastAsia="en-GB"/>
        </w:rPr>
        <w:t xml:space="preserve"> dismantling of that framework breached their legitimate expectations.</w:t>
      </w:r>
    </w:p>
    <w:p w14:paraId="4E81F016" w14:textId="3CC854E1"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Today, the Energy Charter Treaty is facing an existential crisis. Climate advocates and several governments argue that the treaty severely hampers the global transition to clean energy by allowing fossil fuel companies to sue states over climate regulations. Consequently, major economies</w:t>
      </w:r>
      <w:r w:rsidR="00753CB1">
        <w:rPr>
          <w:rFonts w:ascii="Times New Roman" w:eastAsia="Times New Roman" w:hAnsi="Times New Roman" w:cs="Times New Roman"/>
          <w:sz w:val="24"/>
          <w:szCs w:val="24"/>
          <w:lang w:eastAsia="en-GB"/>
        </w:rPr>
        <w:t>, including France, Germany, and the broader European Union,</w:t>
      </w:r>
      <w:r w:rsidRPr="00F25C69">
        <w:rPr>
          <w:rFonts w:ascii="Times New Roman" w:eastAsia="Times New Roman" w:hAnsi="Times New Roman" w:cs="Times New Roman"/>
          <w:sz w:val="24"/>
          <w:szCs w:val="24"/>
          <w:lang w:eastAsia="en-GB"/>
        </w:rPr>
        <w:t xml:space="preserve"> have announced their withdrawal from the treaty, highlighting how the sources of investment law must adapt to modern global challenges.</w:t>
      </w:r>
    </w:p>
    <w:p w14:paraId="69E46291" w14:textId="4D0AADB1"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3.2. Free Trade Agreements (FTAs) with Investment Chapters</w:t>
      </w:r>
    </w:p>
    <w:p w14:paraId="79A64810" w14:textId="156E3C6A" w:rsid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Increasingly, investment rules are codified within comprehensive Free Trade Agreements. The North American Free Trade Agreement (NAFTA), specifically its Chapter 11, was a pioneer in this regard. It has since been replaced by the United States-Mexico-Canada Agreement (USMCA), which significantly curtails investor-state arbitration, particularly between the United States and Canada. Other massive plurilateral agreements, such as the Comprehensive and Progressive Agreement for Trans-Pacific Partnership (CPTPP), contain detailed investment chapters that largely mirror the protections found in Bilateral Investment Treaties but often include more explicit carve-outs for environmental and health regulations.</w:t>
      </w:r>
    </w:p>
    <w:p w14:paraId="41106F9F" w14:textId="77777777" w:rsidR="00616483" w:rsidRPr="00F25C69" w:rsidRDefault="00616483"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p>
    <w:p w14:paraId="7B278386"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lastRenderedPageBreak/>
        <w:t>4. The Procedural Engine: The ICSID Convention</w:t>
      </w:r>
    </w:p>
    <w:p w14:paraId="35ED934E" w14:textId="4553D669"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Substantive rights granted by treaties require a procedural mechanism </w:t>
      </w:r>
      <w:r w:rsidR="00753CB1">
        <w:rPr>
          <w:rFonts w:ascii="Times New Roman" w:eastAsia="Times New Roman" w:hAnsi="Times New Roman" w:cs="Times New Roman"/>
          <w:sz w:val="24"/>
          <w:szCs w:val="24"/>
          <w:lang w:eastAsia="en-GB"/>
        </w:rPr>
        <w:t>for their enforcement</w:t>
      </w:r>
      <w:r w:rsidRPr="00F25C69">
        <w:rPr>
          <w:rFonts w:ascii="Times New Roman" w:eastAsia="Times New Roman" w:hAnsi="Times New Roman" w:cs="Times New Roman"/>
          <w:sz w:val="24"/>
          <w:szCs w:val="24"/>
          <w:lang w:eastAsia="en-GB"/>
        </w:rPr>
        <w:t xml:space="preserve">. The Convention on the Settlement of Investment Disputes between States and Nationals of Other States, commonly known as the ICSID Convention, provides this crucial machinery. Established in 1965 under the auspices of the World Bank, ICSID provides a neutral, </w:t>
      </w:r>
      <w:r w:rsidR="00753CB1">
        <w:rPr>
          <w:rFonts w:ascii="Times New Roman" w:eastAsia="Times New Roman" w:hAnsi="Times New Roman" w:cs="Times New Roman"/>
          <w:sz w:val="24"/>
          <w:szCs w:val="24"/>
          <w:lang w:eastAsia="en-GB"/>
        </w:rPr>
        <w:t>depoliticised</w:t>
      </w:r>
      <w:r w:rsidRPr="00F25C69">
        <w:rPr>
          <w:rFonts w:ascii="Times New Roman" w:eastAsia="Times New Roman" w:hAnsi="Times New Roman" w:cs="Times New Roman"/>
          <w:sz w:val="24"/>
          <w:szCs w:val="24"/>
          <w:lang w:eastAsia="en-GB"/>
        </w:rPr>
        <w:t>, and highly structured forum for conciliation and arbitration.</w:t>
      </w:r>
    </w:p>
    <w:p w14:paraId="7638F944" w14:textId="6FACF034"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4.1. Jurisdiction and the Self-Contained System</w:t>
      </w:r>
    </w:p>
    <w:p w14:paraId="02BF8F0E"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The jurisdiction of ICSID is defined by Article 25 of the Convention. It requires a legal dispute arising directly out of an investment between a Contracting State and a national of another Contracting State. Furthermore, both parties must have consented in writing to submit the dispute to ICSID. This consent is usually found in the Bilateral Investment Treaty itself.</w:t>
      </w:r>
    </w:p>
    <w:p w14:paraId="09DFCE8D"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genius of the ICSID Convention lies in its completely self-contained nature. In standard international commercial arbitration, the courts of the country where the arbitration takes place have supervisory jurisdiction and can potentially interfere with the proceedings or set aside the final award. ICSID entirely eliminates this domestic court interference. Once </w:t>
      </w:r>
      <w:proofErr w:type="gramStart"/>
      <w:r w:rsidRPr="00F25C69">
        <w:rPr>
          <w:rFonts w:ascii="Times New Roman" w:eastAsia="Times New Roman" w:hAnsi="Times New Roman" w:cs="Times New Roman"/>
          <w:sz w:val="24"/>
          <w:szCs w:val="24"/>
          <w:lang w:eastAsia="en-GB"/>
        </w:rPr>
        <w:t>parties</w:t>
      </w:r>
      <w:proofErr w:type="gramEnd"/>
      <w:r w:rsidRPr="00F25C69">
        <w:rPr>
          <w:rFonts w:ascii="Times New Roman" w:eastAsia="Times New Roman" w:hAnsi="Times New Roman" w:cs="Times New Roman"/>
          <w:sz w:val="24"/>
          <w:szCs w:val="24"/>
          <w:lang w:eastAsia="en-GB"/>
        </w:rPr>
        <w:t xml:space="preserve"> consent to ICSID arbitration, they are insulated from domestic judiciaries.</w:t>
      </w:r>
    </w:p>
    <w:p w14:paraId="6A03AF1F"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If a party is dissatisfied with an ICSID award, they cannot appeal to a national court. Instead, they must use ICSID's internal annulment mechanism under Article 52. Annulment is not an appeal on the merits of the case. An award can only be annulled on very narrow procedural grounds, such as a manifest excess of powers by the tribunal, a fundamental departure from a rule of procedure, or a failure to state the reasons for the award.</w:t>
      </w:r>
    </w:p>
    <w:p w14:paraId="2A621610" w14:textId="69207691"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4.2. Enforcement under Article 54</w:t>
      </w:r>
    </w:p>
    <w:p w14:paraId="0FF53E41" w14:textId="01CDC682"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most powerful feature of the ICSID Convention is its enforcement mechanism. Under Article 54, every Contracting State must </w:t>
      </w:r>
      <w:r w:rsidR="00753CB1">
        <w:rPr>
          <w:rFonts w:ascii="Times New Roman" w:eastAsia="Times New Roman" w:hAnsi="Times New Roman" w:cs="Times New Roman"/>
          <w:sz w:val="24"/>
          <w:szCs w:val="24"/>
          <w:lang w:eastAsia="en-GB"/>
        </w:rPr>
        <w:t>recognise</w:t>
      </w:r>
      <w:r w:rsidRPr="00F25C69">
        <w:rPr>
          <w:rFonts w:ascii="Times New Roman" w:eastAsia="Times New Roman" w:hAnsi="Times New Roman" w:cs="Times New Roman"/>
          <w:sz w:val="24"/>
          <w:szCs w:val="24"/>
          <w:lang w:eastAsia="en-GB"/>
        </w:rPr>
        <w:t xml:space="preserve"> an ICSID award as binding and enforce the pecuniary obligations imposed by that award within its territories as if it were a final judgment of its own highest domestic court. A state cannot refuse enforcement based on its own domestic public policy. This robust, virtually automatic enforcement regime makes ICSID the preferred forum for foreign investors, as it provides a high degree of certainty that a successful judgment will translate into actual financial recovery.</w:t>
      </w:r>
    </w:p>
    <w:p w14:paraId="4E62004E"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5. The Enforcement Safety Net: The New York Convention</w:t>
      </w:r>
    </w:p>
    <w:p w14:paraId="20B28F1F"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Not all investment arbitrations are conducted under the ICSID Convention. Some host states are not signatories to ICSID, or the relevant treaty might prescribe alternative arbitration rules, such as those of the United Nations Commission on International Trade Law (UNCITRAL). In these non-ICSID cases, the enforcement of the resulting arbitral award relies heavily on the Convention on the Recognition and Enforcement of Foreign Arbitral Awards of 1958, widely known as the New York Convention.</w:t>
      </w:r>
    </w:p>
    <w:p w14:paraId="7D29697B" w14:textId="3F33924C"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lastRenderedPageBreak/>
        <w:t xml:space="preserve">Unlike ICSID, the New York Convention does not provide a self-contained system. Arbitrations conducted under UNCITRAL rules have a legal "seat" in a specific country. The domestic courts of that seat have supervisory authority and </w:t>
      </w:r>
      <w:r w:rsidR="00753CB1">
        <w:rPr>
          <w:rFonts w:ascii="Times New Roman" w:eastAsia="Times New Roman" w:hAnsi="Times New Roman" w:cs="Times New Roman"/>
          <w:sz w:val="24"/>
          <w:szCs w:val="24"/>
          <w:lang w:eastAsia="en-GB"/>
        </w:rPr>
        <w:t>the power to set aside the award entirely under</w:t>
      </w:r>
      <w:r w:rsidRPr="00F25C69">
        <w:rPr>
          <w:rFonts w:ascii="Times New Roman" w:eastAsia="Times New Roman" w:hAnsi="Times New Roman" w:cs="Times New Roman"/>
          <w:sz w:val="24"/>
          <w:szCs w:val="24"/>
          <w:lang w:eastAsia="en-GB"/>
        </w:rPr>
        <w:t xml:space="preserve"> their own national arbitration laws.</w:t>
      </w:r>
    </w:p>
    <w:p w14:paraId="38C08FFE"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However, if the award survives any set-aside challenges at the seat, the New York Convention facilitates its enforcement across more than 170 member states. The Convention establishes a strong pro-enforcement bias. Under Article V, a domestic court can only refuse to recognize and enforce a foreign arbitral award on a highly restricted list of exhaustive grounds. These grounds include invalidity of the arbitration agreement, a violation of due process (such as a party not being given proper notice of the proceedings), the tribunal exceeding its authority, or the award violating the fundamental public policy of the enforcing state.</w:t>
      </w:r>
    </w:p>
    <w:p w14:paraId="4E60C3F0"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While the New York Convention allows for slightly more domestic judicial scrutiny than ICSID, particularly through the public policy exception, it remains an indispensable pillar of international investment law. It ensures that arbitral awards have global reach and cannot simply be ignored by the losing sovereign state.</w:t>
      </w:r>
    </w:p>
    <w:p w14:paraId="71499EA8"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6. Customary International Law and General Principles</w:t>
      </w:r>
    </w:p>
    <w:p w14:paraId="30589662" w14:textId="2D8A50B0"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Before the proliferation of bilateral treaties, the protection of foreign property was governed by customary international law. While treaties now dominate the field, custom remains a vital source of law, particularly when interpreting treaty provisions or filling gaps in the legal framework. Article 38 of the Statute of the International Court of Justice formally </w:t>
      </w:r>
      <w:r w:rsidR="00753CB1">
        <w:rPr>
          <w:rFonts w:ascii="Times New Roman" w:eastAsia="Times New Roman" w:hAnsi="Times New Roman" w:cs="Times New Roman"/>
          <w:sz w:val="24"/>
          <w:szCs w:val="24"/>
          <w:lang w:eastAsia="en-GB"/>
        </w:rPr>
        <w:t>recognises</w:t>
      </w:r>
      <w:r w:rsidRPr="00F25C69">
        <w:rPr>
          <w:rFonts w:ascii="Times New Roman" w:eastAsia="Times New Roman" w:hAnsi="Times New Roman" w:cs="Times New Roman"/>
          <w:sz w:val="24"/>
          <w:szCs w:val="24"/>
          <w:lang w:eastAsia="en-GB"/>
        </w:rPr>
        <w:t xml:space="preserve"> international custom as evidence of a general practice accepted as law.</w:t>
      </w:r>
    </w:p>
    <w:p w14:paraId="518DF11C" w14:textId="15E8ACD0"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6.1. The Minimum Standard of Treatment</w:t>
      </w:r>
    </w:p>
    <w:p w14:paraId="4D67B243" w14:textId="4905F54A"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A central concept in customary international law is the minimum standard of treatment of aliens. Historically, capital-exporting states argued that international law imposes a baseline standard of treatment for foreign nationals and their property, regardless of how a state treats its own citizens. The classic articulation of this standard comes from the </w:t>
      </w:r>
      <w:proofErr w:type="spellStart"/>
      <w:r w:rsidRPr="00F25C69">
        <w:rPr>
          <w:rFonts w:ascii="Times New Roman" w:eastAsia="Times New Roman" w:hAnsi="Times New Roman" w:cs="Times New Roman"/>
          <w:i/>
          <w:iCs/>
          <w:sz w:val="24"/>
          <w:szCs w:val="24"/>
          <w:lang w:eastAsia="en-GB"/>
        </w:rPr>
        <w:t>Neer</w:t>
      </w:r>
      <w:proofErr w:type="spellEnd"/>
      <w:r w:rsidRPr="00F25C69">
        <w:rPr>
          <w:rFonts w:ascii="Times New Roman" w:eastAsia="Times New Roman" w:hAnsi="Times New Roman" w:cs="Times New Roman"/>
          <w:i/>
          <w:iCs/>
          <w:sz w:val="24"/>
          <w:szCs w:val="24"/>
          <w:lang w:eastAsia="en-GB"/>
        </w:rPr>
        <w:t xml:space="preserve"> v. Mexico</w:t>
      </w:r>
      <w:r w:rsidRPr="00F25C69">
        <w:rPr>
          <w:rFonts w:ascii="Times New Roman" w:eastAsia="Times New Roman" w:hAnsi="Times New Roman" w:cs="Times New Roman"/>
          <w:sz w:val="24"/>
          <w:szCs w:val="24"/>
          <w:lang w:eastAsia="en-GB"/>
        </w:rPr>
        <w:t xml:space="preserve"> case in 1926. The claims commission in </w:t>
      </w:r>
      <w:proofErr w:type="spellStart"/>
      <w:r w:rsidRPr="00F25C69">
        <w:rPr>
          <w:rFonts w:ascii="Times New Roman" w:eastAsia="Times New Roman" w:hAnsi="Times New Roman" w:cs="Times New Roman"/>
          <w:i/>
          <w:iCs/>
          <w:sz w:val="24"/>
          <w:szCs w:val="24"/>
          <w:lang w:eastAsia="en-GB"/>
        </w:rPr>
        <w:t>Neer</w:t>
      </w:r>
      <w:proofErr w:type="spellEnd"/>
      <w:r w:rsidRPr="00F25C69">
        <w:rPr>
          <w:rFonts w:ascii="Times New Roman" w:eastAsia="Times New Roman" w:hAnsi="Times New Roman" w:cs="Times New Roman"/>
          <w:sz w:val="24"/>
          <w:szCs w:val="24"/>
          <w:lang w:eastAsia="en-GB"/>
        </w:rPr>
        <w:t xml:space="preserve"> stated that for a state to violate the international standard, its conduct must amount to an outrage, </w:t>
      </w:r>
      <w:r w:rsidR="00753CB1">
        <w:rPr>
          <w:rFonts w:ascii="Times New Roman" w:eastAsia="Times New Roman" w:hAnsi="Times New Roman" w:cs="Times New Roman"/>
          <w:sz w:val="24"/>
          <w:szCs w:val="24"/>
          <w:lang w:eastAsia="en-GB"/>
        </w:rPr>
        <w:t xml:space="preserve">bad faith, </w:t>
      </w:r>
      <w:proofErr w:type="spellStart"/>
      <w:r w:rsidR="00753CB1">
        <w:rPr>
          <w:rFonts w:ascii="Times New Roman" w:eastAsia="Times New Roman" w:hAnsi="Times New Roman" w:cs="Times New Roman"/>
          <w:sz w:val="24"/>
          <w:szCs w:val="24"/>
          <w:lang w:eastAsia="en-GB"/>
        </w:rPr>
        <w:t>willful</w:t>
      </w:r>
      <w:proofErr w:type="spellEnd"/>
      <w:r w:rsidR="00753CB1">
        <w:rPr>
          <w:rFonts w:ascii="Times New Roman" w:eastAsia="Times New Roman" w:hAnsi="Times New Roman" w:cs="Times New Roman"/>
          <w:sz w:val="24"/>
          <w:szCs w:val="24"/>
          <w:lang w:eastAsia="en-GB"/>
        </w:rPr>
        <w:t xml:space="preserve"> neglect of duty, or </w:t>
      </w:r>
      <w:r w:rsidRPr="00F25C69">
        <w:rPr>
          <w:rFonts w:ascii="Times New Roman" w:eastAsia="Times New Roman" w:hAnsi="Times New Roman" w:cs="Times New Roman"/>
          <w:sz w:val="24"/>
          <w:szCs w:val="24"/>
          <w:lang w:eastAsia="en-GB"/>
        </w:rPr>
        <w:t xml:space="preserve">an insufficiency of governmental action so far short of international standards that every reasonable and impartial man would readily </w:t>
      </w:r>
      <w:r w:rsidR="00753CB1">
        <w:rPr>
          <w:rFonts w:ascii="Times New Roman" w:eastAsia="Times New Roman" w:hAnsi="Times New Roman" w:cs="Times New Roman"/>
          <w:sz w:val="24"/>
          <w:szCs w:val="24"/>
          <w:lang w:eastAsia="en-GB"/>
        </w:rPr>
        <w:t>recognise</w:t>
      </w:r>
      <w:r w:rsidRPr="00F25C69">
        <w:rPr>
          <w:rFonts w:ascii="Times New Roman" w:eastAsia="Times New Roman" w:hAnsi="Times New Roman" w:cs="Times New Roman"/>
          <w:sz w:val="24"/>
          <w:szCs w:val="24"/>
          <w:lang w:eastAsia="en-GB"/>
        </w:rPr>
        <w:t xml:space="preserve"> its insufficiency.</w:t>
      </w:r>
    </w:p>
    <w:p w14:paraId="1E2E8E2E" w14:textId="77955133"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Today, there is vigorous debate regarding the relationship between the customary minimum standard and the modern treaty-based Fair and Equitable Treatment standard. Some states (</w:t>
      </w:r>
      <w:r w:rsidR="00753CB1">
        <w:rPr>
          <w:rFonts w:ascii="Times New Roman" w:eastAsia="Times New Roman" w:hAnsi="Times New Roman" w:cs="Times New Roman"/>
          <w:sz w:val="24"/>
          <w:szCs w:val="24"/>
          <w:lang w:eastAsia="en-GB"/>
        </w:rPr>
        <w:t>such as the United States and Canada) explicitly draft their treaties to state that the Fair and Equitable Treatment provision provides</w:t>
      </w:r>
      <w:r w:rsidRPr="00F25C69">
        <w:rPr>
          <w:rFonts w:ascii="Times New Roman" w:eastAsia="Times New Roman" w:hAnsi="Times New Roman" w:cs="Times New Roman"/>
          <w:sz w:val="24"/>
          <w:szCs w:val="24"/>
          <w:lang w:eastAsia="en-GB"/>
        </w:rPr>
        <w:t xml:space="preserve"> no greater protection than the customary minimum standard. Investors and many arbitral tribunals, however, often argue that the treaty standard is autonomous and provides a broader, more protective threshold based on modern expectations of administrative due process and transparency.</w:t>
      </w:r>
    </w:p>
    <w:p w14:paraId="7B114C61" w14:textId="6D907029"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lastRenderedPageBreak/>
        <w:t>6.2. State Responsibility</w:t>
      </w:r>
    </w:p>
    <w:p w14:paraId="61AC24FD" w14:textId="0AC255E1"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Customary international law also governs the rules of State responsibility, which are crucial in investment disputes. The International Law Commission's Articles on State Responsibility codify </w:t>
      </w:r>
      <w:r w:rsidR="00753CB1">
        <w:rPr>
          <w:rFonts w:ascii="Times New Roman" w:eastAsia="Times New Roman" w:hAnsi="Times New Roman" w:cs="Times New Roman"/>
          <w:sz w:val="24"/>
          <w:szCs w:val="24"/>
          <w:lang w:eastAsia="en-GB"/>
        </w:rPr>
        <w:t>the conditions under which the actions of specific individuals or entities can be legally attributed to a</w:t>
      </w:r>
      <w:r w:rsidRPr="00F25C69">
        <w:rPr>
          <w:rFonts w:ascii="Times New Roman" w:eastAsia="Times New Roman" w:hAnsi="Times New Roman" w:cs="Times New Roman"/>
          <w:sz w:val="24"/>
          <w:szCs w:val="24"/>
          <w:lang w:eastAsia="en-GB"/>
        </w:rPr>
        <w:t xml:space="preserve"> sovereign state. For instance, customary rules dictate that a state is responsible for the acts of all its organs, whether they exercise legislative, executive, or judicial functions. This means an investor can sue a national government under a treaty because of an action taken by a local municipality or an independent regulatory agency.</w:t>
      </w:r>
    </w:p>
    <w:p w14:paraId="2413F293" w14:textId="77777777"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7. Soft Law, Policy Frameworks, and the Washington Consensus</w:t>
      </w:r>
    </w:p>
    <w:p w14:paraId="2C4DC420"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Legal texts do not exist in a vacuum. The sources of international investment law have been profoundly shaped by overarching economic paradigms and soft law instruments. These frameworks, while not strictly legally binding in a courtroom, provided the ideological justification and the practical drafting models for the treaty network we see today.</w:t>
      </w:r>
    </w:p>
    <w:p w14:paraId="3E69C77B" w14:textId="1AFB2002"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7.1. The Washington Consensus</w:t>
      </w:r>
    </w:p>
    <w:p w14:paraId="7B169AF0"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During the late 1980s and 1990s, global economic policy was heavily influenced by the Washington Consensus. This term refers to a set of neoliberal economic policy prescriptions heavily promoted by Washington-based institutions, namely the International Monetary Fund, the World Bank, and the United States Department of the Treasury.</w:t>
      </w:r>
    </w:p>
    <w:p w14:paraId="2D42E08D" w14:textId="14599DBD"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core tenets of the Washington Consensus included macroeconomic </w:t>
      </w:r>
      <w:r w:rsidR="00753CB1">
        <w:rPr>
          <w:rFonts w:ascii="Times New Roman" w:eastAsia="Times New Roman" w:hAnsi="Times New Roman" w:cs="Times New Roman"/>
          <w:sz w:val="24"/>
          <w:szCs w:val="24"/>
          <w:lang w:eastAsia="en-GB"/>
        </w:rPr>
        <w:t>stabilisation, privatisation of state-owned enterprises, deregulation, and the aggressive liberalisation</w:t>
      </w:r>
      <w:r w:rsidRPr="00F25C69">
        <w:rPr>
          <w:rFonts w:ascii="Times New Roman" w:eastAsia="Times New Roman" w:hAnsi="Times New Roman" w:cs="Times New Roman"/>
          <w:sz w:val="24"/>
          <w:szCs w:val="24"/>
          <w:lang w:eastAsia="en-GB"/>
        </w:rPr>
        <w:t xml:space="preserve"> of trade and foreign direct investment. The underlying philosophy was that developing nations needed foreign capital to achieve economic growth, and </w:t>
      </w:r>
      <w:r w:rsidR="00753CB1">
        <w:rPr>
          <w:rFonts w:ascii="Times New Roman" w:eastAsia="Times New Roman" w:hAnsi="Times New Roman" w:cs="Times New Roman"/>
          <w:sz w:val="24"/>
          <w:szCs w:val="24"/>
          <w:lang w:eastAsia="en-GB"/>
        </w:rPr>
        <w:t>that the only way to attract it</w:t>
      </w:r>
      <w:r w:rsidRPr="00F25C69">
        <w:rPr>
          <w:rFonts w:ascii="Times New Roman" w:eastAsia="Times New Roman" w:hAnsi="Times New Roman" w:cs="Times New Roman"/>
          <w:sz w:val="24"/>
          <w:szCs w:val="24"/>
          <w:lang w:eastAsia="en-GB"/>
        </w:rPr>
        <w:t xml:space="preserve"> was to offer robust, legally binding guarantees to foreign investors. This ideological climate directly </w:t>
      </w:r>
      <w:proofErr w:type="spellStart"/>
      <w:r w:rsidRPr="00F25C69">
        <w:rPr>
          <w:rFonts w:ascii="Times New Roman" w:eastAsia="Times New Roman" w:hAnsi="Times New Roman" w:cs="Times New Roman"/>
          <w:sz w:val="24"/>
          <w:szCs w:val="24"/>
          <w:lang w:eastAsia="en-GB"/>
        </w:rPr>
        <w:t>fueled</w:t>
      </w:r>
      <w:proofErr w:type="spellEnd"/>
      <w:r w:rsidRPr="00F25C69">
        <w:rPr>
          <w:rFonts w:ascii="Times New Roman" w:eastAsia="Times New Roman" w:hAnsi="Times New Roman" w:cs="Times New Roman"/>
          <w:sz w:val="24"/>
          <w:szCs w:val="24"/>
          <w:lang w:eastAsia="en-GB"/>
        </w:rPr>
        <w:t xml:space="preserve"> the explosive growth of Bilateral Investment Treaties during the 1990s. Governments were convinced that signing these treaties was a necessary prerequisite for entering the global market and </w:t>
      </w:r>
      <w:r w:rsidR="00753CB1">
        <w:rPr>
          <w:rFonts w:ascii="Times New Roman" w:eastAsia="Times New Roman" w:hAnsi="Times New Roman" w:cs="Times New Roman"/>
          <w:sz w:val="24"/>
          <w:szCs w:val="24"/>
          <w:lang w:eastAsia="en-GB"/>
        </w:rPr>
        <w:t>signalling</w:t>
      </w:r>
      <w:r w:rsidRPr="00F25C69">
        <w:rPr>
          <w:rFonts w:ascii="Times New Roman" w:eastAsia="Times New Roman" w:hAnsi="Times New Roman" w:cs="Times New Roman"/>
          <w:sz w:val="24"/>
          <w:szCs w:val="24"/>
          <w:lang w:eastAsia="en-GB"/>
        </w:rPr>
        <w:t xml:space="preserve"> that their jurisdictions were open for business.</w:t>
      </w:r>
    </w:p>
    <w:p w14:paraId="79AD4255" w14:textId="7821FDE9" w:rsidR="00F25C69" w:rsidRPr="00F25C69" w:rsidRDefault="00F25C69" w:rsidP="00F25C69">
      <w:pPr>
        <w:spacing w:before="100" w:beforeAutospacing="1" w:after="100" w:afterAutospacing="1" w:line="276" w:lineRule="auto"/>
        <w:jc w:val="both"/>
        <w:outlineLvl w:val="2"/>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7.2. World Bank Guidelines on the Treatment of Foreign Direct Investment (1992)</w:t>
      </w:r>
    </w:p>
    <w:p w14:paraId="06D6B12A" w14:textId="71CDD568"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Translating the philosophy of the Washington Consensus into legal practice required specific models. The World Bank Guidelines on the Treatment of Foreign Direct Investment, published in 1992, played a massive role in </w:t>
      </w:r>
      <w:r w:rsidR="00753CB1">
        <w:rPr>
          <w:rFonts w:ascii="Times New Roman" w:eastAsia="Times New Roman" w:hAnsi="Times New Roman" w:cs="Times New Roman"/>
          <w:sz w:val="24"/>
          <w:szCs w:val="24"/>
          <w:lang w:eastAsia="en-GB"/>
        </w:rPr>
        <w:t>standardising</w:t>
      </w:r>
      <w:r w:rsidRPr="00F25C69">
        <w:rPr>
          <w:rFonts w:ascii="Times New Roman" w:eastAsia="Times New Roman" w:hAnsi="Times New Roman" w:cs="Times New Roman"/>
          <w:sz w:val="24"/>
          <w:szCs w:val="24"/>
          <w:lang w:eastAsia="en-GB"/>
        </w:rPr>
        <w:t xml:space="preserve"> investment law.</w:t>
      </w:r>
    </w:p>
    <w:p w14:paraId="75575C84" w14:textId="3EA747FB"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While technically soft law and not legally binding on any state, these guidelines </w:t>
      </w:r>
      <w:r w:rsidR="00753CB1">
        <w:rPr>
          <w:rFonts w:ascii="Times New Roman" w:eastAsia="Times New Roman" w:hAnsi="Times New Roman" w:cs="Times New Roman"/>
          <w:sz w:val="24"/>
          <w:szCs w:val="24"/>
          <w:lang w:eastAsia="en-GB"/>
        </w:rPr>
        <w:t>crystallised</w:t>
      </w:r>
      <w:r w:rsidRPr="00F25C69">
        <w:rPr>
          <w:rFonts w:ascii="Times New Roman" w:eastAsia="Times New Roman" w:hAnsi="Times New Roman" w:cs="Times New Roman"/>
          <w:sz w:val="24"/>
          <w:szCs w:val="24"/>
          <w:lang w:eastAsia="en-GB"/>
        </w:rPr>
        <w:t xml:space="preserve"> the core principles that capital-exporting nations sought. The guidelines provided detailed recommendations on the admission of foreign investment, the standard of fair and equitable treatment, the prompt and unhindered transfer of capital, and the strict conditions required for lawful expropriation. Because they were drafted under the authority of the World Bank, they carried immense persuasive weight. Many developing nations used these guidelines as a </w:t>
      </w:r>
      <w:r w:rsidRPr="00F25C69">
        <w:rPr>
          <w:rFonts w:ascii="Times New Roman" w:eastAsia="Times New Roman" w:hAnsi="Times New Roman" w:cs="Times New Roman"/>
          <w:sz w:val="24"/>
          <w:szCs w:val="24"/>
          <w:lang w:eastAsia="en-GB"/>
        </w:rPr>
        <w:lastRenderedPageBreak/>
        <w:t>blueprint when negotiating their Bilateral Investment Treaties, embedding these soft law recommendations into hard, legally binding treaty commitments.</w:t>
      </w:r>
    </w:p>
    <w:p w14:paraId="33852000" w14:textId="4449167C" w:rsidR="00F25C69" w:rsidRPr="00F25C69" w:rsidRDefault="00F25C69" w:rsidP="00F25C69">
      <w:pPr>
        <w:spacing w:before="100" w:beforeAutospacing="1" w:after="100" w:afterAutospacing="1" w:line="276" w:lineRule="auto"/>
        <w:jc w:val="both"/>
        <w:outlineLvl w:val="1"/>
        <w:rPr>
          <w:rFonts w:ascii="Times New Roman" w:eastAsia="Times New Roman" w:hAnsi="Times New Roman" w:cs="Times New Roman"/>
          <w:b/>
          <w:bCs/>
          <w:sz w:val="24"/>
          <w:szCs w:val="24"/>
          <w:lang w:eastAsia="en-GB"/>
        </w:rPr>
      </w:pPr>
      <w:r w:rsidRPr="00F25C69">
        <w:rPr>
          <w:rFonts w:ascii="Times New Roman" w:eastAsia="Times New Roman" w:hAnsi="Times New Roman" w:cs="Times New Roman"/>
          <w:b/>
          <w:bCs/>
          <w:sz w:val="24"/>
          <w:szCs w:val="24"/>
          <w:lang w:eastAsia="en-GB"/>
        </w:rPr>
        <w:t>8. Conclusion</w:t>
      </w:r>
    </w:p>
    <w:p w14:paraId="15297725" w14:textId="4B37CCE9"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 xml:space="preserve">The sources of international investment law form a highly interconnected legal ecosystem. A foreign investor seeking redress against a host state relies on a complex matrix of instruments. The substantive rights, such as protection </w:t>
      </w:r>
      <w:r w:rsidR="004800BF">
        <w:rPr>
          <w:rFonts w:ascii="Times New Roman" w:eastAsia="Times New Roman" w:hAnsi="Times New Roman" w:cs="Times New Roman"/>
          <w:sz w:val="24"/>
          <w:szCs w:val="24"/>
          <w:lang w:eastAsia="en-GB"/>
        </w:rPr>
        <w:t>against uncompensated expropriation or arbitrary treatment, are primarily set out</w:t>
      </w:r>
      <w:r w:rsidRPr="00F25C69">
        <w:rPr>
          <w:rFonts w:ascii="Times New Roman" w:eastAsia="Times New Roman" w:hAnsi="Times New Roman" w:cs="Times New Roman"/>
          <w:sz w:val="24"/>
          <w:szCs w:val="24"/>
          <w:lang w:eastAsia="en-GB"/>
        </w:rPr>
        <w:t xml:space="preserve"> in the vast network of Bilateral Investment Treaties and comprehensive Free Trade Agreements. The essential procedural machinery required to transform those paper rights into enforceable monetary awards is provided by the ICSID Convention and the New York Convention. Furthermore, the interpretation of all these instruments is heavily informed by customary international law, general legal principles, and the historical economic policies that drove their creation.</w:t>
      </w:r>
    </w:p>
    <w:p w14:paraId="72CC836E" w14:textId="77777777" w:rsidR="00F25C69" w:rsidRPr="00F25C69" w:rsidRDefault="00F25C69" w:rsidP="00F25C69">
      <w:pPr>
        <w:spacing w:before="100" w:beforeAutospacing="1" w:after="100" w:afterAutospacing="1" w:line="276" w:lineRule="auto"/>
        <w:jc w:val="both"/>
        <w:rPr>
          <w:rFonts w:ascii="Times New Roman" w:eastAsia="Times New Roman" w:hAnsi="Times New Roman" w:cs="Times New Roman"/>
          <w:sz w:val="24"/>
          <w:szCs w:val="24"/>
          <w:lang w:eastAsia="en-GB"/>
        </w:rPr>
      </w:pPr>
      <w:r w:rsidRPr="00F25C69">
        <w:rPr>
          <w:rFonts w:ascii="Times New Roman" w:eastAsia="Times New Roman" w:hAnsi="Times New Roman" w:cs="Times New Roman"/>
          <w:sz w:val="24"/>
          <w:szCs w:val="24"/>
          <w:lang w:eastAsia="en-GB"/>
        </w:rPr>
        <w:t>Understanding this architecture is critical for legal practitioners, policymakers, and scholars. As global priorities shift toward sustainable development, climate action, and the reassertion of sovereign regulatory authority, the sources of international investment law are currently undergoing significant reform. States are actively renegotiating treaties, refining substantive standards, and debating systemic changes such as the creation of a multilateral appellate mechanism. However, the foundational interplay between treaties, institutional conventions, and customary practices will continue to define how the world governs the trillions of dollars flowing across sovereign borders.</w:t>
      </w:r>
    </w:p>
    <w:p w14:paraId="7EF5A854" w14:textId="77777777" w:rsidR="00F25C69" w:rsidRPr="00F25C69" w:rsidRDefault="00F25C69" w:rsidP="00F25C69">
      <w:pPr>
        <w:spacing w:line="276" w:lineRule="auto"/>
        <w:jc w:val="both"/>
        <w:rPr>
          <w:sz w:val="24"/>
          <w:szCs w:val="24"/>
        </w:rPr>
      </w:pPr>
    </w:p>
    <w:sectPr w:rsidR="00F25C69" w:rsidRPr="00F25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2328C"/>
    <w:multiLevelType w:val="multilevel"/>
    <w:tmpl w:val="60366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0C74DDF"/>
    <w:multiLevelType w:val="multilevel"/>
    <w:tmpl w:val="4F34DA4C"/>
    <w:lvl w:ilvl="0">
      <w:start w:val="1"/>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BE"/>
    <w:rsid w:val="001F51A1"/>
    <w:rsid w:val="004800BF"/>
    <w:rsid w:val="00482499"/>
    <w:rsid w:val="00616483"/>
    <w:rsid w:val="00753CB1"/>
    <w:rsid w:val="008F1DBE"/>
    <w:rsid w:val="00ED04FC"/>
    <w:rsid w:val="00F25C6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349F"/>
  <w15:chartTrackingRefBased/>
  <w15:docId w15:val="{47C6D323-3772-4C81-A9EF-2EEE61755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F25C6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25C6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5C69"/>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5C69"/>
    <w:rPr>
      <w:rFonts w:asciiTheme="majorHAnsi" w:eastAsiaTheme="majorEastAsia" w:hAnsiTheme="majorHAnsi" w:cstheme="majorBidi"/>
      <w:spacing w:val="-10"/>
      <w:kern w:val="28"/>
      <w:sz w:val="56"/>
      <w:szCs w:val="50"/>
    </w:rPr>
  </w:style>
  <w:style w:type="character" w:customStyle="1" w:styleId="Heading2Char">
    <w:name w:val="Heading 2 Char"/>
    <w:basedOn w:val="DefaultParagraphFont"/>
    <w:link w:val="Heading2"/>
    <w:uiPriority w:val="9"/>
    <w:rsid w:val="00F25C6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25C6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25C6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25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32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3334</Words>
  <Characters>19007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Tiwari</dc:creator>
  <cp:keywords/>
  <dc:description/>
  <cp:lastModifiedBy>Ritu Tiwari</cp:lastModifiedBy>
  <cp:revision>5</cp:revision>
  <dcterms:created xsi:type="dcterms:W3CDTF">2026-10-11T03:28:00Z</dcterms:created>
  <dcterms:modified xsi:type="dcterms:W3CDTF">2026-10-14T13:22:00Z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fb10a4ab-6184-4c05-b8dd-4989e73efe30</vt:lpwstr>
  </property>
</Properties>
</file>