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Tarea W1-04: Navegación y Diseño Web Compartido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Módulo Plataforma y Accesos | Integrante 1 - Proyecto Asmibuy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Asmibuy MVP Web Móvil (4-C)
</w:t>
      </w:r>
      <w:r>
        <w:rPr>
          <w:b/>
          <w:bCs/>
        </w:rPr>
        <w:t xml:space="preserve">Fecha: </w:t>
      </w:r>
      <w:r>
        <w:t xml:space="preserve">28/9/2026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¿Qué se diseñó en la Tarea W1-04?</w:t>
      </w:r>
    </w:p>
    <w:p>
      <w:pPr>
        <w:spacing w:after="120" w:line="276"/>
      </w:pPr>
      <w:r>
        <w:rPr>
          <w:sz w:val="22"/>
          <w:szCs w:val="22"/>
        </w:rPr>
        <w:t xml:space="preserve">Se construyó la interfaz gráfica y el sistema de navegación que utilizarán todos los empleados de la sucursal de alimentos Asmibuy.</w:t>
      </w:r>
    </w:p>
    <w:p>
      <w:pPr>
        <w:spacing w:after="120" w:line="276"/>
      </w:pPr>
      <w:r>
        <w:rPr>
          <w:sz w:val="22"/>
          <w:szCs w:val="22"/>
        </w:rPr>
        <w:t xml:space="preserve">El diseño sigue la filosofía Cupertino (inspirada en la estética limpia, moderna y con esquinas redondeadas de los teléfonos móviles), utilizando iconos de Material Symbols Rounded y la tipografía estándar Roboto.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Diseñar para móviles primero (Mobile-First) asegura que un empleado con su celular en mano en el mostrador pueda presionar cualquier botón cómodamente sin equivocarse de platillo.</w:t>
      </w:r>
    </w:p>
    <w:p>
      <w:pPr>
        <w:pStyle w:val="Heading1"/>
        <w:spacing w:after="120" w:before="240"/>
      </w:pPr>
      <w:r>
        <w:t xml:space="preserve">2. Características de la Navegación y Prioridad Móvil (Mobile-First)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 Teléfonos Celulares (Pantallas de 360px a 767px): </w:t>
      </w:r>
      <w:r>
        <w:rPr>
          <w:sz w:val="22"/>
          <w:szCs w:val="22"/>
        </w:rPr>
        <w:t xml:space="preserve">Se despliega una doble interfaz móvil: un encabezado superior fijo tipo barra de estado con la sucursal y la insignia del usuario, y una barra de navegación inferior (Cupertino Tab Bar) con efecto de vidrio translúcido (blur), adaptada a la 'Safe Area' de teléfonos modernos (evitando colisión con la barra de inicio de iPhone o Android).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Ergonomía Táctil y Prevención de Errores: </w:t>
      </w:r>
      <w:r>
        <w:rPr>
          <w:sz w:val="22"/>
          <w:szCs w:val="22"/>
        </w:rPr>
        <w:t xml:space="preserve">Todos los elementos interactivos tienen una altura mínima de 48 píxeles (superando los 44px estándar), con respuesta física de toque al pulsar (animación de rebote táctil :active) y tamaño de letra exacto de 16px en formularios para evitar que iOS Safari haga zoom no deseado al enfocar.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 Computadoras de Escritorio (768px en adelante): </w:t>
      </w:r>
      <w:r>
        <w:rPr>
          <w:sz w:val="22"/>
          <w:szCs w:val="22"/>
        </w:rPr>
        <w:t xml:space="preserve">La barra se transforma automáticamente en un encabezado horizontal clásico con menú de enlaces directos, respetando la vista de mostrador de caja.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Control de Acceso Visual: </w:t>
      </w:r>
      <w:r>
        <w:rPr>
          <w:sz w:val="22"/>
          <w:szCs w:val="22"/>
        </w:rPr>
        <w:t xml:space="preserve">La pestaña de 'Gestión' solo aparece si el usuario autenticado tiene el perfil de ADMINISTRADOR. Si inicia sesión un TRABAJADOR, la pestaña se oculta automáticamente.</w:t>
      </w:r>
    </w:p>
    <w:p>
      <w:pPr>
        <w:pStyle w:val="Heading1"/>
        <w:spacing w:after="120" w:before="240"/>
      </w:pPr>
      <w:r>
        <w:t xml:space="preserve">3. Paleta Dinámica y Degradados (Verde, Naranja y Amarillo)</w:t>
      </w:r>
    </w:p>
    <w:p>
      <w:pPr>
        <w:spacing w:after="120" w:line="276"/>
      </w:pPr>
      <w:r>
        <w:rPr>
          <w:sz w:val="22"/>
          <w:szCs w:val="22"/>
        </w:rPr>
        <w:t xml:space="preserve">Para reflejar la identidad fresca y enérgica de una sucursal de alimentos, se diseñó una paleta dinámica y fluida utilizando gradientes vivos: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Degradado Naranja a Amarillo Sol (linear-gradient #ff6b35 a #ffb703): </w:t>
      </w:r>
      <w:r>
        <w:rPr>
          <w:sz w:val="22"/>
          <w:szCs w:val="22"/>
        </w:rPr>
        <w:t xml:space="preserve">Acento principal de marca y acción: se aplica en el isotipo de Asmibuy, botones primarios con sombra de elevación luminosa (0 4px 16px rgba(249,115,22,0.28)), pestañas móviles activas y encabezados de tarjetas.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Degradado Verde Esmeralda a Menta (linear-gradient #059669 a #34d399): </w:t>
      </w:r>
      <w:r>
        <w:rPr>
          <w:sz w:val="22"/>
          <w:szCs w:val="22"/>
        </w:rPr>
        <w:t xml:space="preserve">Se utiliza en confirmaciones de cobro, badges de éxito, inventario en condición normal y avatar del trabajador en turno.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Degradado Amarillo Dorado a Ámbar (linear-gradient #d97706 a #fbbf24): </w:t>
      </w:r>
      <w:r>
        <w:rPr>
          <w:sz w:val="22"/>
          <w:szCs w:val="22"/>
        </w:rPr>
        <w:t xml:space="preserve">Para alertas de bajo stock y atención prioritaria en cocina. Se combina estrictamente con texto marrón oscuro (#451a03) para superar los estándares de accesibilidad WCAG AAA.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Línea de Acento Tricolor Cupertino (90deg: Verde -&gt; Naranja -&gt; Amarillo): </w:t>
      </w:r>
      <w:r>
        <w:rPr>
          <w:sz w:val="22"/>
          <w:szCs w:val="22"/>
        </w:rPr>
        <w:t xml:space="preserve">Elegante línea sutil de 3px en el borde superior de la barra móvil y de escritorio que une armónicamente los tres colores del proyecto.</w:t>
      </w:r>
    </w:p>
    <w:p>
      <w:pPr>
        <w:pStyle w:val="Heading1"/>
        <w:spacing w:after="120" w:before="240"/>
      </w:pPr>
      <w:r>
        <w:t xml:space="preserve">4. Auditoría y Conclusión</w:t>
      </w:r>
    </w:p>
    <w:p>
      <w:pPr>
        <w:spacing w:after="120" w:line="276"/>
      </w:pPr>
      <w:r>
        <w:rPr>
          <w:sz w:val="22"/>
          <w:szCs w:val="22"/>
        </w:rPr>
        <w:t xml:space="preserve">Se completó la auditoría formal 'docs/auditorias/W1-04.md'. Con esta tarea quedan terminadas al 100% todas las tareas de máxima prioridad (P0) del Integrante 1. El entorno, la base ejecutable, la autenticación y la interfaz están listos para que los demás integrantes conecten sus módulos.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2026-09-28T20:05:15.128Z</dcterms:created>
  <dcterms:modified xsi:type="dcterms:W3CDTF">2026-09-28T20:05:15.128Z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