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BUSINESS REQUIREMENTS DOCUMENT</w:t>
        <w:br/>
        <w:t>&amp;</w:t>
        <w:br/>
        <w:t>FUNCTIONAL REQUIREMENTS DOCUMENT</w:t>
      </w:r>
    </w:p>
    <w:p>
      <w:pPr>
        <w:jc w:val="center"/>
      </w:pPr>
      <w:r>
        <w:rPr>
          <w:b/>
          <w:sz w:val="30"/>
        </w:rPr>
        <w:t>Executive Activity, Revenue &amp; Customer Servicing Intelligence Framework</w:t>
      </w:r>
    </w:p>
    <w:p>
      <w:pPr>
        <w:jc w:val="center"/>
      </w:pPr>
      <w:r>
        <w:rPr>
          <w:i/>
        </w:rPr>
        <w:t>Version 1.0 | Project initiated: June 2025 | Status: Ongoing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spacing w:after="40"/>
            </w:pPr>
            <w:r>
              <w:rPr>
                <w:b/>
              </w:rPr>
              <w:t>Document Item</w:t>
            </w:r>
          </w:p>
        </w:tc>
        <w:tc>
          <w:tcPr>
            <w:tcW w:type="dxa" w:w="5112"/>
            <w:vAlign w:val="center"/>
            <w:shd w:fill="D9EAF7"/>
          </w:tcPr>
          <w:p>
            <w:pPr>
              <w:spacing w:after="40"/>
            </w:pPr>
            <w:r>
              <w:rPr>
                <w:b/>
              </w:rPr>
              <w:t>Details</w:t>
            </w:r>
          </w:p>
        </w:tc>
      </w:tr>
      <w:tr>
        <w:tc>
          <w:tcPr>
            <w:tcW w:type="dxa" w:w="5112"/>
            <w:vAlign w:val="center"/>
          </w:tcPr>
          <w:p>
            <w:pPr>
              <w:spacing w:after="40"/>
            </w:pPr>
            <w:r>
              <w:t>Project</w:t>
            </w:r>
          </w:p>
        </w:tc>
        <w:tc>
          <w:tcPr>
            <w:tcW w:type="dxa" w:w="5112"/>
            <w:vAlign w:val="center"/>
          </w:tcPr>
          <w:p>
            <w:pPr>
              <w:spacing w:after="40"/>
            </w:pPr>
            <w:r>
              <w:t>Executive Activity, Revenue &amp; Customer Servicing Intelligence Framework</w:t>
            </w:r>
          </w:p>
        </w:tc>
      </w:tr>
      <w:tr>
        <w:tc>
          <w:tcPr>
            <w:tcW w:type="dxa" w:w="5112"/>
            <w:vAlign w:val="center"/>
          </w:tcPr>
          <w:p>
            <w:pPr>
              <w:spacing w:after="40"/>
            </w:pPr>
            <w:r>
              <w:t>Document Type</w:t>
            </w:r>
          </w:p>
        </w:tc>
        <w:tc>
          <w:tcPr>
            <w:tcW w:type="dxa" w:w="5112"/>
            <w:vAlign w:val="center"/>
          </w:tcPr>
          <w:p>
            <w:pPr>
              <w:spacing w:after="40"/>
            </w:pPr>
            <w:r>
              <w:t>BRD + FRD</w:t>
            </w:r>
          </w:p>
        </w:tc>
      </w:tr>
      <w:tr>
        <w:tc>
          <w:tcPr>
            <w:tcW w:type="dxa" w:w="5112"/>
            <w:vAlign w:val="center"/>
          </w:tcPr>
          <w:p>
            <w:pPr>
              <w:spacing w:after="40"/>
            </w:pPr>
            <w:r>
              <w:t>Version</w:t>
            </w:r>
          </w:p>
        </w:tc>
        <w:tc>
          <w:tcPr>
            <w:tcW w:type="dxa" w:w="5112"/>
            <w:vAlign w:val="center"/>
          </w:tcPr>
          <w:p>
            <w:pPr>
              <w:spacing w:after="40"/>
            </w:pPr>
            <w:r>
              <w:t>1.0</w:t>
            </w:r>
          </w:p>
        </w:tc>
      </w:tr>
      <w:tr>
        <w:tc>
          <w:tcPr>
            <w:tcW w:type="dxa" w:w="5112"/>
            <w:vAlign w:val="center"/>
          </w:tcPr>
          <w:p>
            <w:pPr>
              <w:spacing w:after="40"/>
            </w:pPr>
            <w:r>
              <w:t>Project Start</w:t>
            </w:r>
          </w:p>
        </w:tc>
        <w:tc>
          <w:tcPr>
            <w:tcW w:type="dxa" w:w="5112"/>
            <w:vAlign w:val="center"/>
          </w:tcPr>
          <w:p>
            <w:pPr>
              <w:spacing w:after="40"/>
            </w:pPr>
            <w:r>
              <w:t>June 2025</w:t>
            </w:r>
          </w:p>
        </w:tc>
      </w:tr>
      <w:tr>
        <w:tc>
          <w:tcPr>
            <w:tcW w:type="dxa" w:w="5112"/>
            <w:vAlign w:val="center"/>
          </w:tcPr>
          <w:p>
            <w:pPr>
              <w:spacing w:after="40"/>
            </w:pPr>
            <w:r>
              <w:t>Status</w:t>
            </w:r>
          </w:p>
        </w:tc>
        <w:tc>
          <w:tcPr>
            <w:tcW w:type="dxa" w:w="5112"/>
            <w:vAlign w:val="center"/>
          </w:tcPr>
          <w:p>
            <w:pPr>
              <w:spacing w:after="40"/>
            </w:pPr>
            <w:r>
              <w:t>Ongoing</w:t>
            </w:r>
          </w:p>
        </w:tc>
      </w:tr>
      <w:tr>
        <w:tc>
          <w:tcPr>
            <w:tcW w:type="dxa" w:w="5112"/>
            <w:vAlign w:val="center"/>
          </w:tcPr>
          <w:p>
            <w:pPr>
              <w:spacing w:after="40"/>
            </w:pPr>
            <w:r>
              <w:t>Prepared By</w:t>
            </w:r>
          </w:p>
        </w:tc>
        <w:tc>
          <w:tcPr>
            <w:tcW w:type="dxa" w:w="5112"/>
            <w:vAlign w:val="center"/>
          </w:tcPr>
          <w:p>
            <w:pPr>
              <w:spacing w:after="40"/>
            </w:pPr>
            <w:r>
              <w:t>Business Analyst</w:t>
            </w:r>
          </w:p>
        </w:tc>
      </w:tr>
      <w:tr>
        <w:tc>
          <w:tcPr>
            <w:tcW w:type="dxa" w:w="5112"/>
            <w:vAlign w:val="center"/>
          </w:tcPr>
          <w:p>
            <w:pPr>
              <w:spacing w:after="40"/>
            </w:pPr>
            <w:r>
              <w:t>Portfolio Use</w:t>
            </w:r>
          </w:p>
        </w:tc>
        <w:tc>
          <w:tcPr>
            <w:tcW w:type="dxa" w:w="5112"/>
            <w:vAlign w:val="center"/>
          </w:tcPr>
          <w:p>
            <w:pPr>
              <w:spacing w:after="40"/>
            </w:pPr>
            <w:r>
              <w:t>Anonymized professional portfolio / GitHub</w:t>
            </w:r>
          </w:p>
        </w:tc>
      </w:tr>
    </w:tbl>
    <w:p>
      <w:r>
        <w:br w:type="page"/>
      </w:r>
    </w:p>
    <w:p>
      <w:pPr>
        <w:pStyle w:val="Heading1"/>
      </w:pPr>
      <w:r>
        <w:t>Part I — Business Requirements Document (BRD)</w:t>
      </w:r>
    </w:p>
    <w:p>
      <w:pPr>
        <w:pStyle w:val="Heading2"/>
      </w:pPr>
      <w:r>
        <w:t>1. Executive Summary</w:t>
      </w:r>
    </w:p>
    <w:p>
      <w:r>
        <w:t>This project describes a Business Analysis framework created to improve visibility into customer coverage, executive meeting activity, servicing priorities, revenue opportunities, and the basis behind revenue commitments. The framework consolidated multiple customer and business inputs into a centralized master input deck that could be reviewed daily by L2 managers and used to guide L1 executive activity.</w:t>
      </w:r>
    </w:p>
    <w:p>
      <w:pPr>
        <w:pStyle w:val="Heading2"/>
      </w:pPr>
      <w:r>
        <w:t>2. Business Problem</w:t>
      </w:r>
    </w:p>
    <w:p>
      <w:r>
        <w:t>Existing Renewal/Non-Renewal reporting provided visibility into meetings and prospect generation, but it did not provide a consolidated view of where executives were focusing their efforts, why a customer was being targeted, how frequently customers had been met, or whether customers required servicing versus revenue-focused activity.</w:t>
      </w:r>
    </w:p>
    <w:p>
      <w:r>
        <w:t>A further gap emerged during revenue reviews. L2 managers provided revenue commitments, but the supporting customer context was not consistently available in one place. It was therefore difficult to assess the business rationale behind some opportunities using engagement, payment history, meeting history, customer potential, and product opportunity together.</w:t>
      </w:r>
    </w:p>
    <w:p>
      <w:pPr>
        <w:pStyle w:val="Heading2"/>
      </w:pPr>
      <w:r>
        <w:t>3. Project Trigger</w:t>
      </w:r>
    </w:p>
    <w:p>
      <w:r>
        <w:t>The framework was initiated after repeated operational reviews highlighted the need for better visibility into customer meeting coverage and the evidence supporting revenue commitments. Initially, prospects were accepted based on the information available. Over time, the need became clear to create a structured master input so that management discussions could be supported by actual customer and activity data rather than only verbal expectations.</w:t>
      </w:r>
    </w:p>
    <w:p>
      <w:pPr>
        <w:pStyle w:val="Heading2"/>
      </w:pPr>
      <w:r>
        <w:t>4. Business Objectives</w:t>
      </w:r>
    </w:p>
    <w:p>
      <w:pPr>
        <w:pStyle w:val="ListBullet"/>
      </w:pPr>
      <w:r>
        <w:t>Consolidate relevant customer and business information into one master input framework.</w:t>
      </w:r>
    </w:p>
    <w:p>
      <w:pPr>
        <w:pStyle w:val="ListBullet"/>
      </w:pPr>
      <w:r>
        <w:t>Improve visibility into executive meeting activity and customer coverage.</w:t>
      </w:r>
    </w:p>
    <w:p>
      <w:pPr>
        <w:pStyle w:val="ListBullet"/>
      </w:pPr>
      <w:r>
        <w:t>Identify customers requiring servicing, renewal attention, or revenue-focused activity.</w:t>
      </w:r>
    </w:p>
    <w:p>
      <w:pPr>
        <w:pStyle w:val="ListBullet"/>
      </w:pPr>
      <w:r>
        <w:t>Identify potential upgrade and revenue opportunities using multiple business parameters.</w:t>
      </w:r>
    </w:p>
    <w:p>
      <w:pPr>
        <w:pStyle w:val="ListBullet"/>
      </w:pPr>
      <w:r>
        <w:t>Identify potential customers with limited meeting coverage.</w:t>
      </w:r>
    </w:p>
    <w:p>
      <w:pPr>
        <w:pStyle w:val="ListBullet"/>
      </w:pPr>
      <w:r>
        <w:t>Provide supporting context for L2 revenue commitments.</w:t>
      </w:r>
    </w:p>
    <w:p>
      <w:pPr>
        <w:pStyle w:val="ListBullet"/>
      </w:pPr>
      <w:r>
        <w:t>Enable L2 managers to prioritize meeting activity and communicate priorities to L1 executives.</w:t>
      </w:r>
    </w:p>
    <w:p>
      <w:pPr>
        <w:pStyle w:val="ListBullet"/>
      </w:pPr>
      <w:r>
        <w:t>Enable daily monitoring and iterative enhancement of the framework.</w:t>
      </w:r>
    </w:p>
    <w:p>
      <w:pPr>
        <w:pStyle w:val="Heading2"/>
      </w:pPr>
      <w:r>
        <w:t>5. Scope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spacing w:after="40"/>
            </w:pPr>
            <w:r>
              <w:rPr>
                <w:b/>
              </w:rPr>
              <w:t>In Scope</w:t>
            </w:r>
          </w:p>
        </w:tc>
        <w:tc>
          <w:tcPr>
            <w:tcW w:type="dxa" w:w="5112"/>
            <w:vAlign w:val="center"/>
            <w:shd w:fill="D9EAF7"/>
          </w:tcPr>
          <w:p>
            <w:pPr>
              <w:spacing w:after="40"/>
            </w:pPr>
            <w:r>
              <w:rPr>
                <w:b/>
              </w:rPr>
              <w:t>Out of Scope</w:t>
            </w:r>
          </w:p>
        </w:tc>
      </w:tr>
      <w:tr>
        <w:tc>
          <w:tcPr>
            <w:tcW w:type="dxa" w:w="5112"/>
            <w:vAlign w:val="center"/>
          </w:tcPr>
          <w:p>
            <w:pPr>
              <w:spacing w:after="40"/>
            </w:pPr>
            <w:r>
              <w:t>Customer engagement/activity</w:t>
            </w:r>
          </w:p>
        </w:tc>
        <w:tc>
          <w:tcPr>
            <w:tcW w:type="dxa" w:w="5112"/>
            <w:vAlign w:val="center"/>
          </w:tcPr>
          <w:p>
            <w:pPr>
              <w:spacing w:after="40"/>
            </w:pPr>
            <w:r>
              <w:t>Customer-facing software development</w:t>
            </w:r>
          </w:p>
        </w:tc>
      </w:tr>
      <w:tr>
        <w:tc>
          <w:tcPr>
            <w:tcW w:type="dxa" w:w="5112"/>
            <w:vAlign w:val="center"/>
          </w:tcPr>
          <w:p>
            <w:pPr>
              <w:spacing w:after="40"/>
            </w:pPr>
            <w:r>
              <w:t>Payment history and lifecycle context</w:t>
            </w:r>
          </w:p>
        </w:tc>
        <w:tc>
          <w:tcPr>
            <w:tcW w:type="dxa" w:w="5112"/>
            <w:vAlign w:val="center"/>
          </w:tcPr>
          <w:p>
            <w:pPr>
              <w:spacing w:after="40"/>
            </w:pPr>
            <w:r>
              <w:t>Automated sales closure</w:t>
            </w:r>
          </w:p>
        </w:tc>
      </w:tr>
      <w:tr>
        <w:tc>
          <w:tcPr>
            <w:tcW w:type="dxa" w:w="5112"/>
            <w:vAlign w:val="center"/>
          </w:tcPr>
          <w:p>
            <w:pPr>
              <w:spacing w:after="40"/>
            </w:pPr>
            <w:r>
              <w:t>Meeting history and coverage</w:t>
            </w:r>
          </w:p>
        </w:tc>
        <w:tc>
          <w:tcPr>
            <w:tcW w:type="dxa" w:w="5112"/>
            <w:vAlign w:val="center"/>
          </w:tcPr>
          <w:p>
            <w:pPr>
              <w:spacing w:after="40"/>
            </w:pPr>
            <w:r>
              <w:t>Automated revenue forecasting</w:t>
            </w:r>
          </w:p>
        </w:tc>
      </w:tr>
      <w:tr>
        <w:tc>
          <w:tcPr>
            <w:tcW w:type="dxa" w:w="5112"/>
            <w:vAlign w:val="center"/>
          </w:tcPr>
          <w:p>
            <w:pPr>
              <w:spacing w:after="40"/>
            </w:pPr>
            <w:r>
              <w:t>Customer segmentation</w:t>
            </w:r>
          </w:p>
        </w:tc>
        <w:tc>
          <w:tcPr>
            <w:tcW w:type="dxa" w:w="5112"/>
            <w:vAlign w:val="center"/>
          </w:tcPr>
          <w:p>
            <w:pPr>
              <w:spacing w:after="40"/>
            </w:pPr>
            <w:r>
              <w:t>Automated CQS improvement</w:t>
            </w:r>
          </w:p>
        </w:tc>
      </w:tr>
      <w:tr>
        <w:tc>
          <w:tcPr>
            <w:tcW w:type="dxa" w:w="5112"/>
            <w:vAlign w:val="center"/>
          </w:tcPr>
          <w:p>
            <w:pPr>
              <w:spacing w:after="40"/>
            </w:pPr>
            <w:r>
              <w:t>Upgrade/revenue opportunity identification</w:t>
            </w:r>
          </w:p>
        </w:tc>
        <w:tc>
          <w:tcPr>
            <w:tcW w:type="dxa" w:w="5112"/>
            <w:vAlign w:val="center"/>
          </w:tcPr>
          <w:p>
            <w:pPr>
              <w:spacing w:after="40"/>
            </w:pPr>
            <w:r>
              <w:t>Exposure of confidential company/customer data</w:t>
            </w:r>
          </w:p>
        </w:tc>
      </w:tr>
      <w:tr>
        <w:tc>
          <w:tcPr>
            <w:tcW w:type="dxa" w:w="5112"/>
            <w:vAlign w:val="center"/>
          </w:tcPr>
          <w:p>
            <w:pPr>
              <w:spacing w:after="40"/>
            </w:pPr>
            <w:r>
              <w:t>Servicing and renewal focus</w:t>
            </w:r>
          </w:p>
        </w:tc>
        <w:tc>
          <w:tcPr>
            <w:tcW w:type="dxa" w:w="5112"/>
            <w:vAlign w:val="center"/>
          </w:tcPr>
          <w:p>
            <w:pPr>
              <w:spacing w:after="40"/>
            </w:pPr>
            <w:r>
              <w:t>Direct customer transaction processing</w:t>
            </w:r>
          </w:p>
        </w:tc>
      </w:tr>
      <w:tr>
        <w:tc>
          <w:tcPr>
            <w:tcW w:type="dxa" w:w="5112"/>
            <w:vAlign w:val="center"/>
          </w:tcPr>
          <w:p>
            <w:pPr>
              <w:spacing w:after="40"/>
            </w:pPr>
            <w:r>
              <w:t>Daily activity monitoring</w:t>
            </w:r>
          </w:p>
        </w:tc>
        <w:tc>
          <w:tcPr>
            <w:tcW w:type="dxa" w:w="5112"/>
            <w:vAlign w:val="center"/>
          </w:tcPr>
          <w:p>
            <w:pPr>
              <w:spacing w:after="40"/>
            </w:pPr>
            <w:r/>
          </w:p>
        </w:tc>
      </w:tr>
      <w:tr>
        <w:tc>
          <w:tcPr>
            <w:tcW w:type="dxa" w:w="5112"/>
            <w:vAlign w:val="center"/>
          </w:tcPr>
          <w:p>
            <w:pPr>
              <w:spacing w:after="40"/>
            </w:pPr>
            <w:r>
              <w:t>Revenue commitment review</w:t>
            </w:r>
          </w:p>
        </w:tc>
        <w:tc>
          <w:tcPr>
            <w:tcW w:type="dxa" w:w="5112"/>
            <w:vAlign w:val="center"/>
          </w:tcPr>
          <w:p>
            <w:pPr>
              <w:spacing w:after="40"/>
            </w:pPr>
            <w:r/>
          </w:p>
        </w:tc>
      </w:tr>
    </w:tbl>
    <w:p>
      <w:pPr>
        <w:pStyle w:val="Heading2"/>
      </w:pPr>
      <w:r>
        <w:t>6. Stakeholders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spacing w:after="40"/>
            </w:pPr>
            <w:r>
              <w:rPr>
                <w:b/>
              </w:rPr>
              <w:t>Stakeholder</w:t>
            </w:r>
          </w:p>
        </w:tc>
        <w:tc>
          <w:tcPr>
            <w:tcW w:type="dxa" w:w="5112"/>
            <w:vAlign w:val="center"/>
            <w:shd w:fill="D9EAF7"/>
          </w:tcPr>
          <w:p>
            <w:pPr>
              <w:spacing w:after="40"/>
            </w:pPr>
            <w:r>
              <w:rPr>
                <w:b/>
              </w:rPr>
              <w:t>Responsibility</w:t>
            </w:r>
          </w:p>
        </w:tc>
      </w:tr>
      <w:tr>
        <w:tc>
          <w:tcPr>
            <w:tcW w:type="dxa" w:w="5112"/>
            <w:vAlign w:val="center"/>
          </w:tcPr>
          <w:p>
            <w:pPr>
              <w:spacing w:after="40"/>
            </w:pPr>
            <w:r>
              <w:t>L1 Executive</w:t>
            </w:r>
          </w:p>
        </w:tc>
        <w:tc>
          <w:tcPr>
            <w:tcW w:type="dxa" w:w="5112"/>
            <w:vAlign w:val="center"/>
          </w:tcPr>
          <w:p>
            <w:pPr>
              <w:spacing w:after="40"/>
            </w:pPr>
            <w:r>
              <w:t>Submit daily meeting/activity information and execute assigned customer priorities.</w:t>
            </w:r>
          </w:p>
        </w:tc>
      </w:tr>
      <w:tr>
        <w:tc>
          <w:tcPr>
            <w:tcW w:type="dxa" w:w="5112"/>
            <w:vAlign w:val="center"/>
          </w:tcPr>
          <w:p>
            <w:pPr>
              <w:spacing w:after="40"/>
            </w:pPr>
            <w:r>
              <w:t>L2 Manager</w:t>
            </w:r>
          </w:p>
        </w:tc>
        <w:tc>
          <w:tcPr>
            <w:tcW w:type="dxa" w:w="5112"/>
            <w:vAlign w:val="center"/>
          </w:tcPr>
          <w:p>
            <w:pPr>
              <w:spacing w:after="40"/>
            </w:pPr>
            <w:r>
              <w:t>Review master input daily, prioritize customer targets, and guide L1 activity.</w:t>
            </w:r>
          </w:p>
        </w:tc>
      </w:tr>
      <w:tr>
        <w:tc>
          <w:tcPr>
            <w:tcW w:type="dxa" w:w="5112"/>
            <w:vAlign w:val="center"/>
          </w:tcPr>
          <w:p>
            <w:pPr>
              <w:spacing w:after="40"/>
            </w:pPr>
            <w:r>
              <w:t>Regional / Senior Management</w:t>
            </w:r>
          </w:p>
        </w:tc>
        <w:tc>
          <w:tcPr>
            <w:tcW w:type="dxa" w:w="5112"/>
            <w:vAlign w:val="center"/>
          </w:tcPr>
          <w:p>
            <w:pPr>
              <w:spacing w:after="40"/>
            </w:pPr>
            <w:r>
              <w:t>Provide business requirements, review progress, and suggest additional parameters.</w:t>
            </w:r>
          </w:p>
        </w:tc>
      </w:tr>
      <w:tr>
        <w:tc>
          <w:tcPr>
            <w:tcW w:type="dxa" w:w="5112"/>
            <w:vAlign w:val="center"/>
          </w:tcPr>
          <w:p>
            <w:pPr>
              <w:spacing w:after="40"/>
            </w:pPr>
            <w:r>
              <w:t>Central / MIS Team</w:t>
            </w:r>
          </w:p>
        </w:tc>
        <w:tc>
          <w:tcPr>
            <w:tcW w:type="dxa" w:w="5112"/>
            <w:vAlign w:val="center"/>
          </w:tcPr>
          <w:p>
            <w:pPr>
              <w:spacing w:after="40"/>
            </w:pPr>
            <w:r>
              <w:t>Provide relevant reports such as appointment/meeting information.</w:t>
            </w:r>
          </w:p>
        </w:tc>
      </w:tr>
      <w:tr>
        <w:tc>
          <w:tcPr>
            <w:tcW w:type="dxa" w:w="5112"/>
            <w:vAlign w:val="center"/>
          </w:tcPr>
          <w:p>
            <w:pPr>
              <w:spacing w:after="40"/>
            </w:pPr>
            <w:r>
              <w:t>Product Team</w:t>
            </w:r>
          </w:p>
        </w:tc>
        <w:tc>
          <w:tcPr>
            <w:tcW w:type="dxa" w:w="5112"/>
            <w:vAlign w:val="center"/>
          </w:tcPr>
          <w:p>
            <w:pPr>
              <w:spacing w:after="40"/>
            </w:pPr>
            <w:r>
              <w:t>Provide relevant product/MCAT information.</w:t>
            </w:r>
          </w:p>
        </w:tc>
      </w:tr>
      <w:tr>
        <w:tc>
          <w:tcPr>
            <w:tcW w:type="dxa" w:w="5112"/>
            <w:vAlign w:val="center"/>
          </w:tcPr>
          <w:p>
            <w:pPr>
              <w:spacing w:after="40"/>
            </w:pPr>
            <w:r>
              <w:t>Business Analyst</w:t>
            </w:r>
          </w:p>
        </w:tc>
        <w:tc>
          <w:tcPr>
            <w:tcW w:type="dxa" w:w="5112"/>
            <w:vAlign w:val="center"/>
          </w:tcPr>
          <w:p>
            <w:pPr>
              <w:spacing w:after="40"/>
            </w:pPr>
            <w:r>
              <w:t>Identify business gaps, gather requirements, define segmentation, consolidate data, monitor the framework, and provide analysis.</w:t>
            </w:r>
          </w:p>
        </w:tc>
      </w:tr>
    </w:tbl>
    <w:p>
      <w:pPr>
        <w:pStyle w:val="Heading2"/>
      </w:pPr>
      <w:r>
        <w:t>7. Requirement Evolution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spacing w:after="40"/>
            </w:pPr>
            <w:r>
              <w:rPr>
                <w:b/>
              </w:rPr>
              <w:t>Phase</w:t>
            </w:r>
          </w:p>
        </w:tc>
        <w:tc>
          <w:tcPr>
            <w:tcW w:type="dxa" w:w="5112"/>
            <w:vAlign w:val="center"/>
            <w:shd w:fill="D9EAF7"/>
          </w:tcPr>
          <w:p>
            <w:pPr>
              <w:spacing w:after="40"/>
            </w:pPr>
            <w:r>
              <w:rPr>
                <w:b/>
              </w:rPr>
              <w:t>Requirement Evolution</w:t>
            </w:r>
          </w:p>
        </w:tc>
      </w:tr>
      <w:tr>
        <w:tc>
          <w:tcPr>
            <w:tcW w:type="dxa" w:w="5112"/>
            <w:vAlign w:val="center"/>
          </w:tcPr>
          <w:p>
            <w:pPr>
              <w:spacing w:after="40"/>
            </w:pPr>
            <w:r>
              <w:t>1. Initial opportunity view</w:t>
            </w:r>
          </w:p>
        </w:tc>
        <w:tc>
          <w:tcPr>
            <w:tcW w:type="dxa" w:w="5112"/>
            <w:vAlign w:val="center"/>
          </w:tcPr>
          <w:p>
            <w:pPr>
              <w:spacing w:after="40"/>
            </w:pPr>
            <w:r>
              <w:t>Capture daily engagement, last 6 months' payment details, last 2 years' payment details, engagement/ratings, and upgrade potential.</w:t>
            </w:r>
          </w:p>
        </w:tc>
      </w:tr>
      <w:tr>
        <w:tc>
          <w:tcPr>
            <w:tcW w:type="dxa" w:w="5112"/>
            <w:vAlign w:val="center"/>
          </w:tcPr>
          <w:p>
            <w:pPr>
              <w:spacing w:after="40"/>
            </w:pPr>
            <w:r>
              <w:t>2. Meeting visibility</w:t>
            </w:r>
          </w:p>
        </w:tc>
        <w:tc>
          <w:tcPr>
            <w:tcW w:type="dxa" w:w="5112"/>
            <w:vAlign w:val="center"/>
          </w:tcPr>
          <w:p>
            <w:pPr>
              <w:spacing w:after="40"/>
            </w:pPr>
            <w:r>
              <w:t>Question customer meeting frequency and validate claims of recent customer visits.</w:t>
            </w:r>
          </w:p>
        </w:tc>
      </w:tr>
      <w:tr>
        <w:tc>
          <w:tcPr>
            <w:tcW w:type="dxa" w:w="5112"/>
            <w:vAlign w:val="center"/>
          </w:tcPr>
          <w:p>
            <w:pPr>
              <w:spacing w:after="40"/>
            </w:pPr>
            <w:r>
              <w:t>3. Historical meeting view</w:t>
            </w:r>
          </w:p>
        </w:tc>
        <w:tc>
          <w:tcPr>
            <w:tcW w:type="dxa" w:w="5112"/>
            <w:vAlign w:val="center"/>
          </w:tcPr>
          <w:p>
            <w:pPr>
              <w:spacing w:after="40"/>
            </w:pPr>
            <w:r>
              <w:t>Track how many times each client was met month by month over the previous year.</w:t>
            </w:r>
          </w:p>
        </w:tc>
      </w:tr>
      <w:tr>
        <w:tc>
          <w:tcPr>
            <w:tcW w:type="dxa" w:w="5112"/>
            <w:vAlign w:val="center"/>
          </w:tcPr>
          <w:p>
            <w:pPr>
              <w:spacing w:after="40"/>
            </w:pPr>
            <w:r>
              <w:t>4. Segmentation</w:t>
            </w:r>
          </w:p>
        </w:tc>
        <w:tc>
          <w:tcPr>
            <w:tcW w:type="dxa" w:w="5112"/>
            <w:vAlign w:val="center"/>
          </w:tcPr>
          <w:p>
            <w:pPr>
              <w:spacing w:after="40"/>
            </w:pPr>
            <w:r>
              <w:t>Expand customer segments for servicing, renewal, upgrade, and revenue opportunities.</w:t>
            </w:r>
          </w:p>
        </w:tc>
      </w:tr>
      <w:tr>
        <w:tc>
          <w:tcPr>
            <w:tcW w:type="dxa" w:w="5112"/>
            <w:vAlign w:val="center"/>
          </w:tcPr>
          <w:p>
            <w:pPr>
              <w:spacing w:after="40"/>
            </w:pPr>
            <w:r>
              <w:t>5. Daily activity capture</w:t>
            </w:r>
          </w:p>
        </w:tc>
        <w:tc>
          <w:tcPr>
            <w:tcW w:type="dxa" w:w="5112"/>
            <w:vAlign w:val="center"/>
          </w:tcPr>
          <w:p>
            <w:pPr>
              <w:spacing w:after="40"/>
            </w:pPr>
            <w:r>
              <w:t>L1 executives submit daily activity through Google Form.</w:t>
            </w:r>
          </w:p>
        </w:tc>
      </w:tr>
      <w:tr>
        <w:tc>
          <w:tcPr>
            <w:tcW w:type="dxa" w:w="5112"/>
            <w:vAlign w:val="center"/>
          </w:tcPr>
          <w:p>
            <w:pPr>
              <w:spacing w:after="40"/>
            </w:pPr>
            <w:r>
              <w:t>6. Management adoption</w:t>
            </w:r>
          </w:p>
        </w:tc>
        <w:tc>
          <w:tcPr>
            <w:tcW w:type="dxa" w:w="5112"/>
            <w:vAlign w:val="center"/>
          </w:tcPr>
          <w:p>
            <w:pPr>
              <w:spacing w:after="40"/>
            </w:pPr>
            <w:r>
              <w:t>L2 managers review the master input daily and communicate priorities to L1.</w:t>
            </w:r>
          </w:p>
        </w:tc>
      </w:tr>
      <w:tr>
        <w:tc>
          <w:tcPr>
            <w:tcW w:type="dxa" w:w="5112"/>
            <w:vAlign w:val="center"/>
          </w:tcPr>
          <w:p>
            <w:pPr>
              <w:spacing w:after="40"/>
            </w:pPr>
            <w:r>
              <w:t>7. Continuous enhancement</w:t>
            </w:r>
          </w:p>
        </w:tc>
        <w:tc>
          <w:tcPr>
            <w:tcW w:type="dxa" w:w="5112"/>
            <w:vAlign w:val="center"/>
          </w:tcPr>
          <w:p>
            <w:pPr>
              <w:spacing w:after="40"/>
            </w:pPr>
            <w:r>
              <w:t>Additional parameters were added based on management requirements and business needs.</w:t>
            </w:r>
          </w:p>
        </w:tc>
      </w:tr>
    </w:tbl>
    <w:p>
      <w:pPr>
        <w:pStyle w:val="Heading2"/>
      </w:pPr>
      <w:r>
        <w:t>8. Key Business Rules / Opportunity Logic</w:t>
      </w:r>
    </w:p>
    <w:p>
      <w:r>
        <w:t>Potential upgrade customers were identified using a combination of business indicators rather than a single metric. Examples included:</w:t>
      </w:r>
    </w:p>
    <w:p>
      <w:pPr>
        <w:pStyle w:val="ListBullet"/>
      </w:pPr>
      <w:r>
        <w:t>Consistent platform engagement, including usage across multiple months.</w:t>
      </w:r>
    </w:p>
    <w:p>
      <w:pPr>
        <w:pStyle w:val="ListBullet"/>
      </w:pPr>
      <w:r>
        <w:t>Engagement of around 20 or more active days as one of the indicators used in opportunity identification.</w:t>
      </w:r>
    </w:p>
    <w:p>
      <w:pPr>
        <w:pStyle w:val="ListBullet"/>
      </w:pPr>
      <w:r>
        <w:t>Potential interest in receiving business across multiple states/districts.</w:t>
      </w:r>
    </w:p>
    <w:p>
      <w:pPr>
        <w:pStyle w:val="ListBullet"/>
      </w:pPr>
      <w:r>
        <w:t>Buyer ratings, which provide an indicator that business has been received through the platform.</w:t>
      </w:r>
    </w:p>
    <w:p>
      <w:pPr>
        <w:pStyle w:val="ListBullet"/>
      </w:pPr>
      <w:r>
        <w:t>MCAT/enquiry potential, including the ability of relevant categories to generate enquiries.</w:t>
      </w:r>
    </w:p>
    <w:p>
      <w:pPr>
        <w:pStyle w:val="ListBullet"/>
      </w:pPr>
      <w:r>
        <w:t>Payment history and customer lifecycle information.</w:t>
      </w:r>
    </w:p>
    <w:p>
      <w:pPr>
        <w:pStyle w:val="Heading2"/>
      </w:pPr>
      <w:r>
        <w:t>9. Customer Segments</w:t>
      </w:r>
    </w:p>
    <w:p>
      <w:pPr>
        <w:pStyle w:val="ListBullet"/>
      </w:pPr>
      <w:r>
        <w:t>0–120 days vintage clients</w:t>
      </w:r>
    </w:p>
    <w:p>
      <w:pPr>
        <w:pStyle w:val="ListBullet"/>
      </w:pPr>
      <w:r>
        <w:t>60 days not-met clients</w:t>
      </w:r>
    </w:p>
    <w:p>
      <w:pPr>
        <w:pStyle w:val="ListBullet"/>
      </w:pPr>
      <w:r>
        <w:t>High Engagement clients</w:t>
      </w:r>
    </w:p>
    <w:p>
      <w:pPr>
        <w:pStyle w:val="ListBullet"/>
      </w:pPr>
      <w:r>
        <w:t>Primary Target Base</w:t>
      </w:r>
    </w:p>
    <w:p>
      <w:pPr>
        <w:pStyle w:val="ListBullet"/>
      </w:pPr>
      <w:r>
        <w:t>Focused Base</w:t>
      </w:r>
    </w:p>
    <w:p>
      <w:pPr>
        <w:pStyle w:val="ListBullet"/>
      </w:pPr>
      <w:r>
        <w:t>Pre-renewal C+4 / C+5 / C+6</w:t>
      </w:r>
    </w:p>
    <w:p>
      <w:pPr>
        <w:pStyle w:val="ListBullet"/>
      </w:pPr>
      <w:r>
        <w:t>Last 6 months paid clients</w:t>
      </w:r>
    </w:p>
    <w:p>
      <w:pPr>
        <w:pStyle w:val="ListBullet"/>
      </w:pPr>
      <w:r>
        <w:t>Last year paid clients</w:t>
      </w:r>
    </w:p>
    <w:p>
      <w:pPr>
        <w:pStyle w:val="ListBullet"/>
      </w:pPr>
      <w:r>
        <w:t>Top 100 MCAT sellers</w:t>
      </w:r>
    </w:p>
    <w:p>
      <w:pPr>
        <w:pStyle w:val="ListBullet"/>
      </w:pPr>
      <w:r>
        <w:t>IM SS+ annual-to-multi-year penetration</w:t>
      </w:r>
    </w:p>
    <w:p>
      <w:pPr>
        <w:pStyle w:val="ListBullet"/>
      </w:pPr>
      <w:r>
        <w:t>Renewal-related customer bases</w:t>
      </w:r>
    </w:p>
    <w:p>
      <w:pPr>
        <w:pStyle w:val="Heading2"/>
      </w:pPr>
      <w:r>
        <w:t>10. Servicing Focus</w:t>
      </w:r>
    </w:p>
    <w:p>
      <w:pPr>
        <w:pStyle w:val="ListBullet"/>
      </w:pPr>
      <w:r>
        <w:t>Pre-renewal customers requiring engagement before renewal.</w:t>
      </w:r>
    </w:p>
    <w:p>
      <w:pPr>
        <w:pStyle w:val="ListBullet"/>
      </w:pPr>
      <w:r>
        <w:t>Customers not met for approximately 60 days.</w:t>
      </w:r>
    </w:p>
    <w:p>
      <w:pPr>
        <w:pStyle w:val="ListBullet"/>
      </w:pPr>
      <w:r>
        <w:t>Low-engagement customers requiring additional support.</w:t>
      </w:r>
    </w:p>
    <w:p>
      <w:pPr>
        <w:pStyle w:val="ListBullet"/>
      </w:pPr>
      <w:r>
        <w:t>Recently paid customers requiring continued post-payment servicing and engagement.</w:t>
      </w:r>
    </w:p>
    <w:p>
      <w:pPr>
        <w:pStyle w:val="Heading2"/>
      </w:pPr>
      <w:r>
        <w:t>11. Revenue Focus</w:t>
      </w:r>
    </w:p>
    <w:p>
      <w:pPr>
        <w:pStyle w:val="ListBullet"/>
      </w:pPr>
      <w:r>
        <w:t>Upgrade opportunities.</w:t>
      </w:r>
    </w:p>
    <w:p>
      <w:pPr>
        <w:pStyle w:val="ListBullet"/>
      </w:pPr>
      <w:r>
        <w:t>High-engagement customers.</w:t>
      </w:r>
    </w:p>
    <w:p>
      <w:pPr>
        <w:pStyle w:val="ListBullet"/>
      </w:pPr>
      <w:r>
        <w:t>Primary target customers.</w:t>
      </w:r>
    </w:p>
    <w:p>
      <w:pPr>
        <w:pStyle w:val="ListBullet"/>
      </w:pPr>
      <w:r>
        <w:t>Focused customer groups.</w:t>
      </w:r>
    </w:p>
    <w:p>
      <w:pPr>
        <w:pStyle w:val="ListBullet"/>
      </w:pPr>
      <w:r>
        <w:t>High-potential MCAT sellers.</w:t>
      </w:r>
    </w:p>
    <w:p>
      <w:pPr>
        <w:pStyle w:val="ListBullet"/>
      </w:pPr>
      <w:r>
        <w:t>Multi-year penetration opportunities.</w:t>
      </w:r>
    </w:p>
    <w:p>
      <w:pPr>
        <w:pStyle w:val="ListBullet"/>
      </w:pPr>
      <w:r>
        <w:t>Renewal-related opportunities.</w:t>
      </w:r>
    </w:p>
    <w:p>
      <w:pPr>
        <w:pStyle w:val="Heading2"/>
      </w:pPr>
      <w:r>
        <w:t>12. Data Sources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spacing w:after="40"/>
            </w:pPr>
            <w:r>
              <w:rPr>
                <w:b/>
              </w:rPr>
              <w:t>Data / Input</w:t>
            </w:r>
          </w:p>
        </w:tc>
        <w:tc>
          <w:tcPr>
            <w:tcW w:type="dxa" w:w="5112"/>
            <w:vAlign w:val="center"/>
            <w:shd w:fill="D9EAF7"/>
          </w:tcPr>
          <w:p>
            <w:pPr>
              <w:spacing w:after="40"/>
            </w:pPr>
            <w:r>
              <w:rPr>
                <w:b/>
              </w:rPr>
              <w:t>Source / Owner</w:t>
            </w:r>
          </w:p>
        </w:tc>
      </w:tr>
      <w:tr>
        <w:tc>
          <w:tcPr>
            <w:tcW w:type="dxa" w:w="5112"/>
            <w:vAlign w:val="center"/>
          </w:tcPr>
          <w:p>
            <w:pPr>
              <w:spacing w:after="40"/>
            </w:pPr>
            <w:r>
              <w:t>Top 100 MCAT and IM SS+ penetration</w:t>
            </w:r>
          </w:p>
        </w:tc>
        <w:tc>
          <w:tcPr>
            <w:tcW w:type="dxa" w:w="5112"/>
            <w:vAlign w:val="center"/>
          </w:tcPr>
          <w:p>
            <w:pPr>
              <w:spacing w:after="40"/>
            </w:pPr>
            <w:r>
              <w:t>Product Team</w:t>
            </w:r>
          </w:p>
        </w:tc>
      </w:tr>
      <w:tr>
        <w:tc>
          <w:tcPr>
            <w:tcW w:type="dxa" w:w="5112"/>
            <w:vAlign w:val="center"/>
          </w:tcPr>
          <w:p>
            <w:pPr>
              <w:spacing w:after="40"/>
            </w:pPr>
            <w:r>
              <w:t>Engagement parameters, turnover, industry type, proposal shared</w:t>
            </w:r>
          </w:p>
        </w:tc>
        <w:tc>
          <w:tcPr>
            <w:tcW w:type="dxa" w:w="5112"/>
            <w:vAlign w:val="center"/>
          </w:tcPr>
          <w:p>
            <w:pPr>
              <w:spacing w:after="40"/>
            </w:pPr>
            <w:r>
              <w:t>Central Team</w:t>
            </w:r>
          </w:p>
        </w:tc>
      </w:tr>
      <w:tr>
        <w:tc>
          <w:tcPr>
            <w:tcW w:type="dxa" w:w="5112"/>
            <w:vAlign w:val="center"/>
          </w:tcPr>
          <w:p>
            <w:pPr>
              <w:spacing w:after="40"/>
            </w:pPr>
            <w:r>
              <w:t>Appointment generated report</w:t>
            </w:r>
          </w:p>
        </w:tc>
        <w:tc>
          <w:tcPr>
            <w:tcW w:type="dxa" w:w="5112"/>
            <w:vAlign w:val="center"/>
          </w:tcPr>
          <w:p>
            <w:pPr>
              <w:spacing w:after="40"/>
            </w:pPr>
            <w:r>
              <w:t>Central MIS Team</w:t>
            </w:r>
          </w:p>
        </w:tc>
      </w:tr>
      <w:tr>
        <w:tc>
          <w:tcPr>
            <w:tcW w:type="dxa" w:w="5112"/>
            <w:vAlign w:val="center"/>
          </w:tcPr>
          <w:p>
            <w:pPr>
              <w:spacing w:after="40"/>
            </w:pPr>
            <w:r>
              <w:t>60 days not met, 0–120 days, renewal base, last 6 months, last year</w:t>
            </w:r>
          </w:p>
        </w:tc>
        <w:tc>
          <w:tcPr>
            <w:tcW w:type="dxa" w:w="5112"/>
            <w:vAlign w:val="center"/>
          </w:tcPr>
          <w:p>
            <w:pPr>
              <w:spacing w:after="40"/>
            </w:pPr>
            <w:r>
              <w:t>Official internal portals / downloadable reports</w:t>
            </w:r>
          </w:p>
        </w:tc>
      </w:tr>
      <w:tr>
        <w:tc>
          <w:tcPr>
            <w:tcW w:type="dxa" w:w="5112"/>
            <w:vAlign w:val="center"/>
          </w:tcPr>
          <w:p>
            <w:pPr>
              <w:spacing w:after="40"/>
            </w:pPr>
            <w:r>
              <w:t>Expected meetings and expected revenue</w:t>
            </w:r>
          </w:p>
        </w:tc>
        <w:tc>
          <w:tcPr>
            <w:tcW w:type="dxa" w:w="5112"/>
            <w:vAlign w:val="center"/>
          </w:tcPr>
          <w:p>
            <w:pPr>
              <w:spacing w:after="40"/>
            </w:pPr>
            <w:r>
              <w:t>L2 managers through Google Form</w:t>
            </w:r>
          </w:p>
        </w:tc>
      </w:tr>
      <w:tr>
        <w:tc>
          <w:tcPr>
            <w:tcW w:type="dxa" w:w="5112"/>
            <w:vAlign w:val="center"/>
          </w:tcPr>
          <w:p>
            <w:pPr>
              <w:spacing w:after="40"/>
            </w:pPr>
            <w:r>
              <w:t>Daily meeting/activity inputs</w:t>
            </w:r>
          </w:p>
        </w:tc>
        <w:tc>
          <w:tcPr>
            <w:tcW w:type="dxa" w:w="5112"/>
            <w:vAlign w:val="center"/>
          </w:tcPr>
          <w:p>
            <w:pPr>
              <w:spacing w:after="40"/>
            </w:pPr>
            <w:r>
              <w:t>L1 executives through Google Form</w:t>
            </w:r>
          </w:p>
        </w:tc>
      </w:tr>
    </w:tbl>
    <w:p>
      <w:pPr>
        <w:pStyle w:val="Heading2"/>
      </w:pPr>
      <w:r>
        <w:t>13. AS-IS Process</w:t>
      </w:r>
    </w:p>
    <w:p>
      <w:r>
        <w:t>Multiple reports → Meetings / Prospects → Limited customer context → Revenue commitment → Manual/verbal validation → Month-end outcome</w:t>
      </w:r>
    </w:p>
    <w:p>
      <w:pPr>
        <w:pStyle w:val="Heading2"/>
      </w:pPr>
      <w:r>
        <w:t>14. AS-IS Gaps</w:t>
      </w:r>
    </w:p>
    <w:p>
      <w:pPr>
        <w:pStyle w:val="ListBullet"/>
      </w:pPr>
      <w:r>
        <w:t>No single consolidated customer view.</w:t>
      </w:r>
    </w:p>
    <w:p>
      <w:pPr>
        <w:pStyle w:val="ListBullet"/>
      </w:pPr>
      <w:r>
        <w:t>Limited visibility into historical meeting frequency.</w:t>
      </w:r>
    </w:p>
    <w:p>
      <w:pPr>
        <w:pStyle w:val="ListBullet"/>
      </w:pPr>
      <w:r>
        <w:t>Limited visibility into meeting purpose and customer segment.</w:t>
      </w:r>
    </w:p>
    <w:p>
      <w:pPr>
        <w:pStyle w:val="ListBullet"/>
      </w:pPr>
      <w:r>
        <w:t>Servicing and revenue opportunities were not consolidated in one framework.</w:t>
      </w:r>
    </w:p>
    <w:p>
      <w:pPr>
        <w:pStyle w:val="ListBullet"/>
      </w:pPr>
      <w:r>
        <w:t>Revenue commitments could lack supporting customer context.</w:t>
      </w:r>
    </w:p>
    <w:p>
      <w:pPr>
        <w:pStyle w:val="ListBullet"/>
      </w:pPr>
      <w:r>
        <w:t>Potential customers with limited meeting activity could be missed.</w:t>
      </w:r>
    </w:p>
    <w:p>
      <w:pPr>
        <w:pStyle w:val="Heading2"/>
      </w:pPr>
      <w:r>
        <w:t>15. TO-BE Process</w:t>
      </w:r>
    </w:p>
    <w:p>
      <w:r>
        <w:t>Multiple Data Sources → Master Input Data → Customer Segmentation → Opportunity Identification → Daily L1 Activity Capture → L2 Daily Review → Meeting Prioritization → Servicing / Revenue Action → Revenue Commitment Review → Continuous Monitoring</w:t>
      </w:r>
    </w:p>
    <w:p>
      <w:pPr>
        <w:pStyle w:val="Heading2"/>
      </w:pPr>
      <w:r>
        <w:t>16. Operational Workflow</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40"/>
            </w:pPr>
            <w:r>
              <w:rPr>
                <w:b/>
              </w:rPr>
              <w:t>Step</w:t>
            </w:r>
          </w:p>
        </w:tc>
        <w:tc>
          <w:tcPr>
            <w:tcW w:type="dxa" w:w="3408"/>
            <w:vAlign w:val="center"/>
            <w:shd w:fill="D9EAF7"/>
          </w:tcPr>
          <w:p>
            <w:pPr>
              <w:spacing w:after="40"/>
            </w:pPr>
            <w:r>
              <w:rPr>
                <w:b/>
              </w:rPr>
              <w:t>Activity</w:t>
            </w:r>
          </w:p>
        </w:tc>
        <w:tc>
          <w:tcPr>
            <w:tcW w:type="dxa" w:w="3408"/>
            <w:vAlign w:val="center"/>
            <w:shd w:fill="D9EAF7"/>
          </w:tcPr>
          <w:p>
            <w:pPr>
              <w:spacing w:after="40"/>
            </w:pPr>
            <w:r>
              <w:rPr>
                <w:b/>
              </w:rPr>
              <w:t>Primary User</w:t>
            </w:r>
          </w:p>
        </w:tc>
      </w:tr>
      <w:tr>
        <w:tc>
          <w:tcPr>
            <w:tcW w:type="dxa" w:w="3408"/>
            <w:vAlign w:val="center"/>
          </w:tcPr>
          <w:p>
            <w:pPr>
              <w:spacing w:after="40"/>
            </w:pPr>
            <w:r>
              <w:t>1</w:t>
            </w:r>
          </w:p>
        </w:tc>
        <w:tc>
          <w:tcPr>
            <w:tcW w:type="dxa" w:w="3408"/>
            <w:vAlign w:val="center"/>
          </w:tcPr>
          <w:p>
            <w:pPr>
              <w:spacing w:after="40"/>
            </w:pPr>
            <w:r>
              <w:t>L1 submits daily meeting/activity information through Google Form.</w:t>
            </w:r>
          </w:p>
        </w:tc>
        <w:tc>
          <w:tcPr>
            <w:tcW w:type="dxa" w:w="3408"/>
            <w:vAlign w:val="center"/>
          </w:tcPr>
          <w:p>
            <w:pPr>
              <w:spacing w:after="40"/>
            </w:pPr>
            <w:r>
              <w:t>L1</w:t>
            </w:r>
          </w:p>
        </w:tc>
      </w:tr>
      <w:tr>
        <w:tc>
          <w:tcPr>
            <w:tcW w:type="dxa" w:w="3408"/>
            <w:vAlign w:val="center"/>
          </w:tcPr>
          <w:p>
            <w:pPr>
              <w:spacing w:after="40"/>
            </w:pPr>
            <w:r>
              <w:t>2</w:t>
            </w:r>
          </w:p>
        </w:tc>
        <w:tc>
          <w:tcPr>
            <w:tcW w:type="dxa" w:w="3408"/>
            <w:vAlign w:val="center"/>
          </w:tcPr>
          <w:p>
            <w:pPr>
              <w:spacing w:after="40"/>
            </w:pPr>
            <w:r>
              <w:t>Google Form responses are captured in Google Sheet.</w:t>
            </w:r>
          </w:p>
        </w:tc>
        <w:tc>
          <w:tcPr>
            <w:tcW w:type="dxa" w:w="3408"/>
            <w:vAlign w:val="center"/>
          </w:tcPr>
          <w:p>
            <w:pPr>
              <w:spacing w:after="40"/>
            </w:pPr>
            <w:r>
              <w:t>Process</w:t>
            </w:r>
          </w:p>
        </w:tc>
      </w:tr>
      <w:tr>
        <w:tc>
          <w:tcPr>
            <w:tcW w:type="dxa" w:w="3408"/>
            <w:vAlign w:val="center"/>
          </w:tcPr>
          <w:p>
            <w:pPr>
              <w:spacing w:after="40"/>
            </w:pPr>
            <w:r>
              <w:t>3</w:t>
            </w:r>
          </w:p>
        </w:tc>
        <w:tc>
          <w:tcPr>
            <w:tcW w:type="dxa" w:w="3408"/>
            <w:vAlign w:val="center"/>
          </w:tcPr>
          <w:p>
            <w:pPr>
              <w:spacing w:after="40"/>
            </w:pPr>
            <w:r>
              <w:t>Relevant customer and business data is consolidated into the master input.</w:t>
            </w:r>
          </w:p>
        </w:tc>
        <w:tc>
          <w:tcPr>
            <w:tcW w:type="dxa" w:w="3408"/>
            <w:vAlign w:val="center"/>
          </w:tcPr>
          <w:p>
            <w:pPr>
              <w:spacing w:after="40"/>
            </w:pPr>
            <w:r>
              <w:t>Business Analyst</w:t>
            </w:r>
          </w:p>
        </w:tc>
      </w:tr>
      <w:tr>
        <w:tc>
          <w:tcPr>
            <w:tcW w:type="dxa" w:w="3408"/>
            <w:vAlign w:val="center"/>
          </w:tcPr>
          <w:p>
            <w:pPr>
              <w:spacing w:after="40"/>
            </w:pPr>
            <w:r>
              <w:t>4</w:t>
            </w:r>
          </w:p>
        </w:tc>
        <w:tc>
          <w:tcPr>
            <w:tcW w:type="dxa" w:w="3408"/>
            <w:vAlign w:val="center"/>
          </w:tcPr>
          <w:p>
            <w:pPr>
              <w:spacing w:after="40"/>
            </w:pPr>
            <w:r>
              <w:t>Customer segments and opportunity indicators are reviewed.</w:t>
            </w:r>
          </w:p>
        </w:tc>
        <w:tc>
          <w:tcPr>
            <w:tcW w:type="dxa" w:w="3408"/>
            <w:vAlign w:val="center"/>
          </w:tcPr>
          <w:p>
            <w:pPr>
              <w:spacing w:after="40"/>
            </w:pPr>
            <w:r>
              <w:t>Business Analyst / L2</w:t>
            </w:r>
          </w:p>
        </w:tc>
      </w:tr>
      <w:tr>
        <w:tc>
          <w:tcPr>
            <w:tcW w:type="dxa" w:w="3408"/>
            <w:vAlign w:val="center"/>
          </w:tcPr>
          <w:p>
            <w:pPr>
              <w:spacing w:after="40"/>
            </w:pPr>
            <w:r>
              <w:t>5</w:t>
            </w:r>
          </w:p>
        </w:tc>
        <w:tc>
          <w:tcPr>
            <w:tcW w:type="dxa" w:w="3408"/>
            <w:vAlign w:val="center"/>
          </w:tcPr>
          <w:p>
            <w:pPr>
              <w:spacing w:after="40"/>
            </w:pPr>
            <w:r>
              <w:t>L2 reviews the master input daily.</w:t>
            </w:r>
          </w:p>
        </w:tc>
        <w:tc>
          <w:tcPr>
            <w:tcW w:type="dxa" w:w="3408"/>
            <w:vAlign w:val="center"/>
          </w:tcPr>
          <w:p>
            <w:pPr>
              <w:spacing w:after="40"/>
            </w:pPr>
            <w:r>
              <w:t>L2</w:t>
            </w:r>
          </w:p>
        </w:tc>
      </w:tr>
      <w:tr>
        <w:tc>
          <w:tcPr>
            <w:tcW w:type="dxa" w:w="3408"/>
            <w:vAlign w:val="center"/>
          </w:tcPr>
          <w:p>
            <w:pPr>
              <w:spacing w:after="40"/>
            </w:pPr>
            <w:r>
              <w:t>6</w:t>
            </w:r>
          </w:p>
        </w:tc>
        <w:tc>
          <w:tcPr>
            <w:tcW w:type="dxa" w:w="3408"/>
            <w:vAlign w:val="center"/>
          </w:tcPr>
          <w:p>
            <w:pPr>
              <w:spacing w:after="40"/>
            </w:pPr>
            <w:r>
              <w:t>L2 identifies meeting priorities and communicates them to L1.</w:t>
            </w:r>
          </w:p>
        </w:tc>
        <w:tc>
          <w:tcPr>
            <w:tcW w:type="dxa" w:w="3408"/>
            <w:vAlign w:val="center"/>
          </w:tcPr>
          <w:p>
            <w:pPr>
              <w:spacing w:after="40"/>
            </w:pPr>
            <w:r>
              <w:t>L2</w:t>
            </w:r>
          </w:p>
        </w:tc>
      </w:tr>
      <w:tr>
        <w:tc>
          <w:tcPr>
            <w:tcW w:type="dxa" w:w="3408"/>
            <w:vAlign w:val="center"/>
          </w:tcPr>
          <w:p>
            <w:pPr>
              <w:spacing w:after="40"/>
            </w:pPr>
            <w:r>
              <w:t>7</w:t>
            </w:r>
          </w:p>
        </w:tc>
        <w:tc>
          <w:tcPr>
            <w:tcW w:type="dxa" w:w="3408"/>
            <w:vAlign w:val="center"/>
          </w:tcPr>
          <w:p>
            <w:pPr>
              <w:spacing w:after="40"/>
            </w:pPr>
            <w:r>
              <w:t>L1 executes meetings/servicing/revenue activity.</w:t>
            </w:r>
          </w:p>
        </w:tc>
        <w:tc>
          <w:tcPr>
            <w:tcW w:type="dxa" w:w="3408"/>
            <w:vAlign w:val="center"/>
          </w:tcPr>
          <w:p>
            <w:pPr>
              <w:spacing w:after="40"/>
            </w:pPr>
            <w:r>
              <w:t>L1</w:t>
            </w:r>
          </w:p>
        </w:tc>
      </w:tr>
      <w:tr>
        <w:tc>
          <w:tcPr>
            <w:tcW w:type="dxa" w:w="3408"/>
            <w:vAlign w:val="center"/>
          </w:tcPr>
          <w:p>
            <w:pPr>
              <w:spacing w:after="40"/>
            </w:pPr>
            <w:r>
              <w:t>8</w:t>
            </w:r>
          </w:p>
        </w:tc>
        <w:tc>
          <w:tcPr>
            <w:tcW w:type="dxa" w:w="3408"/>
            <w:vAlign w:val="center"/>
          </w:tcPr>
          <w:p>
            <w:pPr>
              <w:spacing w:after="40"/>
            </w:pPr>
            <w:r>
              <w:t>Activity and opportunity context are monitored continuously.</w:t>
            </w:r>
          </w:p>
        </w:tc>
        <w:tc>
          <w:tcPr>
            <w:tcW w:type="dxa" w:w="3408"/>
            <w:vAlign w:val="center"/>
          </w:tcPr>
          <w:p>
            <w:pPr>
              <w:spacing w:after="40"/>
            </w:pPr>
            <w:r>
              <w:t>BA / L2</w:t>
            </w:r>
          </w:p>
        </w:tc>
      </w:tr>
    </w:tbl>
    <w:p>
      <w:pPr>
        <w:pStyle w:val="Heading2"/>
      </w:pPr>
      <w:r>
        <w:t>17. Revenue Commitment Validation</w:t>
      </w:r>
    </w:p>
    <w:p>
      <w:r>
        <w:t>The framework improved the quality of revenue commitment discussions by providing context behind the proposed opportunity. L2 managers could explain why a client was considered for an upgrade, what product/service was being pitched, and what customer indicators supported the opportunity.</w:t>
      </w:r>
    </w:p>
    <w:p>
      <w:r>
        <w:t>The framework is positioned as a decision-support and validation framework, not as an automated revenue prediction model.</w:t>
      </w:r>
    </w:p>
    <w:p>
      <w:pPr>
        <w:pStyle w:val="Heading2"/>
      </w:pPr>
      <w:r>
        <w:t>18. Business Outcomes</w:t>
      </w:r>
    </w:p>
    <w:p>
      <w:pPr>
        <w:pStyle w:val="ListBullet"/>
      </w:pPr>
      <w:r>
        <w:t>All L2 managers started using the master input deck daily.</w:t>
      </w:r>
    </w:p>
    <w:p>
      <w:pPr>
        <w:pStyle w:val="ListBullet"/>
      </w:pPr>
      <w:r>
        <w:t>L2 managers used the parameters to determine where and why L1 executives should focus meetings.</w:t>
      </w:r>
    </w:p>
    <w:p>
      <w:pPr>
        <w:pStyle w:val="ListBullet"/>
      </w:pPr>
      <w:r>
        <w:t>The framework supported coverage of customers from both servicing and revenue perspectives.</w:t>
      </w:r>
    </w:p>
    <w:p>
      <w:pPr>
        <w:pStyle w:val="ListBullet"/>
      </w:pPr>
      <w:r>
        <w:t>Revenue commitments could be explained using customer and opportunity context.</w:t>
      </w:r>
    </w:p>
    <w:p>
      <w:pPr>
        <w:pStyle w:val="ListBullet"/>
      </w:pPr>
      <w:r>
        <w:t>The framework became part of ongoing daily monitoring.</w:t>
      </w:r>
    </w:p>
    <w:p>
      <w:pPr>
        <w:pStyle w:val="ListBullet"/>
      </w:pPr>
      <w:r>
        <w:t>Renewal rates showed an increasing trend over the period after implementation.</w:t>
      </w:r>
    </w:p>
    <w:p>
      <w:r>
        <w:rPr>
          <w:i/>
        </w:rPr>
        <w:t>Note: The portfolio should describe the renewal result as an observed trend unless a controlled before/after analysis is available to establish direct causality.</w:t>
      </w:r>
    </w:p>
    <w:p>
      <w:pPr>
        <w:pStyle w:val="Heading2"/>
      </w:pPr>
      <w:r>
        <w:t>19. Relationship to the CQS Initiative</w:t>
      </w:r>
    </w:p>
    <w:p>
      <w:r>
        <w:t>The framework identified meeting coverage and customer targeting. Subsequent observation showed that meeting a customer did not necessarily improve Daily Active Usage (DAU) or Catalogue Quality Score (CQS). This led to a separate Catalogue Quality improvement project focused on improving customer value and catalogue quality.</w:t>
      </w:r>
    </w:p>
    <w:p>
      <w:pPr>
        <w:pStyle w:val="Heading2"/>
      </w:pPr>
      <w:r>
        <w:t>20. Success Criteria</w:t>
      </w:r>
    </w:p>
    <w:p>
      <w:pPr>
        <w:pStyle w:val="ListBullet"/>
      </w:pPr>
      <w:r>
        <w:t>Daily use of the master input by L2 managers.</w:t>
      </w:r>
    </w:p>
    <w:p>
      <w:pPr>
        <w:pStyle w:val="ListBullet"/>
      </w:pPr>
      <w:r>
        <w:t>Consistent capture of L1 activity.</w:t>
      </w:r>
    </w:p>
    <w:p>
      <w:pPr>
        <w:pStyle w:val="ListBullet"/>
      </w:pPr>
      <w:r>
        <w:t>Ability to filter customers by relevant business segments.</w:t>
      </w:r>
    </w:p>
    <w:p>
      <w:pPr>
        <w:pStyle w:val="ListBullet"/>
      </w:pPr>
      <w:r>
        <w:t>Ability to identify meeting gaps and potential opportunities.</w:t>
      </w:r>
    </w:p>
    <w:p>
      <w:pPr>
        <w:pStyle w:val="ListBullet"/>
      </w:pPr>
      <w:r>
        <w:t>Ability to explain revenue commitments with supporting business context.</w:t>
      </w:r>
    </w:p>
    <w:p>
      <w:pPr>
        <w:pStyle w:val="ListBullet"/>
      </w:pPr>
      <w:r>
        <w:t>Ability to communicate clear customer priorities to L1 executives.</w:t>
      </w:r>
    </w:p>
    <w:p>
      <w:pPr>
        <w:pStyle w:val="ListBullet"/>
      </w:pPr>
      <w:r>
        <w:t>Continuous monitoring and enhancement based on business requirements.</w:t>
      </w:r>
    </w:p>
    <w:p>
      <w:r>
        <w:br w:type="page"/>
      </w:r>
    </w:p>
    <w:p>
      <w:pPr>
        <w:pStyle w:val="Heading1"/>
      </w:pPr>
      <w:r>
        <w:t>Part II — Functional Requirements Document (FRD)</w:t>
      </w:r>
    </w:p>
    <w:p>
      <w:pPr>
        <w:pStyle w:val="Heading2"/>
      </w:pPr>
      <w:r>
        <w:t>1. Functional Overview</w:t>
      </w:r>
    </w:p>
    <w:p>
      <w:r>
        <w:t>The functional framework translates the business requirements into a repeatable process for capturing activity, consolidating data, segmenting customers, identifying opportunities, and supporting daily management review.</w:t>
      </w:r>
    </w:p>
    <w:p>
      <w:pPr>
        <w:pStyle w:val="Heading2"/>
      </w:pPr>
      <w:r>
        <w:t>2. Functional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40"/>
            </w:pPr>
            <w:r>
              <w:rPr>
                <w:b/>
              </w:rPr>
              <w:t>ID</w:t>
            </w:r>
          </w:p>
        </w:tc>
        <w:tc>
          <w:tcPr>
            <w:tcW w:type="dxa" w:w="3408"/>
            <w:vAlign w:val="center"/>
            <w:shd w:fill="D9EAF7"/>
          </w:tcPr>
          <w:p>
            <w:pPr>
              <w:spacing w:after="40"/>
            </w:pPr>
            <w:r>
              <w:rPr>
                <w:b/>
              </w:rPr>
              <w:t>Requirement</w:t>
            </w:r>
          </w:p>
        </w:tc>
        <w:tc>
          <w:tcPr>
            <w:tcW w:type="dxa" w:w="3408"/>
            <w:vAlign w:val="center"/>
            <w:shd w:fill="D9EAF7"/>
          </w:tcPr>
          <w:p>
            <w:pPr>
              <w:spacing w:after="40"/>
            </w:pPr>
            <w:r>
              <w:rPr>
                <w:b/>
              </w:rPr>
              <w:t>Functional Description</w:t>
            </w:r>
          </w:p>
        </w:tc>
      </w:tr>
      <w:tr>
        <w:tc>
          <w:tcPr>
            <w:tcW w:type="dxa" w:w="3408"/>
            <w:vAlign w:val="center"/>
          </w:tcPr>
          <w:p>
            <w:pPr>
              <w:spacing w:after="40"/>
            </w:pPr>
            <w:r>
              <w:t>FR-01</w:t>
            </w:r>
          </w:p>
        </w:tc>
        <w:tc>
          <w:tcPr>
            <w:tcW w:type="dxa" w:w="3408"/>
            <w:vAlign w:val="center"/>
          </w:tcPr>
          <w:p>
            <w:pPr>
              <w:spacing w:after="40"/>
            </w:pPr>
            <w:r>
              <w:t>Daily Activity Capture</w:t>
            </w:r>
          </w:p>
        </w:tc>
        <w:tc>
          <w:tcPr>
            <w:tcW w:type="dxa" w:w="3408"/>
            <w:vAlign w:val="center"/>
          </w:tcPr>
          <w:p>
            <w:pPr>
              <w:spacing w:after="40"/>
            </w:pPr>
            <w:r>
              <w:t>Allow L1 executives to submit daily meeting/activity information through a Google Form.</w:t>
            </w:r>
          </w:p>
        </w:tc>
      </w:tr>
      <w:tr>
        <w:tc>
          <w:tcPr>
            <w:tcW w:type="dxa" w:w="3408"/>
            <w:vAlign w:val="center"/>
          </w:tcPr>
          <w:p>
            <w:pPr>
              <w:spacing w:after="40"/>
            </w:pPr>
            <w:r>
              <w:t>FR-02</w:t>
            </w:r>
          </w:p>
        </w:tc>
        <w:tc>
          <w:tcPr>
            <w:tcW w:type="dxa" w:w="3408"/>
            <w:vAlign w:val="center"/>
          </w:tcPr>
          <w:p>
            <w:pPr>
              <w:spacing w:after="40"/>
            </w:pPr>
            <w:r>
              <w:t>Google Sheet Capture</w:t>
            </w:r>
          </w:p>
        </w:tc>
        <w:tc>
          <w:tcPr>
            <w:tcW w:type="dxa" w:w="3408"/>
            <w:vAlign w:val="center"/>
          </w:tcPr>
          <w:p>
            <w:pPr>
              <w:spacing w:after="40"/>
            </w:pPr>
            <w:r>
              <w:t>Capture Google Form responses in a centralized Google Sheet.</w:t>
            </w:r>
          </w:p>
        </w:tc>
      </w:tr>
      <w:tr>
        <w:tc>
          <w:tcPr>
            <w:tcW w:type="dxa" w:w="3408"/>
            <w:vAlign w:val="center"/>
          </w:tcPr>
          <w:p>
            <w:pPr>
              <w:spacing w:after="40"/>
            </w:pPr>
            <w:r>
              <w:t>FR-03</w:t>
            </w:r>
          </w:p>
        </w:tc>
        <w:tc>
          <w:tcPr>
            <w:tcW w:type="dxa" w:w="3408"/>
            <w:vAlign w:val="center"/>
          </w:tcPr>
          <w:p>
            <w:pPr>
              <w:spacing w:after="40"/>
            </w:pPr>
            <w:r>
              <w:t>Master Input Consolidation</w:t>
            </w:r>
          </w:p>
        </w:tc>
        <w:tc>
          <w:tcPr>
            <w:tcW w:type="dxa" w:w="3408"/>
            <w:vAlign w:val="center"/>
          </w:tcPr>
          <w:p>
            <w:pPr>
              <w:spacing w:after="40"/>
            </w:pPr>
            <w:r>
              <w:t>Consolidate relevant customer, payment, engagement, meeting, and opportunity data into the master input.</w:t>
            </w:r>
          </w:p>
        </w:tc>
      </w:tr>
      <w:tr>
        <w:tc>
          <w:tcPr>
            <w:tcW w:type="dxa" w:w="3408"/>
            <w:vAlign w:val="center"/>
          </w:tcPr>
          <w:p>
            <w:pPr>
              <w:spacing w:after="40"/>
            </w:pPr>
            <w:r>
              <w:t>FR-04</w:t>
            </w:r>
          </w:p>
        </w:tc>
        <w:tc>
          <w:tcPr>
            <w:tcW w:type="dxa" w:w="3408"/>
            <w:vAlign w:val="center"/>
          </w:tcPr>
          <w:p>
            <w:pPr>
              <w:spacing w:after="40"/>
            </w:pPr>
            <w:r>
              <w:t>Customer Segmentation</w:t>
            </w:r>
          </w:p>
        </w:tc>
        <w:tc>
          <w:tcPr>
            <w:tcW w:type="dxa" w:w="3408"/>
            <w:vAlign w:val="center"/>
          </w:tcPr>
          <w:p>
            <w:pPr>
              <w:spacing w:after="40"/>
            </w:pPr>
            <w:r>
              <w:t>Categorize customers according to defined business segments.</w:t>
            </w:r>
          </w:p>
        </w:tc>
      </w:tr>
      <w:tr>
        <w:tc>
          <w:tcPr>
            <w:tcW w:type="dxa" w:w="3408"/>
            <w:vAlign w:val="center"/>
          </w:tcPr>
          <w:p>
            <w:pPr>
              <w:spacing w:after="40"/>
            </w:pPr>
            <w:r>
              <w:t>FR-05</w:t>
            </w:r>
          </w:p>
        </w:tc>
        <w:tc>
          <w:tcPr>
            <w:tcW w:type="dxa" w:w="3408"/>
            <w:vAlign w:val="center"/>
          </w:tcPr>
          <w:p>
            <w:pPr>
              <w:spacing w:after="40"/>
            </w:pPr>
            <w:r>
              <w:t>Meeting History</w:t>
            </w:r>
          </w:p>
        </w:tc>
        <w:tc>
          <w:tcPr>
            <w:tcW w:type="dxa" w:w="3408"/>
            <w:vAlign w:val="center"/>
          </w:tcPr>
          <w:p>
            <w:pPr>
              <w:spacing w:after="40"/>
            </w:pPr>
            <w:r>
              <w:t>Maintain historical meeting information to support meeting-frequency analysis.</w:t>
            </w:r>
          </w:p>
        </w:tc>
      </w:tr>
      <w:tr>
        <w:tc>
          <w:tcPr>
            <w:tcW w:type="dxa" w:w="3408"/>
            <w:vAlign w:val="center"/>
          </w:tcPr>
          <w:p>
            <w:pPr>
              <w:spacing w:after="40"/>
            </w:pPr>
            <w:r>
              <w:t>FR-06</w:t>
            </w:r>
          </w:p>
        </w:tc>
        <w:tc>
          <w:tcPr>
            <w:tcW w:type="dxa" w:w="3408"/>
            <w:vAlign w:val="center"/>
          </w:tcPr>
          <w:p>
            <w:pPr>
              <w:spacing w:after="40"/>
            </w:pPr>
            <w:r>
              <w:t>Engagement Analysis</w:t>
            </w:r>
          </w:p>
        </w:tc>
        <w:tc>
          <w:tcPr>
            <w:tcW w:type="dxa" w:w="3408"/>
            <w:vAlign w:val="center"/>
          </w:tcPr>
          <w:p>
            <w:pPr>
              <w:spacing w:after="40"/>
            </w:pPr>
            <w:r>
              <w:t>Make customer engagement available as an input for opportunity identification and prioritization.</w:t>
            </w:r>
          </w:p>
        </w:tc>
      </w:tr>
      <w:tr>
        <w:tc>
          <w:tcPr>
            <w:tcW w:type="dxa" w:w="3408"/>
            <w:vAlign w:val="center"/>
          </w:tcPr>
          <w:p>
            <w:pPr>
              <w:spacing w:after="40"/>
            </w:pPr>
            <w:r>
              <w:t>FR-07</w:t>
            </w:r>
          </w:p>
        </w:tc>
        <w:tc>
          <w:tcPr>
            <w:tcW w:type="dxa" w:w="3408"/>
            <w:vAlign w:val="center"/>
          </w:tcPr>
          <w:p>
            <w:pPr>
              <w:spacing w:after="40"/>
            </w:pPr>
            <w:r>
              <w:t>Payment History</w:t>
            </w:r>
          </w:p>
        </w:tc>
        <w:tc>
          <w:tcPr>
            <w:tcW w:type="dxa" w:w="3408"/>
            <w:vAlign w:val="center"/>
          </w:tcPr>
          <w:p>
            <w:pPr>
              <w:spacing w:after="40"/>
            </w:pPr>
            <w:r>
              <w:t>Make historical payment information available for lifecycle, servicing, renewal, and opportunity analysis.</w:t>
            </w:r>
          </w:p>
        </w:tc>
      </w:tr>
      <w:tr>
        <w:tc>
          <w:tcPr>
            <w:tcW w:type="dxa" w:w="3408"/>
            <w:vAlign w:val="center"/>
          </w:tcPr>
          <w:p>
            <w:pPr>
              <w:spacing w:after="40"/>
            </w:pPr>
            <w:r>
              <w:t>FR-08</w:t>
            </w:r>
          </w:p>
        </w:tc>
        <w:tc>
          <w:tcPr>
            <w:tcW w:type="dxa" w:w="3408"/>
            <w:vAlign w:val="center"/>
          </w:tcPr>
          <w:p>
            <w:pPr>
              <w:spacing w:after="40"/>
            </w:pPr>
            <w:r>
              <w:t>Upgrade Opportunity</w:t>
            </w:r>
          </w:p>
        </w:tc>
        <w:tc>
          <w:tcPr>
            <w:tcW w:type="dxa" w:w="3408"/>
            <w:vAlign w:val="center"/>
          </w:tcPr>
          <w:p>
            <w:pPr>
              <w:spacing w:after="40"/>
            </w:pPr>
            <w:r>
              <w:t>Identify customers meeting relevant business indicators as potential upgrade opportunities.</w:t>
            </w:r>
          </w:p>
        </w:tc>
      </w:tr>
      <w:tr>
        <w:tc>
          <w:tcPr>
            <w:tcW w:type="dxa" w:w="3408"/>
            <w:vAlign w:val="center"/>
          </w:tcPr>
          <w:p>
            <w:pPr>
              <w:spacing w:after="40"/>
            </w:pPr>
            <w:r>
              <w:t>FR-09</w:t>
            </w:r>
          </w:p>
        </w:tc>
        <w:tc>
          <w:tcPr>
            <w:tcW w:type="dxa" w:w="3408"/>
            <w:vAlign w:val="center"/>
          </w:tcPr>
          <w:p>
            <w:pPr>
              <w:spacing w:after="40"/>
            </w:pPr>
            <w:r>
              <w:t>Revenue Opportunity</w:t>
            </w:r>
          </w:p>
        </w:tc>
        <w:tc>
          <w:tcPr>
            <w:tcW w:type="dxa" w:w="3408"/>
            <w:vAlign w:val="center"/>
          </w:tcPr>
          <w:p>
            <w:pPr>
              <w:spacing w:after="40"/>
            </w:pPr>
            <w:r>
              <w:t>Support identification of potential revenue opportunities.</w:t>
            </w:r>
          </w:p>
        </w:tc>
      </w:tr>
      <w:tr>
        <w:tc>
          <w:tcPr>
            <w:tcW w:type="dxa" w:w="3408"/>
            <w:vAlign w:val="center"/>
          </w:tcPr>
          <w:p>
            <w:pPr>
              <w:spacing w:after="40"/>
            </w:pPr>
            <w:r>
              <w:t>FR-10</w:t>
            </w:r>
          </w:p>
        </w:tc>
        <w:tc>
          <w:tcPr>
            <w:tcW w:type="dxa" w:w="3408"/>
            <w:vAlign w:val="center"/>
          </w:tcPr>
          <w:p>
            <w:pPr>
              <w:spacing w:after="40"/>
            </w:pPr>
            <w:r>
              <w:t>Servicing Opportunity</w:t>
            </w:r>
          </w:p>
        </w:tc>
        <w:tc>
          <w:tcPr>
            <w:tcW w:type="dxa" w:w="3408"/>
            <w:vAlign w:val="center"/>
          </w:tcPr>
          <w:p>
            <w:pPr>
              <w:spacing w:after="40"/>
            </w:pPr>
            <w:r>
              <w:t>Identify customers requiring servicing or additional engagement.</w:t>
            </w:r>
          </w:p>
        </w:tc>
      </w:tr>
      <w:tr>
        <w:tc>
          <w:tcPr>
            <w:tcW w:type="dxa" w:w="3408"/>
            <w:vAlign w:val="center"/>
          </w:tcPr>
          <w:p>
            <w:pPr>
              <w:spacing w:after="40"/>
            </w:pPr>
            <w:r>
              <w:t>FR-11</w:t>
            </w:r>
          </w:p>
        </w:tc>
        <w:tc>
          <w:tcPr>
            <w:tcW w:type="dxa" w:w="3408"/>
            <w:vAlign w:val="center"/>
          </w:tcPr>
          <w:p>
            <w:pPr>
              <w:spacing w:after="40"/>
            </w:pPr>
            <w:r>
              <w:t>Revenue Commitment Review</w:t>
            </w:r>
          </w:p>
        </w:tc>
        <w:tc>
          <w:tcPr>
            <w:tcW w:type="dxa" w:w="3408"/>
            <w:vAlign w:val="center"/>
          </w:tcPr>
          <w:p>
            <w:pPr>
              <w:spacing w:after="40"/>
            </w:pPr>
            <w:r>
              <w:t>Review revenue commitments with supporting customer and opportunity context.</w:t>
            </w:r>
          </w:p>
        </w:tc>
      </w:tr>
      <w:tr>
        <w:tc>
          <w:tcPr>
            <w:tcW w:type="dxa" w:w="3408"/>
            <w:vAlign w:val="center"/>
          </w:tcPr>
          <w:p>
            <w:pPr>
              <w:spacing w:after="40"/>
            </w:pPr>
            <w:r>
              <w:t>FR-12</w:t>
            </w:r>
          </w:p>
        </w:tc>
        <w:tc>
          <w:tcPr>
            <w:tcW w:type="dxa" w:w="3408"/>
            <w:vAlign w:val="center"/>
          </w:tcPr>
          <w:p>
            <w:pPr>
              <w:spacing w:after="40"/>
            </w:pPr>
            <w:r>
              <w:t>Daily L2 Review</w:t>
            </w:r>
          </w:p>
        </w:tc>
        <w:tc>
          <w:tcPr>
            <w:tcW w:type="dxa" w:w="3408"/>
            <w:vAlign w:val="center"/>
          </w:tcPr>
          <w:p>
            <w:pPr>
              <w:spacing w:after="40"/>
            </w:pPr>
            <w:r>
              <w:t>Allow L2 managers to review consolidated information daily and communicate priorities to L1 executives.</w:t>
            </w:r>
          </w:p>
        </w:tc>
      </w:tr>
      <w:tr>
        <w:tc>
          <w:tcPr>
            <w:tcW w:type="dxa" w:w="3408"/>
            <w:vAlign w:val="center"/>
          </w:tcPr>
          <w:p>
            <w:pPr>
              <w:spacing w:after="40"/>
            </w:pPr>
            <w:r>
              <w:t>FR-13</w:t>
            </w:r>
          </w:p>
        </w:tc>
        <w:tc>
          <w:tcPr>
            <w:tcW w:type="dxa" w:w="3408"/>
            <w:vAlign w:val="center"/>
          </w:tcPr>
          <w:p>
            <w:pPr>
              <w:spacing w:after="40"/>
            </w:pPr>
            <w:r>
              <w:t>Historical Comparison</w:t>
            </w:r>
          </w:p>
        </w:tc>
        <w:tc>
          <w:tcPr>
            <w:tcW w:type="dxa" w:w="3408"/>
            <w:vAlign w:val="center"/>
          </w:tcPr>
          <w:p>
            <w:pPr>
              <w:spacing w:after="40"/>
            </w:pPr>
            <w:r>
              <w:t>Support comparison of meeting activity over the previous year.</w:t>
            </w:r>
          </w:p>
        </w:tc>
      </w:tr>
      <w:tr>
        <w:tc>
          <w:tcPr>
            <w:tcW w:type="dxa" w:w="3408"/>
            <w:vAlign w:val="center"/>
          </w:tcPr>
          <w:p>
            <w:pPr>
              <w:spacing w:after="40"/>
            </w:pPr>
            <w:r>
              <w:t>FR-14</w:t>
            </w:r>
          </w:p>
        </w:tc>
        <w:tc>
          <w:tcPr>
            <w:tcW w:type="dxa" w:w="3408"/>
            <w:vAlign w:val="center"/>
          </w:tcPr>
          <w:p>
            <w:pPr>
              <w:spacing w:after="40"/>
            </w:pPr>
            <w:r>
              <w:t>Iterative Enhancement</w:t>
            </w:r>
          </w:p>
        </w:tc>
        <w:tc>
          <w:tcPr>
            <w:tcW w:type="dxa" w:w="3408"/>
            <w:vAlign w:val="center"/>
          </w:tcPr>
          <w:p>
            <w:pPr>
              <w:spacing w:after="40"/>
            </w:pPr>
            <w:r>
              <w:t>Allow additional business parameters to be incorporated based on management requirements.</w:t>
            </w:r>
          </w:p>
        </w:tc>
      </w:tr>
    </w:tbl>
    <w:p>
      <w:pPr>
        <w:pStyle w:val="Heading2"/>
      </w:pPr>
      <w:r>
        <w:t>3. Input Requirements</w:t>
      </w:r>
    </w:p>
    <w:p>
      <w:pPr>
        <w:pStyle w:val="ListBullet"/>
      </w:pPr>
      <w:r>
        <w:t>Client identifier</w:t>
      </w:r>
    </w:p>
    <w:p>
      <w:pPr>
        <w:pStyle w:val="ListBullet"/>
      </w:pPr>
      <w:r>
        <w:t>Customer segment</w:t>
      </w:r>
    </w:p>
    <w:p>
      <w:pPr>
        <w:pStyle w:val="ListBullet"/>
      </w:pPr>
      <w:r>
        <w:t>Engagement/activity information</w:t>
      </w:r>
    </w:p>
    <w:p>
      <w:pPr>
        <w:pStyle w:val="ListBullet"/>
      </w:pPr>
      <w:r>
        <w:t>Payment history</w:t>
      </w:r>
    </w:p>
    <w:p>
      <w:pPr>
        <w:pStyle w:val="ListBullet"/>
      </w:pPr>
      <w:r>
        <w:t>Buyer rating</w:t>
      </w:r>
    </w:p>
    <w:p>
      <w:pPr>
        <w:pStyle w:val="ListBullet"/>
      </w:pPr>
      <w:r>
        <w:t>MCAT/category information</w:t>
      </w:r>
    </w:p>
    <w:p>
      <w:pPr>
        <w:pStyle w:val="ListBullet"/>
      </w:pPr>
      <w:r>
        <w:t>Monthly enquiry information</w:t>
      </w:r>
    </w:p>
    <w:p>
      <w:pPr>
        <w:pStyle w:val="ListBullet"/>
      </w:pPr>
      <w:r>
        <w:t>Meeting date and meeting frequency</w:t>
      </w:r>
    </w:p>
    <w:p>
      <w:pPr>
        <w:pStyle w:val="ListBullet"/>
      </w:pPr>
      <w:r>
        <w:t>Renewal stage</w:t>
      </w:r>
    </w:p>
    <w:p>
      <w:pPr>
        <w:pStyle w:val="ListBullet"/>
      </w:pPr>
      <w:r>
        <w:t>Meeting purpose</w:t>
      </w:r>
    </w:p>
    <w:p>
      <w:pPr>
        <w:pStyle w:val="ListBullet"/>
      </w:pPr>
      <w:r>
        <w:t>Product/service pitched</w:t>
      </w:r>
    </w:p>
    <w:p>
      <w:pPr>
        <w:pStyle w:val="ListBullet"/>
      </w:pPr>
      <w:r>
        <w:t>Expected revenue</w:t>
      </w:r>
    </w:p>
    <w:p>
      <w:pPr>
        <w:pStyle w:val="ListBullet"/>
      </w:pPr>
      <w:r>
        <w:t>L1 and L2 mapping</w:t>
      </w:r>
    </w:p>
    <w:p>
      <w:pPr>
        <w:pStyle w:val="Heading2"/>
      </w:pPr>
      <w:r>
        <w:t>4. Business Rules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spacing w:after="40"/>
            </w:pPr>
            <w:r>
              <w:rPr>
                <w:b/>
              </w:rPr>
              <w:t>Rule</w:t>
            </w:r>
          </w:p>
        </w:tc>
        <w:tc>
          <w:tcPr>
            <w:tcW w:type="dxa" w:w="5112"/>
            <w:vAlign w:val="center"/>
            <w:shd w:fill="D9EAF7"/>
          </w:tcPr>
          <w:p>
            <w:pPr>
              <w:spacing w:after="40"/>
            </w:pPr>
            <w:r>
              <w:rPr>
                <w:b/>
              </w:rPr>
              <w:t>Business Rule</w:t>
            </w:r>
          </w:p>
        </w:tc>
      </w:tr>
      <w:tr>
        <w:tc>
          <w:tcPr>
            <w:tcW w:type="dxa" w:w="5112"/>
            <w:vAlign w:val="center"/>
          </w:tcPr>
          <w:p>
            <w:pPr>
              <w:spacing w:after="40"/>
            </w:pPr>
            <w:r>
              <w:t>BR-01</w:t>
            </w:r>
          </w:p>
        </w:tc>
        <w:tc>
          <w:tcPr>
            <w:tcW w:type="dxa" w:w="5112"/>
            <w:vAlign w:val="center"/>
          </w:tcPr>
          <w:p>
            <w:pPr>
              <w:spacing w:after="40"/>
            </w:pPr>
            <w:r>
              <w:t>Customer prioritization should consider more than one business indicator.</w:t>
            </w:r>
          </w:p>
        </w:tc>
      </w:tr>
      <w:tr>
        <w:tc>
          <w:tcPr>
            <w:tcW w:type="dxa" w:w="5112"/>
            <w:vAlign w:val="center"/>
          </w:tcPr>
          <w:p>
            <w:pPr>
              <w:spacing w:after="40"/>
            </w:pPr>
            <w:r>
              <w:t>BR-02</w:t>
            </w:r>
          </w:p>
        </w:tc>
        <w:tc>
          <w:tcPr>
            <w:tcW w:type="dxa" w:w="5112"/>
            <w:vAlign w:val="center"/>
          </w:tcPr>
          <w:p>
            <w:pPr>
              <w:spacing w:after="40"/>
            </w:pPr>
            <w:r>
              <w:t>Historical meeting frequency should be used to identify customers with limited meeting coverage.</w:t>
            </w:r>
          </w:p>
        </w:tc>
      </w:tr>
      <w:tr>
        <w:tc>
          <w:tcPr>
            <w:tcW w:type="dxa" w:w="5112"/>
            <w:vAlign w:val="center"/>
          </w:tcPr>
          <w:p>
            <w:pPr>
              <w:spacing w:after="40"/>
            </w:pPr>
            <w:r>
              <w:t>BR-03</w:t>
            </w:r>
          </w:p>
        </w:tc>
        <w:tc>
          <w:tcPr>
            <w:tcW w:type="dxa" w:w="5112"/>
            <w:vAlign w:val="center"/>
          </w:tcPr>
          <w:p>
            <w:pPr>
              <w:spacing w:after="40"/>
            </w:pPr>
            <w:r>
              <w:t>Engagement should be considered when identifying potential upgrade opportunities.</w:t>
            </w:r>
          </w:p>
        </w:tc>
      </w:tr>
      <w:tr>
        <w:tc>
          <w:tcPr>
            <w:tcW w:type="dxa" w:w="5112"/>
            <w:vAlign w:val="center"/>
          </w:tcPr>
          <w:p>
            <w:pPr>
              <w:spacing w:after="40"/>
            </w:pPr>
            <w:r>
              <w:t>BR-04</w:t>
            </w:r>
          </w:p>
        </w:tc>
        <w:tc>
          <w:tcPr>
            <w:tcW w:type="dxa" w:w="5112"/>
            <w:vAlign w:val="center"/>
          </w:tcPr>
          <w:p>
            <w:pPr>
              <w:spacing w:after="40"/>
            </w:pPr>
            <w:r>
              <w:t>Buyer ratings may be used as an indicator of business received through the platform.</w:t>
            </w:r>
          </w:p>
        </w:tc>
      </w:tr>
      <w:tr>
        <w:tc>
          <w:tcPr>
            <w:tcW w:type="dxa" w:w="5112"/>
            <w:vAlign w:val="center"/>
          </w:tcPr>
          <w:p>
            <w:pPr>
              <w:spacing w:after="40"/>
            </w:pPr>
            <w:r>
              <w:t>BR-05</w:t>
            </w:r>
          </w:p>
        </w:tc>
        <w:tc>
          <w:tcPr>
            <w:tcW w:type="dxa" w:w="5112"/>
            <w:vAlign w:val="center"/>
          </w:tcPr>
          <w:p>
            <w:pPr>
              <w:spacing w:after="40"/>
            </w:pPr>
            <w:r>
              <w:t>MCAT/enquiry potential should be considered when assessing revenue opportunity.</w:t>
            </w:r>
          </w:p>
        </w:tc>
      </w:tr>
      <w:tr>
        <w:tc>
          <w:tcPr>
            <w:tcW w:type="dxa" w:w="5112"/>
            <w:vAlign w:val="center"/>
          </w:tcPr>
          <w:p>
            <w:pPr>
              <w:spacing w:after="40"/>
            </w:pPr>
            <w:r>
              <w:t>BR-06</w:t>
            </w:r>
          </w:p>
        </w:tc>
        <w:tc>
          <w:tcPr>
            <w:tcW w:type="dxa" w:w="5112"/>
            <w:vAlign w:val="center"/>
          </w:tcPr>
          <w:p>
            <w:pPr>
              <w:spacing w:after="40"/>
            </w:pPr>
            <w:r>
              <w:t>Payment history should be considered alongside engagement and lifecycle information.</w:t>
            </w:r>
          </w:p>
        </w:tc>
      </w:tr>
      <w:tr>
        <w:tc>
          <w:tcPr>
            <w:tcW w:type="dxa" w:w="5112"/>
            <w:vAlign w:val="center"/>
          </w:tcPr>
          <w:p>
            <w:pPr>
              <w:spacing w:after="40"/>
            </w:pPr>
            <w:r>
              <w:t>BR-07</w:t>
            </w:r>
          </w:p>
        </w:tc>
        <w:tc>
          <w:tcPr>
            <w:tcW w:type="dxa" w:w="5112"/>
            <w:vAlign w:val="center"/>
          </w:tcPr>
          <w:p>
            <w:pPr>
              <w:spacing w:after="40"/>
            </w:pPr>
            <w:r>
              <w:t>Revenue commitments should be supported by identifiable customer/opportunity context.</w:t>
            </w:r>
          </w:p>
        </w:tc>
      </w:tr>
      <w:tr>
        <w:tc>
          <w:tcPr>
            <w:tcW w:type="dxa" w:w="5112"/>
            <w:vAlign w:val="center"/>
          </w:tcPr>
          <w:p>
            <w:pPr>
              <w:spacing w:after="40"/>
            </w:pPr>
            <w:r>
              <w:t>BR-08</w:t>
            </w:r>
          </w:p>
        </w:tc>
        <w:tc>
          <w:tcPr>
            <w:tcW w:type="dxa" w:w="5112"/>
            <w:vAlign w:val="center"/>
          </w:tcPr>
          <w:p>
            <w:pPr>
              <w:spacing w:after="40"/>
            </w:pPr>
            <w:r>
              <w:t>The framework should support both servicing and revenue objectives.</w:t>
            </w:r>
          </w:p>
        </w:tc>
      </w:tr>
      <w:tr>
        <w:tc>
          <w:tcPr>
            <w:tcW w:type="dxa" w:w="5112"/>
            <w:vAlign w:val="center"/>
          </w:tcPr>
          <w:p>
            <w:pPr>
              <w:spacing w:after="40"/>
            </w:pPr>
            <w:r>
              <w:t>BR-09</w:t>
            </w:r>
          </w:p>
        </w:tc>
        <w:tc>
          <w:tcPr>
            <w:tcW w:type="dxa" w:w="5112"/>
            <w:vAlign w:val="center"/>
          </w:tcPr>
          <w:p>
            <w:pPr>
              <w:spacing w:after="40"/>
            </w:pPr>
            <w:r>
              <w:t>Meeting activity alone should not be treated as proof of improved customer value or CQS.</w:t>
            </w:r>
          </w:p>
        </w:tc>
      </w:tr>
    </w:tbl>
    <w:p>
      <w:pPr>
        <w:pStyle w:val="Heading2"/>
      </w:pPr>
      <w:r>
        <w:t>5. Data Flow</w:t>
      </w:r>
    </w:p>
    <w:p>
      <w:r>
        <w:t>L1 Executive → Google Form → Google Sheet → Master Input Deck → L2 Daily Review → Meeting Prioritization / Servicing / Revenue Action → Ongoing Monitoring</w:t>
      </w:r>
    </w:p>
    <w:p>
      <w:pPr>
        <w:pStyle w:val="Heading2"/>
      </w:pPr>
      <w:r>
        <w:t>6. Roles and Responsibilities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spacing w:after="40"/>
            </w:pPr>
            <w:r>
              <w:rPr>
                <w:b/>
              </w:rPr>
              <w:t>Role</w:t>
            </w:r>
          </w:p>
        </w:tc>
        <w:tc>
          <w:tcPr>
            <w:tcW w:type="dxa" w:w="5112"/>
            <w:vAlign w:val="center"/>
            <w:shd w:fill="D9EAF7"/>
          </w:tcPr>
          <w:p>
            <w:pPr>
              <w:spacing w:after="40"/>
            </w:pPr>
            <w:r>
              <w:rPr>
                <w:b/>
              </w:rPr>
              <w:t>Responsibility</w:t>
            </w:r>
          </w:p>
        </w:tc>
      </w:tr>
      <w:tr>
        <w:tc>
          <w:tcPr>
            <w:tcW w:type="dxa" w:w="5112"/>
            <w:vAlign w:val="center"/>
          </w:tcPr>
          <w:p>
            <w:pPr>
              <w:spacing w:after="40"/>
            </w:pPr>
            <w:r>
              <w:t>L1</w:t>
            </w:r>
          </w:p>
        </w:tc>
        <w:tc>
          <w:tcPr>
            <w:tcW w:type="dxa" w:w="5112"/>
            <w:vAlign w:val="center"/>
          </w:tcPr>
          <w:p>
            <w:pPr>
              <w:spacing w:after="40"/>
            </w:pPr>
            <w:r>
              <w:t>Submit daily activity and execute prioritized customer meetings/actions.</w:t>
            </w:r>
          </w:p>
        </w:tc>
      </w:tr>
      <w:tr>
        <w:tc>
          <w:tcPr>
            <w:tcW w:type="dxa" w:w="5112"/>
            <w:vAlign w:val="center"/>
          </w:tcPr>
          <w:p>
            <w:pPr>
              <w:spacing w:after="40"/>
            </w:pPr>
            <w:r>
              <w:t>L2</w:t>
            </w:r>
          </w:p>
        </w:tc>
        <w:tc>
          <w:tcPr>
            <w:tcW w:type="dxa" w:w="5112"/>
            <w:vAlign w:val="center"/>
          </w:tcPr>
          <w:p>
            <w:pPr>
              <w:spacing w:after="40"/>
            </w:pPr>
            <w:r>
              <w:t>Review master input, validate priorities, communicate direction to L1, and review revenue opportunities.</w:t>
            </w:r>
          </w:p>
        </w:tc>
      </w:tr>
      <w:tr>
        <w:tc>
          <w:tcPr>
            <w:tcW w:type="dxa" w:w="5112"/>
            <w:vAlign w:val="center"/>
          </w:tcPr>
          <w:p>
            <w:pPr>
              <w:spacing w:after="40"/>
            </w:pPr>
            <w:r>
              <w:t>Business Analyst</w:t>
            </w:r>
          </w:p>
        </w:tc>
        <w:tc>
          <w:tcPr>
            <w:tcW w:type="dxa" w:w="5112"/>
            <w:vAlign w:val="center"/>
          </w:tcPr>
          <w:p>
            <w:pPr>
              <w:spacing w:after="40"/>
            </w:pPr>
            <w:r>
              <w:t>Maintain framework, consolidate inputs, analyze segments, identify gaps, monitor activity, and incorporate new requirements.</w:t>
            </w:r>
          </w:p>
        </w:tc>
      </w:tr>
      <w:tr>
        <w:tc>
          <w:tcPr>
            <w:tcW w:type="dxa" w:w="5112"/>
            <w:vAlign w:val="center"/>
          </w:tcPr>
          <w:p>
            <w:pPr>
              <w:spacing w:after="40"/>
            </w:pPr>
            <w:r>
              <w:t>Management</w:t>
            </w:r>
          </w:p>
        </w:tc>
        <w:tc>
          <w:tcPr>
            <w:tcW w:type="dxa" w:w="5112"/>
            <w:vAlign w:val="center"/>
          </w:tcPr>
          <w:p>
            <w:pPr>
              <w:spacing w:after="40"/>
            </w:pPr>
            <w:r>
              <w:t>Provide business priorities, review outputs, and request enhancements.</w:t>
            </w:r>
          </w:p>
        </w:tc>
      </w:tr>
      <w:tr>
        <w:tc>
          <w:tcPr>
            <w:tcW w:type="dxa" w:w="5112"/>
            <w:vAlign w:val="center"/>
          </w:tcPr>
          <w:p>
            <w:pPr>
              <w:spacing w:after="40"/>
            </w:pPr>
            <w:r>
              <w:t>Data Owners</w:t>
            </w:r>
          </w:p>
        </w:tc>
        <w:tc>
          <w:tcPr>
            <w:tcW w:type="dxa" w:w="5112"/>
            <w:vAlign w:val="center"/>
          </w:tcPr>
          <w:p>
            <w:pPr>
              <w:spacing w:after="40"/>
            </w:pPr>
            <w:r>
              <w:t>Provide relevant reports/data required for the framework.</w:t>
            </w:r>
          </w:p>
        </w:tc>
      </w:tr>
    </w:tbl>
    <w:p>
      <w:pPr>
        <w:pStyle w:val="Heading2"/>
      </w:pPr>
      <w:r>
        <w:t>7. Validation / Review Considerations</w:t>
      </w:r>
    </w:p>
    <w:p>
      <w:pPr>
        <w:pStyle w:val="ListBullet"/>
      </w:pPr>
      <w:r>
        <w:t>Verify daily L1 activity is captured correctly.</w:t>
      </w:r>
    </w:p>
    <w:p>
      <w:pPr>
        <w:pStyle w:val="ListBullet"/>
      </w:pPr>
      <w:r>
        <w:t>Check customer IDs and segment mappings are consistent.</w:t>
      </w:r>
    </w:p>
    <w:p>
      <w:pPr>
        <w:pStyle w:val="ListBullet"/>
      </w:pPr>
      <w:r>
        <w:t>Validate meeting history against available source reports.</w:t>
      </w:r>
    </w:p>
    <w:p>
      <w:pPr>
        <w:pStyle w:val="ListBullet"/>
      </w:pPr>
      <w:r>
        <w:t>Check opportunity indicators are based on available data.</w:t>
      </w:r>
    </w:p>
    <w:p>
      <w:pPr>
        <w:pStyle w:val="ListBullet"/>
      </w:pPr>
      <w:r>
        <w:t>Review revenue commitment rationale during weekly and mid-month reviews.</w:t>
      </w:r>
    </w:p>
    <w:p>
      <w:pPr>
        <w:pStyle w:val="ListBullet"/>
      </w:pPr>
      <w:r>
        <w:t>Track missing activity or customer coverage gaps.</w:t>
      </w:r>
    </w:p>
    <w:p>
      <w:pPr>
        <w:pStyle w:val="Heading2"/>
      </w:pPr>
      <w:r>
        <w:t>8. Reporting / Analysis Outputs</w:t>
      </w:r>
    </w:p>
    <w:p>
      <w:pPr>
        <w:pStyle w:val="ListBullet"/>
      </w:pPr>
      <w:r>
        <w:t>Customer coverage by segment</w:t>
      </w:r>
    </w:p>
    <w:p>
      <w:pPr>
        <w:pStyle w:val="ListBullet"/>
      </w:pPr>
      <w:r>
        <w:t>Meeting count by segment</w:t>
      </w:r>
    </w:p>
    <w:p>
      <w:pPr>
        <w:pStyle w:val="ListBullet"/>
      </w:pPr>
      <w:r>
        <w:t>Customers with limited/no recent meetings</w:t>
      </w:r>
    </w:p>
    <w:p>
      <w:pPr>
        <w:pStyle w:val="ListBullet"/>
      </w:pPr>
      <w:r>
        <w:t>Potential upgrade customers</w:t>
      </w:r>
    </w:p>
    <w:p>
      <w:pPr>
        <w:pStyle w:val="ListBullet"/>
      </w:pPr>
      <w:r>
        <w:t>Revenue opportunity view</w:t>
      </w:r>
    </w:p>
    <w:p>
      <w:pPr>
        <w:pStyle w:val="ListBullet"/>
      </w:pPr>
      <w:r>
        <w:t>Servicing opportunity view</w:t>
      </w:r>
    </w:p>
    <w:p>
      <w:pPr>
        <w:pStyle w:val="ListBullet"/>
      </w:pPr>
      <w:r>
        <w:t>Revenue commitment support view</w:t>
      </w:r>
    </w:p>
    <w:p>
      <w:pPr>
        <w:pStyle w:val="ListBullet"/>
      </w:pPr>
      <w:r>
        <w:t>Monthly meeting activity history</w:t>
      </w:r>
    </w:p>
    <w:p>
      <w:pPr>
        <w:pStyle w:val="Heading2"/>
      </w:pPr>
      <w:r>
        <w:t>9. Limitations</w:t>
      </w:r>
    </w:p>
    <w:p>
      <w:pPr>
        <w:pStyle w:val="ListBullet"/>
      </w:pPr>
      <w:r>
        <w:t>The framework is a business decision-support process and not an automated revenue forecasting model.</w:t>
      </w:r>
    </w:p>
    <w:p>
      <w:pPr>
        <w:pStyle w:val="ListBullet"/>
      </w:pPr>
      <w:r>
        <w:t>Opportunity identification depends on source-data quality and availability.</w:t>
      </w:r>
    </w:p>
    <w:p>
      <w:pPr>
        <w:pStyle w:val="ListBullet"/>
      </w:pPr>
      <w:r>
        <w:t>Some customer indicators are business signals rather than deterministic predictors.</w:t>
      </w:r>
    </w:p>
    <w:p>
      <w:pPr>
        <w:pStyle w:val="ListBullet"/>
      </w:pPr>
      <w:r>
        <w:t>Confidential company and customer information is excluded from the GitHub portfolio version.</w:t>
      </w:r>
    </w:p>
    <w:p>
      <w:pPr>
        <w:pStyle w:val="Heading2"/>
      </w:pPr>
      <w:r>
        <w:t>10. Portfolio Documentation Note</w:t>
      </w:r>
    </w:p>
    <w:p>
      <w:r>
        <w:t>This document formalizes the business and functional requirements of an actual operational Business Analysis initiative. The original process evolved through stakeholder discussions, management feedback, data availability, and ongoing reviews. The GitHub portfolio version should use anonymized sample data and should not disclose confidential company, customer, employee, or revenue information.</w:t>
      </w:r>
    </w:p>
    <w:p>
      <w:r>
        <w:br w:type="page"/>
      </w:r>
    </w:p>
    <w:p>
      <w:pPr>
        <w:pStyle w:val="Heading1"/>
      </w:pPr>
      <w:r>
        <w:t>Appendix — Recommended GitHub Portfolio Structure</w:t>
      </w:r>
    </w:p>
    <w:p>
      <w:pPr>
        <w:pStyle w:val="ListBullet"/>
      </w:pPr>
      <w:r>
        <w:t>README.md</w:t>
      </w:r>
    </w:p>
    <w:p>
      <w:pPr>
        <w:pStyle w:val="ListBullet"/>
      </w:pPr>
      <w:r>
        <w:t>01_BRD/Business_Requirements_Document.docx</w:t>
      </w:r>
    </w:p>
    <w:p>
      <w:pPr>
        <w:pStyle w:val="ListBullet"/>
      </w:pPr>
      <w:r>
        <w:t>02_FRD/Functional_Requirements_Document.docx</w:t>
      </w:r>
    </w:p>
    <w:p>
      <w:pPr>
        <w:pStyle w:val="ListBullet"/>
      </w:pPr>
      <w:r>
        <w:t>03_Process_Flow/AS_IS_Process_Flow.png</w:t>
      </w:r>
    </w:p>
    <w:p>
      <w:pPr>
        <w:pStyle w:val="ListBullet"/>
      </w:pPr>
      <w:r>
        <w:t>03_Process_Flow/TO_BE_Process_Flow.png</w:t>
      </w:r>
    </w:p>
    <w:p>
      <w:pPr>
        <w:pStyle w:val="ListBullet"/>
      </w:pPr>
      <w:r>
        <w:t>04_Data_Requirements/Data_Dictionary.xlsx</w:t>
      </w:r>
    </w:p>
    <w:p>
      <w:pPr>
        <w:pStyle w:val="ListBullet"/>
      </w:pPr>
      <w:r>
        <w:t>05_Sample_Data/Client_Master_Sample.xlsx</w:t>
      </w:r>
    </w:p>
    <w:p>
      <w:pPr>
        <w:pStyle w:val="ListBullet"/>
      </w:pPr>
      <w:r>
        <w:t>05_Sample_Data/Meeting_Activity_Sample.xlsx</w:t>
      </w:r>
    </w:p>
    <w:p>
      <w:pPr>
        <w:pStyle w:val="ListBullet"/>
      </w:pPr>
      <w:r>
        <w:t>05_Sample_Data/Revenue_Commitment_Sample.xlsx</w:t>
      </w:r>
    </w:p>
    <w:p>
      <w:pPr>
        <w:pStyle w:val="ListBullet"/>
      </w:pPr>
      <w:r>
        <w:t>06_Analysis/Customer_Segment_Analysis.xlsx</w:t>
      </w:r>
    </w:p>
    <w:p>
      <w:pPr>
        <w:pStyle w:val="ListBullet"/>
      </w:pPr>
      <w:r>
        <w:t>07_Output/Management_Insights_Report.pdf</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